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161D" w:rsidR="001256CA" w:rsidRDefault="001856D0" w14:paraId="2A8DF3C8" w14:textId="77777777">
      <w:pPr>
        <w:autoSpaceDE w:val="0"/>
        <w:autoSpaceDN w:val="0"/>
        <w:adjustRightInd w:val="0"/>
        <w:spacing w:before="0" w:after="0"/>
        <w:ind w:left="1416" w:hanging="1371"/>
        <w:rPr>
          <w:rFonts w:ascii="Verdana" w:hAnsi="Verdana"/>
          <w:b/>
          <w:bCs/>
          <w:sz w:val="18"/>
          <w:szCs w:val="18"/>
        </w:rPr>
      </w:pPr>
      <w:r w:rsidRPr="0073161D">
        <w:rPr>
          <w:rFonts w:ascii="Verdana" w:hAnsi="Verdana"/>
          <w:b/>
          <w:bCs/>
          <w:sz w:val="18"/>
          <w:szCs w:val="18"/>
        </w:rPr>
        <w:t>36800-VIII</w:t>
      </w:r>
      <w:r w:rsidRPr="0073161D">
        <w:rPr>
          <w:rFonts w:ascii="Verdana" w:hAnsi="Verdana"/>
          <w:b/>
          <w:bCs/>
          <w:sz w:val="18"/>
          <w:szCs w:val="18"/>
        </w:rPr>
        <w:tab/>
        <w:t>Vaststelling van de begrotingsstaten van het Ministerie van Onderwijs, Cultuur en Wetenschap (VIII) voor het jaar 2026</w:t>
      </w:r>
    </w:p>
    <w:p w:rsidRPr="0073161D" w:rsidR="001256CA" w:rsidRDefault="001256CA" w14:paraId="22CE129B" w14:textId="77777777">
      <w:pPr>
        <w:autoSpaceDE w:val="0"/>
        <w:autoSpaceDN w:val="0"/>
        <w:adjustRightInd w:val="0"/>
        <w:spacing w:before="0" w:after="0"/>
        <w:ind w:left="1416" w:hanging="1371"/>
        <w:rPr>
          <w:rFonts w:ascii="Verdana" w:hAnsi="Verdana"/>
          <w:b/>
          <w:sz w:val="18"/>
          <w:szCs w:val="18"/>
        </w:rPr>
      </w:pPr>
    </w:p>
    <w:p w:rsidRPr="0073161D" w:rsidR="001256CA" w:rsidRDefault="001856D0" w14:paraId="56AC7AB5" w14:textId="118F0C1F">
      <w:pPr>
        <w:rPr>
          <w:rFonts w:ascii="Verdana" w:hAnsi="Verdana"/>
          <w:b/>
          <w:sz w:val="18"/>
          <w:szCs w:val="18"/>
        </w:rPr>
      </w:pPr>
      <w:r w:rsidRPr="0073161D">
        <w:rPr>
          <w:rFonts w:ascii="Verdana" w:hAnsi="Verdana"/>
          <w:b/>
          <w:sz w:val="18"/>
          <w:szCs w:val="18"/>
        </w:rPr>
        <w:t xml:space="preserve">nr. </w:t>
      </w:r>
      <w:r w:rsidRPr="0073161D">
        <w:rPr>
          <w:rFonts w:ascii="Verdana" w:hAnsi="Verdana"/>
          <w:b/>
          <w:sz w:val="18"/>
          <w:szCs w:val="18"/>
        </w:rPr>
        <w:tab/>
      </w:r>
      <w:r w:rsidRPr="0073161D">
        <w:rPr>
          <w:rFonts w:ascii="Verdana" w:hAnsi="Verdana"/>
          <w:b/>
          <w:sz w:val="18"/>
          <w:szCs w:val="18"/>
        </w:rPr>
        <w:tab/>
      </w:r>
      <w:r w:rsidRPr="0073161D" w:rsidR="00084F10">
        <w:rPr>
          <w:rFonts w:ascii="Verdana" w:hAnsi="Verdana"/>
          <w:b/>
          <w:sz w:val="18"/>
          <w:szCs w:val="18"/>
        </w:rPr>
        <w:t>Verslag houdende een l</w:t>
      </w:r>
      <w:r w:rsidRPr="0073161D">
        <w:rPr>
          <w:rFonts w:ascii="Verdana" w:hAnsi="Verdana"/>
          <w:b/>
          <w:sz w:val="18"/>
          <w:szCs w:val="18"/>
        </w:rPr>
        <w:t>ijst van vragen</w:t>
      </w:r>
    </w:p>
    <w:p w:rsidRPr="0073161D" w:rsidR="001256CA" w:rsidP="00084F10" w:rsidRDefault="001856D0" w14:paraId="505F206D" w14:textId="27791A67">
      <w:pPr>
        <w:rPr>
          <w:rFonts w:ascii="Verdana" w:hAnsi="Verdana"/>
          <w:i/>
          <w:sz w:val="18"/>
          <w:szCs w:val="18"/>
        </w:rPr>
      </w:pPr>
      <w:r w:rsidRPr="0073161D">
        <w:rPr>
          <w:rFonts w:ascii="Verdana" w:hAnsi="Verdana"/>
          <w:sz w:val="18"/>
          <w:szCs w:val="18"/>
        </w:rPr>
        <w:tab/>
      </w:r>
      <w:r w:rsidRPr="0073161D">
        <w:rPr>
          <w:rFonts w:ascii="Verdana" w:hAnsi="Verdana"/>
          <w:sz w:val="18"/>
          <w:szCs w:val="18"/>
        </w:rPr>
        <w:tab/>
        <w:t xml:space="preserve">Vastgesteld </w:t>
      </w:r>
      <w:r w:rsidRPr="0073161D">
        <w:rPr>
          <w:rFonts w:ascii="Verdana" w:hAnsi="Verdana"/>
          <w:i/>
          <w:sz w:val="18"/>
          <w:szCs w:val="18"/>
        </w:rPr>
        <w:t>(wordt door griffie ingevuld als antwoorden er zijn)</w:t>
      </w:r>
    </w:p>
    <w:p w:rsidRPr="0073161D" w:rsidR="00084F10" w:rsidRDefault="00084F10" w14:paraId="26AEB2EF" w14:textId="77777777">
      <w:pPr>
        <w:ind w:left="1410"/>
        <w:rPr>
          <w:rFonts w:ascii="Verdana" w:hAnsi="Verdana"/>
          <w:sz w:val="18"/>
          <w:szCs w:val="18"/>
        </w:rPr>
      </w:pPr>
    </w:p>
    <w:p w:rsidRPr="0073161D" w:rsidR="00084F10" w:rsidP="002D2043" w:rsidRDefault="00084F10" w14:paraId="4DB13CC0" w14:textId="77777777">
      <w:pPr>
        <w:spacing w:before="0" w:after="0"/>
        <w:ind w:left="1410"/>
        <w:rPr>
          <w:rFonts w:ascii="Verdana" w:hAnsi="Verdana"/>
          <w:color w:val="000000"/>
          <w:sz w:val="18"/>
          <w:szCs w:val="18"/>
        </w:rPr>
      </w:pPr>
      <w:r w:rsidRPr="0073161D">
        <w:rPr>
          <w:rFonts w:ascii="Verdana" w:hAnsi="Verdana"/>
          <w:color w:val="000000"/>
          <w:sz w:val="18"/>
          <w:szCs w:val="18"/>
        </w:rPr>
        <w:t>De vaste commissie voor Onderwijs, Cultuur en Wetenschap, belast met het voorbereidend onderzoek van dit voorstel van wet, heeft de eer</w:t>
      </w:r>
    </w:p>
    <w:p w:rsidRPr="0073161D" w:rsidR="00084F10" w:rsidP="002D2043" w:rsidRDefault="00084F10" w14:paraId="237472EF" w14:textId="5FD1A461">
      <w:pPr>
        <w:spacing w:before="0" w:after="0"/>
        <w:ind w:left="1410"/>
        <w:rPr>
          <w:rFonts w:ascii="Verdana" w:hAnsi="Verdana"/>
          <w:color w:val="000000"/>
          <w:sz w:val="18"/>
          <w:szCs w:val="18"/>
        </w:rPr>
      </w:pPr>
      <w:r w:rsidRPr="0073161D">
        <w:rPr>
          <w:rFonts w:ascii="Verdana" w:hAnsi="Verdana"/>
          <w:color w:val="000000"/>
          <w:sz w:val="18"/>
          <w:szCs w:val="18"/>
        </w:rPr>
        <w:t>verslag uit te brengen in de vorm van een lijst van vragen</w:t>
      </w:r>
      <w:r w:rsidRPr="0073161D" w:rsidR="002D2043">
        <w:rPr>
          <w:rFonts w:ascii="Verdana" w:hAnsi="Verdana"/>
          <w:color w:val="000000"/>
          <w:sz w:val="18"/>
          <w:szCs w:val="18"/>
        </w:rPr>
        <w:t>.</w:t>
      </w:r>
    </w:p>
    <w:p w:rsidRPr="0073161D" w:rsidR="00084F10" w:rsidP="002D2043" w:rsidRDefault="00084F10" w14:paraId="549DD436" w14:textId="77777777">
      <w:pPr>
        <w:spacing w:before="0" w:after="0"/>
        <w:ind w:left="1410"/>
        <w:rPr>
          <w:rFonts w:ascii="Verdana" w:hAnsi="Verdana"/>
          <w:color w:val="000000"/>
          <w:sz w:val="18"/>
          <w:szCs w:val="18"/>
        </w:rPr>
      </w:pPr>
    </w:p>
    <w:p w:rsidRPr="0073161D" w:rsidR="00084F10" w:rsidP="002D2043" w:rsidRDefault="00084F10" w14:paraId="31F77842" w14:textId="7CB78390">
      <w:pPr>
        <w:spacing w:before="0" w:after="0"/>
        <w:ind w:left="1410"/>
        <w:rPr>
          <w:rFonts w:ascii="Verdana" w:hAnsi="Verdana"/>
          <w:color w:val="000000"/>
          <w:sz w:val="18"/>
          <w:szCs w:val="18"/>
        </w:rPr>
      </w:pPr>
      <w:r w:rsidRPr="0073161D">
        <w:rPr>
          <w:rFonts w:ascii="Verdana" w:hAnsi="Verdana"/>
          <w:color w:val="000000"/>
          <w:sz w:val="18"/>
          <w:szCs w:val="18"/>
        </w:rPr>
        <w:t>De vragen zijn op 2 oktober 2025 voorgelegd aan de minister en staatssecretaris van Onderwijs, Cultuur en Wetenschap. Bij brief van .. zijn ze door de bewindspersonen beantwoord.</w:t>
      </w:r>
    </w:p>
    <w:p w:rsidRPr="0073161D" w:rsidR="00084F10" w:rsidP="002D2043" w:rsidRDefault="00084F10" w14:paraId="49689F39" w14:textId="77777777">
      <w:pPr>
        <w:spacing w:before="0" w:after="0"/>
        <w:ind w:left="1410"/>
        <w:rPr>
          <w:rFonts w:ascii="Verdana" w:hAnsi="Verdana"/>
          <w:sz w:val="18"/>
          <w:szCs w:val="18"/>
        </w:rPr>
      </w:pPr>
    </w:p>
    <w:p w:rsidRPr="0073161D" w:rsidR="001256CA" w:rsidP="002D2043" w:rsidRDefault="001856D0" w14:paraId="6B9A10B6" w14:textId="77777777">
      <w:pPr>
        <w:spacing w:before="0" w:after="0"/>
        <w:ind w:left="703" w:firstLine="709"/>
        <w:rPr>
          <w:rFonts w:ascii="Verdana" w:hAnsi="Verdana"/>
          <w:sz w:val="18"/>
          <w:szCs w:val="18"/>
        </w:rPr>
      </w:pPr>
      <w:r w:rsidRPr="0073161D">
        <w:rPr>
          <w:rFonts w:ascii="Verdana" w:hAnsi="Verdana"/>
          <w:sz w:val="18"/>
          <w:szCs w:val="18"/>
        </w:rPr>
        <w:t xml:space="preserve">Voorzitter van de commissie, </w:t>
      </w:r>
    </w:p>
    <w:p w:rsidRPr="0073161D" w:rsidR="001256CA" w:rsidP="002D2043" w:rsidRDefault="001856D0" w14:paraId="1080138D" w14:textId="5C4A9C7A">
      <w:pPr>
        <w:spacing w:before="0" w:after="0"/>
        <w:rPr>
          <w:rFonts w:ascii="Verdana" w:hAnsi="Verdana"/>
          <w:sz w:val="18"/>
          <w:szCs w:val="18"/>
        </w:rPr>
      </w:pPr>
      <w:r w:rsidRPr="0073161D">
        <w:rPr>
          <w:rFonts w:ascii="Verdana" w:hAnsi="Verdana"/>
          <w:sz w:val="18"/>
          <w:szCs w:val="18"/>
        </w:rPr>
        <w:tab/>
      </w:r>
      <w:r w:rsidRPr="0073161D">
        <w:rPr>
          <w:rFonts w:ascii="Verdana" w:hAnsi="Verdana"/>
          <w:sz w:val="18"/>
          <w:szCs w:val="18"/>
        </w:rPr>
        <w:tab/>
      </w:r>
      <w:proofErr w:type="spellStart"/>
      <w:r w:rsidRPr="0073161D" w:rsidR="00084F10">
        <w:rPr>
          <w:rFonts w:ascii="Verdana" w:hAnsi="Verdana"/>
          <w:sz w:val="18"/>
          <w:szCs w:val="18"/>
        </w:rPr>
        <w:t>Bromet</w:t>
      </w:r>
      <w:proofErr w:type="spellEnd"/>
    </w:p>
    <w:p w:rsidRPr="0073161D" w:rsidR="001256CA" w:rsidP="002D2043" w:rsidRDefault="001856D0" w14:paraId="1C7ABE66" w14:textId="77777777">
      <w:pPr>
        <w:spacing w:before="0" w:after="0"/>
        <w:rPr>
          <w:rFonts w:ascii="Verdana" w:hAnsi="Verdana"/>
          <w:sz w:val="18"/>
          <w:szCs w:val="18"/>
        </w:rPr>
      </w:pPr>
      <w:r w:rsidRPr="0073161D">
        <w:rPr>
          <w:rFonts w:ascii="Verdana" w:hAnsi="Verdana"/>
          <w:sz w:val="18"/>
          <w:szCs w:val="18"/>
        </w:rPr>
        <w:tab/>
      </w:r>
      <w:r w:rsidRPr="0073161D">
        <w:rPr>
          <w:rFonts w:ascii="Verdana" w:hAnsi="Verdana"/>
          <w:sz w:val="18"/>
          <w:szCs w:val="18"/>
        </w:rPr>
        <w:tab/>
      </w:r>
    </w:p>
    <w:p w:rsidRPr="0073161D" w:rsidR="001256CA" w:rsidP="002D2043" w:rsidRDefault="001856D0" w14:paraId="2BE70F0C" w14:textId="00F7B760">
      <w:pPr>
        <w:spacing w:before="0" w:after="0"/>
        <w:rPr>
          <w:rFonts w:ascii="Verdana" w:hAnsi="Verdana"/>
          <w:sz w:val="18"/>
          <w:szCs w:val="18"/>
        </w:rPr>
      </w:pPr>
      <w:r w:rsidRPr="0073161D">
        <w:rPr>
          <w:rFonts w:ascii="Verdana" w:hAnsi="Verdana"/>
          <w:sz w:val="18"/>
          <w:szCs w:val="18"/>
        </w:rPr>
        <w:tab/>
      </w:r>
      <w:r w:rsidRPr="0073161D">
        <w:rPr>
          <w:rFonts w:ascii="Verdana" w:hAnsi="Verdana"/>
          <w:sz w:val="18"/>
          <w:szCs w:val="18"/>
        </w:rPr>
        <w:tab/>
      </w:r>
      <w:r w:rsidRPr="0073161D" w:rsidR="00084F10">
        <w:rPr>
          <w:rFonts w:ascii="Verdana" w:hAnsi="Verdana"/>
          <w:sz w:val="18"/>
          <w:szCs w:val="18"/>
        </w:rPr>
        <w:t xml:space="preserve">Adjunct-griffier </w:t>
      </w:r>
      <w:r w:rsidRPr="0073161D">
        <w:rPr>
          <w:rFonts w:ascii="Verdana" w:hAnsi="Verdana"/>
          <w:sz w:val="18"/>
          <w:szCs w:val="18"/>
        </w:rPr>
        <w:t>van de commissie,</w:t>
      </w:r>
    </w:p>
    <w:p w:rsidR="001256CA" w:rsidP="002D2043" w:rsidRDefault="001856D0" w14:paraId="5A38F77B" w14:textId="3A428D88">
      <w:pPr>
        <w:spacing w:before="0" w:after="0"/>
        <w:rPr>
          <w:rFonts w:ascii="Verdana" w:hAnsi="Verdana"/>
          <w:sz w:val="18"/>
          <w:szCs w:val="18"/>
        </w:rPr>
      </w:pPr>
      <w:r w:rsidRPr="0073161D">
        <w:rPr>
          <w:rFonts w:ascii="Verdana" w:hAnsi="Verdana"/>
          <w:sz w:val="18"/>
          <w:szCs w:val="18"/>
        </w:rPr>
        <w:tab/>
      </w:r>
      <w:r w:rsidRPr="0073161D">
        <w:rPr>
          <w:rFonts w:ascii="Verdana" w:hAnsi="Verdana"/>
          <w:sz w:val="18"/>
          <w:szCs w:val="18"/>
        </w:rPr>
        <w:tab/>
      </w:r>
      <w:r w:rsidRPr="0073161D" w:rsidR="00084F10">
        <w:rPr>
          <w:rFonts w:ascii="Verdana" w:hAnsi="Verdana"/>
          <w:sz w:val="18"/>
          <w:szCs w:val="18"/>
        </w:rPr>
        <w:t>Easton</w:t>
      </w:r>
    </w:p>
    <w:p w:rsidR="009B10B0" w:rsidP="002D2043" w:rsidRDefault="009B10B0" w14:paraId="373AD5C5" w14:textId="77777777">
      <w:pPr>
        <w:spacing w:before="0" w:after="0"/>
        <w:rPr>
          <w:rFonts w:ascii="Verdana" w:hAnsi="Verdana"/>
          <w:sz w:val="18"/>
          <w:szCs w:val="18"/>
        </w:rPr>
      </w:pPr>
    </w:p>
    <w:p w:rsidRPr="0073161D" w:rsidR="001256CA" w:rsidRDefault="001256CA" w14:paraId="567B0565" w14:textId="77777777">
      <w:pPr>
        <w:rPr>
          <w:rFonts w:ascii="Verdana" w:hAnsi="Verdana"/>
          <w:sz w:val="18"/>
          <w:szCs w:val="18"/>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73161D" w:rsidR="001256CA" w:rsidTr="00E7153D" w14:paraId="32580432" w14:textId="77777777">
        <w:trPr>
          <w:cantSplit/>
        </w:trPr>
        <w:tc>
          <w:tcPr>
            <w:tcW w:w="567" w:type="dxa"/>
          </w:tcPr>
          <w:p w:rsidRPr="0073161D" w:rsidR="001256CA" w:rsidRDefault="001856D0" w14:paraId="488ADA1E" w14:textId="77777777">
            <w:pPr>
              <w:rPr>
                <w:rFonts w:ascii="Verdana" w:hAnsi="Verdana"/>
                <w:sz w:val="18"/>
                <w:szCs w:val="18"/>
              </w:rPr>
            </w:pPr>
            <w:bookmarkStart w:name="bmkStartTabel" w:id="0"/>
            <w:bookmarkEnd w:id="0"/>
            <w:proofErr w:type="spellStart"/>
            <w:r w:rsidRPr="0073161D">
              <w:rPr>
                <w:rFonts w:ascii="Verdana" w:hAnsi="Verdana"/>
                <w:sz w:val="18"/>
                <w:szCs w:val="18"/>
              </w:rPr>
              <w:t>Nr</w:t>
            </w:r>
            <w:proofErr w:type="spellEnd"/>
          </w:p>
        </w:tc>
        <w:tc>
          <w:tcPr>
            <w:tcW w:w="6521" w:type="dxa"/>
          </w:tcPr>
          <w:p w:rsidRPr="0073161D" w:rsidR="001256CA" w:rsidRDefault="001856D0" w14:paraId="11DE965B" w14:textId="77777777">
            <w:pPr>
              <w:rPr>
                <w:rFonts w:ascii="Verdana" w:hAnsi="Verdana"/>
                <w:sz w:val="18"/>
                <w:szCs w:val="18"/>
              </w:rPr>
            </w:pPr>
            <w:r w:rsidRPr="0073161D">
              <w:rPr>
                <w:rFonts w:ascii="Verdana" w:hAnsi="Verdana"/>
                <w:sz w:val="18"/>
                <w:szCs w:val="18"/>
              </w:rPr>
              <w:t>Vraag</w:t>
            </w:r>
          </w:p>
        </w:tc>
        <w:tc>
          <w:tcPr>
            <w:tcW w:w="850" w:type="dxa"/>
          </w:tcPr>
          <w:p w:rsidRPr="0073161D" w:rsidR="001256CA" w:rsidRDefault="001856D0" w14:paraId="233AD24A" w14:textId="77777777">
            <w:pPr>
              <w:jc w:val="right"/>
              <w:rPr>
                <w:rFonts w:ascii="Verdana" w:hAnsi="Verdana"/>
                <w:sz w:val="18"/>
                <w:szCs w:val="18"/>
              </w:rPr>
            </w:pPr>
            <w:r w:rsidRPr="0073161D">
              <w:rPr>
                <w:rFonts w:ascii="Verdana" w:hAnsi="Verdana"/>
                <w:sz w:val="18"/>
                <w:szCs w:val="18"/>
              </w:rPr>
              <w:t>Bijlage</w:t>
            </w:r>
          </w:p>
        </w:tc>
        <w:tc>
          <w:tcPr>
            <w:tcW w:w="992" w:type="dxa"/>
          </w:tcPr>
          <w:p w:rsidRPr="0073161D" w:rsidR="001256CA" w:rsidP="00E7153D" w:rsidRDefault="001856D0" w14:paraId="22A22153" w14:textId="77777777">
            <w:pPr>
              <w:jc w:val="right"/>
              <w:rPr>
                <w:rFonts w:ascii="Verdana" w:hAnsi="Verdana"/>
                <w:sz w:val="18"/>
                <w:szCs w:val="18"/>
              </w:rPr>
            </w:pPr>
            <w:r w:rsidRPr="0073161D">
              <w:rPr>
                <w:rFonts w:ascii="Verdana" w:hAnsi="Verdana"/>
                <w:sz w:val="18"/>
                <w:szCs w:val="18"/>
              </w:rPr>
              <w:t>Blz. (van)</w:t>
            </w:r>
          </w:p>
        </w:tc>
        <w:tc>
          <w:tcPr>
            <w:tcW w:w="567" w:type="dxa"/>
          </w:tcPr>
          <w:p w:rsidRPr="0073161D" w:rsidR="001256CA" w:rsidP="00E7153D" w:rsidRDefault="001856D0" w14:paraId="40E528B8" w14:textId="77777777">
            <w:pPr>
              <w:jc w:val="center"/>
              <w:rPr>
                <w:rFonts w:ascii="Verdana" w:hAnsi="Verdana"/>
                <w:sz w:val="18"/>
                <w:szCs w:val="18"/>
              </w:rPr>
            </w:pPr>
            <w:r w:rsidRPr="0073161D">
              <w:rPr>
                <w:rFonts w:ascii="Verdana" w:hAnsi="Verdana"/>
                <w:sz w:val="18"/>
                <w:szCs w:val="18"/>
              </w:rPr>
              <w:t>t/m</w:t>
            </w:r>
          </w:p>
        </w:tc>
      </w:tr>
    </w:tbl>
    <w:p w:rsidR="00850DFF" w:rsidRDefault="00850DFF" w14:paraId="2B963DED" w14:textId="18AE71E6"/>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A1F9A" w:rsidR="001256CA" w:rsidTr="00E7153D" w14:paraId="1430E734" w14:textId="77777777">
        <w:tc>
          <w:tcPr>
            <w:tcW w:w="567" w:type="dxa"/>
          </w:tcPr>
          <w:p w:rsidRPr="002A1F9A" w:rsidR="001256CA" w:rsidRDefault="001856D0" w14:paraId="75A5B479" w14:textId="11FCD579">
            <w:pPr>
              <w:rPr>
                <w:rFonts w:ascii="Verdana" w:hAnsi="Verdana"/>
                <w:sz w:val="18"/>
                <w:szCs w:val="18"/>
              </w:rPr>
            </w:pPr>
            <w:r w:rsidRPr="002A1F9A">
              <w:rPr>
                <w:rFonts w:ascii="Verdana" w:hAnsi="Verdana"/>
                <w:sz w:val="18"/>
                <w:szCs w:val="18"/>
              </w:rPr>
              <w:t>1</w:t>
            </w:r>
          </w:p>
        </w:tc>
        <w:tc>
          <w:tcPr>
            <w:tcW w:w="6521" w:type="dxa"/>
          </w:tcPr>
          <w:p w:rsidRPr="002A1F9A" w:rsidR="001256CA" w:rsidRDefault="001856D0" w14:paraId="2104AB65" w14:textId="77777777">
            <w:pPr>
              <w:rPr>
                <w:rFonts w:ascii="Verdana" w:hAnsi="Verdana"/>
                <w:sz w:val="18"/>
                <w:szCs w:val="18"/>
              </w:rPr>
            </w:pPr>
            <w:r w:rsidRPr="002A1F9A">
              <w:rPr>
                <w:rFonts w:ascii="Verdana" w:hAnsi="Verdana"/>
                <w:sz w:val="18"/>
                <w:szCs w:val="18"/>
              </w:rPr>
              <w:t>Kunt u de (verwachte) ontwikkeling laten zien van het bedrag dat per jaar uitgegeven wordt aan onderwijs voor de periode 2000-2030 in absolute bedragen en als percentage van de rijksbegroting?</w:t>
            </w:r>
          </w:p>
          <w:p w:rsidRPr="002A1F9A" w:rsidR="00850DFF" w:rsidRDefault="00850DFF" w14:paraId="0EFC0953" w14:textId="77777777">
            <w:pPr>
              <w:rPr>
                <w:rFonts w:ascii="Verdana" w:hAnsi="Verdana"/>
                <w:sz w:val="18"/>
                <w:szCs w:val="18"/>
              </w:rPr>
            </w:pPr>
          </w:p>
          <w:p w:rsidRPr="002A1F9A" w:rsidR="00850DFF" w:rsidP="00850DFF" w:rsidRDefault="00850DFF" w14:paraId="75FE68C6" w14:textId="28908DA2">
            <w:pPr>
              <w:rPr>
                <w:rFonts w:ascii="Verdana" w:hAnsi="Verdana"/>
                <w:sz w:val="18"/>
                <w:szCs w:val="18"/>
              </w:rPr>
            </w:pPr>
            <w:r w:rsidRPr="002A1F9A">
              <w:rPr>
                <w:rFonts w:ascii="Verdana" w:hAnsi="Verdana"/>
                <w:sz w:val="18"/>
                <w:szCs w:val="18"/>
              </w:rPr>
              <w:t xml:space="preserve">In onderstaande tabel wordt het bedrag dat per jaar door </w:t>
            </w:r>
            <w:r w:rsidRPr="002A1F9A" w:rsidR="009A3C2E">
              <w:rPr>
                <w:rFonts w:ascii="Verdana" w:hAnsi="Verdana"/>
                <w:sz w:val="18"/>
                <w:szCs w:val="18"/>
              </w:rPr>
              <w:t xml:space="preserve">het ministerie van </w:t>
            </w:r>
            <w:r w:rsidRPr="002A1F9A">
              <w:rPr>
                <w:rFonts w:ascii="Verdana" w:hAnsi="Verdana"/>
                <w:sz w:val="18"/>
                <w:szCs w:val="18"/>
              </w:rPr>
              <w:t xml:space="preserve">OCW wordt uitgegeven aan onderwijs voor de periode 2009-2030 weergegeven in absolute bedragen en als percentage van de totale rijksbegroting. Voor de jaren 2008 en eerder zijn de gegevens niet voldoende compleet om een betrouwbare vergelijking uit te voeren en deze jaren zijn daarom niet opgenomen in de tabel.   </w:t>
            </w:r>
          </w:p>
          <w:p w:rsidR="00850DFF" w:rsidP="00850DFF" w:rsidRDefault="00850DFF" w14:paraId="3C0679E7" w14:textId="77777777">
            <w:pPr>
              <w:rPr>
                <w:rFonts w:ascii="Verdana" w:hAnsi="Verdana"/>
                <w:sz w:val="18"/>
                <w:szCs w:val="18"/>
              </w:rPr>
            </w:pPr>
          </w:p>
          <w:p w:rsidR="00263264" w:rsidP="00850DFF" w:rsidRDefault="00263264" w14:paraId="419BBCEA" w14:textId="77777777">
            <w:pPr>
              <w:rPr>
                <w:rFonts w:ascii="Verdana" w:hAnsi="Verdana"/>
                <w:sz w:val="18"/>
                <w:szCs w:val="18"/>
              </w:rPr>
            </w:pPr>
          </w:p>
          <w:p w:rsidR="00263264" w:rsidP="00850DFF" w:rsidRDefault="00263264" w14:paraId="57B4C7E7" w14:textId="77777777">
            <w:pPr>
              <w:rPr>
                <w:rFonts w:ascii="Verdana" w:hAnsi="Verdana"/>
                <w:sz w:val="18"/>
                <w:szCs w:val="18"/>
              </w:rPr>
            </w:pPr>
          </w:p>
          <w:p w:rsidR="00263264" w:rsidP="00850DFF" w:rsidRDefault="00263264" w14:paraId="5482D76C" w14:textId="77777777">
            <w:pPr>
              <w:rPr>
                <w:rFonts w:ascii="Verdana" w:hAnsi="Verdana"/>
                <w:sz w:val="18"/>
                <w:szCs w:val="18"/>
              </w:rPr>
            </w:pPr>
          </w:p>
          <w:p w:rsidR="00263264" w:rsidP="00850DFF" w:rsidRDefault="00263264" w14:paraId="22B7E3EF" w14:textId="77777777">
            <w:pPr>
              <w:rPr>
                <w:rFonts w:ascii="Verdana" w:hAnsi="Verdana"/>
                <w:sz w:val="18"/>
                <w:szCs w:val="18"/>
              </w:rPr>
            </w:pPr>
          </w:p>
          <w:p w:rsidR="00263264" w:rsidP="00850DFF" w:rsidRDefault="00263264" w14:paraId="163951BE" w14:textId="77777777">
            <w:pPr>
              <w:rPr>
                <w:rFonts w:ascii="Verdana" w:hAnsi="Verdana"/>
                <w:sz w:val="18"/>
                <w:szCs w:val="18"/>
              </w:rPr>
            </w:pPr>
          </w:p>
          <w:p w:rsidR="00263264" w:rsidP="00850DFF" w:rsidRDefault="00263264" w14:paraId="4C922552" w14:textId="77777777">
            <w:pPr>
              <w:rPr>
                <w:rFonts w:ascii="Verdana" w:hAnsi="Verdana"/>
                <w:sz w:val="18"/>
                <w:szCs w:val="18"/>
              </w:rPr>
            </w:pPr>
          </w:p>
          <w:p w:rsidR="00263264" w:rsidP="00850DFF" w:rsidRDefault="00263264" w14:paraId="4EED2620" w14:textId="77777777">
            <w:pPr>
              <w:rPr>
                <w:rFonts w:ascii="Verdana" w:hAnsi="Verdana"/>
                <w:sz w:val="18"/>
                <w:szCs w:val="18"/>
              </w:rPr>
            </w:pPr>
          </w:p>
          <w:p w:rsidR="00263264" w:rsidP="00850DFF" w:rsidRDefault="00263264" w14:paraId="745DC3E3" w14:textId="77777777">
            <w:pPr>
              <w:rPr>
                <w:rFonts w:ascii="Verdana" w:hAnsi="Verdana"/>
                <w:sz w:val="18"/>
                <w:szCs w:val="18"/>
              </w:rPr>
            </w:pPr>
          </w:p>
          <w:p w:rsidR="00263264" w:rsidP="00850DFF" w:rsidRDefault="00263264" w14:paraId="05183288" w14:textId="77777777">
            <w:pPr>
              <w:rPr>
                <w:rFonts w:ascii="Verdana" w:hAnsi="Verdana"/>
                <w:sz w:val="18"/>
                <w:szCs w:val="18"/>
              </w:rPr>
            </w:pPr>
          </w:p>
          <w:p w:rsidR="00263264" w:rsidP="00850DFF" w:rsidRDefault="00263264" w14:paraId="0C7E39F9" w14:textId="77777777">
            <w:pPr>
              <w:rPr>
                <w:rFonts w:ascii="Verdana" w:hAnsi="Verdana"/>
                <w:sz w:val="18"/>
                <w:szCs w:val="18"/>
              </w:rPr>
            </w:pPr>
          </w:p>
          <w:p w:rsidR="00263264" w:rsidP="00850DFF" w:rsidRDefault="00263264" w14:paraId="6E5F619B" w14:textId="77777777">
            <w:pPr>
              <w:rPr>
                <w:rFonts w:ascii="Verdana" w:hAnsi="Verdana"/>
                <w:sz w:val="18"/>
                <w:szCs w:val="18"/>
              </w:rPr>
            </w:pPr>
          </w:p>
          <w:p w:rsidR="00263264" w:rsidP="00850DFF" w:rsidRDefault="00263264" w14:paraId="49CD5544" w14:textId="77777777">
            <w:pPr>
              <w:rPr>
                <w:rFonts w:ascii="Verdana" w:hAnsi="Verdana"/>
                <w:sz w:val="18"/>
                <w:szCs w:val="18"/>
              </w:rPr>
            </w:pPr>
          </w:p>
          <w:p w:rsidR="00263264" w:rsidP="00850DFF" w:rsidRDefault="00263264" w14:paraId="53372231" w14:textId="77777777">
            <w:pPr>
              <w:rPr>
                <w:rFonts w:ascii="Verdana" w:hAnsi="Verdana"/>
                <w:sz w:val="18"/>
                <w:szCs w:val="18"/>
              </w:rPr>
            </w:pPr>
          </w:p>
          <w:p w:rsidR="00124146" w:rsidP="00850DFF" w:rsidRDefault="00124146" w14:paraId="7C6D0646" w14:textId="77777777">
            <w:pPr>
              <w:rPr>
                <w:rFonts w:ascii="Verdana" w:hAnsi="Verdana"/>
                <w:sz w:val="18"/>
                <w:szCs w:val="18"/>
              </w:rPr>
            </w:pPr>
          </w:p>
          <w:p w:rsidR="00124146" w:rsidP="00850DFF" w:rsidRDefault="00124146" w14:paraId="18713588" w14:textId="77777777">
            <w:pPr>
              <w:rPr>
                <w:rFonts w:ascii="Verdana" w:hAnsi="Verdana"/>
                <w:sz w:val="18"/>
                <w:szCs w:val="18"/>
              </w:rPr>
            </w:pPr>
          </w:p>
          <w:p w:rsidR="00124146" w:rsidP="00850DFF" w:rsidRDefault="00124146" w14:paraId="31C972C5" w14:textId="77777777">
            <w:pPr>
              <w:rPr>
                <w:rFonts w:ascii="Verdana" w:hAnsi="Verdana"/>
                <w:sz w:val="18"/>
                <w:szCs w:val="18"/>
              </w:rPr>
            </w:pPr>
          </w:p>
          <w:p w:rsidR="00263264" w:rsidP="00850DFF" w:rsidRDefault="00263264" w14:paraId="5C1EA1FA" w14:textId="77777777">
            <w:pPr>
              <w:rPr>
                <w:rFonts w:ascii="Verdana" w:hAnsi="Verdana"/>
                <w:sz w:val="18"/>
                <w:szCs w:val="18"/>
              </w:rPr>
            </w:pPr>
          </w:p>
          <w:p w:rsidR="00263264" w:rsidP="00850DFF" w:rsidRDefault="00263264" w14:paraId="07361B8A" w14:textId="77777777">
            <w:pPr>
              <w:rPr>
                <w:rFonts w:ascii="Verdana" w:hAnsi="Verdana"/>
                <w:sz w:val="18"/>
                <w:szCs w:val="18"/>
              </w:rPr>
            </w:pPr>
          </w:p>
          <w:p w:rsidR="00263264" w:rsidP="00850DFF" w:rsidRDefault="00263264" w14:paraId="2CD7EE0B" w14:textId="77777777">
            <w:pPr>
              <w:rPr>
                <w:rFonts w:ascii="Verdana" w:hAnsi="Verdana"/>
                <w:sz w:val="18"/>
                <w:szCs w:val="18"/>
              </w:rPr>
            </w:pPr>
          </w:p>
          <w:p w:rsidRPr="002A1F9A" w:rsidR="00263264" w:rsidP="00850DFF" w:rsidRDefault="00263264" w14:paraId="43803E7B" w14:textId="77777777">
            <w:pPr>
              <w:rPr>
                <w:rFonts w:ascii="Verdana" w:hAnsi="Verdana"/>
                <w:sz w:val="18"/>
                <w:szCs w:val="18"/>
              </w:rPr>
            </w:pPr>
          </w:p>
          <w:tbl>
            <w:tblPr>
              <w:tblStyle w:val="Tabelraster"/>
              <w:tblW w:w="6513" w:type="dxa"/>
              <w:tblLayout w:type="fixed"/>
              <w:tblLook w:val="04A0" w:firstRow="1" w:lastRow="0" w:firstColumn="1" w:lastColumn="0" w:noHBand="0" w:noVBand="1"/>
            </w:tblPr>
            <w:tblGrid>
              <w:gridCol w:w="1814"/>
              <w:gridCol w:w="2349"/>
              <w:gridCol w:w="2350"/>
            </w:tblGrid>
            <w:tr w:rsidRPr="002A1F9A" w:rsidR="00850DFF" w:rsidTr="00850DFF" w14:paraId="352EAF27" w14:textId="77777777">
              <w:trPr>
                <w:trHeight w:val="270"/>
              </w:trPr>
              <w:tc>
                <w:tcPr>
                  <w:tcW w:w="5000" w:type="pct"/>
                  <w:gridSpan w:val="3"/>
                  <w:noWrap/>
                </w:tcPr>
                <w:p w:rsidRPr="002A1F9A" w:rsidR="00850DFF" w:rsidP="00850DFF" w:rsidRDefault="00850DFF" w14:paraId="5F7F6410" w14:textId="77777777">
                  <w:pPr>
                    <w:spacing w:before="0" w:after="0"/>
                    <w:rPr>
                      <w:rFonts w:ascii="Verdana" w:hAnsi="Verdana"/>
                      <w:b/>
                      <w:bCs/>
                      <w:color w:val="000000"/>
                      <w:sz w:val="16"/>
                      <w:szCs w:val="16"/>
                    </w:rPr>
                  </w:pPr>
                  <w:r w:rsidRPr="002A1F9A">
                    <w:rPr>
                      <w:rFonts w:ascii="Verdana" w:hAnsi="Verdana"/>
                      <w:color w:val="000000"/>
                      <w:sz w:val="16"/>
                      <w:szCs w:val="16"/>
                    </w:rPr>
                    <w:lastRenderedPageBreak/>
                    <w:t>(bedragen x € 1.000)</w:t>
                  </w:r>
                </w:p>
              </w:tc>
            </w:tr>
            <w:tr w:rsidRPr="002A1F9A" w:rsidR="00850DFF" w:rsidTr="00850DFF" w14:paraId="39B7CB89" w14:textId="77777777">
              <w:trPr>
                <w:trHeight w:val="270"/>
              </w:trPr>
              <w:tc>
                <w:tcPr>
                  <w:tcW w:w="1393" w:type="pct"/>
                  <w:noWrap/>
                  <w:hideMark/>
                </w:tcPr>
                <w:p w:rsidRPr="002A1F9A" w:rsidR="00850DFF" w:rsidP="00850DFF" w:rsidRDefault="00850DFF" w14:paraId="5B022FE0" w14:textId="77777777">
                  <w:pPr>
                    <w:spacing w:before="0" w:after="0"/>
                    <w:rPr>
                      <w:rFonts w:ascii="Verdana" w:hAnsi="Verdana"/>
                      <w:b/>
                      <w:bCs/>
                      <w:color w:val="000000"/>
                      <w:sz w:val="16"/>
                      <w:szCs w:val="16"/>
                    </w:rPr>
                  </w:pPr>
                  <w:r w:rsidRPr="002A1F9A">
                    <w:rPr>
                      <w:rFonts w:ascii="Verdana" w:hAnsi="Verdana"/>
                      <w:b/>
                      <w:bCs/>
                      <w:color w:val="000000"/>
                      <w:sz w:val="16"/>
                      <w:szCs w:val="16"/>
                    </w:rPr>
                    <w:t>Periode</w:t>
                  </w:r>
                </w:p>
              </w:tc>
              <w:tc>
                <w:tcPr>
                  <w:tcW w:w="1803" w:type="pct"/>
                  <w:noWrap/>
                  <w:hideMark/>
                </w:tcPr>
                <w:p w:rsidRPr="002A1F9A" w:rsidR="00850DFF" w:rsidP="00850DFF" w:rsidRDefault="00850DFF" w14:paraId="7DF393DD" w14:textId="77777777">
                  <w:pPr>
                    <w:spacing w:before="0" w:after="0"/>
                    <w:rPr>
                      <w:rFonts w:ascii="Verdana" w:hAnsi="Verdana"/>
                      <w:b/>
                      <w:bCs/>
                      <w:color w:val="000000"/>
                      <w:sz w:val="16"/>
                      <w:szCs w:val="16"/>
                    </w:rPr>
                  </w:pPr>
                  <w:r w:rsidRPr="002A1F9A">
                    <w:rPr>
                      <w:rFonts w:ascii="Verdana" w:hAnsi="Verdana"/>
                      <w:b/>
                      <w:bCs/>
                      <w:color w:val="000000"/>
                      <w:sz w:val="16"/>
                      <w:szCs w:val="16"/>
                    </w:rPr>
                    <w:t>Absolute uitgaven aan onderwijs*</w:t>
                  </w:r>
                </w:p>
              </w:tc>
              <w:tc>
                <w:tcPr>
                  <w:tcW w:w="1803" w:type="pct"/>
                  <w:noWrap/>
                  <w:hideMark/>
                </w:tcPr>
                <w:p w:rsidRPr="002A1F9A" w:rsidR="00850DFF" w:rsidP="00850DFF" w:rsidRDefault="00850DFF" w14:paraId="047C9048" w14:textId="77777777">
                  <w:pPr>
                    <w:spacing w:before="0" w:after="0"/>
                    <w:rPr>
                      <w:rFonts w:ascii="Verdana" w:hAnsi="Verdana"/>
                      <w:b/>
                      <w:bCs/>
                      <w:color w:val="000000"/>
                      <w:sz w:val="16"/>
                      <w:szCs w:val="16"/>
                    </w:rPr>
                  </w:pPr>
                  <w:r w:rsidRPr="002A1F9A">
                    <w:rPr>
                      <w:rFonts w:ascii="Verdana" w:hAnsi="Verdana"/>
                      <w:b/>
                      <w:bCs/>
                      <w:color w:val="000000"/>
                      <w:sz w:val="16"/>
                      <w:szCs w:val="16"/>
                    </w:rPr>
                    <w:t>Uitgaven aan onderwijs als percentage van de rijksbegroting**</w:t>
                  </w:r>
                </w:p>
              </w:tc>
            </w:tr>
            <w:tr w:rsidRPr="002A1F9A" w:rsidR="00850DFF" w:rsidTr="00850DFF" w14:paraId="2EC7CFA0" w14:textId="77777777">
              <w:trPr>
                <w:trHeight w:val="270"/>
              </w:trPr>
              <w:tc>
                <w:tcPr>
                  <w:tcW w:w="1393" w:type="pct"/>
                  <w:noWrap/>
                  <w:hideMark/>
                </w:tcPr>
                <w:p w:rsidRPr="002A1F9A" w:rsidR="00850DFF" w:rsidP="00850DFF" w:rsidRDefault="00850DFF" w14:paraId="5B081525" w14:textId="77777777">
                  <w:pPr>
                    <w:spacing w:before="0" w:after="0"/>
                    <w:rPr>
                      <w:rFonts w:ascii="Verdana" w:hAnsi="Verdana"/>
                      <w:b/>
                      <w:bCs/>
                      <w:color w:val="000000"/>
                      <w:sz w:val="16"/>
                      <w:szCs w:val="16"/>
                    </w:rPr>
                  </w:pPr>
                  <w:r w:rsidRPr="002A1F9A">
                    <w:rPr>
                      <w:rFonts w:ascii="Verdana" w:hAnsi="Verdana"/>
                      <w:b/>
                      <w:bCs/>
                      <w:color w:val="000000"/>
                      <w:sz w:val="16"/>
                      <w:szCs w:val="16"/>
                    </w:rPr>
                    <w:t>2009</w:t>
                  </w:r>
                </w:p>
              </w:tc>
              <w:tc>
                <w:tcPr>
                  <w:tcW w:w="1803" w:type="pct"/>
                  <w:noWrap/>
                  <w:hideMark/>
                </w:tcPr>
                <w:p w:rsidRPr="002A1F9A" w:rsidR="00850DFF" w:rsidP="00850DFF" w:rsidRDefault="00850DFF" w14:paraId="60200621" w14:textId="77777777">
                  <w:pPr>
                    <w:spacing w:before="0" w:after="0"/>
                    <w:jc w:val="right"/>
                    <w:rPr>
                      <w:rFonts w:ascii="Verdana" w:hAnsi="Verdana"/>
                      <w:color w:val="000000"/>
                      <w:sz w:val="16"/>
                      <w:szCs w:val="16"/>
                    </w:rPr>
                  </w:pPr>
                  <w:r w:rsidRPr="002A1F9A">
                    <w:rPr>
                      <w:rFonts w:ascii="Verdana" w:hAnsi="Verdana"/>
                      <w:color w:val="000000"/>
                      <w:sz w:val="16"/>
                      <w:szCs w:val="16"/>
                    </w:rPr>
                    <w:t>28.206.802</w:t>
                  </w:r>
                </w:p>
              </w:tc>
              <w:tc>
                <w:tcPr>
                  <w:tcW w:w="1803" w:type="pct"/>
                  <w:noWrap/>
                  <w:hideMark/>
                </w:tcPr>
                <w:p w:rsidRPr="002A1F9A" w:rsidR="00850DFF" w:rsidP="00850DFF" w:rsidRDefault="00850DFF" w14:paraId="47980A16" w14:textId="77777777">
                  <w:pPr>
                    <w:spacing w:before="0" w:after="0"/>
                    <w:jc w:val="right"/>
                    <w:rPr>
                      <w:rFonts w:ascii="Verdana" w:hAnsi="Verdana"/>
                      <w:color w:val="000000"/>
                      <w:sz w:val="16"/>
                      <w:szCs w:val="16"/>
                    </w:rPr>
                  </w:pPr>
                  <w:r w:rsidRPr="002A1F9A">
                    <w:rPr>
                      <w:rFonts w:ascii="Verdana" w:hAnsi="Verdana"/>
                      <w:sz w:val="16"/>
                      <w:szCs w:val="16"/>
                    </w:rPr>
                    <w:t>12,8%</w:t>
                  </w:r>
                </w:p>
              </w:tc>
            </w:tr>
            <w:tr w:rsidRPr="002A1F9A" w:rsidR="00850DFF" w:rsidTr="00850DFF" w14:paraId="414CA4F8" w14:textId="77777777">
              <w:trPr>
                <w:trHeight w:val="270"/>
              </w:trPr>
              <w:tc>
                <w:tcPr>
                  <w:tcW w:w="1393" w:type="pct"/>
                  <w:noWrap/>
                  <w:hideMark/>
                </w:tcPr>
                <w:p w:rsidRPr="002A1F9A" w:rsidR="00850DFF" w:rsidP="00850DFF" w:rsidRDefault="00850DFF" w14:paraId="4274FA9A" w14:textId="77777777">
                  <w:pPr>
                    <w:spacing w:before="0" w:after="0"/>
                    <w:rPr>
                      <w:rFonts w:ascii="Verdana" w:hAnsi="Verdana"/>
                      <w:b/>
                      <w:bCs/>
                      <w:color w:val="000000"/>
                      <w:sz w:val="16"/>
                      <w:szCs w:val="16"/>
                    </w:rPr>
                  </w:pPr>
                  <w:r w:rsidRPr="002A1F9A">
                    <w:rPr>
                      <w:rFonts w:ascii="Verdana" w:hAnsi="Verdana"/>
                      <w:b/>
                      <w:bCs/>
                      <w:color w:val="000000"/>
                      <w:sz w:val="16"/>
                      <w:szCs w:val="16"/>
                    </w:rPr>
                    <w:t>2010</w:t>
                  </w:r>
                </w:p>
              </w:tc>
              <w:tc>
                <w:tcPr>
                  <w:tcW w:w="1803" w:type="pct"/>
                  <w:noWrap/>
                  <w:hideMark/>
                </w:tcPr>
                <w:p w:rsidRPr="002A1F9A" w:rsidR="00850DFF" w:rsidP="00850DFF" w:rsidRDefault="00850DFF" w14:paraId="1CBEB8BE" w14:textId="77777777">
                  <w:pPr>
                    <w:spacing w:before="0" w:after="0"/>
                    <w:jc w:val="right"/>
                    <w:rPr>
                      <w:rFonts w:ascii="Verdana" w:hAnsi="Verdana"/>
                      <w:color w:val="000000"/>
                      <w:sz w:val="16"/>
                      <w:szCs w:val="16"/>
                    </w:rPr>
                  </w:pPr>
                  <w:r w:rsidRPr="002A1F9A">
                    <w:rPr>
                      <w:rFonts w:ascii="Verdana" w:hAnsi="Verdana"/>
                      <w:color w:val="000000"/>
                      <w:sz w:val="16"/>
                      <w:szCs w:val="16"/>
                    </w:rPr>
                    <w:t>28.714.893</w:t>
                  </w:r>
                </w:p>
              </w:tc>
              <w:tc>
                <w:tcPr>
                  <w:tcW w:w="1803" w:type="pct"/>
                  <w:noWrap/>
                  <w:hideMark/>
                </w:tcPr>
                <w:p w:rsidRPr="002A1F9A" w:rsidR="00850DFF" w:rsidP="00850DFF" w:rsidRDefault="00850DFF" w14:paraId="5BC21FD9" w14:textId="77777777">
                  <w:pPr>
                    <w:spacing w:before="0" w:after="0"/>
                    <w:jc w:val="right"/>
                    <w:rPr>
                      <w:rFonts w:ascii="Verdana" w:hAnsi="Verdana"/>
                      <w:color w:val="000000"/>
                      <w:sz w:val="16"/>
                      <w:szCs w:val="16"/>
                    </w:rPr>
                  </w:pPr>
                  <w:r w:rsidRPr="002A1F9A">
                    <w:rPr>
                      <w:rFonts w:ascii="Verdana" w:hAnsi="Verdana"/>
                      <w:sz w:val="16"/>
                      <w:szCs w:val="16"/>
                    </w:rPr>
                    <w:t>12,5%</w:t>
                  </w:r>
                </w:p>
              </w:tc>
            </w:tr>
            <w:tr w:rsidRPr="002A1F9A" w:rsidR="00850DFF" w:rsidTr="00850DFF" w14:paraId="1415845C" w14:textId="77777777">
              <w:trPr>
                <w:trHeight w:val="270"/>
              </w:trPr>
              <w:tc>
                <w:tcPr>
                  <w:tcW w:w="1393" w:type="pct"/>
                  <w:noWrap/>
                  <w:hideMark/>
                </w:tcPr>
                <w:p w:rsidRPr="002A1F9A" w:rsidR="00850DFF" w:rsidP="00850DFF" w:rsidRDefault="00850DFF" w14:paraId="34618F78" w14:textId="77777777">
                  <w:pPr>
                    <w:spacing w:before="0" w:after="0"/>
                    <w:rPr>
                      <w:rFonts w:ascii="Verdana" w:hAnsi="Verdana"/>
                      <w:b/>
                      <w:bCs/>
                      <w:color w:val="000000"/>
                      <w:sz w:val="16"/>
                      <w:szCs w:val="16"/>
                    </w:rPr>
                  </w:pPr>
                  <w:r w:rsidRPr="002A1F9A">
                    <w:rPr>
                      <w:rFonts w:ascii="Verdana" w:hAnsi="Verdana"/>
                      <w:b/>
                      <w:bCs/>
                      <w:color w:val="000000"/>
                      <w:sz w:val="16"/>
                      <w:szCs w:val="16"/>
                    </w:rPr>
                    <w:t>2011</w:t>
                  </w:r>
                </w:p>
              </w:tc>
              <w:tc>
                <w:tcPr>
                  <w:tcW w:w="1803" w:type="pct"/>
                  <w:noWrap/>
                  <w:hideMark/>
                </w:tcPr>
                <w:p w:rsidRPr="002A1F9A" w:rsidR="00850DFF" w:rsidP="00850DFF" w:rsidRDefault="00850DFF" w14:paraId="1DC9AC1D" w14:textId="77777777">
                  <w:pPr>
                    <w:spacing w:before="0" w:after="0"/>
                    <w:jc w:val="right"/>
                    <w:rPr>
                      <w:rFonts w:ascii="Verdana" w:hAnsi="Verdana"/>
                      <w:color w:val="000000"/>
                      <w:sz w:val="16"/>
                      <w:szCs w:val="16"/>
                    </w:rPr>
                  </w:pPr>
                  <w:r w:rsidRPr="002A1F9A">
                    <w:rPr>
                      <w:rFonts w:ascii="Verdana" w:hAnsi="Verdana"/>
                      <w:color w:val="000000"/>
                      <w:sz w:val="16"/>
                      <w:szCs w:val="16"/>
                    </w:rPr>
                    <w:t>29.178.917</w:t>
                  </w:r>
                </w:p>
              </w:tc>
              <w:tc>
                <w:tcPr>
                  <w:tcW w:w="1803" w:type="pct"/>
                  <w:noWrap/>
                  <w:hideMark/>
                </w:tcPr>
                <w:p w:rsidRPr="002A1F9A" w:rsidR="00850DFF" w:rsidP="00850DFF" w:rsidRDefault="00850DFF" w14:paraId="5CDC8CE1" w14:textId="77777777">
                  <w:pPr>
                    <w:spacing w:before="0" w:after="0"/>
                    <w:jc w:val="right"/>
                    <w:rPr>
                      <w:rFonts w:ascii="Verdana" w:hAnsi="Verdana"/>
                      <w:color w:val="000000"/>
                      <w:sz w:val="16"/>
                      <w:szCs w:val="16"/>
                    </w:rPr>
                  </w:pPr>
                  <w:r w:rsidRPr="002A1F9A">
                    <w:rPr>
                      <w:rFonts w:ascii="Verdana" w:hAnsi="Verdana"/>
                      <w:sz w:val="16"/>
                      <w:szCs w:val="16"/>
                    </w:rPr>
                    <w:t>11,9%</w:t>
                  </w:r>
                </w:p>
              </w:tc>
            </w:tr>
            <w:tr w:rsidRPr="002A1F9A" w:rsidR="00850DFF" w:rsidTr="00850DFF" w14:paraId="606910B3" w14:textId="77777777">
              <w:trPr>
                <w:trHeight w:val="270"/>
              </w:trPr>
              <w:tc>
                <w:tcPr>
                  <w:tcW w:w="1393" w:type="pct"/>
                  <w:noWrap/>
                  <w:hideMark/>
                </w:tcPr>
                <w:p w:rsidRPr="002A1F9A" w:rsidR="00850DFF" w:rsidP="00850DFF" w:rsidRDefault="00850DFF" w14:paraId="18837120" w14:textId="77777777">
                  <w:pPr>
                    <w:spacing w:before="0" w:after="0"/>
                    <w:rPr>
                      <w:rFonts w:ascii="Verdana" w:hAnsi="Verdana"/>
                      <w:b/>
                      <w:bCs/>
                      <w:color w:val="000000"/>
                      <w:sz w:val="16"/>
                      <w:szCs w:val="16"/>
                    </w:rPr>
                  </w:pPr>
                  <w:r w:rsidRPr="002A1F9A">
                    <w:rPr>
                      <w:rFonts w:ascii="Verdana" w:hAnsi="Verdana"/>
                      <w:b/>
                      <w:bCs/>
                      <w:color w:val="000000"/>
                      <w:sz w:val="16"/>
                      <w:szCs w:val="16"/>
                    </w:rPr>
                    <w:t>2012</w:t>
                  </w:r>
                </w:p>
              </w:tc>
              <w:tc>
                <w:tcPr>
                  <w:tcW w:w="1803" w:type="pct"/>
                  <w:noWrap/>
                  <w:hideMark/>
                </w:tcPr>
                <w:p w:rsidRPr="002A1F9A" w:rsidR="00850DFF" w:rsidP="00850DFF" w:rsidRDefault="00850DFF" w14:paraId="059798D8" w14:textId="77777777">
                  <w:pPr>
                    <w:spacing w:before="0" w:after="0"/>
                    <w:jc w:val="right"/>
                    <w:rPr>
                      <w:rFonts w:ascii="Verdana" w:hAnsi="Verdana"/>
                      <w:color w:val="000000"/>
                      <w:sz w:val="16"/>
                      <w:szCs w:val="16"/>
                    </w:rPr>
                  </w:pPr>
                  <w:r w:rsidRPr="002A1F9A">
                    <w:rPr>
                      <w:rFonts w:ascii="Verdana" w:hAnsi="Verdana"/>
                      <w:color w:val="000000"/>
                      <w:sz w:val="16"/>
                      <w:szCs w:val="16"/>
                    </w:rPr>
                    <w:t>29.310.468</w:t>
                  </w:r>
                </w:p>
              </w:tc>
              <w:tc>
                <w:tcPr>
                  <w:tcW w:w="1803" w:type="pct"/>
                  <w:noWrap/>
                  <w:hideMark/>
                </w:tcPr>
                <w:p w:rsidRPr="002A1F9A" w:rsidR="00850DFF" w:rsidP="00850DFF" w:rsidRDefault="00850DFF" w14:paraId="23CF3D22" w14:textId="77777777">
                  <w:pPr>
                    <w:spacing w:before="0" w:after="0"/>
                    <w:jc w:val="right"/>
                    <w:rPr>
                      <w:rFonts w:ascii="Verdana" w:hAnsi="Verdana"/>
                      <w:color w:val="000000"/>
                      <w:sz w:val="16"/>
                      <w:szCs w:val="16"/>
                    </w:rPr>
                  </w:pPr>
                  <w:r w:rsidRPr="002A1F9A">
                    <w:rPr>
                      <w:rFonts w:ascii="Verdana" w:hAnsi="Verdana"/>
                      <w:sz w:val="16"/>
                      <w:szCs w:val="16"/>
                    </w:rPr>
                    <w:t>11,9%</w:t>
                  </w:r>
                </w:p>
              </w:tc>
            </w:tr>
            <w:tr w:rsidRPr="002A1F9A" w:rsidR="00850DFF" w:rsidTr="00850DFF" w14:paraId="16BE710C" w14:textId="77777777">
              <w:trPr>
                <w:trHeight w:val="270"/>
              </w:trPr>
              <w:tc>
                <w:tcPr>
                  <w:tcW w:w="1393" w:type="pct"/>
                  <w:noWrap/>
                  <w:hideMark/>
                </w:tcPr>
                <w:p w:rsidRPr="002A1F9A" w:rsidR="00850DFF" w:rsidP="00850DFF" w:rsidRDefault="00850DFF" w14:paraId="39B28A94" w14:textId="77777777">
                  <w:pPr>
                    <w:spacing w:before="0" w:after="0"/>
                    <w:rPr>
                      <w:rFonts w:ascii="Verdana" w:hAnsi="Verdana"/>
                      <w:b/>
                      <w:bCs/>
                      <w:color w:val="000000"/>
                      <w:sz w:val="16"/>
                      <w:szCs w:val="16"/>
                    </w:rPr>
                  </w:pPr>
                  <w:r w:rsidRPr="002A1F9A">
                    <w:rPr>
                      <w:rFonts w:ascii="Verdana" w:hAnsi="Verdana"/>
                      <w:b/>
                      <w:bCs/>
                      <w:color w:val="000000"/>
                      <w:sz w:val="16"/>
                      <w:szCs w:val="16"/>
                    </w:rPr>
                    <w:t>2013</w:t>
                  </w:r>
                </w:p>
              </w:tc>
              <w:tc>
                <w:tcPr>
                  <w:tcW w:w="1803" w:type="pct"/>
                  <w:noWrap/>
                  <w:hideMark/>
                </w:tcPr>
                <w:p w:rsidRPr="002A1F9A" w:rsidR="00850DFF" w:rsidP="00850DFF" w:rsidRDefault="00850DFF" w14:paraId="117B2AA8" w14:textId="77777777">
                  <w:pPr>
                    <w:spacing w:before="0" w:after="0"/>
                    <w:jc w:val="right"/>
                    <w:rPr>
                      <w:rFonts w:ascii="Verdana" w:hAnsi="Verdana"/>
                      <w:color w:val="000000"/>
                      <w:sz w:val="16"/>
                      <w:szCs w:val="16"/>
                    </w:rPr>
                  </w:pPr>
                  <w:r w:rsidRPr="002A1F9A">
                    <w:rPr>
                      <w:rFonts w:ascii="Verdana" w:hAnsi="Verdana"/>
                      <w:color w:val="000000"/>
                      <w:sz w:val="16"/>
                      <w:szCs w:val="16"/>
                    </w:rPr>
                    <w:t>30.606.300</w:t>
                  </w:r>
                </w:p>
              </w:tc>
              <w:tc>
                <w:tcPr>
                  <w:tcW w:w="1803" w:type="pct"/>
                  <w:noWrap/>
                  <w:hideMark/>
                </w:tcPr>
                <w:p w:rsidRPr="002A1F9A" w:rsidR="00850DFF" w:rsidP="00850DFF" w:rsidRDefault="00850DFF" w14:paraId="3D202F2C" w14:textId="77777777">
                  <w:pPr>
                    <w:spacing w:before="0" w:after="0"/>
                    <w:jc w:val="right"/>
                    <w:rPr>
                      <w:rFonts w:ascii="Verdana" w:hAnsi="Verdana"/>
                      <w:color w:val="000000"/>
                      <w:sz w:val="16"/>
                      <w:szCs w:val="16"/>
                    </w:rPr>
                  </w:pPr>
                  <w:r w:rsidRPr="002A1F9A">
                    <w:rPr>
                      <w:rFonts w:ascii="Verdana" w:hAnsi="Verdana"/>
                      <w:sz w:val="16"/>
                      <w:szCs w:val="16"/>
                    </w:rPr>
                    <w:t>12,7%</w:t>
                  </w:r>
                </w:p>
              </w:tc>
            </w:tr>
            <w:tr w:rsidRPr="002A1F9A" w:rsidR="00850DFF" w:rsidTr="00850DFF" w14:paraId="4F518A8B" w14:textId="77777777">
              <w:trPr>
                <w:trHeight w:val="270"/>
              </w:trPr>
              <w:tc>
                <w:tcPr>
                  <w:tcW w:w="1393" w:type="pct"/>
                  <w:noWrap/>
                  <w:hideMark/>
                </w:tcPr>
                <w:p w:rsidRPr="002A1F9A" w:rsidR="00850DFF" w:rsidP="00850DFF" w:rsidRDefault="00850DFF" w14:paraId="23038678" w14:textId="77777777">
                  <w:pPr>
                    <w:spacing w:before="0" w:after="0"/>
                    <w:rPr>
                      <w:rFonts w:ascii="Verdana" w:hAnsi="Verdana"/>
                      <w:b/>
                      <w:bCs/>
                      <w:color w:val="000000"/>
                      <w:sz w:val="16"/>
                      <w:szCs w:val="16"/>
                    </w:rPr>
                  </w:pPr>
                  <w:r w:rsidRPr="002A1F9A">
                    <w:rPr>
                      <w:rFonts w:ascii="Verdana" w:hAnsi="Verdana"/>
                      <w:b/>
                      <w:bCs/>
                      <w:color w:val="000000"/>
                      <w:sz w:val="16"/>
                      <w:szCs w:val="16"/>
                    </w:rPr>
                    <w:t>2014</w:t>
                  </w:r>
                </w:p>
              </w:tc>
              <w:tc>
                <w:tcPr>
                  <w:tcW w:w="1803" w:type="pct"/>
                  <w:noWrap/>
                  <w:hideMark/>
                </w:tcPr>
                <w:p w:rsidRPr="002A1F9A" w:rsidR="00850DFF" w:rsidP="00850DFF" w:rsidRDefault="00850DFF" w14:paraId="594A6A68" w14:textId="77777777">
                  <w:pPr>
                    <w:spacing w:before="0" w:after="0"/>
                    <w:jc w:val="right"/>
                    <w:rPr>
                      <w:rFonts w:ascii="Verdana" w:hAnsi="Verdana"/>
                      <w:color w:val="000000"/>
                      <w:sz w:val="16"/>
                      <w:szCs w:val="16"/>
                    </w:rPr>
                  </w:pPr>
                  <w:r w:rsidRPr="002A1F9A">
                    <w:rPr>
                      <w:rFonts w:ascii="Verdana" w:hAnsi="Verdana"/>
                      <w:color w:val="000000"/>
                      <w:sz w:val="16"/>
                      <w:szCs w:val="16"/>
                    </w:rPr>
                    <w:t>31.128.044</w:t>
                  </w:r>
                </w:p>
              </w:tc>
              <w:tc>
                <w:tcPr>
                  <w:tcW w:w="1803" w:type="pct"/>
                  <w:noWrap/>
                  <w:hideMark/>
                </w:tcPr>
                <w:p w:rsidRPr="002A1F9A" w:rsidR="00850DFF" w:rsidP="00850DFF" w:rsidRDefault="00850DFF" w14:paraId="16E0F632" w14:textId="77777777">
                  <w:pPr>
                    <w:spacing w:before="0" w:after="0"/>
                    <w:jc w:val="right"/>
                    <w:rPr>
                      <w:rFonts w:ascii="Verdana" w:hAnsi="Verdana"/>
                      <w:color w:val="000000"/>
                      <w:sz w:val="16"/>
                      <w:szCs w:val="16"/>
                    </w:rPr>
                  </w:pPr>
                  <w:r w:rsidRPr="002A1F9A">
                    <w:rPr>
                      <w:rFonts w:ascii="Verdana" w:hAnsi="Verdana"/>
                      <w:sz w:val="16"/>
                      <w:szCs w:val="16"/>
                    </w:rPr>
                    <w:t>12,6%</w:t>
                  </w:r>
                </w:p>
              </w:tc>
            </w:tr>
            <w:tr w:rsidRPr="002A1F9A" w:rsidR="00850DFF" w:rsidTr="00850DFF" w14:paraId="167C5A80" w14:textId="77777777">
              <w:trPr>
                <w:trHeight w:val="270"/>
              </w:trPr>
              <w:tc>
                <w:tcPr>
                  <w:tcW w:w="1393" w:type="pct"/>
                  <w:noWrap/>
                  <w:hideMark/>
                </w:tcPr>
                <w:p w:rsidRPr="002A1F9A" w:rsidR="00850DFF" w:rsidP="00850DFF" w:rsidRDefault="00850DFF" w14:paraId="063CE10C" w14:textId="77777777">
                  <w:pPr>
                    <w:spacing w:before="0" w:after="0"/>
                    <w:rPr>
                      <w:rFonts w:ascii="Verdana" w:hAnsi="Verdana"/>
                      <w:b/>
                      <w:bCs/>
                      <w:color w:val="000000"/>
                      <w:sz w:val="16"/>
                      <w:szCs w:val="16"/>
                    </w:rPr>
                  </w:pPr>
                  <w:r w:rsidRPr="002A1F9A">
                    <w:rPr>
                      <w:rFonts w:ascii="Verdana" w:hAnsi="Verdana"/>
                      <w:b/>
                      <w:bCs/>
                      <w:color w:val="000000"/>
                      <w:sz w:val="16"/>
                      <w:szCs w:val="16"/>
                    </w:rPr>
                    <w:t>2015</w:t>
                  </w:r>
                </w:p>
              </w:tc>
              <w:tc>
                <w:tcPr>
                  <w:tcW w:w="1803" w:type="pct"/>
                  <w:noWrap/>
                  <w:hideMark/>
                </w:tcPr>
                <w:p w:rsidRPr="002A1F9A" w:rsidR="00850DFF" w:rsidP="00850DFF" w:rsidRDefault="00850DFF" w14:paraId="68924812" w14:textId="77777777">
                  <w:pPr>
                    <w:spacing w:before="0" w:after="0"/>
                    <w:jc w:val="right"/>
                    <w:rPr>
                      <w:rFonts w:ascii="Verdana" w:hAnsi="Verdana"/>
                      <w:color w:val="000000"/>
                      <w:sz w:val="16"/>
                      <w:szCs w:val="16"/>
                    </w:rPr>
                  </w:pPr>
                  <w:r w:rsidRPr="002A1F9A">
                    <w:rPr>
                      <w:rFonts w:ascii="Verdana" w:hAnsi="Verdana"/>
                      <w:color w:val="000000"/>
                      <w:sz w:val="16"/>
                      <w:szCs w:val="16"/>
                    </w:rPr>
                    <w:t>31.641.358</w:t>
                  </w:r>
                </w:p>
              </w:tc>
              <w:tc>
                <w:tcPr>
                  <w:tcW w:w="1803" w:type="pct"/>
                  <w:noWrap/>
                  <w:hideMark/>
                </w:tcPr>
                <w:p w:rsidRPr="002A1F9A" w:rsidR="00850DFF" w:rsidP="00850DFF" w:rsidRDefault="00850DFF" w14:paraId="4EE3DC04" w14:textId="77777777">
                  <w:pPr>
                    <w:spacing w:before="0" w:after="0"/>
                    <w:jc w:val="right"/>
                    <w:rPr>
                      <w:rFonts w:ascii="Verdana" w:hAnsi="Verdana"/>
                      <w:color w:val="000000"/>
                      <w:sz w:val="16"/>
                      <w:szCs w:val="16"/>
                    </w:rPr>
                  </w:pPr>
                  <w:r w:rsidRPr="002A1F9A">
                    <w:rPr>
                      <w:rFonts w:ascii="Verdana" w:hAnsi="Verdana"/>
                      <w:sz w:val="16"/>
                      <w:szCs w:val="16"/>
                    </w:rPr>
                    <w:t>12,8%</w:t>
                  </w:r>
                </w:p>
              </w:tc>
            </w:tr>
            <w:tr w:rsidRPr="002A1F9A" w:rsidR="00850DFF" w:rsidTr="00850DFF" w14:paraId="74DF704F" w14:textId="77777777">
              <w:trPr>
                <w:trHeight w:val="270"/>
              </w:trPr>
              <w:tc>
                <w:tcPr>
                  <w:tcW w:w="1393" w:type="pct"/>
                  <w:noWrap/>
                  <w:hideMark/>
                </w:tcPr>
                <w:p w:rsidRPr="002A1F9A" w:rsidR="00850DFF" w:rsidP="00850DFF" w:rsidRDefault="00850DFF" w14:paraId="3BA89A32" w14:textId="77777777">
                  <w:pPr>
                    <w:spacing w:before="0" w:after="0"/>
                    <w:rPr>
                      <w:rFonts w:ascii="Verdana" w:hAnsi="Verdana"/>
                      <w:b/>
                      <w:bCs/>
                      <w:color w:val="000000"/>
                      <w:sz w:val="16"/>
                      <w:szCs w:val="16"/>
                    </w:rPr>
                  </w:pPr>
                  <w:r w:rsidRPr="002A1F9A">
                    <w:rPr>
                      <w:rFonts w:ascii="Verdana" w:hAnsi="Verdana"/>
                      <w:b/>
                      <w:bCs/>
                      <w:color w:val="000000"/>
                      <w:sz w:val="16"/>
                      <w:szCs w:val="16"/>
                    </w:rPr>
                    <w:t>2016</w:t>
                  </w:r>
                </w:p>
              </w:tc>
              <w:tc>
                <w:tcPr>
                  <w:tcW w:w="1803" w:type="pct"/>
                  <w:noWrap/>
                  <w:hideMark/>
                </w:tcPr>
                <w:p w:rsidRPr="002A1F9A" w:rsidR="00850DFF" w:rsidP="00850DFF" w:rsidRDefault="00850DFF" w14:paraId="4E3044C2" w14:textId="77777777">
                  <w:pPr>
                    <w:spacing w:before="0" w:after="0"/>
                    <w:jc w:val="right"/>
                    <w:rPr>
                      <w:rFonts w:ascii="Verdana" w:hAnsi="Verdana"/>
                      <w:color w:val="000000"/>
                      <w:sz w:val="16"/>
                      <w:szCs w:val="16"/>
                    </w:rPr>
                  </w:pPr>
                  <w:r w:rsidRPr="002A1F9A">
                    <w:rPr>
                      <w:rFonts w:ascii="Verdana" w:hAnsi="Verdana"/>
                      <w:color w:val="000000"/>
                      <w:sz w:val="16"/>
                      <w:szCs w:val="16"/>
                    </w:rPr>
                    <w:t>33.733.907</w:t>
                  </w:r>
                </w:p>
              </w:tc>
              <w:tc>
                <w:tcPr>
                  <w:tcW w:w="1803" w:type="pct"/>
                  <w:noWrap/>
                  <w:hideMark/>
                </w:tcPr>
                <w:p w:rsidRPr="002A1F9A" w:rsidR="00850DFF" w:rsidP="00850DFF" w:rsidRDefault="00850DFF" w14:paraId="2CCAA317" w14:textId="77777777">
                  <w:pPr>
                    <w:spacing w:before="0" w:after="0"/>
                    <w:jc w:val="right"/>
                    <w:rPr>
                      <w:rFonts w:ascii="Verdana" w:hAnsi="Verdana"/>
                      <w:color w:val="000000"/>
                      <w:sz w:val="16"/>
                      <w:szCs w:val="16"/>
                    </w:rPr>
                  </w:pPr>
                  <w:r w:rsidRPr="002A1F9A">
                    <w:rPr>
                      <w:rFonts w:ascii="Verdana" w:hAnsi="Verdana"/>
                      <w:sz w:val="16"/>
                      <w:szCs w:val="16"/>
                    </w:rPr>
                    <w:t>13,3%</w:t>
                  </w:r>
                </w:p>
              </w:tc>
            </w:tr>
            <w:tr w:rsidRPr="002A1F9A" w:rsidR="00850DFF" w:rsidTr="00850DFF" w14:paraId="7E105B75" w14:textId="77777777">
              <w:trPr>
                <w:trHeight w:val="270"/>
              </w:trPr>
              <w:tc>
                <w:tcPr>
                  <w:tcW w:w="1393" w:type="pct"/>
                  <w:noWrap/>
                  <w:hideMark/>
                </w:tcPr>
                <w:p w:rsidRPr="002A1F9A" w:rsidR="00850DFF" w:rsidP="00850DFF" w:rsidRDefault="00850DFF" w14:paraId="3AE4876D" w14:textId="77777777">
                  <w:pPr>
                    <w:spacing w:before="0" w:after="0"/>
                    <w:rPr>
                      <w:rFonts w:ascii="Verdana" w:hAnsi="Verdana"/>
                      <w:b/>
                      <w:bCs/>
                      <w:color w:val="000000"/>
                      <w:sz w:val="16"/>
                      <w:szCs w:val="16"/>
                    </w:rPr>
                  </w:pPr>
                  <w:r w:rsidRPr="002A1F9A">
                    <w:rPr>
                      <w:rFonts w:ascii="Verdana" w:hAnsi="Verdana"/>
                      <w:b/>
                      <w:bCs/>
                      <w:color w:val="000000"/>
                      <w:sz w:val="16"/>
                      <w:szCs w:val="16"/>
                    </w:rPr>
                    <w:t>2017</w:t>
                  </w:r>
                </w:p>
              </w:tc>
              <w:tc>
                <w:tcPr>
                  <w:tcW w:w="1803" w:type="pct"/>
                  <w:noWrap/>
                  <w:hideMark/>
                </w:tcPr>
                <w:p w:rsidRPr="002A1F9A" w:rsidR="00850DFF" w:rsidP="00850DFF" w:rsidRDefault="00850DFF" w14:paraId="6C2C3CD5" w14:textId="77777777">
                  <w:pPr>
                    <w:spacing w:before="0" w:after="0"/>
                    <w:jc w:val="right"/>
                    <w:rPr>
                      <w:rFonts w:ascii="Verdana" w:hAnsi="Verdana"/>
                      <w:color w:val="000000"/>
                      <w:sz w:val="16"/>
                      <w:szCs w:val="16"/>
                    </w:rPr>
                  </w:pPr>
                  <w:r w:rsidRPr="002A1F9A">
                    <w:rPr>
                      <w:rFonts w:ascii="Verdana" w:hAnsi="Verdana"/>
                      <w:color w:val="000000"/>
                      <w:sz w:val="16"/>
                      <w:szCs w:val="16"/>
                    </w:rPr>
                    <w:t>33.171.352</w:t>
                  </w:r>
                </w:p>
              </w:tc>
              <w:tc>
                <w:tcPr>
                  <w:tcW w:w="1803" w:type="pct"/>
                  <w:noWrap/>
                  <w:hideMark/>
                </w:tcPr>
                <w:p w:rsidRPr="002A1F9A" w:rsidR="00850DFF" w:rsidP="00850DFF" w:rsidRDefault="00850DFF" w14:paraId="7826A838" w14:textId="77777777">
                  <w:pPr>
                    <w:spacing w:before="0" w:after="0"/>
                    <w:jc w:val="right"/>
                    <w:rPr>
                      <w:rFonts w:ascii="Verdana" w:hAnsi="Verdana"/>
                      <w:color w:val="000000"/>
                      <w:sz w:val="16"/>
                      <w:szCs w:val="16"/>
                    </w:rPr>
                  </w:pPr>
                  <w:r w:rsidRPr="002A1F9A">
                    <w:rPr>
                      <w:rFonts w:ascii="Verdana" w:hAnsi="Verdana"/>
                      <w:sz w:val="16"/>
                      <w:szCs w:val="16"/>
                    </w:rPr>
                    <w:t>13,2%</w:t>
                  </w:r>
                </w:p>
              </w:tc>
            </w:tr>
            <w:tr w:rsidRPr="002A1F9A" w:rsidR="00850DFF" w:rsidTr="00850DFF" w14:paraId="293C2B1C" w14:textId="77777777">
              <w:trPr>
                <w:trHeight w:val="270"/>
              </w:trPr>
              <w:tc>
                <w:tcPr>
                  <w:tcW w:w="1393" w:type="pct"/>
                  <w:noWrap/>
                  <w:hideMark/>
                </w:tcPr>
                <w:p w:rsidRPr="002A1F9A" w:rsidR="00850DFF" w:rsidP="00850DFF" w:rsidRDefault="00850DFF" w14:paraId="5491A617" w14:textId="77777777">
                  <w:pPr>
                    <w:spacing w:before="0" w:after="0"/>
                    <w:rPr>
                      <w:rFonts w:ascii="Verdana" w:hAnsi="Verdana"/>
                      <w:b/>
                      <w:bCs/>
                      <w:color w:val="000000"/>
                      <w:sz w:val="16"/>
                      <w:szCs w:val="16"/>
                    </w:rPr>
                  </w:pPr>
                  <w:r w:rsidRPr="002A1F9A">
                    <w:rPr>
                      <w:rFonts w:ascii="Verdana" w:hAnsi="Verdana"/>
                      <w:b/>
                      <w:bCs/>
                      <w:color w:val="000000"/>
                      <w:sz w:val="16"/>
                      <w:szCs w:val="16"/>
                    </w:rPr>
                    <w:t>2018</w:t>
                  </w:r>
                </w:p>
              </w:tc>
              <w:tc>
                <w:tcPr>
                  <w:tcW w:w="1803" w:type="pct"/>
                  <w:noWrap/>
                  <w:hideMark/>
                </w:tcPr>
                <w:p w:rsidRPr="002A1F9A" w:rsidR="00850DFF" w:rsidP="00850DFF" w:rsidRDefault="00850DFF" w14:paraId="729DB3AB" w14:textId="77777777">
                  <w:pPr>
                    <w:spacing w:before="0" w:after="0"/>
                    <w:jc w:val="right"/>
                    <w:rPr>
                      <w:rFonts w:ascii="Verdana" w:hAnsi="Verdana"/>
                      <w:color w:val="000000"/>
                      <w:sz w:val="16"/>
                      <w:szCs w:val="16"/>
                    </w:rPr>
                  </w:pPr>
                  <w:r w:rsidRPr="002A1F9A">
                    <w:rPr>
                      <w:rFonts w:ascii="Verdana" w:hAnsi="Verdana"/>
                      <w:color w:val="000000"/>
                      <w:sz w:val="16"/>
                      <w:szCs w:val="16"/>
                    </w:rPr>
                    <w:t>36.965.368</w:t>
                  </w:r>
                </w:p>
              </w:tc>
              <w:tc>
                <w:tcPr>
                  <w:tcW w:w="1803" w:type="pct"/>
                  <w:noWrap/>
                  <w:hideMark/>
                </w:tcPr>
                <w:p w:rsidRPr="002A1F9A" w:rsidR="00850DFF" w:rsidP="00850DFF" w:rsidRDefault="00850DFF" w14:paraId="270295DE" w14:textId="77777777">
                  <w:pPr>
                    <w:spacing w:before="0" w:after="0"/>
                    <w:jc w:val="right"/>
                    <w:rPr>
                      <w:rFonts w:ascii="Verdana" w:hAnsi="Verdana"/>
                      <w:color w:val="000000"/>
                      <w:sz w:val="16"/>
                      <w:szCs w:val="16"/>
                    </w:rPr>
                  </w:pPr>
                  <w:r w:rsidRPr="002A1F9A">
                    <w:rPr>
                      <w:rFonts w:ascii="Verdana" w:hAnsi="Verdana"/>
                      <w:sz w:val="16"/>
                      <w:szCs w:val="16"/>
                    </w:rPr>
                    <w:t>13,5%</w:t>
                  </w:r>
                </w:p>
              </w:tc>
            </w:tr>
            <w:tr w:rsidRPr="002A1F9A" w:rsidR="00850DFF" w:rsidTr="00850DFF" w14:paraId="634A9A61" w14:textId="77777777">
              <w:trPr>
                <w:trHeight w:val="270"/>
              </w:trPr>
              <w:tc>
                <w:tcPr>
                  <w:tcW w:w="1393" w:type="pct"/>
                  <w:noWrap/>
                  <w:hideMark/>
                </w:tcPr>
                <w:p w:rsidRPr="002A1F9A" w:rsidR="00850DFF" w:rsidP="00850DFF" w:rsidRDefault="00850DFF" w14:paraId="044E9343" w14:textId="77777777">
                  <w:pPr>
                    <w:spacing w:before="0" w:after="0"/>
                    <w:rPr>
                      <w:rFonts w:ascii="Verdana" w:hAnsi="Verdana"/>
                      <w:b/>
                      <w:bCs/>
                      <w:color w:val="000000"/>
                      <w:sz w:val="16"/>
                      <w:szCs w:val="16"/>
                    </w:rPr>
                  </w:pPr>
                  <w:r w:rsidRPr="002A1F9A">
                    <w:rPr>
                      <w:rFonts w:ascii="Verdana" w:hAnsi="Verdana"/>
                      <w:b/>
                      <w:bCs/>
                      <w:color w:val="000000"/>
                      <w:sz w:val="16"/>
                      <w:szCs w:val="16"/>
                    </w:rPr>
                    <w:t>2019</w:t>
                  </w:r>
                </w:p>
              </w:tc>
              <w:tc>
                <w:tcPr>
                  <w:tcW w:w="1803" w:type="pct"/>
                  <w:noWrap/>
                  <w:hideMark/>
                </w:tcPr>
                <w:p w:rsidRPr="002A1F9A" w:rsidR="00850DFF" w:rsidP="00850DFF" w:rsidRDefault="00850DFF" w14:paraId="55742CC2" w14:textId="77777777">
                  <w:pPr>
                    <w:spacing w:before="0" w:after="0"/>
                    <w:jc w:val="right"/>
                    <w:rPr>
                      <w:rFonts w:ascii="Verdana" w:hAnsi="Verdana"/>
                      <w:color w:val="000000"/>
                      <w:sz w:val="16"/>
                      <w:szCs w:val="16"/>
                    </w:rPr>
                  </w:pPr>
                  <w:r w:rsidRPr="002A1F9A">
                    <w:rPr>
                      <w:rFonts w:ascii="Verdana" w:hAnsi="Verdana"/>
                      <w:color w:val="000000"/>
                      <w:sz w:val="16"/>
                      <w:szCs w:val="16"/>
                    </w:rPr>
                    <w:t>37.389.522</w:t>
                  </w:r>
                </w:p>
              </w:tc>
              <w:tc>
                <w:tcPr>
                  <w:tcW w:w="1803" w:type="pct"/>
                  <w:noWrap/>
                  <w:hideMark/>
                </w:tcPr>
                <w:p w:rsidRPr="002A1F9A" w:rsidR="00850DFF" w:rsidP="00850DFF" w:rsidRDefault="00850DFF" w14:paraId="64E5E9E3" w14:textId="77777777">
                  <w:pPr>
                    <w:spacing w:before="0" w:after="0"/>
                    <w:jc w:val="right"/>
                    <w:rPr>
                      <w:rFonts w:ascii="Verdana" w:hAnsi="Verdana"/>
                      <w:color w:val="000000"/>
                      <w:sz w:val="16"/>
                      <w:szCs w:val="16"/>
                    </w:rPr>
                  </w:pPr>
                  <w:r w:rsidRPr="002A1F9A">
                    <w:rPr>
                      <w:rFonts w:ascii="Verdana" w:hAnsi="Verdana"/>
                      <w:sz w:val="16"/>
                      <w:szCs w:val="16"/>
                    </w:rPr>
                    <w:t>12,9%</w:t>
                  </w:r>
                </w:p>
              </w:tc>
            </w:tr>
            <w:tr w:rsidRPr="002A1F9A" w:rsidR="00850DFF" w:rsidTr="00850DFF" w14:paraId="05410108" w14:textId="77777777">
              <w:trPr>
                <w:trHeight w:val="270"/>
              </w:trPr>
              <w:tc>
                <w:tcPr>
                  <w:tcW w:w="1393" w:type="pct"/>
                  <w:noWrap/>
                  <w:hideMark/>
                </w:tcPr>
                <w:p w:rsidRPr="002A1F9A" w:rsidR="00850DFF" w:rsidP="00850DFF" w:rsidRDefault="00850DFF" w14:paraId="4011712D" w14:textId="77777777">
                  <w:pPr>
                    <w:spacing w:before="0" w:after="0"/>
                    <w:rPr>
                      <w:rFonts w:ascii="Verdana" w:hAnsi="Verdana"/>
                      <w:b/>
                      <w:bCs/>
                      <w:color w:val="000000"/>
                      <w:sz w:val="16"/>
                      <w:szCs w:val="16"/>
                    </w:rPr>
                  </w:pPr>
                  <w:r w:rsidRPr="002A1F9A">
                    <w:rPr>
                      <w:rFonts w:ascii="Verdana" w:hAnsi="Verdana"/>
                      <w:b/>
                      <w:bCs/>
                      <w:color w:val="000000"/>
                      <w:sz w:val="16"/>
                      <w:szCs w:val="16"/>
                    </w:rPr>
                    <w:t>2020</w:t>
                  </w:r>
                </w:p>
              </w:tc>
              <w:tc>
                <w:tcPr>
                  <w:tcW w:w="1803" w:type="pct"/>
                  <w:noWrap/>
                  <w:hideMark/>
                </w:tcPr>
                <w:p w:rsidRPr="002A1F9A" w:rsidR="00850DFF" w:rsidP="00850DFF" w:rsidRDefault="00850DFF" w14:paraId="782FA170" w14:textId="77777777">
                  <w:pPr>
                    <w:spacing w:before="0" w:after="0"/>
                    <w:jc w:val="right"/>
                    <w:rPr>
                      <w:rFonts w:ascii="Verdana" w:hAnsi="Verdana"/>
                      <w:color w:val="000000"/>
                      <w:sz w:val="16"/>
                      <w:szCs w:val="16"/>
                    </w:rPr>
                  </w:pPr>
                  <w:r w:rsidRPr="002A1F9A">
                    <w:rPr>
                      <w:rFonts w:ascii="Verdana" w:hAnsi="Verdana"/>
                      <w:color w:val="000000"/>
                      <w:sz w:val="16"/>
                      <w:szCs w:val="16"/>
                    </w:rPr>
                    <w:t>38.283.207</w:t>
                  </w:r>
                </w:p>
              </w:tc>
              <w:tc>
                <w:tcPr>
                  <w:tcW w:w="1803" w:type="pct"/>
                  <w:noWrap/>
                  <w:hideMark/>
                </w:tcPr>
                <w:p w:rsidRPr="002A1F9A" w:rsidR="00850DFF" w:rsidP="00850DFF" w:rsidRDefault="00850DFF" w14:paraId="56513A93" w14:textId="77777777">
                  <w:pPr>
                    <w:spacing w:before="0" w:after="0"/>
                    <w:jc w:val="right"/>
                    <w:rPr>
                      <w:rFonts w:ascii="Verdana" w:hAnsi="Verdana"/>
                      <w:color w:val="000000"/>
                      <w:sz w:val="16"/>
                      <w:szCs w:val="16"/>
                    </w:rPr>
                  </w:pPr>
                  <w:r w:rsidRPr="002A1F9A">
                    <w:rPr>
                      <w:rFonts w:ascii="Verdana" w:hAnsi="Verdana"/>
                      <w:sz w:val="16"/>
                      <w:szCs w:val="16"/>
                    </w:rPr>
                    <w:t>11,5%</w:t>
                  </w:r>
                </w:p>
              </w:tc>
            </w:tr>
            <w:tr w:rsidRPr="002A1F9A" w:rsidR="00850DFF" w:rsidTr="00850DFF" w14:paraId="2693A236" w14:textId="77777777">
              <w:trPr>
                <w:trHeight w:val="270"/>
              </w:trPr>
              <w:tc>
                <w:tcPr>
                  <w:tcW w:w="1393" w:type="pct"/>
                  <w:noWrap/>
                  <w:hideMark/>
                </w:tcPr>
                <w:p w:rsidRPr="002A1F9A" w:rsidR="00850DFF" w:rsidP="00850DFF" w:rsidRDefault="00850DFF" w14:paraId="29D14B67" w14:textId="77777777">
                  <w:pPr>
                    <w:spacing w:before="0" w:after="0"/>
                    <w:rPr>
                      <w:rFonts w:ascii="Verdana" w:hAnsi="Verdana"/>
                      <w:b/>
                      <w:bCs/>
                      <w:color w:val="000000"/>
                      <w:sz w:val="16"/>
                      <w:szCs w:val="16"/>
                    </w:rPr>
                  </w:pPr>
                  <w:r w:rsidRPr="002A1F9A">
                    <w:rPr>
                      <w:rFonts w:ascii="Verdana" w:hAnsi="Verdana"/>
                      <w:b/>
                      <w:bCs/>
                      <w:color w:val="000000"/>
                      <w:sz w:val="16"/>
                      <w:szCs w:val="16"/>
                    </w:rPr>
                    <w:t>2021</w:t>
                  </w:r>
                </w:p>
              </w:tc>
              <w:tc>
                <w:tcPr>
                  <w:tcW w:w="1803" w:type="pct"/>
                  <w:noWrap/>
                  <w:hideMark/>
                </w:tcPr>
                <w:p w:rsidRPr="002A1F9A" w:rsidR="00850DFF" w:rsidP="00850DFF" w:rsidRDefault="00850DFF" w14:paraId="5D466A6F" w14:textId="77777777">
                  <w:pPr>
                    <w:spacing w:before="0" w:after="0"/>
                    <w:jc w:val="right"/>
                    <w:rPr>
                      <w:rFonts w:ascii="Verdana" w:hAnsi="Verdana"/>
                      <w:color w:val="000000"/>
                      <w:sz w:val="16"/>
                      <w:szCs w:val="16"/>
                    </w:rPr>
                  </w:pPr>
                  <w:r w:rsidRPr="002A1F9A">
                    <w:rPr>
                      <w:rFonts w:ascii="Verdana" w:hAnsi="Verdana"/>
                      <w:color w:val="000000"/>
                      <w:sz w:val="16"/>
                      <w:szCs w:val="16"/>
                    </w:rPr>
                    <w:t>42.619.762</w:t>
                  </w:r>
                </w:p>
              </w:tc>
              <w:tc>
                <w:tcPr>
                  <w:tcW w:w="1803" w:type="pct"/>
                  <w:noWrap/>
                  <w:hideMark/>
                </w:tcPr>
                <w:p w:rsidRPr="002A1F9A" w:rsidR="00850DFF" w:rsidP="00850DFF" w:rsidRDefault="00850DFF" w14:paraId="716E111E" w14:textId="77777777">
                  <w:pPr>
                    <w:spacing w:before="0" w:after="0"/>
                    <w:jc w:val="right"/>
                    <w:rPr>
                      <w:rFonts w:ascii="Verdana" w:hAnsi="Verdana"/>
                      <w:color w:val="000000"/>
                      <w:sz w:val="16"/>
                      <w:szCs w:val="16"/>
                    </w:rPr>
                  </w:pPr>
                  <w:r w:rsidRPr="002A1F9A">
                    <w:rPr>
                      <w:rFonts w:ascii="Verdana" w:hAnsi="Verdana"/>
                      <w:sz w:val="16"/>
                      <w:szCs w:val="16"/>
                    </w:rPr>
                    <w:t>12,3%</w:t>
                  </w:r>
                </w:p>
              </w:tc>
            </w:tr>
            <w:tr w:rsidRPr="002A1F9A" w:rsidR="00850DFF" w:rsidTr="00850DFF" w14:paraId="21BF896C" w14:textId="77777777">
              <w:trPr>
                <w:trHeight w:val="270"/>
              </w:trPr>
              <w:tc>
                <w:tcPr>
                  <w:tcW w:w="1393" w:type="pct"/>
                  <w:noWrap/>
                  <w:hideMark/>
                </w:tcPr>
                <w:p w:rsidRPr="002A1F9A" w:rsidR="00850DFF" w:rsidP="00850DFF" w:rsidRDefault="00850DFF" w14:paraId="08C2C444" w14:textId="77777777">
                  <w:pPr>
                    <w:spacing w:before="0" w:after="0"/>
                    <w:rPr>
                      <w:rFonts w:ascii="Verdana" w:hAnsi="Verdana"/>
                      <w:b/>
                      <w:bCs/>
                      <w:color w:val="000000"/>
                      <w:sz w:val="16"/>
                      <w:szCs w:val="16"/>
                    </w:rPr>
                  </w:pPr>
                  <w:r w:rsidRPr="002A1F9A">
                    <w:rPr>
                      <w:rFonts w:ascii="Verdana" w:hAnsi="Verdana"/>
                      <w:b/>
                      <w:bCs/>
                      <w:color w:val="000000"/>
                      <w:sz w:val="16"/>
                      <w:szCs w:val="16"/>
                    </w:rPr>
                    <w:t>2022</w:t>
                  </w:r>
                </w:p>
              </w:tc>
              <w:tc>
                <w:tcPr>
                  <w:tcW w:w="1803" w:type="pct"/>
                  <w:noWrap/>
                  <w:hideMark/>
                </w:tcPr>
                <w:p w:rsidRPr="002A1F9A" w:rsidR="00850DFF" w:rsidP="00850DFF" w:rsidRDefault="00850DFF" w14:paraId="32F02598" w14:textId="77777777">
                  <w:pPr>
                    <w:spacing w:before="0" w:after="0"/>
                    <w:jc w:val="right"/>
                    <w:rPr>
                      <w:rFonts w:ascii="Verdana" w:hAnsi="Verdana"/>
                      <w:color w:val="000000"/>
                      <w:sz w:val="16"/>
                      <w:szCs w:val="16"/>
                    </w:rPr>
                  </w:pPr>
                  <w:r w:rsidRPr="002A1F9A">
                    <w:rPr>
                      <w:rFonts w:ascii="Verdana" w:hAnsi="Verdana"/>
                      <w:color w:val="000000"/>
                      <w:sz w:val="16"/>
                      <w:szCs w:val="16"/>
                    </w:rPr>
                    <w:t>45.930.998</w:t>
                  </w:r>
                </w:p>
              </w:tc>
              <w:tc>
                <w:tcPr>
                  <w:tcW w:w="1803" w:type="pct"/>
                  <w:noWrap/>
                  <w:hideMark/>
                </w:tcPr>
                <w:p w:rsidRPr="002A1F9A" w:rsidR="00850DFF" w:rsidP="00850DFF" w:rsidRDefault="00850DFF" w14:paraId="41DEF73C" w14:textId="77777777">
                  <w:pPr>
                    <w:spacing w:before="0" w:after="0"/>
                    <w:jc w:val="right"/>
                    <w:rPr>
                      <w:rFonts w:ascii="Verdana" w:hAnsi="Verdana"/>
                      <w:color w:val="000000"/>
                      <w:sz w:val="16"/>
                      <w:szCs w:val="16"/>
                    </w:rPr>
                  </w:pPr>
                  <w:r w:rsidRPr="002A1F9A">
                    <w:rPr>
                      <w:rFonts w:ascii="Verdana" w:hAnsi="Verdana"/>
                      <w:sz w:val="16"/>
                      <w:szCs w:val="16"/>
                    </w:rPr>
                    <w:t>12,9%</w:t>
                  </w:r>
                </w:p>
              </w:tc>
            </w:tr>
            <w:tr w:rsidRPr="002A1F9A" w:rsidR="00850DFF" w:rsidTr="00850DFF" w14:paraId="00532064" w14:textId="77777777">
              <w:trPr>
                <w:trHeight w:val="270"/>
              </w:trPr>
              <w:tc>
                <w:tcPr>
                  <w:tcW w:w="1393" w:type="pct"/>
                  <w:noWrap/>
                  <w:hideMark/>
                </w:tcPr>
                <w:p w:rsidRPr="002A1F9A" w:rsidR="00850DFF" w:rsidP="00850DFF" w:rsidRDefault="00850DFF" w14:paraId="4C07B8CB" w14:textId="77777777">
                  <w:pPr>
                    <w:spacing w:before="0" w:after="0"/>
                    <w:rPr>
                      <w:rFonts w:ascii="Verdana" w:hAnsi="Verdana"/>
                      <w:b/>
                      <w:bCs/>
                      <w:color w:val="000000"/>
                      <w:sz w:val="16"/>
                      <w:szCs w:val="16"/>
                    </w:rPr>
                  </w:pPr>
                  <w:r w:rsidRPr="002A1F9A">
                    <w:rPr>
                      <w:rFonts w:ascii="Verdana" w:hAnsi="Verdana"/>
                      <w:b/>
                      <w:bCs/>
                      <w:color w:val="000000"/>
                      <w:sz w:val="16"/>
                      <w:szCs w:val="16"/>
                    </w:rPr>
                    <w:t>2023</w:t>
                  </w:r>
                </w:p>
              </w:tc>
              <w:tc>
                <w:tcPr>
                  <w:tcW w:w="1803" w:type="pct"/>
                  <w:noWrap/>
                  <w:hideMark/>
                </w:tcPr>
                <w:p w:rsidRPr="002A1F9A" w:rsidR="00850DFF" w:rsidP="00850DFF" w:rsidRDefault="00850DFF" w14:paraId="5F49254D" w14:textId="77777777">
                  <w:pPr>
                    <w:spacing w:before="0" w:after="0"/>
                    <w:jc w:val="right"/>
                    <w:rPr>
                      <w:rFonts w:ascii="Verdana" w:hAnsi="Verdana"/>
                      <w:color w:val="000000"/>
                      <w:sz w:val="16"/>
                      <w:szCs w:val="16"/>
                    </w:rPr>
                  </w:pPr>
                  <w:r w:rsidRPr="002A1F9A">
                    <w:rPr>
                      <w:rFonts w:ascii="Verdana" w:hAnsi="Verdana"/>
                      <w:color w:val="000000"/>
                      <w:sz w:val="16"/>
                      <w:szCs w:val="16"/>
                    </w:rPr>
                    <w:t>47.281.723</w:t>
                  </w:r>
                </w:p>
              </w:tc>
              <w:tc>
                <w:tcPr>
                  <w:tcW w:w="1803" w:type="pct"/>
                  <w:noWrap/>
                  <w:hideMark/>
                </w:tcPr>
                <w:p w:rsidRPr="002A1F9A" w:rsidR="00850DFF" w:rsidP="00850DFF" w:rsidRDefault="00850DFF" w14:paraId="1428E7D9" w14:textId="77777777">
                  <w:pPr>
                    <w:spacing w:before="0" w:after="0"/>
                    <w:jc w:val="right"/>
                    <w:rPr>
                      <w:rFonts w:ascii="Verdana" w:hAnsi="Verdana"/>
                      <w:color w:val="000000"/>
                      <w:sz w:val="16"/>
                      <w:szCs w:val="16"/>
                    </w:rPr>
                  </w:pPr>
                  <w:r w:rsidRPr="002A1F9A">
                    <w:rPr>
                      <w:rFonts w:ascii="Verdana" w:hAnsi="Verdana"/>
                      <w:sz w:val="16"/>
                      <w:szCs w:val="16"/>
                    </w:rPr>
                    <w:t>12,6%</w:t>
                  </w:r>
                </w:p>
              </w:tc>
            </w:tr>
            <w:tr w:rsidRPr="002A1F9A" w:rsidR="00850DFF" w:rsidTr="00850DFF" w14:paraId="506F4B01" w14:textId="77777777">
              <w:trPr>
                <w:trHeight w:val="270"/>
              </w:trPr>
              <w:tc>
                <w:tcPr>
                  <w:tcW w:w="1393" w:type="pct"/>
                  <w:noWrap/>
                  <w:hideMark/>
                </w:tcPr>
                <w:p w:rsidRPr="002A1F9A" w:rsidR="00850DFF" w:rsidP="00850DFF" w:rsidRDefault="00850DFF" w14:paraId="100E446B" w14:textId="77777777">
                  <w:pPr>
                    <w:spacing w:before="0" w:after="0"/>
                    <w:rPr>
                      <w:rFonts w:ascii="Verdana" w:hAnsi="Verdana"/>
                      <w:b/>
                      <w:bCs/>
                      <w:color w:val="000000"/>
                      <w:sz w:val="16"/>
                      <w:szCs w:val="16"/>
                    </w:rPr>
                  </w:pPr>
                  <w:r w:rsidRPr="002A1F9A">
                    <w:rPr>
                      <w:rFonts w:ascii="Verdana" w:hAnsi="Verdana"/>
                      <w:b/>
                      <w:bCs/>
                      <w:color w:val="000000"/>
                      <w:sz w:val="16"/>
                      <w:szCs w:val="16"/>
                    </w:rPr>
                    <w:t>2024</w:t>
                  </w:r>
                </w:p>
              </w:tc>
              <w:tc>
                <w:tcPr>
                  <w:tcW w:w="1803" w:type="pct"/>
                  <w:noWrap/>
                  <w:hideMark/>
                </w:tcPr>
                <w:p w:rsidRPr="002A1F9A" w:rsidR="00850DFF" w:rsidP="00850DFF" w:rsidRDefault="00850DFF" w14:paraId="0E63772C" w14:textId="77777777">
                  <w:pPr>
                    <w:spacing w:before="0" w:after="0"/>
                    <w:jc w:val="right"/>
                    <w:rPr>
                      <w:rFonts w:ascii="Verdana" w:hAnsi="Verdana"/>
                      <w:color w:val="000000"/>
                      <w:sz w:val="16"/>
                      <w:szCs w:val="16"/>
                    </w:rPr>
                  </w:pPr>
                  <w:r w:rsidRPr="002A1F9A">
                    <w:rPr>
                      <w:rFonts w:ascii="Verdana" w:hAnsi="Verdana"/>
                      <w:color w:val="000000"/>
                      <w:sz w:val="16"/>
                      <w:szCs w:val="16"/>
                    </w:rPr>
                    <w:t>48.116.871</w:t>
                  </w:r>
                </w:p>
              </w:tc>
              <w:tc>
                <w:tcPr>
                  <w:tcW w:w="1803" w:type="pct"/>
                  <w:noWrap/>
                  <w:hideMark/>
                </w:tcPr>
                <w:p w:rsidRPr="002A1F9A" w:rsidR="00850DFF" w:rsidP="00850DFF" w:rsidRDefault="00850DFF" w14:paraId="18DF7A9B" w14:textId="77777777">
                  <w:pPr>
                    <w:spacing w:before="0" w:after="0"/>
                    <w:jc w:val="right"/>
                    <w:rPr>
                      <w:rFonts w:ascii="Verdana" w:hAnsi="Verdana"/>
                      <w:color w:val="000000"/>
                      <w:sz w:val="16"/>
                      <w:szCs w:val="16"/>
                    </w:rPr>
                  </w:pPr>
                  <w:r w:rsidRPr="002A1F9A">
                    <w:rPr>
                      <w:rFonts w:ascii="Verdana" w:hAnsi="Verdana"/>
                      <w:sz w:val="16"/>
                      <w:szCs w:val="16"/>
                    </w:rPr>
                    <w:t>12,1%</w:t>
                  </w:r>
                </w:p>
              </w:tc>
            </w:tr>
            <w:tr w:rsidRPr="002A1F9A" w:rsidR="00850DFF" w:rsidTr="00850DFF" w14:paraId="7F98D6C6" w14:textId="77777777">
              <w:trPr>
                <w:trHeight w:val="270"/>
              </w:trPr>
              <w:tc>
                <w:tcPr>
                  <w:tcW w:w="1393" w:type="pct"/>
                  <w:noWrap/>
                  <w:hideMark/>
                </w:tcPr>
                <w:p w:rsidRPr="002A1F9A" w:rsidR="00850DFF" w:rsidP="00850DFF" w:rsidRDefault="00850DFF" w14:paraId="589D4853" w14:textId="77777777">
                  <w:pPr>
                    <w:spacing w:before="0" w:after="0"/>
                    <w:rPr>
                      <w:rFonts w:ascii="Verdana" w:hAnsi="Verdana"/>
                      <w:b/>
                      <w:bCs/>
                      <w:color w:val="000000"/>
                      <w:sz w:val="16"/>
                      <w:szCs w:val="16"/>
                    </w:rPr>
                  </w:pPr>
                  <w:r w:rsidRPr="002A1F9A">
                    <w:rPr>
                      <w:rFonts w:ascii="Verdana" w:hAnsi="Verdana"/>
                      <w:b/>
                      <w:bCs/>
                      <w:color w:val="000000"/>
                      <w:sz w:val="16"/>
                      <w:szCs w:val="16"/>
                    </w:rPr>
                    <w:t>2025</w:t>
                  </w:r>
                </w:p>
              </w:tc>
              <w:tc>
                <w:tcPr>
                  <w:tcW w:w="1803" w:type="pct"/>
                  <w:noWrap/>
                  <w:hideMark/>
                </w:tcPr>
                <w:p w:rsidRPr="002A1F9A" w:rsidR="00850DFF" w:rsidP="00850DFF" w:rsidRDefault="00850DFF" w14:paraId="24EC77D6" w14:textId="77777777">
                  <w:pPr>
                    <w:spacing w:before="0" w:after="0"/>
                    <w:jc w:val="right"/>
                    <w:rPr>
                      <w:rFonts w:ascii="Verdana" w:hAnsi="Verdana"/>
                      <w:color w:val="000000"/>
                      <w:sz w:val="16"/>
                      <w:szCs w:val="16"/>
                    </w:rPr>
                  </w:pPr>
                  <w:r w:rsidRPr="002A1F9A">
                    <w:rPr>
                      <w:rFonts w:ascii="Verdana" w:hAnsi="Verdana"/>
                      <w:color w:val="000000"/>
                      <w:sz w:val="16"/>
                      <w:szCs w:val="16"/>
                    </w:rPr>
                    <w:t>51.929.180</w:t>
                  </w:r>
                </w:p>
              </w:tc>
              <w:tc>
                <w:tcPr>
                  <w:tcW w:w="1803" w:type="pct"/>
                  <w:noWrap/>
                  <w:hideMark/>
                </w:tcPr>
                <w:p w:rsidRPr="002A1F9A" w:rsidR="00850DFF" w:rsidP="00850DFF" w:rsidRDefault="00850DFF" w14:paraId="1EBE24DC" w14:textId="77777777">
                  <w:pPr>
                    <w:spacing w:before="0" w:after="0"/>
                    <w:jc w:val="right"/>
                    <w:rPr>
                      <w:rFonts w:ascii="Verdana" w:hAnsi="Verdana"/>
                      <w:color w:val="000000"/>
                      <w:sz w:val="16"/>
                      <w:szCs w:val="16"/>
                    </w:rPr>
                  </w:pPr>
                  <w:r w:rsidRPr="002A1F9A">
                    <w:rPr>
                      <w:rFonts w:ascii="Verdana" w:hAnsi="Verdana"/>
                      <w:sz w:val="16"/>
                      <w:szCs w:val="16"/>
                    </w:rPr>
                    <w:t>12,3%</w:t>
                  </w:r>
                </w:p>
              </w:tc>
            </w:tr>
            <w:tr w:rsidRPr="002A1F9A" w:rsidR="00850DFF" w:rsidTr="00850DFF" w14:paraId="615DEA07" w14:textId="77777777">
              <w:trPr>
                <w:trHeight w:val="270"/>
              </w:trPr>
              <w:tc>
                <w:tcPr>
                  <w:tcW w:w="1393" w:type="pct"/>
                  <w:noWrap/>
                  <w:hideMark/>
                </w:tcPr>
                <w:p w:rsidRPr="002A1F9A" w:rsidR="00850DFF" w:rsidP="00850DFF" w:rsidRDefault="00850DFF" w14:paraId="25745561" w14:textId="77777777">
                  <w:pPr>
                    <w:spacing w:before="0" w:after="0"/>
                    <w:rPr>
                      <w:rFonts w:ascii="Verdana" w:hAnsi="Verdana"/>
                      <w:b/>
                      <w:bCs/>
                      <w:color w:val="000000"/>
                      <w:sz w:val="16"/>
                      <w:szCs w:val="16"/>
                    </w:rPr>
                  </w:pPr>
                  <w:r w:rsidRPr="002A1F9A">
                    <w:rPr>
                      <w:rFonts w:ascii="Verdana" w:hAnsi="Verdana"/>
                      <w:b/>
                      <w:bCs/>
                      <w:color w:val="000000"/>
                      <w:sz w:val="16"/>
                      <w:szCs w:val="16"/>
                    </w:rPr>
                    <w:t>2026</w:t>
                  </w:r>
                </w:p>
              </w:tc>
              <w:tc>
                <w:tcPr>
                  <w:tcW w:w="1803" w:type="pct"/>
                  <w:noWrap/>
                  <w:hideMark/>
                </w:tcPr>
                <w:p w:rsidRPr="002A1F9A" w:rsidR="00850DFF" w:rsidP="00850DFF" w:rsidRDefault="00850DFF" w14:paraId="7AFC2FFE" w14:textId="77777777">
                  <w:pPr>
                    <w:spacing w:before="0" w:after="0"/>
                    <w:jc w:val="right"/>
                    <w:rPr>
                      <w:rFonts w:ascii="Verdana" w:hAnsi="Verdana"/>
                      <w:color w:val="000000"/>
                      <w:sz w:val="16"/>
                      <w:szCs w:val="16"/>
                    </w:rPr>
                  </w:pPr>
                  <w:r w:rsidRPr="002A1F9A">
                    <w:rPr>
                      <w:rFonts w:ascii="Verdana" w:hAnsi="Verdana"/>
                      <w:color w:val="000000"/>
                      <w:sz w:val="16"/>
                      <w:szCs w:val="16"/>
                    </w:rPr>
                    <w:t>48.799.983</w:t>
                  </w:r>
                </w:p>
              </w:tc>
              <w:tc>
                <w:tcPr>
                  <w:tcW w:w="1803" w:type="pct"/>
                  <w:noWrap/>
                  <w:hideMark/>
                </w:tcPr>
                <w:p w:rsidRPr="002A1F9A" w:rsidR="00850DFF" w:rsidP="00850DFF" w:rsidRDefault="00850DFF" w14:paraId="37CA2799" w14:textId="77777777">
                  <w:pPr>
                    <w:spacing w:before="0" w:after="0"/>
                    <w:jc w:val="right"/>
                    <w:rPr>
                      <w:rFonts w:ascii="Verdana" w:hAnsi="Verdana"/>
                      <w:color w:val="000000"/>
                      <w:sz w:val="16"/>
                      <w:szCs w:val="16"/>
                    </w:rPr>
                  </w:pPr>
                  <w:r w:rsidRPr="002A1F9A">
                    <w:rPr>
                      <w:rFonts w:ascii="Verdana" w:hAnsi="Verdana"/>
                      <w:sz w:val="16"/>
                      <w:szCs w:val="16"/>
                    </w:rPr>
                    <w:t>10,9%</w:t>
                  </w:r>
                </w:p>
              </w:tc>
            </w:tr>
            <w:tr w:rsidRPr="002A1F9A" w:rsidR="00850DFF" w:rsidTr="00850DFF" w14:paraId="27B5536A" w14:textId="77777777">
              <w:trPr>
                <w:trHeight w:val="270"/>
              </w:trPr>
              <w:tc>
                <w:tcPr>
                  <w:tcW w:w="1393" w:type="pct"/>
                  <w:noWrap/>
                  <w:hideMark/>
                </w:tcPr>
                <w:p w:rsidRPr="002A1F9A" w:rsidR="00850DFF" w:rsidP="00850DFF" w:rsidRDefault="00850DFF" w14:paraId="6AE7F963" w14:textId="77777777">
                  <w:pPr>
                    <w:spacing w:before="0" w:after="0"/>
                    <w:rPr>
                      <w:rFonts w:ascii="Verdana" w:hAnsi="Verdana"/>
                      <w:b/>
                      <w:bCs/>
                      <w:color w:val="000000"/>
                      <w:sz w:val="16"/>
                      <w:szCs w:val="16"/>
                    </w:rPr>
                  </w:pPr>
                  <w:r w:rsidRPr="002A1F9A">
                    <w:rPr>
                      <w:rFonts w:ascii="Verdana" w:hAnsi="Verdana"/>
                      <w:b/>
                      <w:bCs/>
                      <w:color w:val="000000"/>
                      <w:sz w:val="16"/>
                      <w:szCs w:val="16"/>
                    </w:rPr>
                    <w:t>2027</w:t>
                  </w:r>
                </w:p>
              </w:tc>
              <w:tc>
                <w:tcPr>
                  <w:tcW w:w="1803" w:type="pct"/>
                  <w:noWrap/>
                  <w:hideMark/>
                </w:tcPr>
                <w:p w:rsidRPr="002A1F9A" w:rsidR="00850DFF" w:rsidP="00850DFF" w:rsidRDefault="00850DFF" w14:paraId="60574BEA" w14:textId="77777777">
                  <w:pPr>
                    <w:spacing w:before="0" w:after="0"/>
                    <w:jc w:val="right"/>
                    <w:rPr>
                      <w:rFonts w:ascii="Verdana" w:hAnsi="Verdana"/>
                      <w:color w:val="000000"/>
                      <w:sz w:val="16"/>
                      <w:szCs w:val="16"/>
                    </w:rPr>
                  </w:pPr>
                  <w:r w:rsidRPr="002A1F9A">
                    <w:rPr>
                      <w:rFonts w:ascii="Verdana" w:hAnsi="Verdana"/>
                      <w:color w:val="000000"/>
                      <w:sz w:val="16"/>
                      <w:szCs w:val="16"/>
                    </w:rPr>
                    <w:t>51.145.107</w:t>
                  </w:r>
                </w:p>
              </w:tc>
              <w:tc>
                <w:tcPr>
                  <w:tcW w:w="1803" w:type="pct"/>
                  <w:noWrap/>
                  <w:hideMark/>
                </w:tcPr>
                <w:p w:rsidRPr="002A1F9A" w:rsidR="00850DFF" w:rsidP="00850DFF" w:rsidRDefault="00850DFF" w14:paraId="10084114" w14:textId="77777777">
                  <w:pPr>
                    <w:spacing w:before="0" w:after="0"/>
                    <w:jc w:val="right"/>
                    <w:rPr>
                      <w:rFonts w:ascii="Verdana" w:hAnsi="Verdana"/>
                      <w:color w:val="000000"/>
                      <w:sz w:val="16"/>
                      <w:szCs w:val="16"/>
                    </w:rPr>
                  </w:pPr>
                  <w:r w:rsidRPr="002A1F9A">
                    <w:rPr>
                      <w:rFonts w:ascii="Verdana" w:hAnsi="Verdana"/>
                      <w:sz w:val="16"/>
                      <w:szCs w:val="16"/>
                    </w:rPr>
                    <w:t>10,6%</w:t>
                  </w:r>
                </w:p>
              </w:tc>
            </w:tr>
            <w:tr w:rsidRPr="002A1F9A" w:rsidR="00850DFF" w:rsidTr="00850DFF" w14:paraId="69FED3A3" w14:textId="77777777">
              <w:trPr>
                <w:trHeight w:val="270"/>
              </w:trPr>
              <w:tc>
                <w:tcPr>
                  <w:tcW w:w="1393" w:type="pct"/>
                  <w:noWrap/>
                  <w:hideMark/>
                </w:tcPr>
                <w:p w:rsidRPr="002A1F9A" w:rsidR="00850DFF" w:rsidP="00850DFF" w:rsidRDefault="00850DFF" w14:paraId="724DD75B" w14:textId="77777777">
                  <w:pPr>
                    <w:spacing w:before="0" w:after="0"/>
                    <w:rPr>
                      <w:rFonts w:ascii="Verdana" w:hAnsi="Verdana"/>
                      <w:b/>
                      <w:bCs/>
                      <w:color w:val="000000"/>
                      <w:sz w:val="16"/>
                      <w:szCs w:val="16"/>
                    </w:rPr>
                  </w:pPr>
                  <w:r w:rsidRPr="002A1F9A">
                    <w:rPr>
                      <w:rFonts w:ascii="Verdana" w:hAnsi="Verdana"/>
                      <w:b/>
                      <w:bCs/>
                      <w:color w:val="000000"/>
                      <w:sz w:val="16"/>
                      <w:szCs w:val="16"/>
                    </w:rPr>
                    <w:t>2028</w:t>
                  </w:r>
                </w:p>
              </w:tc>
              <w:tc>
                <w:tcPr>
                  <w:tcW w:w="1803" w:type="pct"/>
                  <w:noWrap/>
                  <w:hideMark/>
                </w:tcPr>
                <w:p w:rsidRPr="002A1F9A" w:rsidR="00850DFF" w:rsidP="00850DFF" w:rsidRDefault="00850DFF" w14:paraId="2F4BB3B3" w14:textId="77777777">
                  <w:pPr>
                    <w:spacing w:before="0" w:after="0"/>
                    <w:jc w:val="right"/>
                    <w:rPr>
                      <w:rFonts w:ascii="Verdana" w:hAnsi="Verdana"/>
                      <w:color w:val="000000"/>
                      <w:sz w:val="16"/>
                      <w:szCs w:val="16"/>
                    </w:rPr>
                  </w:pPr>
                  <w:r w:rsidRPr="002A1F9A">
                    <w:rPr>
                      <w:rFonts w:ascii="Verdana" w:hAnsi="Verdana"/>
                      <w:color w:val="000000"/>
                      <w:sz w:val="16"/>
                      <w:szCs w:val="16"/>
                    </w:rPr>
                    <w:t>49.194.896</w:t>
                  </w:r>
                </w:p>
              </w:tc>
              <w:tc>
                <w:tcPr>
                  <w:tcW w:w="1803" w:type="pct"/>
                  <w:noWrap/>
                  <w:hideMark/>
                </w:tcPr>
                <w:p w:rsidRPr="002A1F9A" w:rsidR="00850DFF" w:rsidP="00850DFF" w:rsidRDefault="00850DFF" w14:paraId="06399466" w14:textId="77777777">
                  <w:pPr>
                    <w:spacing w:before="0" w:after="0"/>
                    <w:jc w:val="right"/>
                    <w:rPr>
                      <w:rFonts w:ascii="Verdana" w:hAnsi="Verdana"/>
                      <w:color w:val="000000"/>
                      <w:sz w:val="16"/>
                      <w:szCs w:val="16"/>
                    </w:rPr>
                  </w:pPr>
                  <w:r w:rsidRPr="002A1F9A">
                    <w:rPr>
                      <w:rFonts w:ascii="Verdana" w:hAnsi="Verdana"/>
                      <w:sz w:val="16"/>
                      <w:szCs w:val="16"/>
                    </w:rPr>
                    <w:t>9,9%</w:t>
                  </w:r>
                </w:p>
              </w:tc>
            </w:tr>
            <w:tr w:rsidRPr="002A1F9A" w:rsidR="00850DFF" w:rsidTr="00850DFF" w14:paraId="57FCBCD2" w14:textId="77777777">
              <w:trPr>
                <w:trHeight w:val="270"/>
              </w:trPr>
              <w:tc>
                <w:tcPr>
                  <w:tcW w:w="1393" w:type="pct"/>
                  <w:noWrap/>
                  <w:hideMark/>
                </w:tcPr>
                <w:p w:rsidRPr="002A1F9A" w:rsidR="00850DFF" w:rsidP="00850DFF" w:rsidRDefault="00850DFF" w14:paraId="7009F219" w14:textId="77777777">
                  <w:pPr>
                    <w:spacing w:before="0" w:after="0"/>
                    <w:rPr>
                      <w:rFonts w:ascii="Verdana" w:hAnsi="Verdana"/>
                      <w:b/>
                      <w:bCs/>
                      <w:color w:val="000000"/>
                      <w:sz w:val="16"/>
                      <w:szCs w:val="16"/>
                    </w:rPr>
                  </w:pPr>
                  <w:r w:rsidRPr="002A1F9A">
                    <w:rPr>
                      <w:rFonts w:ascii="Verdana" w:hAnsi="Verdana"/>
                      <w:b/>
                      <w:bCs/>
                      <w:color w:val="000000"/>
                      <w:sz w:val="16"/>
                      <w:szCs w:val="16"/>
                    </w:rPr>
                    <w:t>2029</w:t>
                  </w:r>
                </w:p>
              </w:tc>
              <w:tc>
                <w:tcPr>
                  <w:tcW w:w="1803" w:type="pct"/>
                  <w:noWrap/>
                  <w:hideMark/>
                </w:tcPr>
                <w:p w:rsidRPr="002A1F9A" w:rsidR="00850DFF" w:rsidP="00850DFF" w:rsidRDefault="00850DFF" w14:paraId="489999C6" w14:textId="77777777">
                  <w:pPr>
                    <w:spacing w:before="0" w:after="0"/>
                    <w:jc w:val="right"/>
                    <w:rPr>
                      <w:rFonts w:ascii="Verdana" w:hAnsi="Verdana"/>
                      <w:color w:val="000000"/>
                      <w:sz w:val="16"/>
                      <w:szCs w:val="16"/>
                    </w:rPr>
                  </w:pPr>
                  <w:r w:rsidRPr="002A1F9A">
                    <w:rPr>
                      <w:rFonts w:ascii="Verdana" w:hAnsi="Verdana"/>
                      <w:color w:val="000000"/>
                      <w:sz w:val="16"/>
                      <w:szCs w:val="16"/>
                    </w:rPr>
                    <w:t>48.864.713</w:t>
                  </w:r>
                </w:p>
              </w:tc>
              <w:tc>
                <w:tcPr>
                  <w:tcW w:w="1803" w:type="pct"/>
                  <w:noWrap/>
                  <w:hideMark/>
                </w:tcPr>
                <w:p w:rsidRPr="002A1F9A" w:rsidR="00850DFF" w:rsidP="00850DFF" w:rsidRDefault="00850DFF" w14:paraId="47AD21F6" w14:textId="77777777">
                  <w:pPr>
                    <w:spacing w:before="0" w:after="0"/>
                    <w:jc w:val="right"/>
                    <w:rPr>
                      <w:rFonts w:ascii="Verdana" w:hAnsi="Verdana"/>
                      <w:color w:val="000000"/>
                      <w:sz w:val="16"/>
                      <w:szCs w:val="16"/>
                    </w:rPr>
                  </w:pPr>
                  <w:r w:rsidRPr="002A1F9A">
                    <w:rPr>
                      <w:rFonts w:ascii="Verdana" w:hAnsi="Verdana"/>
                      <w:sz w:val="16"/>
                      <w:szCs w:val="16"/>
                    </w:rPr>
                    <w:t>9,5%</w:t>
                  </w:r>
                </w:p>
              </w:tc>
            </w:tr>
            <w:tr w:rsidRPr="002A1F9A" w:rsidR="00850DFF" w:rsidTr="00850DFF" w14:paraId="35858068" w14:textId="77777777">
              <w:trPr>
                <w:trHeight w:val="270"/>
              </w:trPr>
              <w:tc>
                <w:tcPr>
                  <w:tcW w:w="1393" w:type="pct"/>
                  <w:noWrap/>
                  <w:hideMark/>
                </w:tcPr>
                <w:p w:rsidRPr="002A1F9A" w:rsidR="00850DFF" w:rsidP="00850DFF" w:rsidRDefault="00850DFF" w14:paraId="15E4B80E" w14:textId="77777777">
                  <w:pPr>
                    <w:spacing w:before="0" w:after="0"/>
                    <w:rPr>
                      <w:rFonts w:ascii="Verdana" w:hAnsi="Verdana"/>
                      <w:b/>
                      <w:bCs/>
                      <w:color w:val="000000"/>
                      <w:sz w:val="16"/>
                      <w:szCs w:val="16"/>
                    </w:rPr>
                  </w:pPr>
                  <w:r w:rsidRPr="002A1F9A">
                    <w:rPr>
                      <w:rFonts w:ascii="Verdana" w:hAnsi="Verdana"/>
                      <w:b/>
                      <w:bCs/>
                      <w:color w:val="000000"/>
                      <w:sz w:val="16"/>
                      <w:szCs w:val="16"/>
                    </w:rPr>
                    <w:t>2030</w:t>
                  </w:r>
                </w:p>
              </w:tc>
              <w:tc>
                <w:tcPr>
                  <w:tcW w:w="1803" w:type="pct"/>
                  <w:noWrap/>
                  <w:hideMark/>
                </w:tcPr>
                <w:p w:rsidRPr="002A1F9A" w:rsidR="00850DFF" w:rsidP="00850DFF" w:rsidRDefault="00850DFF" w14:paraId="0275BCEB" w14:textId="77777777">
                  <w:pPr>
                    <w:spacing w:before="0" w:after="0"/>
                    <w:jc w:val="right"/>
                    <w:rPr>
                      <w:rFonts w:ascii="Verdana" w:hAnsi="Verdana"/>
                      <w:color w:val="000000"/>
                      <w:sz w:val="16"/>
                      <w:szCs w:val="16"/>
                    </w:rPr>
                  </w:pPr>
                  <w:r w:rsidRPr="002A1F9A">
                    <w:rPr>
                      <w:rFonts w:ascii="Verdana" w:hAnsi="Verdana"/>
                      <w:color w:val="000000"/>
                      <w:sz w:val="16"/>
                      <w:szCs w:val="16"/>
                    </w:rPr>
                    <w:t>48.666.150</w:t>
                  </w:r>
                </w:p>
              </w:tc>
              <w:tc>
                <w:tcPr>
                  <w:tcW w:w="1803" w:type="pct"/>
                  <w:noWrap/>
                  <w:hideMark/>
                </w:tcPr>
                <w:p w:rsidRPr="002A1F9A" w:rsidR="00850DFF" w:rsidP="00850DFF" w:rsidRDefault="00850DFF" w14:paraId="79DD2FF3" w14:textId="77777777">
                  <w:pPr>
                    <w:spacing w:before="0" w:after="0"/>
                    <w:jc w:val="right"/>
                    <w:rPr>
                      <w:rFonts w:ascii="Verdana" w:hAnsi="Verdana"/>
                      <w:color w:val="000000"/>
                      <w:sz w:val="16"/>
                      <w:szCs w:val="16"/>
                    </w:rPr>
                  </w:pPr>
                  <w:r w:rsidRPr="002A1F9A">
                    <w:rPr>
                      <w:rFonts w:ascii="Verdana" w:hAnsi="Verdana"/>
                      <w:sz w:val="16"/>
                      <w:szCs w:val="16"/>
                    </w:rPr>
                    <w:t>9,1%</w:t>
                  </w:r>
                </w:p>
              </w:tc>
            </w:tr>
          </w:tbl>
          <w:p w:rsidRPr="002A1F9A" w:rsidR="00850DFF" w:rsidP="00850DFF" w:rsidRDefault="00850DFF" w14:paraId="5D9BDB63" w14:textId="77777777">
            <w:pPr>
              <w:rPr>
                <w:rFonts w:ascii="Verdana" w:hAnsi="Verdana"/>
                <w:sz w:val="16"/>
                <w:szCs w:val="16"/>
              </w:rPr>
            </w:pPr>
            <w:r w:rsidRPr="002A1F9A">
              <w:rPr>
                <w:rFonts w:ascii="Verdana" w:hAnsi="Verdana"/>
                <w:sz w:val="16"/>
                <w:szCs w:val="16"/>
              </w:rPr>
              <w:t xml:space="preserve">*De absolute bedragen voor de periode 2002-2024 zijn weergegeven in lopende prijzen (werkelijk uitgegeven bedragen in dat jaar). Voor 2025 en verder zijn de bedragen weergegeven in prijspeil 2025. </w:t>
            </w:r>
          </w:p>
          <w:p w:rsidRPr="002A1F9A" w:rsidR="00850DFF" w:rsidP="00850DFF" w:rsidRDefault="00850DFF" w14:paraId="3F3C5B5A" w14:textId="77777777">
            <w:pPr>
              <w:rPr>
                <w:rFonts w:ascii="Verdana" w:hAnsi="Verdana"/>
                <w:sz w:val="16"/>
                <w:szCs w:val="16"/>
              </w:rPr>
            </w:pPr>
            <w:r w:rsidRPr="002A1F9A">
              <w:rPr>
                <w:rFonts w:ascii="Verdana" w:hAnsi="Verdana"/>
                <w:sz w:val="16"/>
                <w:szCs w:val="16"/>
              </w:rPr>
              <w:t xml:space="preserve">** Voor de uitgaven van de rijksbegroting zijn de kaderrelevante netto-uitgaven gehanteerd als definitie.  </w:t>
            </w:r>
          </w:p>
          <w:p w:rsidRPr="002A1F9A" w:rsidR="00850DFF" w:rsidRDefault="00850DFF" w14:paraId="71097CA4" w14:textId="77777777">
            <w:pPr>
              <w:rPr>
                <w:rFonts w:ascii="Verdana" w:hAnsi="Verdana"/>
                <w:sz w:val="18"/>
                <w:szCs w:val="18"/>
              </w:rPr>
            </w:pPr>
          </w:p>
        </w:tc>
        <w:tc>
          <w:tcPr>
            <w:tcW w:w="850" w:type="dxa"/>
          </w:tcPr>
          <w:p w:rsidRPr="002A1F9A" w:rsidR="001256CA" w:rsidRDefault="001256CA" w14:paraId="13FF94FE" w14:textId="77777777">
            <w:pPr>
              <w:jc w:val="right"/>
              <w:rPr>
                <w:rFonts w:ascii="Verdana" w:hAnsi="Verdana"/>
                <w:sz w:val="18"/>
                <w:szCs w:val="18"/>
              </w:rPr>
            </w:pPr>
          </w:p>
        </w:tc>
        <w:tc>
          <w:tcPr>
            <w:tcW w:w="992" w:type="dxa"/>
          </w:tcPr>
          <w:p w:rsidRPr="002A1F9A" w:rsidR="001256CA" w:rsidRDefault="001256CA" w14:paraId="4F03A006" w14:textId="77777777">
            <w:pPr>
              <w:jc w:val="right"/>
              <w:rPr>
                <w:rFonts w:ascii="Verdana" w:hAnsi="Verdana"/>
                <w:sz w:val="18"/>
                <w:szCs w:val="18"/>
              </w:rPr>
            </w:pPr>
          </w:p>
        </w:tc>
        <w:tc>
          <w:tcPr>
            <w:tcW w:w="567" w:type="dxa"/>
            <w:tcBorders>
              <w:left w:val="nil"/>
            </w:tcBorders>
          </w:tcPr>
          <w:p w:rsidRPr="002A1F9A" w:rsidR="001256CA" w:rsidRDefault="001856D0" w14:paraId="591EF885"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611FFAAB" w14:textId="77777777">
        <w:tc>
          <w:tcPr>
            <w:tcW w:w="567" w:type="dxa"/>
          </w:tcPr>
          <w:p w:rsidRPr="002A1F9A" w:rsidR="00850DFF" w:rsidP="00850DFF" w:rsidRDefault="00850DFF" w14:paraId="3322640C" w14:textId="5ACC6B54">
            <w:pPr>
              <w:rPr>
                <w:rFonts w:ascii="Verdana" w:hAnsi="Verdana"/>
                <w:sz w:val="18"/>
                <w:szCs w:val="18"/>
              </w:rPr>
            </w:pPr>
            <w:r w:rsidRPr="002A1F9A">
              <w:rPr>
                <w:rFonts w:ascii="Verdana" w:hAnsi="Verdana"/>
                <w:sz w:val="18"/>
                <w:szCs w:val="18"/>
              </w:rPr>
              <w:t>2</w:t>
            </w:r>
          </w:p>
        </w:tc>
        <w:tc>
          <w:tcPr>
            <w:tcW w:w="6521" w:type="dxa"/>
          </w:tcPr>
          <w:p w:rsidRPr="002A1F9A" w:rsidR="00850DFF" w:rsidP="00850DFF" w:rsidRDefault="00850DFF" w14:paraId="3AEBF26C" w14:textId="77777777">
            <w:pPr>
              <w:rPr>
                <w:rFonts w:ascii="Verdana" w:hAnsi="Verdana"/>
                <w:sz w:val="18"/>
                <w:szCs w:val="18"/>
              </w:rPr>
            </w:pPr>
            <w:r w:rsidRPr="002A1F9A">
              <w:rPr>
                <w:rFonts w:ascii="Verdana" w:hAnsi="Verdana"/>
                <w:sz w:val="18"/>
                <w:szCs w:val="18"/>
              </w:rPr>
              <w:t>Kunt u de (verwachte) ontwikkeling laten zien van het bedrag dat per jaar uitgegeven wordt aan onderzoek voor de periode 2000-2030 in absolute bedragen en als percentage van de rijksbegroting?</w:t>
            </w:r>
          </w:p>
          <w:p w:rsidRPr="002A1F9A" w:rsidR="00850DFF" w:rsidP="00850DFF" w:rsidRDefault="00850DFF" w14:paraId="08BFE3CB" w14:textId="77777777">
            <w:pPr>
              <w:rPr>
                <w:rFonts w:ascii="Verdana" w:hAnsi="Verdana"/>
                <w:sz w:val="18"/>
                <w:szCs w:val="18"/>
              </w:rPr>
            </w:pPr>
          </w:p>
          <w:p w:rsidRPr="002A1F9A" w:rsidR="00850DFF" w:rsidP="00850DFF" w:rsidRDefault="00850DFF" w14:paraId="44928BF5" w14:textId="77777777">
            <w:pPr>
              <w:rPr>
                <w:rFonts w:ascii="Verdana" w:hAnsi="Verdana"/>
                <w:sz w:val="18"/>
                <w:szCs w:val="18"/>
              </w:rPr>
            </w:pPr>
            <w:r w:rsidRPr="002A1F9A">
              <w:rPr>
                <w:rFonts w:ascii="Verdana" w:hAnsi="Verdana"/>
                <w:sz w:val="18"/>
                <w:szCs w:val="18"/>
              </w:rPr>
              <w:t xml:space="preserve">In onderstaande tabel wordt het bedrag dat per jaar door de rijksoverheid wordt uitgegeven aan onderzoek en ontwikkeling voor de periode 2009-2030 weergegeven in absolute bedragen en als percentage van de totale rijksbegroting. Deze gegevens zijn afkomstig van de TWIN (totale investeringen in wetenschap en innovatie) en TOF (totale onderzoek financiering) rapporten van het </w:t>
            </w:r>
            <w:proofErr w:type="spellStart"/>
            <w:r w:rsidRPr="002A1F9A">
              <w:rPr>
                <w:rFonts w:ascii="Verdana" w:hAnsi="Verdana"/>
                <w:sz w:val="18"/>
                <w:szCs w:val="18"/>
              </w:rPr>
              <w:t>Rathenau</w:t>
            </w:r>
            <w:proofErr w:type="spellEnd"/>
            <w:r w:rsidRPr="002A1F9A">
              <w:rPr>
                <w:rFonts w:ascii="Verdana" w:hAnsi="Verdana"/>
                <w:sz w:val="18"/>
                <w:szCs w:val="18"/>
              </w:rPr>
              <w:t xml:space="preserve"> Instituut. Voor het jaar 2030 zijn de gegevens nog niet beschikbaar en voor de jaren 2007 en eerder zijn de gegevens niet voldoende compleet om een betrouwbare vergelijking uit te voeren en deze jaren zijn daarom niet opgenomen in de tabel.  </w:t>
            </w:r>
          </w:p>
          <w:p w:rsidRPr="002A1F9A" w:rsidR="0042407E" w:rsidP="00850DFF" w:rsidRDefault="0042407E" w14:paraId="0207D0A0" w14:textId="77777777">
            <w:pPr>
              <w:rPr>
                <w:rFonts w:ascii="Verdana" w:hAnsi="Verdana"/>
                <w:sz w:val="18"/>
                <w:szCs w:val="18"/>
              </w:rPr>
            </w:pPr>
          </w:p>
          <w:p w:rsidRPr="002A1F9A" w:rsidR="0042407E" w:rsidP="00850DFF" w:rsidRDefault="0042407E" w14:paraId="75D70E9E" w14:textId="77777777">
            <w:pPr>
              <w:rPr>
                <w:rFonts w:ascii="Verdana" w:hAnsi="Verdana"/>
                <w:sz w:val="18"/>
                <w:szCs w:val="18"/>
              </w:rPr>
            </w:pPr>
          </w:p>
          <w:p w:rsidRPr="002A1F9A" w:rsidR="0042407E" w:rsidP="00850DFF" w:rsidRDefault="0042407E" w14:paraId="23F5FE83" w14:textId="77777777">
            <w:pPr>
              <w:rPr>
                <w:rFonts w:ascii="Verdana" w:hAnsi="Verdana"/>
                <w:sz w:val="18"/>
                <w:szCs w:val="18"/>
              </w:rPr>
            </w:pPr>
          </w:p>
          <w:p w:rsidR="0042407E" w:rsidP="00850DFF" w:rsidRDefault="0042407E" w14:paraId="0B0ADBC4" w14:textId="77777777">
            <w:pPr>
              <w:rPr>
                <w:rFonts w:ascii="Verdana" w:hAnsi="Verdana"/>
                <w:sz w:val="18"/>
                <w:szCs w:val="18"/>
              </w:rPr>
            </w:pPr>
          </w:p>
          <w:p w:rsidRPr="002A1F9A" w:rsidR="00263264" w:rsidP="00850DFF" w:rsidRDefault="00263264" w14:paraId="0AEC6D9D" w14:textId="77777777">
            <w:pPr>
              <w:rPr>
                <w:rFonts w:ascii="Verdana" w:hAnsi="Verdana"/>
                <w:sz w:val="18"/>
                <w:szCs w:val="18"/>
              </w:rPr>
            </w:pPr>
          </w:p>
          <w:p w:rsidRPr="002A1F9A" w:rsidR="0042407E" w:rsidP="00850DFF" w:rsidRDefault="0042407E" w14:paraId="4C59017F" w14:textId="77777777">
            <w:pPr>
              <w:rPr>
                <w:rFonts w:ascii="Verdana" w:hAnsi="Verdana"/>
                <w:sz w:val="18"/>
                <w:szCs w:val="18"/>
              </w:rPr>
            </w:pPr>
          </w:p>
          <w:p w:rsidRPr="002A1F9A" w:rsidR="00850DFF" w:rsidP="00850DFF" w:rsidRDefault="00850DFF" w14:paraId="45100C19" w14:textId="77777777">
            <w:pPr>
              <w:rPr>
                <w:rFonts w:ascii="Verdana" w:hAnsi="Verdana"/>
                <w:sz w:val="18"/>
                <w:szCs w:val="18"/>
              </w:rPr>
            </w:pPr>
          </w:p>
          <w:tbl>
            <w:tblPr>
              <w:tblStyle w:val="Tabelraster"/>
              <w:tblW w:w="6513" w:type="dxa"/>
              <w:tblLayout w:type="fixed"/>
              <w:tblLook w:val="04A0" w:firstRow="1" w:lastRow="0" w:firstColumn="1" w:lastColumn="0" w:noHBand="0" w:noVBand="1"/>
            </w:tblPr>
            <w:tblGrid>
              <w:gridCol w:w="1814"/>
              <w:gridCol w:w="2349"/>
              <w:gridCol w:w="2350"/>
            </w:tblGrid>
            <w:tr w:rsidRPr="002A1F9A" w:rsidR="00850DFF" w:rsidTr="00850DFF" w14:paraId="6B8AC6EF" w14:textId="77777777">
              <w:trPr>
                <w:trHeight w:val="270"/>
              </w:trPr>
              <w:tc>
                <w:tcPr>
                  <w:tcW w:w="5000" w:type="pct"/>
                  <w:gridSpan w:val="3"/>
                  <w:noWrap/>
                </w:tcPr>
                <w:p w:rsidRPr="002A1F9A" w:rsidR="00850DFF" w:rsidP="00850DFF" w:rsidRDefault="00850DFF" w14:paraId="13ACE99C" w14:textId="77777777">
                  <w:pPr>
                    <w:spacing w:before="0" w:after="0"/>
                    <w:rPr>
                      <w:rFonts w:ascii="Verdana" w:hAnsi="Verdana"/>
                      <w:b/>
                      <w:bCs/>
                      <w:color w:val="000000"/>
                      <w:sz w:val="16"/>
                      <w:szCs w:val="16"/>
                    </w:rPr>
                  </w:pPr>
                  <w:r w:rsidRPr="002A1F9A">
                    <w:rPr>
                      <w:rFonts w:ascii="Verdana" w:hAnsi="Verdana"/>
                      <w:color w:val="000000"/>
                      <w:sz w:val="16"/>
                      <w:szCs w:val="16"/>
                    </w:rPr>
                    <w:lastRenderedPageBreak/>
                    <w:t>(bedragen x € 1.000)</w:t>
                  </w:r>
                </w:p>
              </w:tc>
            </w:tr>
            <w:tr w:rsidRPr="002A1F9A" w:rsidR="00850DFF" w:rsidTr="00850DFF" w14:paraId="24FB6066" w14:textId="77777777">
              <w:trPr>
                <w:trHeight w:val="270"/>
              </w:trPr>
              <w:tc>
                <w:tcPr>
                  <w:tcW w:w="1393" w:type="pct"/>
                  <w:noWrap/>
                  <w:hideMark/>
                </w:tcPr>
                <w:p w:rsidRPr="002A1F9A" w:rsidR="00850DFF" w:rsidP="00850DFF" w:rsidRDefault="00850DFF" w14:paraId="45FEA0AE" w14:textId="77777777">
                  <w:pPr>
                    <w:spacing w:before="0" w:after="0"/>
                    <w:rPr>
                      <w:rFonts w:ascii="Verdana" w:hAnsi="Verdana"/>
                      <w:b/>
                      <w:bCs/>
                      <w:color w:val="000000"/>
                      <w:sz w:val="16"/>
                      <w:szCs w:val="16"/>
                    </w:rPr>
                  </w:pPr>
                  <w:r w:rsidRPr="002A1F9A">
                    <w:rPr>
                      <w:rFonts w:ascii="Verdana" w:hAnsi="Verdana"/>
                      <w:b/>
                      <w:bCs/>
                      <w:color w:val="000000"/>
                      <w:sz w:val="16"/>
                      <w:szCs w:val="16"/>
                    </w:rPr>
                    <w:t>Periode</w:t>
                  </w:r>
                </w:p>
              </w:tc>
              <w:tc>
                <w:tcPr>
                  <w:tcW w:w="1803" w:type="pct"/>
                  <w:noWrap/>
                  <w:hideMark/>
                </w:tcPr>
                <w:p w:rsidRPr="002A1F9A" w:rsidR="00850DFF" w:rsidP="00850DFF" w:rsidRDefault="00850DFF" w14:paraId="546715BE" w14:textId="77777777">
                  <w:pPr>
                    <w:spacing w:before="0" w:after="0"/>
                    <w:rPr>
                      <w:rFonts w:ascii="Verdana" w:hAnsi="Verdana"/>
                      <w:b/>
                      <w:bCs/>
                      <w:color w:val="000000"/>
                      <w:sz w:val="16"/>
                      <w:szCs w:val="16"/>
                    </w:rPr>
                  </w:pPr>
                  <w:r w:rsidRPr="002A1F9A">
                    <w:rPr>
                      <w:rFonts w:ascii="Verdana" w:hAnsi="Verdana"/>
                      <w:b/>
                      <w:bCs/>
                      <w:color w:val="000000"/>
                      <w:sz w:val="16"/>
                      <w:szCs w:val="16"/>
                    </w:rPr>
                    <w:t>Absolute uitgaven rijksoverheid aan onderzoek en ontwikkeling*</w:t>
                  </w:r>
                </w:p>
              </w:tc>
              <w:tc>
                <w:tcPr>
                  <w:tcW w:w="1804" w:type="pct"/>
                  <w:noWrap/>
                  <w:hideMark/>
                </w:tcPr>
                <w:p w:rsidRPr="002A1F9A" w:rsidR="00850DFF" w:rsidP="00850DFF" w:rsidRDefault="00850DFF" w14:paraId="11B9EE65" w14:textId="77777777">
                  <w:pPr>
                    <w:spacing w:before="0" w:after="0"/>
                    <w:rPr>
                      <w:rFonts w:ascii="Verdana" w:hAnsi="Verdana"/>
                      <w:b/>
                      <w:bCs/>
                      <w:color w:val="000000"/>
                      <w:sz w:val="16"/>
                      <w:szCs w:val="16"/>
                    </w:rPr>
                  </w:pPr>
                  <w:r w:rsidRPr="002A1F9A">
                    <w:rPr>
                      <w:rFonts w:ascii="Verdana" w:hAnsi="Verdana"/>
                      <w:b/>
                      <w:bCs/>
                      <w:color w:val="000000"/>
                      <w:sz w:val="16"/>
                      <w:szCs w:val="16"/>
                    </w:rPr>
                    <w:t>Uitgaven rijksoverheid aan onderzoek en ontwikkeling als percentage van de rijksbegroting**</w:t>
                  </w:r>
                </w:p>
              </w:tc>
            </w:tr>
            <w:tr w:rsidRPr="002A1F9A" w:rsidR="00850DFF" w:rsidTr="00850DFF" w14:paraId="0DA5F06F" w14:textId="77777777">
              <w:trPr>
                <w:trHeight w:val="270"/>
              </w:trPr>
              <w:tc>
                <w:tcPr>
                  <w:tcW w:w="1393" w:type="pct"/>
                  <w:noWrap/>
                </w:tcPr>
                <w:p w:rsidRPr="002A1F9A" w:rsidR="00850DFF" w:rsidP="00850DFF" w:rsidRDefault="00850DFF" w14:paraId="5AADFC60" w14:textId="77777777">
                  <w:pPr>
                    <w:spacing w:before="0" w:after="0"/>
                    <w:rPr>
                      <w:rFonts w:ascii="Verdana" w:hAnsi="Verdana"/>
                      <w:b/>
                      <w:bCs/>
                      <w:sz w:val="16"/>
                      <w:szCs w:val="16"/>
                    </w:rPr>
                  </w:pPr>
                  <w:r w:rsidRPr="002A1F9A">
                    <w:rPr>
                      <w:rFonts w:ascii="Verdana" w:hAnsi="Verdana"/>
                      <w:b/>
                      <w:bCs/>
                      <w:sz w:val="16"/>
                      <w:szCs w:val="16"/>
                    </w:rPr>
                    <w:t>2008</w:t>
                  </w:r>
                </w:p>
              </w:tc>
              <w:tc>
                <w:tcPr>
                  <w:tcW w:w="1803" w:type="pct"/>
                  <w:noWrap/>
                </w:tcPr>
                <w:p w:rsidRPr="002A1F9A" w:rsidR="00850DFF" w:rsidP="00850DFF" w:rsidRDefault="00850DFF" w14:paraId="5FB7C81D" w14:textId="77777777">
                  <w:pPr>
                    <w:spacing w:before="0" w:after="0"/>
                    <w:jc w:val="right"/>
                    <w:rPr>
                      <w:rFonts w:ascii="Verdana" w:hAnsi="Verdana"/>
                      <w:sz w:val="16"/>
                      <w:szCs w:val="16"/>
                    </w:rPr>
                  </w:pPr>
                  <w:r w:rsidRPr="002A1F9A">
                    <w:rPr>
                      <w:rFonts w:ascii="Verdana" w:hAnsi="Verdana"/>
                      <w:sz w:val="16"/>
                      <w:szCs w:val="16"/>
                    </w:rPr>
                    <w:t>4.145.800</w:t>
                  </w:r>
                </w:p>
              </w:tc>
              <w:tc>
                <w:tcPr>
                  <w:tcW w:w="1804" w:type="pct"/>
                  <w:noWrap/>
                </w:tcPr>
                <w:p w:rsidRPr="002A1F9A" w:rsidR="00850DFF" w:rsidP="00850DFF" w:rsidRDefault="00850DFF" w14:paraId="2884E730" w14:textId="77777777">
                  <w:pPr>
                    <w:spacing w:before="0" w:after="0"/>
                    <w:jc w:val="right"/>
                    <w:rPr>
                      <w:rFonts w:ascii="Verdana" w:hAnsi="Verdana"/>
                      <w:sz w:val="16"/>
                      <w:szCs w:val="16"/>
                    </w:rPr>
                  </w:pPr>
                  <w:r w:rsidRPr="002A1F9A">
                    <w:rPr>
                      <w:rFonts w:ascii="Verdana" w:hAnsi="Verdana"/>
                      <w:sz w:val="16"/>
                      <w:szCs w:val="16"/>
                    </w:rPr>
                    <w:t>2,0%</w:t>
                  </w:r>
                </w:p>
              </w:tc>
            </w:tr>
            <w:tr w:rsidRPr="002A1F9A" w:rsidR="00850DFF" w:rsidTr="00850DFF" w14:paraId="1A4750E2" w14:textId="77777777">
              <w:trPr>
                <w:trHeight w:val="270"/>
              </w:trPr>
              <w:tc>
                <w:tcPr>
                  <w:tcW w:w="1393" w:type="pct"/>
                  <w:noWrap/>
                  <w:hideMark/>
                </w:tcPr>
                <w:p w:rsidRPr="002A1F9A" w:rsidR="00850DFF" w:rsidP="00850DFF" w:rsidRDefault="00850DFF" w14:paraId="32059D8E" w14:textId="77777777">
                  <w:pPr>
                    <w:spacing w:before="0" w:after="0"/>
                    <w:rPr>
                      <w:rFonts w:ascii="Verdana" w:hAnsi="Verdana"/>
                      <w:b/>
                      <w:bCs/>
                      <w:color w:val="000000"/>
                      <w:sz w:val="16"/>
                      <w:szCs w:val="16"/>
                    </w:rPr>
                  </w:pPr>
                  <w:r w:rsidRPr="002A1F9A">
                    <w:rPr>
                      <w:rFonts w:ascii="Verdana" w:hAnsi="Verdana"/>
                      <w:b/>
                      <w:bCs/>
                      <w:sz w:val="16"/>
                      <w:szCs w:val="16"/>
                    </w:rPr>
                    <w:t>2009</w:t>
                  </w:r>
                </w:p>
              </w:tc>
              <w:tc>
                <w:tcPr>
                  <w:tcW w:w="1803" w:type="pct"/>
                  <w:noWrap/>
                  <w:hideMark/>
                </w:tcPr>
                <w:p w:rsidRPr="002A1F9A" w:rsidR="00850DFF" w:rsidP="00850DFF" w:rsidRDefault="00850DFF" w14:paraId="1C7A1227" w14:textId="77777777">
                  <w:pPr>
                    <w:spacing w:before="0" w:after="0"/>
                    <w:jc w:val="right"/>
                    <w:rPr>
                      <w:rFonts w:ascii="Verdana" w:hAnsi="Verdana"/>
                      <w:color w:val="000000"/>
                      <w:sz w:val="16"/>
                      <w:szCs w:val="16"/>
                    </w:rPr>
                  </w:pPr>
                  <w:r w:rsidRPr="002A1F9A">
                    <w:rPr>
                      <w:rFonts w:ascii="Verdana" w:hAnsi="Verdana"/>
                      <w:sz w:val="16"/>
                      <w:szCs w:val="16"/>
                    </w:rPr>
                    <w:t>5.070.100</w:t>
                  </w:r>
                </w:p>
              </w:tc>
              <w:tc>
                <w:tcPr>
                  <w:tcW w:w="1804" w:type="pct"/>
                  <w:noWrap/>
                  <w:hideMark/>
                </w:tcPr>
                <w:p w:rsidRPr="002A1F9A" w:rsidR="00850DFF" w:rsidP="00850DFF" w:rsidRDefault="00850DFF" w14:paraId="1217132D" w14:textId="77777777">
                  <w:pPr>
                    <w:spacing w:before="0" w:after="0"/>
                    <w:jc w:val="right"/>
                    <w:rPr>
                      <w:rFonts w:ascii="Verdana" w:hAnsi="Verdana"/>
                      <w:color w:val="000000"/>
                      <w:sz w:val="16"/>
                      <w:szCs w:val="16"/>
                    </w:rPr>
                  </w:pPr>
                  <w:r w:rsidRPr="002A1F9A">
                    <w:rPr>
                      <w:rFonts w:ascii="Verdana" w:hAnsi="Verdana"/>
                      <w:sz w:val="16"/>
                      <w:szCs w:val="16"/>
                    </w:rPr>
                    <w:t>2,3%</w:t>
                  </w:r>
                </w:p>
              </w:tc>
            </w:tr>
            <w:tr w:rsidRPr="002A1F9A" w:rsidR="00850DFF" w:rsidTr="00850DFF" w14:paraId="56978AD8" w14:textId="77777777">
              <w:trPr>
                <w:trHeight w:val="270"/>
              </w:trPr>
              <w:tc>
                <w:tcPr>
                  <w:tcW w:w="1393" w:type="pct"/>
                  <w:noWrap/>
                  <w:hideMark/>
                </w:tcPr>
                <w:p w:rsidRPr="002A1F9A" w:rsidR="00850DFF" w:rsidP="00850DFF" w:rsidRDefault="00850DFF" w14:paraId="3CF6B609" w14:textId="77777777">
                  <w:pPr>
                    <w:spacing w:before="0" w:after="0"/>
                    <w:rPr>
                      <w:rFonts w:ascii="Verdana" w:hAnsi="Verdana"/>
                      <w:b/>
                      <w:bCs/>
                      <w:color w:val="000000"/>
                      <w:sz w:val="16"/>
                      <w:szCs w:val="16"/>
                    </w:rPr>
                  </w:pPr>
                  <w:r w:rsidRPr="002A1F9A">
                    <w:rPr>
                      <w:rFonts w:ascii="Verdana" w:hAnsi="Verdana"/>
                      <w:b/>
                      <w:bCs/>
                      <w:sz w:val="16"/>
                      <w:szCs w:val="16"/>
                    </w:rPr>
                    <w:t>2010</w:t>
                  </w:r>
                </w:p>
              </w:tc>
              <w:tc>
                <w:tcPr>
                  <w:tcW w:w="1803" w:type="pct"/>
                  <w:noWrap/>
                  <w:hideMark/>
                </w:tcPr>
                <w:p w:rsidRPr="002A1F9A" w:rsidR="00850DFF" w:rsidP="00850DFF" w:rsidRDefault="00850DFF" w14:paraId="5FB23921" w14:textId="77777777">
                  <w:pPr>
                    <w:spacing w:before="0" w:after="0"/>
                    <w:jc w:val="right"/>
                    <w:rPr>
                      <w:rFonts w:ascii="Verdana" w:hAnsi="Verdana"/>
                      <w:color w:val="000000"/>
                      <w:sz w:val="16"/>
                      <w:szCs w:val="16"/>
                    </w:rPr>
                  </w:pPr>
                  <w:r w:rsidRPr="002A1F9A">
                    <w:rPr>
                      <w:rFonts w:ascii="Verdana" w:hAnsi="Verdana"/>
                      <w:sz w:val="16"/>
                      <w:szCs w:val="16"/>
                    </w:rPr>
                    <w:t>5.112.200</w:t>
                  </w:r>
                </w:p>
              </w:tc>
              <w:tc>
                <w:tcPr>
                  <w:tcW w:w="1804" w:type="pct"/>
                  <w:noWrap/>
                  <w:hideMark/>
                </w:tcPr>
                <w:p w:rsidRPr="002A1F9A" w:rsidR="00850DFF" w:rsidP="00850DFF" w:rsidRDefault="00850DFF" w14:paraId="53469A3A" w14:textId="77777777">
                  <w:pPr>
                    <w:spacing w:before="0" w:after="0"/>
                    <w:jc w:val="right"/>
                    <w:rPr>
                      <w:rFonts w:ascii="Verdana" w:hAnsi="Verdana"/>
                      <w:color w:val="000000"/>
                      <w:sz w:val="16"/>
                      <w:szCs w:val="16"/>
                    </w:rPr>
                  </w:pPr>
                  <w:r w:rsidRPr="002A1F9A">
                    <w:rPr>
                      <w:rFonts w:ascii="Verdana" w:hAnsi="Verdana"/>
                      <w:sz w:val="16"/>
                      <w:szCs w:val="16"/>
                    </w:rPr>
                    <w:t>2,2%</w:t>
                  </w:r>
                </w:p>
              </w:tc>
            </w:tr>
            <w:tr w:rsidRPr="002A1F9A" w:rsidR="00850DFF" w:rsidTr="00850DFF" w14:paraId="7FBF828D" w14:textId="77777777">
              <w:trPr>
                <w:trHeight w:val="270"/>
              </w:trPr>
              <w:tc>
                <w:tcPr>
                  <w:tcW w:w="1393" w:type="pct"/>
                  <w:noWrap/>
                  <w:hideMark/>
                </w:tcPr>
                <w:p w:rsidRPr="002A1F9A" w:rsidR="00850DFF" w:rsidP="00850DFF" w:rsidRDefault="00850DFF" w14:paraId="0EB67044" w14:textId="77777777">
                  <w:pPr>
                    <w:spacing w:before="0" w:after="0"/>
                    <w:rPr>
                      <w:rFonts w:ascii="Verdana" w:hAnsi="Verdana"/>
                      <w:b/>
                      <w:bCs/>
                      <w:color w:val="000000"/>
                      <w:sz w:val="16"/>
                      <w:szCs w:val="16"/>
                    </w:rPr>
                  </w:pPr>
                  <w:r w:rsidRPr="002A1F9A">
                    <w:rPr>
                      <w:rFonts w:ascii="Verdana" w:hAnsi="Verdana"/>
                      <w:b/>
                      <w:bCs/>
                      <w:sz w:val="16"/>
                      <w:szCs w:val="16"/>
                    </w:rPr>
                    <w:t>2011</w:t>
                  </w:r>
                </w:p>
              </w:tc>
              <w:tc>
                <w:tcPr>
                  <w:tcW w:w="1803" w:type="pct"/>
                  <w:noWrap/>
                  <w:hideMark/>
                </w:tcPr>
                <w:p w:rsidRPr="002A1F9A" w:rsidR="00850DFF" w:rsidP="00850DFF" w:rsidRDefault="00850DFF" w14:paraId="07FD947B" w14:textId="77777777">
                  <w:pPr>
                    <w:spacing w:before="0" w:after="0"/>
                    <w:jc w:val="right"/>
                    <w:rPr>
                      <w:rFonts w:ascii="Verdana" w:hAnsi="Verdana"/>
                      <w:color w:val="000000"/>
                      <w:sz w:val="16"/>
                      <w:szCs w:val="16"/>
                    </w:rPr>
                  </w:pPr>
                  <w:r w:rsidRPr="002A1F9A">
                    <w:rPr>
                      <w:rFonts w:ascii="Verdana" w:hAnsi="Verdana"/>
                      <w:sz w:val="16"/>
                      <w:szCs w:val="16"/>
                    </w:rPr>
                    <w:t>4.975.100</w:t>
                  </w:r>
                </w:p>
              </w:tc>
              <w:tc>
                <w:tcPr>
                  <w:tcW w:w="1804" w:type="pct"/>
                  <w:noWrap/>
                  <w:hideMark/>
                </w:tcPr>
                <w:p w:rsidRPr="002A1F9A" w:rsidR="00850DFF" w:rsidP="00850DFF" w:rsidRDefault="00850DFF" w14:paraId="2635F9DE"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0C37C13B" w14:textId="77777777">
              <w:trPr>
                <w:trHeight w:val="270"/>
              </w:trPr>
              <w:tc>
                <w:tcPr>
                  <w:tcW w:w="1393" w:type="pct"/>
                  <w:noWrap/>
                  <w:hideMark/>
                </w:tcPr>
                <w:p w:rsidRPr="002A1F9A" w:rsidR="00850DFF" w:rsidP="00850DFF" w:rsidRDefault="00850DFF" w14:paraId="7100514F" w14:textId="77777777">
                  <w:pPr>
                    <w:spacing w:before="0" w:after="0"/>
                    <w:rPr>
                      <w:rFonts w:ascii="Verdana" w:hAnsi="Verdana"/>
                      <w:b/>
                      <w:bCs/>
                      <w:color w:val="000000"/>
                      <w:sz w:val="16"/>
                      <w:szCs w:val="16"/>
                    </w:rPr>
                  </w:pPr>
                  <w:r w:rsidRPr="002A1F9A">
                    <w:rPr>
                      <w:rFonts w:ascii="Verdana" w:hAnsi="Verdana"/>
                      <w:b/>
                      <w:bCs/>
                      <w:sz w:val="16"/>
                      <w:szCs w:val="16"/>
                    </w:rPr>
                    <w:t>2012</w:t>
                  </w:r>
                </w:p>
              </w:tc>
              <w:tc>
                <w:tcPr>
                  <w:tcW w:w="1803" w:type="pct"/>
                  <w:noWrap/>
                  <w:hideMark/>
                </w:tcPr>
                <w:p w:rsidRPr="002A1F9A" w:rsidR="00850DFF" w:rsidP="00850DFF" w:rsidRDefault="00850DFF" w14:paraId="343C27BB" w14:textId="77777777">
                  <w:pPr>
                    <w:spacing w:before="0" w:after="0"/>
                    <w:jc w:val="right"/>
                    <w:rPr>
                      <w:rFonts w:ascii="Verdana" w:hAnsi="Verdana"/>
                      <w:color w:val="000000"/>
                      <w:sz w:val="16"/>
                      <w:szCs w:val="16"/>
                    </w:rPr>
                  </w:pPr>
                  <w:r w:rsidRPr="002A1F9A">
                    <w:rPr>
                      <w:rFonts w:ascii="Verdana" w:hAnsi="Verdana"/>
                      <w:sz w:val="16"/>
                      <w:szCs w:val="16"/>
                    </w:rPr>
                    <w:t>4.676.800</w:t>
                  </w:r>
                </w:p>
              </w:tc>
              <w:tc>
                <w:tcPr>
                  <w:tcW w:w="1804" w:type="pct"/>
                  <w:noWrap/>
                  <w:hideMark/>
                </w:tcPr>
                <w:p w:rsidRPr="002A1F9A" w:rsidR="00850DFF" w:rsidP="00850DFF" w:rsidRDefault="00850DFF" w14:paraId="02CCF74C" w14:textId="77777777">
                  <w:pPr>
                    <w:spacing w:before="0" w:after="0"/>
                    <w:jc w:val="right"/>
                    <w:rPr>
                      <w:rFonts w:ascii="Verdana" w:hAnsi="Verdana"/>
                      <w:color w:val="000000"/>
                      <w:sz w:val="16"/>
                      <w:szCs w:val="16"/>
                    </w:rPr>
                  </w:pPr>
                  <w:r w:rsidRPr="002A1F9A">
                    <w:rPr>
                      <w:rFonts w:ascii="Verdana" w:hAnsi="Verdana"/>
                      <w:sz w:val="16"/>
                      <w:szCs w:val="16"/>
                    </w:rPr>
                    <w:t>1,9%</w:t>
                  </w:r>
                </w:p>
              </w:tc>
            </w:tr>
            <w:tr w:rsidRPr="002A1F9A" w:rsidR="00850DFF" w:rsidTr="00850DFF" w14:paraId="4A777DE1" w14:textId="77777777">
              <w:trPr>
                <w:trHeight w:val="270"/>
              </w:trPr>
              <w:tc>
                <w:tcPr>
                  <w:tcW w:w="1393" w:type="pct"/>
                  <w:noWrap/>
                  <w:hideMark/>
                </w:tcPr>
                <w:p w:rsidRPr="002A1F9A" w:rsidR="00850DFF" w:rsidP="00850DFF" w:rsidRDefault="00850DFF" w14:paraId="51FCA4C4" w14:textId="77777777">
                  <w:pPr>
                    <w:spacing w:before="0" w:after="0"/>
                    <w:rPr>
                      <w:rFonts w:ascii="Verdana" w:hAnsi="Verdana"/>
                      <w:b/>
                      <w:bCs/>
                      <w:color w:val="000000"/>
                      <w:sz w:val="16"/>
                      <w:szCs w:val="16"/>
                    </w:rPr>
                  </w:pPr>
                  <w:r w:rsidRPr="002A1F9A">
                    <w:rPr>
                      <w:rFonts w:ascii="Verdana" w:hAnsi="Verdana"/>
                      <w:b/>
                      <w:bCs/>
                      <w:sz w:val="16"/>
                      <w:szCs w:val="16"/>
                    </w:rPr>
                    <w:t>2013</w:t>
                  </w:r>
                </w:p>
              </w:tc>
              <w:tc>
                <w:tcPr>
                  <w:tcW w:w="1803" w:type="pct"/>
                  <w:noWrap/>
                  <w:hideMark/>
                </w:tcPr>
                <w:p w:rsidRPr="002A1F9A" w:rsidR="00850DFF" w:rsidP="00850DFF" w:rsidRDefault="00850DFF" w14:paraId="6449C3BD" w14:textId="77777777">
                  <w:pPr>
                    <w:spacing w:before="0" w:after="0"/>
                    <w:jc w:val="right"/>
                    <w:rPr>
                      <w:rFonts w:ascii="Verdana" w:hAnsi="Verdana"/>
                      <w:color w:val="000000"/>
                      <w:sz w:val="16"/>
                      <w:szCs w:val="16"/>
                    </w:rPr>
                  </w:pPr>
                  <w:r w:rsidRPr="002A1F9A">
                    <w:rPr>
                      <w:rFonts w:ascii="Verdana" w:hAnsi="Verdana"/>
                      <w:sz w:val="16"/>
                      <w:szCs w:val="16"/>
                    </w:rPr>
                    <w:t>4.794.300</w:t>
                  </w:r>
                </w:p>
              </w:tc>
              <w:tc>
                <w:tcPr>
                  <w:tcW w:w="1804" w:type="pct"/>
                  <w:noWrap/>
                  <w:hideMark/>
                </w:tcPr>
                <w:p w:rsidRPr="002A1F9A" w:rsidR="00850DFF" w:rsidP="00850DFF" w:rsidRDefault="00850DFF" w14:paraId="7CE724B0"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530E4A43" w14:textId="77777777">
              <w:trPr>
                <w:trHeight w:val="270"/>
              </w:trPr>
              <w:tc>
                <w:tcPr>
                  <w:tcW w:w="1393" w:type="pct"/>
                  <w:noWrap/>
                  <w:hideMark/>
                </w:tcPr>
                <w:p w:rsidRPr="002A1F9A" w:rsidR="00850DFF" w:rsidP="00850DFF" w:rsidRDefault="00850DFF" w14:paraId="65250A03" w14:textId="77777777">
                  <w:pPr>
                    <w:spacing w:before="0" w:after="0"/>
                    <w:rPr>
                      <w:rFonts w:ascii="Verdana" w:hAnsi="Verdana"/>
                      <w:b/>
                      <w:bCs/>
                      <w:color w:val="000000"/>
                      <w:sz w:val="16"/>
                      <w:szCs w:val="16"/>
                    </w:rPr>
                  </w:pPr>
                  <w:r w:rsidRPr="002A1F9A">
                    <w:rPr>
                      <w:rFonts w:ascii="Verdana" w:hAnsi="Verdana"/>
                      <w:b/>
                      <w:bCs/>
                      <w:sz w:val="16"/>
                      <w:szCs w:val="16"/>
                    </w:rPr>
                    <w:t>2014</w:t>
                  </w:r>
                </w:p>
              </w:tc>
              <w:tc>
                <w:tcPr>
                  <w:tcW w:w="1803" w:type="pct"/>
                  <w:noWrap/>
                  <w:hideMark/>
                </w:tcPr>
                <w:p w:rsidRPr="002A1F9A" w:rsidR="00850DFF" w:rsidP="00850DFF" w:rsidRDefault="00850DFF" w14:paraId="58FDF6CC" w14:textId="77777777">
                  <w:pPr>
                    <w:spacing w:before="0" w:after="0"/>
                    <w:jc w:val="right"/>
                    <w:rPr>
                      <w:rFonts w:ascii="Verdana" w:hAnsi="Verdana"/>
                      <w:color w:val="000000"/>
                      <w:sz w:val="16"/>
                      <w:szCs w:val="16"/>
                    </w:rPr>
                  </w:pPr>
                  <w:r w:rsidRPr="002A1F9A">
                    <w:rPr>
                      <w:rFonts w:ascii="Verdana" w:hAnsi="Verdana"/>
                      <w:sz w:val="16"/>
                      <w:szCs w:val="16"/>
                    </w:rPr>
                    <w:t>4.873.800</w:t>
                  </w:r>
                </w:p>
              </w:tc>
              <w:tc>
                <w:tcPr>
                  <w:tcW w:w="1804" w:type="pct"/>
                  <w:noWrap/>
                  <w:hideMark/>
                </w:tcPr>
                <w:p w:rsidRPr="002A1F9A" w:rsidR="00850DFF" w:rsidP="00850DFF" w:rsidRDefault="00850DFF" w14:paraId="21F1C48E"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73E98DB4" w14:textId="77777777">
              <w:trPr>
                <w:trHeight w:val="270"/>
              </w:trPr>
              <w:tc>
                <w:tcPr>
                  <w:tcW w:w="1393" w:type="pct"/>
                  <w:noWrap/>
                  <w:hideMark/>
                </w:tcPr>
                <w:p w:rsidRPr="002A1F9A" w:rsidR="00850DFF" w:rsidP="00850DFF" w:rsidRDefault="00850DFF" w14:paraId="6643BB89" w14:textId="77777777">
                  <w:pPr>
                    <w:spacing w:before="0" w:after="0"/>
                    <w:rPr>
                      <w:rFonts w:ascii="Verdana" w:hAnsi="Verdana"/>
                      <w:b/>
                      <w:bCs/>
                      <w:color w:val="000000"/>
                      <w:sz w:val="16"/>
                      <w:szCs w:val="16"/>
                    </w:rPr>
                  </w:pPr>
                  <w:r w:rsidRPr="002A1F9A">
                    <w:rPr>
                      <w:rFonts w:ascii="Verdana" w:hAnsi="Verdana"/>
                      <w:b/>
                      <w:bCs/>
                      <w:sz w:val="16"/>
                      <w:szCs w:val="16"/>
                    </w:rPr>
                    <w:t>2015</w:t>
                  </w:r>
                </w:p>
              </w:tc>
              <w:tc>
                <w:tcPr>
                  <w:tcW w:w="1803" w:type="pct"/>
                  <w:noWrap/>
                  <w:hideMark/>
                </w:tcPr>
                <w:p w:rsidRPr="002A1F9A" w:rsidR="00850DFF" w:rsidP="00850DFF" w:rsidRDefault="00850DFF" w14:paraId="4F7E76BF" w14:textId="77777777">
                  <w:pPr>
                    <w:spacing w:before="0" w:after="0"/>
                    <w:jc w:val="right"/>
                    <w:rPr>
                      <w:rFonts w:ascii="Verdana" w:hAnsi="Verdana"/>
                      <w:color w:val="000000"/>
                      <w:sz w:val="16"/>
                      <w:szCs w:val="16"/>
                    </w:rPr>
                  </w:pPr>
                  <w:r w:rsidRPr="002A1F9A">
                    <w:rPr>
                      <w:rFonts w:ascii="Verdana" w:hAnsi="Verdana"/>
                      <w:sz w:val="16"/>
                      <w:szCs w:val="16"/>
                    </w:rPr>
                    <w:t>4.880.700</w:t>
                  </w:r>
                </w:p>
              </w:tc>
              <w:tc>
                <w:tcPr>
                  <w:tcW w:w="1804" w:type="pct"/>
                  <w:noWrap/>
                  <w:hideMark/>
                </w:tcPr>
                <w:p w:rsidRPr="002A1F9A" w:rsidR="00850DFF" w:rsidP="00850DFF" w:rsidRDefault="00850DFF" w14:paraId="419E6084"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683C1FFD" w14:textId="77777777">
              <w:trPr>
                <w:trHeight w:val="270"/>
              </w:trPr>
              <w:tc>
                <w:tcPr>
                  <w:tcW w:w="1393" w:type="pct"/>
                  <w:noWrap/>
                  <w:hideMark/>
                </w:tcPr>
                <w:p w:rsidRPr="002A1F9A" w:rsidR="00850DFF" w:rsidP="00850DFF" w:rsidRDefault="00850DFF" w14:paraId="61EE25DA" w14:textId="77777777">
                  <w:pPr>
                    <w:spacing w:before="0" w:after="0"/>
                    <w:rPr>
                      <w:rFonts w:ascii="Verdana" w:hAnsi="Verdana"/>
                      <w:b/>
                      <w:bCs/>
                      <w:color w:val="000000"/>
                      <w:sz w:val="16"/>
                      <w:szCs w:val="16"/>
                    </w:rPr>
                  </w:pPr>
                  <w:r w:rsidRPr="002A1F9A">
                    <w:rPr>
                      <w:rFonts w:ascii="Verdana" w:hAnsi="Verdana"/>
                      <w:b/>
                      <w:bCs/>
                      <w:sz w:val="16"/>
                      <w:szCs w:val="16"/>
                    </w:rPr>
                    <w:t>2016</w:t>
                  </w:r>
                </w:p>
              </w:tc>
              <w:tc>
                <w:tcPr>
                  <w:tcW w:w="1803" w:type="pct"/>
                  <w:noWrap/>
                  <w:hideMark/>
                </w:tcPr>
                <w:p w:rsidRPr="002A1F9A" w:rsidR="00850DFF" w:rsidP="00850DFF" w:rsidRDefault="00850DFF" w14:paraId="082F18F4" w14:textId="77777777">
                  <w:pPr>
                    <w:spacing w:before="0" w:after="0"/>
                    <w:jc w:val="right"/>
                    <w:rPr>
                      <w:rFonts w:ascii="Verdana" w:hAnsi="Verdana"/>
                      <w:color w:val="000000"/>
                      <w:sz w:val="16"/>
                      <w:szCs w:val="16"/>
                    </w:rPr>
                  </w:pPr>
                  <w:r w:rsidRPr="002A1F9A">
                    <w:rPr>
                      <w:rFonts w:ascii="Verdana" w:hAnsi="Verdana"/>
                      <w:sz w:val="16"/>
                      <w:szCs w:val="16"/>
                    </w:rPr>
                    <w:t>4.926.000</w:t>
                  </w:r>
                </w:p>
              </w:tc>
              <w:tc>
                <w:tcPr>
                  <w:tcW w:w="1804" w:type="pct"/>
                  <w:noWrap/>
                  <w:hideMark/>
                </w:tcPr>
                <w:p w:rsidRPr="002A1F9A" w:rsidR="00850DFF" w:rsidP="00850DFF" w:rsidRDefault="00850DFF" w14:paraId="11DD0CAE" w14:textId="77777777">
                  <w:pPr>
                    <w:spacing w:before="0" w:after="0"/>
                    <w:jc w:val="right"/>
                    <w:rPr>
                      <w:rFonts w:ascii="Verdana" w:hAnsi="Verdana"/>
                      <w:color w:val="000000"/>
                      <w:sz w:val="16"/>
                      <w:szCs w:val="16"/>
                    </w:rPr>
                  </w:pPr>
                  <w:r w:rsidRPr="002A1F9A">
                    <w:rPr>
                      <w:rFonts w:ascii="Verdana" w:hAnsi="Verdana"/>
                      <w:sz w:val="16"/>
                      <w:szCs w:val="16"/>
                    </w:rPr>
                    <w:t>1,9%</w:t>
                  </w:r>
                </w:p>
              </w:tc>
            </w:tr>
            <w:tr w:rsidRPr="002A1F9A" w:rsidR="00850DFF" w:rsidTr="00850DFF" w14:paraId="2AC3271A" w14:textId="77777777">
              <w:trPr>
                <w:trHeight w:val="270"/>
              </w:trPr>
              <w:tc>
                <w:tcPr>
                  <w:tcW w:w="1393" w:type="pct"/>
                  <w:noWrap/>
                  <w:hideMark/>
                </w:tcPr>
                <w:p w:rsidRPr="002A1F9A" w:rsidR="00850DFF" w:rsidP="00850DFF" w:rsidRDefault="00850DFF" w14:paraId="65A41043" w14:textId="77777777">
                  <w:pPr>
                    <w:spacing w:before="0" w:after="0"/>
                    <w:rPr>
                      <w:rFonts w:ascii="Verdana" w:hAnsi="Verdana"/>
                      <w:b/>
                      <w:bCs/>
                      <w:color w:val="000000"/>
                      <w:sz w:val="16"/>
                      <w:szCs w:val="16"/>
                    </w:rPr>
                  </w:pPr>
                  <w:r w:rsidRPr="002A1F9A">
                    <w:rPr>
                      <w:rFonts w:ascii="Verdana" w:hAnsi="Verdana"/>
                      <w:b/>
                      <w:bCs/>
                      <w:sz w:val="16"/>
                      <w:szCs w:val="16"/>
                    </w:rPr>
                    <w:t>2017</w:t>
                  </w:r>
                </w:p>
              </w:tc>
              <w:tc>
                <w:tcPr>
                  <w:tcW w:w="1803" w:type="pct"/>
                  <w:noWrap/>
                  <w:hideMark/>
                </w:tcPr>
                <w:p w:rsidRPr="002A1F9A" w:rsidR="00850DFF" w:rsidP="00850DFF" w:rsidRDefault="00850DFF" w14:paraId="6210D4FF" w14:textId="77777777">
                  <w:pPr>
                    <w:spacing w:before="0" w:after="0"/>
                    <w:jc w:val="right"/>
                    <w:rPr>
                      <w:rFonts w:ascii="Verdana" w:hAnsi="Verdana"/>
                      <w:color w:val="000000"/>
                      <w:sz w:val="16"/>
                      <w:szCs w:val="16"/>
                    </w:rPr>
                  </w:pPr>
                  <w:r w:rsidRPr="002A1F9A">
                    <w:rPr>
                      <w:rFonts w:ascii="Verdana" w:hAnsi="Verdana"/>
                      <w:sz w:val="16"/>
                      <w:szCs w:val="16"/>
                    </w:rPr>
                    <w:t>4.957.900</w:t>
                  </w:r>
                </w:p>
              </w:tc>
              <w:tc>
                <w:tcPr>
                  <w:tcW w:w="1804" w:type="pct"/>
                  <w:noWrap/>
                  <w:hideMark/>
                </w:tcPr>
                <w:p w:rsidRPr="002A1F9A" w:rsidR="00850DFF" w:rsidP="00850DFF" w:rsidRDefault="00850DFF" w14:paraId="3AC821BD"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2B40C464" w14:textId="77777777">
              <w:trPr>
                <w:trHeight w:val="270"/>
              </w:trPr>
              <w:tc>
                <w:tcPr>
                  <w:tcW w:w="1393" w:type="pct"/>
                  <w:noWrap/>
                  <w:hideMark/>
                </w:tcPr>
                <w:p w:rsidRPr="002A1F9A" w:rsidR="00850DFF" w:rsidP="00850DFF" w:rsidRDefault="00850DFF" w14:paraId="1BBFE950" w14:textId="77777777">
                  <w:pPr>
                    <w:spacing w:before="0" w:after="0"/>
                    <w:rPr>
                      <w:rFonts w:ascii="Verdana" w:hAnsi="Verdana"/>
                      <w:b/>
                      <w:bCs/>
                      <w:color w:val="000000"/>
                      <w:sz w:val="16"/>
                      <w:szCs w:val="16"/>
                    </w:rPr>
                  </w:pPr>
                  <w:r w:rsidRPr="002A1F9A">
                    <w:rPr>
                      <w:rFonts w:ascii="Verdana" w:hAnsi="Verdana"/>
                      <w:b/>
                      <w:bCs/>
                      <w:sz w:val="16"/>
                      <w:szCs w:val="16"/>
                    </w:rPr>
                    <w:t>2018</w:t>
                  </w:r>
                </w:p>
              </w:tc>
              <w:tc>
                <w:tcPr>
                  <w:tcW w:w="1803" w:type="pct"/>
                  <w:noWrap/>
                  <w:hideMark/>
                </w:tcPr>
                <w:p w:rsidRPr="002A1F9A" w:rsidR="00850DFF" w:rsidP="00850DFF" w:rsidRDefault="00850DFF" w14:paraId="2C6665E0" w14:textId="77777777">
                  <w:pPr>
                    <w:spacing w:before="0" w:after="0"/>
                    <w:jc w:val="right"/>
                    <w:rPr>
                      <w:rFonts w:ascii="Verdana" w:hAnsi="Verdana"/>
                      <w:color w:val="000000"/>
                      <w:sz w:val="16"/>
                      <w:szCs w:val="16"/>
                    </w:rPr>
                  </w:pPr>
                  <w:r w:rsidRPr="002A1F9A">
                    <w:rPr>
                      <w:rFonts w:ascii="Verdana" w:hAnsi="Verdana"/>
                      <w:sz w:val="16"/>
                      <w:szCs w:val="16"/>
                    </w:rPr>
                    <w:t>5.520.900</w:t>
                  </w:r>
                </w:p>
              </w:tc>
              <w:tc>
                <w:tcPr>
                  <w:tcW w:w="1804" w:type="pct"/>
                  <w:noWrap/>
                  <w:hideMark/>
                </w:tcPr>
                <w:p w:rsidRPr="002A1F9A" w:rsidR="00850DFF" w:rsidP="00850DFF" w:rsidRDefault="00850DFF" w14:paraId="6F5F049C"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63013456" w14:textId="77777777">
              <w:trPr>
                <w:trHeight w:val="270"/>
              </w:trPr>
              <w:tc>
                <w:tcPr>
                  <w:tcW w:w="1393" w:type="pct"/>
                  <w:noWrap/>
                  <w:hideMark/>
                </w:tcPr>
                <w:p w:rsidRPr="002A1F9A" w:rsidR="00850DFF" w:rsidP="00850DFF" w:rsidRDefault="00850DFF" w14:paraId="6EBB0392" w14:textId="77777777">
                  <w:pPr>
                    <w:spacing w:before="0" w:after="0"/>
                    <w:rPr>
                      <w:rFonts w:ascii="Verdana" w:hAnsi="Verdana"/>
                      <w:b/>
                      <w:bCs/>
                      <w:color w:val="000000"/>
                      <w:sz w:val="16"/>
                      <w:szCs w:val="16"/>
                    </w:rPr>
                  </w:pPr>
                  <w:r w:rsidRPr="002A1F9A">
                    <w:rPr>
                      <w:rFonts w:ascii="Verdana" w:hAnsi="Verdana"/>
                      <w:b/>
                      <w:bCs/>
                      <w:sz w:val="16"/>
                      <w:szCs w:val="16"/>
                    </w:rPr>
                    <w:t>2019</w:t>
                  </w:r>
                </w:p>
              </w:tc>
              <w:tc>
                <w:tcPr>
                  <w:tcW w:w="1803" w:type="pct"/>
                  <w:noWrap/>
                  <w:hideMark/>
                </w:tcPr>
                <w:p w:rsidRPr="002A1F9A" w:rsidR="00850DFF" w:rsidP="00850DFF" w:rsidRDefault="00850DFF" w14:paraId="1784F0AD" w14:textId="77777777">
                  <w:pPr>
                    <w:spacing w:before="0" w:after="0"/>
                    <w:jc w:val="right"/>
                    <w:rPr>
                      <w:rFonts w:ascii="Verdana" w:hAnsi="Verdana"/>
                      <w:color w:val="000000"/>
                      <w:sz w:val="16"/>
                      <w:szCs w:val="16"/>
                    </w:rPr>
                  </w:pPr>
                  <w:r w:rsidRPr="002A1F9A">
                    <w:rPr>
                      <w:rFonts w:ascii="Verdana" w:hAnsi="Verdana"/>
                      <w:sz w:val="16"/>
                      <w:szCs w:val="16"/>
                    </w:rPr>
                    <w:t>5.625.600</w:t>
                  </w:r>
                </w:p>
              </w:tc>
              <w:tc>
                <w:tcPr>
                  <w:tcW w:w="1804" w:type="pct"/>
                  <w:noWrap/>
                  <w:hideMark/>
                </w:tcPr>
                <w:p w:rsidRPr="002A1F9A" w:rsidR="00850DFF" w:rsidP="00850DFF" w:rsidRDefault="00850DFF" w14:paraId="6211E168" w14:textId="77777777">
                  <w:pPr>
                    <w:spacing w:before="0" w:after="0"/>
                    <w:jc w:val="right"/>
                    <w:rPr>
                      <w:rFonts w:ascii="Verdana" w:hAnsi="Verdana"/>
                      <w:color w:val="000000"/>
                      <w:sz w:val="16"/>
                      <w:szCs w:val="16"/>
                    </w:rPr>
                  </w:pPr>
                  <w:r w:rsidRPr="002A1F9A">
                    <w:rPr>
                      <w:rFonts w:ascii="Verdana" w:hAnsi="Verdana"/>
                      <w:sz w:val="16"/>
                      <w:szCs w:val="16"/>
                    </w:rPr>
                    <w:t>1,9%</w:t>
                  </w:r>
                </w:p>
              </w:tc>
            </w:tr>
            <w:tr w:rsidRPr="002A1F9A" w:rsidR="00850DFF" w:rsidTr="00850DFF" w14:paraId="63545C83" w14:textId="77777777">
              <w:trPr>
                <w:trHeight w:val="270"/>
              </w:trPr>
              <w:tc>
                <w:tcPr>
                  <w:tcW w:w="1393" w:type="pct"/>
                  <w:noWrap/>
                  <w:hideMark/>
                </w:tcPr>
                <w:p w:rsidRPr="002A1F9A" w:rsidR="00850DFF" w:rsidP="00850DFF" w:rsidRDefault="00850DFF" w14:paraId="4041B41D" w14:textId="77777777">
                  <w:pPr>
                    <w:spacing w:before="0" w:after="0"/>
                    <w:rPr>
                      <w:rFonts w:ascii="Verdana" w:hAnsi="Verdana"/>
                      <w:b/>
                      <w:bCs/>
                      <w:color w:val="000000"/>
                      <w:sz w:val="16"/>
                      <w:szCs w:val="16"/>
                    </w:rPr>
                  </w:pPr>
                  <w:r w:rsidRPr="002A1F9A">
                    <w:rPr>
                      <w:rFonts w:ascii="Verdana" w:hAnsi="Verdana"/>
                      <w:b/>
                      <w:bCs/>
                      <w:sz w:val="16"/>
                      <w:szCs w:val="16"/>
                    </w:rPr>
                    <w:t>2020</w:t>
                  </w:r>
                </w:p>
              </w:tc>
              <w:tc>
                <w:tcPr>
                  <w:tcW w:w="1803" w:type="pct"/>
                  <w:noWrap/>
                  <w:hideMark/>
                </w:tcPr>
                <w:p w:rsidRPr="002A1F9A" w:rsidR="00850DFF" w:rsidP="00850DFF" w:rsidRDefault="00850DFF" w14:paraId="33A79374" w14:textId="77777777">
                  <w:pPr>
                    <w:spacing w:before="0" w:after="0"/>
                    <w:jc w:val="right"/>
                    <w:rPr>
                      <w:rFonts w:ascii="Verdana" w:hAnsi="Verdana"/>
                      <w:color w:val="000000"/>
                      <w:sz w:val="16"/>
                      <w:szCs w:val="16"/>
                    </w:rPr>
                  </w:pPr>
                  <w:r w:rsidRPr="002A1F9A">
                    <w:rPr>
                      <w:rFonts w:ascii="Verdana" w:hAnsi="Verdana"/>
                      <w:sz w:val="16"/>
                      <w:szCs w:val="16"/>
                    </w:rPr>
                    <w:t>6.063.600</w:t>
                  </w:r>
                </w:p>
              </w:tc>
              <w:tc>
                <w:tcPr>
                  <w:tcW w:w="1804" w:type="pct"/>
                  <w:noWrap/>
                  <w:hideMark/>
                </w:tcPr>
                <w:p w:rsidRPr="002A1F9A" w:rsidR="00850DFF" w:rsidP="00850DFF" w:rsidRDefault="00850DFF" w14:paraId="3ED09797" w14:textId="77777777">
                  <w:pPr>
                    <w:spacing w:before="0" w:after="0"/>
                    <w:jc w:val="right"/>
                    <w:rPr>
                      <w:rFonts w:ascii="Verdana" w:hAnsi="Verdana"/>
                      <w:color w:val="000000"/>
                      <w:sz w:val="16"/>
                      <w:szCs w:val="16"/>
                    </w:rPr>
                  </w:pPr>
                  <w:r w:rsidRPr="002A1F9A">
                    <w:rPr>
                      <w:rFonts w:ascii="Verdana" w:hAnsi="Verdana"/>
                      <w:sz w:val="16"/>
                      <w:szCs w:val="16"/>
                    </w:rPr>
                    <w:t>1,8%</w:t>
                  </w:r>
                </w:p>
              </w:tc>
            </w:tr>
            <w:tr w:rsidRPr="002A1F9A" w:rsidR="00850DFF" w:rsidTr="00850DFF" w14:paraId="41157199" w14:textId="77777777">
              <w:trPr>
                <w:trHeight w:val="270"/>
              </w:trPr>
              <w:tc>
                <w:tcPr>
                  <w:tcW w:w="1393" w:type="pct"/>
                  <w:noWrap/>
                  <w:hideMark/>
                </w:tcPr>
                <w:p w:rsidRPr="002A1F9A" w:rsidR="00850DFF" w:rsidP="00850DFF" w:rsidRDefault="00850DFF" w14:paraId="366DF391" w14:textId="77777777">
                  <w:pPr>
                    <w:spacing w:before="0" w:after="0"/>
                    <w:rPr>
                      <w:rFonts w:ascii="Verdana" w:hAnsi="Verdana"/>
                      <w:b/>
                      <w:bCs/>
                      <w:color w:val="000000"/>
                      <w:sz w:val="16"/>
                      <w:szCs w:val="16"/>
                    </w:rPr>
                  </w:pPr>
                  <w:r w:rsidRPr="002A1F9A">
                    <w:rPr>
                      <w:rFonts w:ascii="Verdana" w:hAnsi="Verdana"/>
                      <w:b/>
                      <w:bCs/>
                      <w:sz w:val="16"/>
                      <w:szCs w:val="16"/>
                    </w:rPr>
                    <w:t>2021</w:t>
                  </w:r>
                </w:p>
              </w:tc>
              <w:tc>
                <w:tcPr>
                  <w:tcW w:w="1803" w:type="pct"/>
                  <w:noWrap/>
                  <w:hideMark/>
                </w:tcPr>
                <w:p w:rsidRPr="002A1F9A" w:rsidR="00850DFF" w:rsidP="00850DFF" w:rsidRDefault="00850DFF" w14:paraId="3325E3AF" w14:textId="77777777">
                  <w:pPr>
                    <w:spacing w:before="0" w:after="0"/>
                    <w:jc w:val="right"/>
                    <w:rPr>
                      <w:rFonts w:ascii="Verdana" w:hAnsi="Verdana"/>
                      <w:color w:val="000000"/>
                      <w:sz w:val="16"/>
                      <w:szCs w:val="16"/>
                    </w:rPr>
                  </w:pPr>
                  <w:r w:rsidRPr="002A1F9A">
                    <w:rPr>
                      <w:rFonts w:ascii="Verdana" w:hAnsi="Verdana"/>
                      <w:sz w:val="16"/>
                      <w:szCs w:val="16"/>
                    </w:rPr>
                    <w:t>6.847.100</w:t>
                  </w:r>
                </w:p>
              </w:tc>
              <w:tc>
                <w:tcPr>
                  <w:tcW w:w="1804" w:type="pct"/>
                  <w:noWrap/>
                  <w:hideMark/>
                </w:tcPr>
                <w:p w:rsidRPr="002A1F9A" w:rsidR="00850DFF" w:rsidP="00850DFF" w:rsidRDefault="00850DFF" w14:paraId="4F9C7A87" w14:textId="77777777">
                  <w:pPr>
                    <w:spacing w:before="0" w:after="0"/>
                    <w:jc w:val="right"/>
                    <w:rPr>
                      <w:rFonts w:ascii="Verdana" w:hAnsi="Verdana"/>
                      <w:color w:val="000000"/>
                      <w:sz w:val="16"/>
                      <w:szCs w:val="16"/>
                    </w:rPr>
                  </w:pPr>
                  <w:r w:rsidRPr="002A1F9A">
                    <w:rPr>
                      <w:rFonts w:ascii="Verdana" w:hAnsi="Verdana"/>
                      <w:sz w:val="16"/>
                      <w:szCs w:val="16"/>
                    </w:rPr>
                    <w:t>2,0%</w:t>
                  </w:r>
                </w:p>
              </w:tc>
            </w:tr>
            <w:tr w:rsidRPr="002A1F9A" w:rsidR="00850DFF" w:rsidTr="00850DFF" w14:paraId="104A88FA" w14:textId="77777777">
              <w:trPr>
                <w:trHeight w:val="270"/>
              </w:trPr>
              <w:tc>
                <w:tcPr>
                  <w:tcW w:w="1393" w:type="pct"/>
                  <w:noWrap/>
                  <w:hideMark/>
                </w:tcPr>
                <w:p w:rsidRPr="002A1F9A" w:rsidR="00850DFF" w:rsidP="00850DFF" w:rsidRDefault="00850DFF" w14:paraId="6EB3CB47" w14:textId="77777777">
                  <w:pPr>
                    <w:spacing w:before="0" w:after="0"/>
                    <w:rPr>
                      <w:rFonts w:ascii="Verdana" w:hAnsi="Verdana"/>
                      <w:b/>
                      <w:bCs/>
                      <w:color w:val="000000"/>
                      <w:sz w:val="16"/>
                      <w:szCs w:val="16"/>
                    </w:rPr>
                  </w:pPr>
                  <w:r w:rsidRPr="002A1F9A">
                    <w:rPr>
                      <w:rFonts w:ascii="Verdana" w:hAnsi="Verdana"/>
                      <w:b/>
                      <w:bCs/>
                      <w:sz w:val="16"/>
                      <w:szCs w:val="16"/>
                    </w:rPr>
                    <w:t>2022</w:t>
                  </w:r>
                </w:p>
              </w:tc>
              <w:tc>
                <w:tcPr>
                  <w:tcW w:w="1803" w:type="pct"/>
                  <w:noWrap/>
                  <w:hideMark/>
                </w:tcPr>
                <w:p w:rsidRPr="002A1F9A" w:rsidR="00850DFF" w:rsidP="00850DFF" w:rsidRDefault="00850DFF" w14:paraId="028A54B0" w14:textId="77777777">
                  <w:pPr>
                    <w:spacing w:before="0" w:after="0"/>
                    <w:jc w:val="right"/>
                    <w:rPr>
                      <w:rFonts w:ascii="Verdana" w:hAnsi="Verdana"/>
                      <w:color w:val="000000"/>
                      <w:sz w:val="16"/>
                      <w:szCs w:val="16"/>
                    </w:rPr>
                  </w:pPr>
                  <w:r w:rsidRPr="002A1F9A">
                    <w:rPr>
                      <w:rFonts w:ascii="Verdana" w:hAnsi="Verdana"/>
                      <w:sz w:val="16"/>
                      <w:szCs w:val="16"/>
                    </w:rPr>
                    <w:t>7.532.900</w:t>
                  </w:r>
                </w:p>
              </w:tc>
              <w:tc>
                <w:tcPr>
                  <w:tcW w:w="1804" w:type="pct"/>
                  <w:noWrap/>
                  <w:hideMark/>
                </w:tcPr>
                <w:p w:rsidRPr="002A1F9A" w:rsidR="00850DFF" w:rsidP="00850DFF" w:rsidRDefault="00850DFF" w14:paraId="0FDF9B03" w14:textId="77777777">
                  <w:pPr>
                    <w:spacing w:before="0" w:after="0"/>
                    <w:jc w:val="right"/>
                    <w:rPr>
                      <w:rFonts w:ascii="Verdana" w:hAnsi="Verdana"/>
                      <w:color w:val="000000"/>
                      <w:sz w:val="16"/>
                      <w:szCs w:val="16"/>
                    </w:rPr>
                  </w:pPr>
                  <w:r w:rsidRPr="002A1F9A">
                    <w:rPr>
                      <w:rFonts w:ascii="Verdana" w:hAnsi="Verdana"/>
                      <w:sz w:val="16"/>
                      <w:szCs w:val="16"/>
                    </w:rPr>
                    <w:t>2,1%</w:t>
                  </w:r>
                </w:p>
              </w:tc>
            </w:tr>
            <w:tr w:rsidRPr="002A1F9A" w:rsidR="00850DFF" w:rsidTr="00850DFF" w14:paraId="1E49B3E6" w14:textId="77777777">
              <w:trPr>
                <w:trHeight w:val="270"/>
              </w:trPr>
              <w:tc>
                <w:tcPr>
                  <w:tcW w:w="1393" w:type="pct"/>
                  <w:noWrap/>
                  <w:hideMark/>
                </w:tcPr>
                <w:p w:rsidRPr="002A1F9A" w:rsidR="00850DFF" w:rsidP="00850DFF" w:rsidRDefault="00850DFF" w14:paraId="1675A2DC" w14:textId="77777777">
                  <w:pPr>
                    <w:spacing w:before="0" w:after="0"/>
                    <w:rPr>
                      <w:rFonts w:ascii="Verdana" w:hAnsi="Verdana"/>
                      <w:b/>
                      <w:bCs/>
                      <w:color w:val="000000"/>
                      <w:sz w:val="16"/>
                      <w:szCs w:val="16"/>
                    </w:rPr>
                  </w:pPr>
                  <w:r w:rsidRPr="002A1F9A">
                    <w:rPr>
                      <w:rFonts w:ascii="Verdana" w:hAnsi="Verdana"/>
                      <w:b/>
                      <w:bCs/>
                      <w:sz w:val="16"/>
                      <w:szCs w:val="16"/>
                    </w:rPr>
                    <w:t>2023</w:t>
                  </w:r>
                </w:p>
              </w:tc>
              <w:tc>
                <w:tcPr>
                  <w:tcW w:w="1803" w:type="pct"/>
                  <w:noWrap/>
                  <w:hideMark/>
                </w:tcPr>
                <w:p w:rsidRPr="002A1F9A" w:rsidR="00850DFF" w:rsidP="00850DFF" w:rsidRDefault="00850DFF" w14:paraId="39F582B3" w14:textId="77777777">
                  <w:pPr>
                    <w:spacing w:before="0" w:after="0"/>
                    <w:jc w:val="right"/>
                    <w:rPr>
                      <w:rFonts w:ascii="Verdana" w:hAnsi="Verdana"/>
                      <w:color w:val="000000"/>
                      <w:sz w:val="16"/>
                      <w:szCs w:val="16"/>
                    </w:rPr>
                  </w:pPr>
                  <w:r w:rsidRPr="002A1F9A">
                    <w:rPr>
                      <w:rFonts w:ascii="Verdana" w:hAnsi="Verdana"/>
                      <w:sz w:val="16"/>
                      <w:szCs w:val="16"/>
                    </w:rPr>
                    <w:t>8.532.000</w:t>
                  </w:r>
                </w:p>
              </w:tc>
              <w:tc>
                <w:tcPr>
                  <w:tcW w:w="1804" w:type="pct"/>
                  <w:noWrap/>
                  <w:hideMark/>
                </w:tcPr>
                <w:p w:rsidRPr="002A1F9A" w:rsidR="00850DFF" w:rsidP="00850DFF" w:rsidRDefault="00850DFF" w14:paraId="1AA3F063" w14:textId="77777777">
                  <w:pPr>
                    <w:spacing w:before="0" w:after="0"/>
                    <w:jc w:val="right"/>
                    <w:rPr>
                      <w:rFonts w:ascii="Verdana" w:hAnsi="Verdana"/>
                      <w:color w:val="000000"/>
                      <w:sz w:val="16"/>
                      <w:szCs w:val="16"/>
                    </w:rPr>
                  </w:pPr>
                  <w:r w:rsidRPr="002A1F9A">
                    <w:rPr>
                      <w:rFonts w:ascii="Verdana" w:hAnsi="Verdana"/>
                      <w:sz w:val="16"/>
                      <w:szCs w:val="16"/>
                    </w:rPr>
                    <w:t>2,3%</w:t>
                  </w:r>
                </w:p>
              </w:tc>
            </w:tr>
            <w:tr w:rsidRPr="002A1F9A" w:rsidR="00850DFF" w:rsidTr="00850DFF" w14:paraId="1842E9A6" w14:textId="77777777">
              <w:trPr>
                <w:trHeight w:val="270"/>
              </w:trPr>
              <w:tc>
                <w:tcPr>
                  <w:tcW w:w="1393" w:type="pct"/>
                  <w:noWrap/>
                  <w:hideMark/>
                </w:tcPr>
                <w:p w:rsidRPr="002A1F9A" w:rsidR="00850DFF" w:rsidP="00850DFF" w:rsidRDefault="00850DFF" w14:paraId="0C873F4C" w14:textId="77777777">
                  <w:pPr>
                    <w:spacing w:before="0" w:after="0"/>
                    <w:rPr>
                      <w:rFonts w:ascii="Verdana" w:hAnsi="Verdana"/>
                      <w:b/>
                      <w:bCs/>
                      <w:color w:val="000000"/>
                      <w:sz w:val="16"/>
                      <w:szCs w:val="16"/>
                    </w:rPr>
                  </w:pPr>
                  <w:r w:rsidRPr="002A1F9A">
                    <w:rPr>
                      <w:rFonts w:ascii="Verdana" w:hAnsi="Verdana"/>
                      <w:b/>
                      <w:bCs/>
                      <w:sz w:val="16"/>
                      <w:szCs w:val="16"/>
                    </w:rPr>
                    <w:t>2024</w:t>
                  </w:r>
                </w:p>
              </w:tc>
              <w:tc>
                <w:tcPr>
                  <w:tcW w:w="1803" w:type="pct"/>
                  <w:noWrap/>
                  <w:hideMark/>
                </w:tcPr>
                <w:p w:rsidRPr="002A1F9A" w:rsidR="00850DFF" w:rsidP="00850DFF" w:rsidRDefault="00850DFF" w14:paraId="3B93F7B0" w14:textId="77777777">
                  <w:pPr>
                    <w:spacing w:before="0" w:after="0"/>
                    <w:jc w:val="right"/>
                    <w:rPr>
                      <w:rFonts w:ascii="Verdana" w:hAnsi="Verdana"/>
                      <w:color w:val="000000"/>
                      <w:sz w:val="16"/>
                      <w:szCs w:val="16"/>
                    </w:rPr>
                  </w:pPr>
                  <w:r w:rsidRPr="002A1F9A">
                    <w:rPr>
                      <w:rFonts w:ascii="Verdana" w:hAnsi="Verdana"/>
                      <w:sz w:val="16"/>
                      <w:szCs w:val="16"/>
                    </w:rPr>
                    <w:t>9.735.400</w:t>
                  </w:r>
                </w:p>
              </w:tc>
              <w:tc>
                <w:tcPr>
                  <w:tcW w:w="1804" w:type="pct"/>
                  <w:noWrap/>
                  <w:hideMark/>
                </w:tcPr>
                <w:p w:rsidRPr="002A1F9A" w:rsidR="00850DFF" w:rsidP="00850DFF" w:rsidRDefault="00850DFF" w14:paraId="3691F3CE" w14:textId="77777777">
                  <w:pPr>
                    <w:spacing w:before="0" w:after="0"/>
                    <w:jc w:val="right"/>
                    <w:rPr>
                      <w:rFonts w:ascii="Verdana" w:hAnsi="Verdana"/>
                      <w:color w:val="000000"/>
                      <w:sz w:val="16"/>
                      <w:szCs w:val="16"/>
                    </w:rPr>
                  </w:pPr>
                  <w:r w:rsidRPr="002A1F9A">
                    <w:rPr>
                      <w:rFonts w:ascii="Verdana" w:hAnsi="Verdana"/>
                      <w:sz w:val="16"/>
                      <w:szCs w:val="16"/>
                    </w:rPr>
                    <w:t>2,5%</w:t>
                  </w:r>
                </w:p>
              </w:tc>
            </w:tr>
            <w:tr w:rsidRPr="002A1F9A" w:rsidR="00850DFF" w:rsidTr="00850DFF" w14:paraId="4B4E4F73" w14:textId="77777777">
              <w:trPr>
                <w:trHeight w:val="270"/>
              </w:trPr>
              <w:tc>
                <w:tcPr>
                  <w:tcW w:w="1393" w:type="pct"/>
                  <w:noWrap/>
                  <w:hideMark/>
                </w:tcPr>
                <w:p w:rsidRPr="002A1F9A" w:rsidR="00850DFF" w:rsidP="00850DFF" w:rsidRDefault="00850DFF" w14:paraId="5A0A478A" w14:textId="77777777">
                  <w:pPr>
                    <w:spacing w:before="0" w:after="0"/>
                    <w:rPr>
                      <w:rFonts w:ascii="Verdana" w:hAnsi="Verdana"/>
                      <w:b/>
                      <w:bCs/>
                      <w:color w:val="000000"/>
                      <w:sz w:val="16"/>
                      <w:szCs w:val="16"/>
                    </w:rPr>
                  </w:pPr>
                  <w:r w:rsidRPr="002A1F9A">
                    <w:rPr>
                      <w:rFonts w:ascii="Verdana" w:hAnsi="Verdana"/>
                      <w:b/>
                      <w:bCs/>
                      <w:sz w:val="16"/>
                      <w:szCs w:val="16"/>
                    </w:rPr>
                    <w:t>2025</w:t>
                  </w:r>
                </w:p>
              </w:tc>
              <w:tc>
                <w:tcPr>
                  <w:tcW w:w="1803" w:type="pct"/>
                  <w:noWrap/>
                  <w:hideMark/>
                </w:tcPr>
                <w:p w:rsidRPr="002A1F9A" w:rsidR="00850DFF" w:rsidP="00850DFF" w:rsidRDefault="00850DFF" w14:paraId="576768DA" w14:textId="77777777">
                  <w:pPr>
                    <w:spacing w:before="0" w:after="0"/>
                    <w:jc w:val="right"/>
                    <w:rPr>
                      <w:rFonts w:ascii="Verdana" w:hAnsi="Verdana"/>
                      <w:color w:val="000000"/>
                      <w:sz w:val="16"/>
                      <w:szCs w:val="16"/>
                    </w:rPr>
                  </w:pPr>
                  <w:r w:rsidRPr="002A1F9A">
                    <w:rPr>
                      <w:rFonts w:ascii="Verdana" w:hAnsi="Verdana"/>
                      <w:sz w:val="16"/>
                      <w:szCs w:val="16"/>
                    </w:rPr>
                    <w:t>9.653.600</w:t>
                  </w:r>
                </w:p>
              </w:tc>
              <w:tc>
                <w:tcPr>
                  <w:tcW w:w="1804" w:type="pct"/>
                  <w:noWrap/>
                  <w:hideMark/>
                </w:tcPr>
                <w:p w:rsidRPr="002A1F9A" w:rsidR="00850DFF" w:rsidP="00850DFF" w:rsidRDefault="00850DFF" w14:paraId="352E465E" w14:textId="77777777">
                  <w:pPr>
                    <w:spacing w:before="0" w:after="0"/>
                    <w:jc w:val="right"/>
                    <w:rPr>
                      <w:rFonts w:ascii="Verdana" w:hAnsi="Verdana"/>
                      <w:color w:val="000000"/>
                      <w:sz w:val="16"/>
                      <w:szCs w:val="16"/>
                    </w:rPr>
                  </w:pPr>
                  <w:r w:rsidRPr="002A1F9A">
                    <w:rPr>
                      <w:rFonts w:ascii="Verdana" w:hAnsi="Verdana"/>
                      <w:sz w:val="16"/>
                      <w:szCs w:val="16"/>
                    </w:rPr>
                    <w:t>2,3%</w:t>
                  </w:r>
                </w:p>
              </w:tc>
            </w:tr>
            <w:tr w:rsidRPr="002A1F9A" w:rsidR="00850DFF" w:rsidTr="00850DFF" w14:paraId="135C9FAB" w14:textId="77777777">
              <w:trPr>
                <w:trHeight w:val="270"/>
              </w:trPr>
              <w:tc>
                <w:tcPr>
                  <w:tcW w:w="1393" w:type="pct"/>
                  <w:noWrap/>
                  <w:hideMark/>
                </w:tcPr>
                <w:p w:rsidRPr="002A1F9A" w:rsidR="00850DFF" w:rsidP="00850DFF" w:rsidRDefault="00850DFF" w14:paraId="164ADDAD" w14:textId="77777777">
                  <w:pPr>
                    <w:spacing w:before="0" w:after="0"/>
                    <w:rPr>
                      <w:rFonts w:ascii="Verdana" w:hAnsi="Verdana"/>
                      <w:b/>
                      <w:bCs/>
                      <w:color w:val="000000"/>
                      <w:sz w:val="16"/>
                      <w:szCs w:val="16"/>
                    </w:rPr>
                  </w:pPr>
                  <w:r w:rsidRPr="002A1F9A">
                    <w:rPr>
                      <w:rFonts w:ascii="Verdana" w:hAnsi="Verdana"/>
                      <w:b/>
                      <w:bCs/>
                      <w:sz w:val="16"/>
                      <w:szCs w:val="16"/>
                    </w:rPr>
                    <w:t>2026</w:t>
                  </w:r>
                </w:p>
              </w:tc>
              <w:tc>
                <w:tcPr>
                  <w:tcW w:w="1803" w:type="pct"/>
                  <w:noWrap/>
                  <w:hideMark/>
                </w:tcPr>
                <w:p w:rsidRPr="002A1F9A" w:rsidR="00850DFF" w:rsidP="00850DFF" w:rsidRDefault="00850DFF" w14:paraId="5126E2BB" w14:textId="77777777">
                  <w:pPr>
                    <w:spacing w:before="0" w:after="0"/>
                    <w:jc w:val="right"/>
                    <w:rPr>
                      <w:rFonts w:ascii="Verdana" w:hAnsi="Verdana"/>
                      <w:color w:val="000000"/>
                      <w:sz w:val="16"/>
                      <w:szCs w:val="16"/>
                    </w:rPr>
                  </w:pPr>
                  <w:r w:rsidRPr="002A1F9A">
                    <w:rPr>
                      <w:rFonts w:ascii="Verdana" w:hAnsi="Verdana"/>
                      <w:sz w:val="16"/>
                      <w:szCs w:val="16"/>
                    </w:rPr>
                    <w:t>9.507.100</w:t>
                  </w:r>
                </w:p>
              </w:tc>
              <w:tc>
                <w:tcPr>
                  <w:tcW w:w="1804" w:type="pct"/>
                  <w:noWrap/>
                  <w:hideMark/>
                </w:tcPr>
                <w:p w:rsidRPr="002A1F9A" w:rsidR="00850DFF" w:rsidP="00850DFF" w:rsidRDefault="00850DFF" w14:paraId="5BD4F234" w14:textId="77777777">
                  <w:pPr>
                    <w:spacing w:before="0" w:after="0"/>
                    <w:jc w:val="right"/>
                    <w:rPr>
                      <w:rFonts w:ascii="Verdana" w:hAnsi="Verdana"/>
                      <w:color w:val="000000"/>
                      <w:sz w:val="16"/>
                      <w:szCs w:val="16"/>
                    </w:rPr>
                  </w:pPr>
                  <w:r w:rsidRPr="002A1F9A">
                    <w:rPr>
                      <w:rFonts w:ascii="Verdana" w:hAnsi="Verdana"/>
                      <w:sz w:val="16"/>
                      <w:szCs w:val="16"/>
                    </w:rPr>
                    <w:t>2,1%</w:t>
                  </w:r>
                </w:p>
              </w:tc>
            </w:tr>
            <w:tr w:rsidRPr="002A1F9A" w:rsidR="00850DFF" w:rsidTr="00850DFF" w14:paraId="433033C2" w14:textId="77777777">
              <w:trPr>
                <w:trHeight w:val="270"/>
              </w:trPr>
              <w:tc>
                <w:tcPr>
                  <w:tcW w:w="1393" w:type="pct"/>
                  <w:noWrap/>
                  <w:hideMark/>
                </w:tcPr>
                <w:p w:rsidRPr="002A1F9A" w:rsidR="00850DFF" w:rsidP="00850DFF" w:rsidRDefault="00850DFF" w14:paraId="63661060" w14:textId="77777777">
                  <w:pPr>
                    <w:spacing w:before="0" w:after="0"/>
                    <w:rPr>
                      <w:rFonts w:ascii="Verdana" w:hAnsi="Verdana"/>
                      <w:b/>
                      <w:bCs/>
                      <w:color w:val="000000"/>
                      <w:sz w:val="16"/>
                      <w:szCs w:val="16"/>
                    </w:rPr>
                  </w:pPr>
                  <w:r w:rsidRPr="002A1F9A">
                    <w:rPr>
                      <w:rFonts w:ascii="Verdana" w:hAnsi="Verdana"/>
                      <w:b/>
                      <w:bCs/>
                      <w:sz w:val="16"/>
                      <w:szCs w:val="16"/>
                    </w:rPr>
                    <w:t>2027</w:t>
                  </w:r>
                </w:p>
              </w:tc>
              <w:tc>
                <w:tcPr>
                  <w:tcW w:w="1803" w:type="pct"/>
                  <w:noWrap/>
                  <w:hideMark/>
                </w:tcPr>
                <w:p w:rsidRPr="002A1F9A" w:rsidR="00850DFF" w:rsidP="00850DFF" w:rsidRDefault="00850DFF" w14:paraId="5D8F27FD" w14:textId="77777777">
                  <w:pPr>
                    <w:spacing w:before="0" w:after="0"/>
                    <w:jc w:val="right"/>
                    <w:rPr>
                      <w:rFonts w:ascii="Verdana" w:hAnsi="Verdana"/>
                      <w:color w:val="000000"/>
                      <w:sz w:val="16"/>
                      <w:szCs w:val="16"/>
                    </w:rPr>
                  </w:pPr>
                  <w:r w:rsidRPr="002A1F9A">
                    <w:rPr>
                      <w:rFonts w:ascii="Verdana" w:hAnsi="Verdana"/>
                      <w:sz w:val="16"/>
                      <w:szCs w:val="16"/>
                    </w:rPr>
                    <w:t>9.042.800</w:t>
                  </w:r>
                </w:p>
              </w:tc>
              <w:tc>
                <w:tcPr>
                  <w:tcW w:w="1804" w:type="pct"/>
                  <w:noWrap/>
                  <w:hideMark/>
                </w:tcPr>
                <w:p w:rsidRPr="002A1F9A" w:rsidR="00850DFF" w:rsidP="00850DFF" w:rsidRDefault="00850DFF" w14:paraId="57FDEB14" w14:textId="77777777">
                  <w:pPr>
                    <w:spacing w:before="0" w:after="0"/>
                    <w:jc w:val="right"/>
                    <w:rPr>
                      <w:rFonts w:ascii="Verdana" w:hAnsi="Verdana"/>
                      <w:color w:val="000000"/>
                      <w:sz w:val="16"/>
                      <w:szCs w:val="16"/>
                    </w:rPr>
                  </w:pPr>
                  <w:r w:rsidRPr="002A1F9A">
                    <w:rPr>
                      <w:rFonts w:ascii="Verdana" w:hAnsi="Verdana"/>
                      <w:sz w:val="16"/>
                      <w:szCs w:val="16"/>
                    </w:rPr>
                    <w:t>1,9%</w:t>
                  </w:r>
                </w:p>
              </w:tc>
            </w:tr>
            <w:tr w:rsidRPr="002A1F9A" w:rsidR="00850DFF" w:rsidTr="00850DFF" w14:paraId="79B42E56" w14:textId="77777777">
              <w:trPr>
                <w:trHeight w:val="270"/>
              </w:trPr>
              <w:tc>
                <w:tcPr>
                  <w:tcW w:w="1393" w:type="pct"/>
                  <w:noWrap/>
                  <w:hideMark/>
                </w:tcPr>
                <w:p w:rsidRPr="002A1F9A" w:rsidR="00850DFF" w:rsidP="00850DFF" w:rsidRDefault="00850DFF" w14:paraId="2B3E7CFC" w14:textId="77777777">
                  <w:pPr>
                    <w:spacing w:before="0" w:after="0"/>
                    <w:rPr>
                      <w:rFonts w:ascii="Verdana" w:hAnsi="Verdana"/>
                      <w:b/>
                      <w:bCs/>
                      <w:color w:val="000000"/>
                      <w:sz w:val="16"/>
                      <w:szCs w:val="16"/>
                    </w:rPr>
                  </w:pPr>
                  <w:r w:rsidRPr="002A1F9A">
                    <w:rPr>
                      <w:rFonts w:ascii="Verdana" w:hAnsi="Verdana"/>
                      <w:b/>
                      <w:bCs/>
                      <w:sz w:val="16"/>
                      <w:szCs w:val="16"/>
                    </w:rPr>
                    <w:t>2028</w:t>
                  </w:r>
                </w:p>
              </w:tc>
              <w:tc>
                <w:tcPr>
                  <w:tcW w:w="1803" w:type="pct"/>
                  <w:noWrap/>
                  <w:hideMark/>
                </w:tcPr>
                <w:p w:rsidRPr="002A1F9A" w:rsidR="00850DFF" w:rsidP="00850DFF" w:rsidRDefault="00850DFF" w14:paraId="174D8B6B" w14:textId="77777777">
                  <w:pPr>
                    <w:spacing w:before="0" w:after="0"/>
                    <w:jc w:val="right"/>
                    <w:rPr>
                      <w:rFonts w:ascii="Verdana" w:hAnsi="Verdana"/>
                      <w:color w:val="000000"/>
                      <w:sz w:val="16"/>
                      <w:szCs w:val="16"/>
                    </w:rPr>
                  </w:pPr>
                  <w:r w:rsidRPr="002A1F9A">
                    <w:rPr>
                      <w:rFonts w:ascii="Verdana" w:hAnsi="Verdana"/>
                      <w:sz w:val="16"/>
                      <w:szCs w:val="16"/>
                    </w:rPr>
                    <w:t>8.874.200</w:t>
                  </w:r>
                </w:p>
              </w:tc>
              <w:tc>
                <w:tcPr>
                  <w:tcW w:w="1804" w:type="pct"/>
                  <w:noWrap/>
                  <w:hideMark/>
                </w:tcPr>
                <w:p w:rsidRPr="002A1F9A" w:rsidR="00850DFF" w:rsidP="00850DFF" w:rsidRDefault="00850DFF" w14:paraId="14EA405F" w14:textId="77777777">
                  <w:pPr>
                    <w:spacing w:before="0" w:after="0"/>
                    <w:jc w:val="right"/>
                    <w:rPr>
                      <w:rFonts w:ascii="Verdana" w:hAnsi="Verdana"/>
                      <w:color w:val="000000"/>
                      <w:sz w:val="16"/>
                      <w:szCs w:val="16"/>
                    </w:rPr>
                  </w:pPr>
                  <w:r w:rsidRPr="002A1F9A">
                    <w:rPr>
                      <w:rFonts w:ascii="Verdana" w:hAnsi="Verdana"/>
                      <w:sz w:val="16"/>
                      <w:szCs w:val="16"/>
                    </w:rPr>
                    <w:t>1,8%</w:t>
                  </w:r>
                </w:p>
              </w:tc>
            </w:tr>
            <w:tr w:rsidRPr="002A1F9A" w:rsidR="00850DFF" w:rsidTr="00850DFF" w14:paraId="200BC522" w14:textId="77777777">
              <w:trPr>
                <w:trHeight w:val="270"/>
              </w:trPr>
              <w:tc>
                <w:tcPr>
                  <w:tcW w:w="1393" w:type="pct"/>
                  <w:noWrap/>
                  <w:hideMark/>
                </w:tcPr>
                <w:p w:rsidRPr="002A1F9A" w:rsidR="00850DFF" w:rsidP="00850DFF" w:rsidRDefault="00850DFF" w14:paraId="1062916E" w14:textId="77777777">
                  <w:pPr>
                    <w:spacing w:before="0" w:after="0"/>
                    <w:rPr>
                      <w:rFonts w:ascii="Verdana" w:hAnsi="Verdana"/>
                      <w:b/>
                      <w:bCs/>
                      <w:color w:val="000000"/>
                      <w:sz w:val="16"/>
                      <w:szCs w:val="16"/>
                    </w:rPr>
                  </w:pPr>
                  <w:r w:rsidRPr="002A1F9A">
                    <w:rPr>
                      <w:rFonts w:ascii="Verdana" w:hAnsi="Verdana"/>
                      <w:b/>
                      <w:bCs/>
                      <w:sz w:val="16"/>
                      <w:szCs w:val="16"/>
                    </w:rPr>
                    <w:t>2029</w:t>
                  </w:r>
                </w:p>
              </w:tc>
              <w:tc>
                <w:tcPr>
                  <w:tcW w:w="1803" w:type="pct"/>
                  <w:noWrap/>
                  <w:hideMark/>
                </w:tcPr>
                <w:p w:rsidRPr="002A1F9A" w:rsidR="00850DFF" w:rsidP="00850DFF" w:rsidRDefault="00850DFF" w14:paraId="3071E9ED" w14:textId="77777777">
                  <w:pPr>
                    <w:spacing w:before="0" w:after="0"/>
                    <w:jc w:val="right"/>
                    <w:rPr>
                      <w:rFonts w:ascii="Verdana" w:hAnsi="Verdana"/>
                      <w:color w:val="000000"/>
                      <w:sz w:val="16"/>
                      <w:szCs w:val="16"/>
                    </w:rPr>
                  </w:pPr>
                  <w:r w:rsidRPr="002A1F9A">
                    <w:rPr>
                      <w:rFonts w:ascii="Verdana" w:hAnsi="Verdana"/>
                      <w:sz w:val="16"/>
                      <w:szCs w:val="16"/>
                    </w:rPr>
                    <w:t>8.386.500</w:t>
                  </w:r>
                </w:p>
              </w:tc>
              <w:tc>
                <w:tcPr>
                  <w:tcW w:w="1804" w:type="pct"/>
                  <w:noWrap/>
                  <w:hideMark/>
                </w:tcPr>
                <w:p w:rsidRPr="002A1F9A" w:rsidR="00850DFF" w:rsidP="00850DFF" w:rsidRDefault="00850DFF" w14:paraId="1D27EF15" w14:textId="77777777">
                  <w:pPr>
                    <w:spacing w:before="0" w:after="0"/>
                    <w:jc w:val="right"/>
                    <w:rPr>
                      <w:rFonts w:ascii="Verdana" w:hAnsi="Verdana"/>
                      <w:color w:val="000000"/>
                      <w:sz w:val="16"/>
                      <w:szCs w:val="16"/>
                    </w:rPr>
                  </w:pPr>
                  <w:r w:rsidRPr="002A1F9A">
                    <w:rPr>
                      <w:rFonts w:ascii="Verdana" w:hAnsi="Verdana"/>
                      <w:sz w:val="16"/>
                      <w:szCs w:val="16"/>
                    </w:rPr>
                    <w:t>1,6%</w:t>
                  </w:r>
                </w:p>
              </w:tc>
            </w:tr>
          </w:tbl>
          <w:p w:rsidRPr="002A1F9A" w:rsidR="00850DFF" w:rsidP="00850DFF" w:rsidRDefault="00850DFF" w14:paraId="7E966E48" w14:textId="77777777">
            <w:pPr>
              <w:rPr>
                <w:rFonts w:ascii="Verdana" w:hAnsi="Verdana"/>
                <w:i/>
                <w:iCs/>
                <w:sz w:val="18"/>
                <w:szCs w:val="18"/>
              </w:rPr>
            </w:pPr>
            <w:r w:rsidRPr="002A1F9A">
              <w:rPr>
                <w:rFonts w:ascii="Verdana" w:hAnsi="Verdana"/>
                <w:i/>
                <w:iCs/>
                <w:sz w:val="18"/>
                <w:szCs w:val="18"/>
              </w:rPr>
              <w:t>*</w:t>
            </w:r>
            <w:r w:rsidRPr="002A1F9A">
              <w:rPr>
                <w:rFonts w:ascii="Verdana" w:hAnsi="Verdana"/>
                <w:sz w:val="16"/>
                <w:szCs w:val="16"/>
              </w:rPr>
              <w:t>De absolute bedragen voor de periode 2002-2024 zijn weergegeven in lopende prijzen (werkelijk uitgegeven bedragen in dat jaar). Voor 2025 en verder zijn de bedragen weergegeven in prijspeil 2025.</w:t>
            </w:r>
            <w:r w:rsidRPr="002A1F9A">
              <w:rPr>
                <w:rFonts w:ascii="Verdana" w:hAnsi="Verdana"/>
                <w:i/>
                <w:iCs/>
                <w:sz w:val="18"/>
                <w:szCs w:val="18"/>
              </w:rPr>
              <w:t xml:space="preserve"> </w:t>
            </w:r>
          </w:p>
          <w:p w:rsidRPr="002A1F9A" w:rsidR="00850DFF" w:rsidP="00850DFF" w:rsidRDefault="00850DFF" w14:paraId="4964F601" w14:textId="399736CB">
            <w:pPr>
              <w:rPr>
                <w:rFonts w:ascii="Verdana" w:hAnsi="Verdana"/>
                <w:i/>
                <w:iCs/>
                <w:sz w:val="18"/>
                <w:szCs w:val="18"/>
              </w:rPr>
            </w:pPr>
            <w:r w:rsidRPr="002A1F9A">
              <w:rPr>
                <w:rFonts w:ascii="Verdana" w:hAnsi="Verdana"/>
                <w:sz w:val="16"/>
                <w:szCs w:val="16"/>
              </w:rPr>
              <w:t xml:space="preserve">** Voor de uitgaven van de rijksbegroting zijn de kaderrelevante netto-uitgaven gehanteerd als definitie.  </w:t>
            </w:r>
          </w:p>
        </w:tc>
        <w:tc>
          <w:tcPr>
            <w:tcW w:w="850" w:type="dxa"/>
          </w:tcPr>
          <w:p w:rsidRPr="002A1F9A" w:rsidR="00850DFF" w:rsidP="00850DFF" w:rsidRDefault="00850DFF" w14:paraId="413E4F71" w14:textId="77777777">
            <w:pPr>
              <w:jc w:val="right"/>
              <w:rPr>
                <w:rFonts w:ascii="Verdana" w:hAnsi="Verdana"/>
                <w:sz w:val="18"/>
                <w:szCs w:val="18"/>
              </w:rPr>
            </w:pPr>
          </w:p>
        </w:tc>
        <w:tc>
          <w:tcPr>
            <w:tcW w:w="992" w:type="dxa"/>
          </w:tcPr>
          <w:p w:rsidRPr="002A1F9A" w:rsidR="00850DFF" w:rsidP="00850DFF" w:rsidRDefault="00850DFF" w14:paraId="0E7A7C0B" w14:textId="77777777">
            <w:pPr>
              <w:jc w:val="right"/>
              <w:rPr>
                <w:rFonts w:ascii="Verdana" w:hAnsi="Verdana"/>
                <w:sz w:val="18"/>
                <w:szCs w:val="18"/>
              </w:rPr>
            </w:pPr>
          </w:p>
        </w:tc>
        <w:tc>
          <w:tcPr>
            <w:tcW w:w="567" w:type="dxa"/>
            <w:tcBorders>
              <w:left w:val="nil"/>
            </w:tcBorders>
          </w:tcPr>
          <w:p w:rsidRPr="002A1F9A" w:rsidR="00850DFF" w:rsidP="00850DFF" w:rsidRDefault="00850DFF" w14:paraId="0BF56B3F" w14:textId="77777777">
            <w:pPr>
              <w:jc w:val="right"/>
              <w:rPr>
                <w:rFonts w:ascii="Verdana" w:hAnsi="Verdana"/>
                <w:sz w:val="18"/>
                <w:szCs w:val="18"/>
              </w:rPr>
            </w:pPr>
            <w:r w:rsidRPr="002A1F9A">
              <w:rPr>
                <w:rFonts w:ascii="Verdana" w:hAnsi="Verdana"/>
                <w:sz w:val="18"/>
                <w:szCs w:val="18"/>
              </w:rPr>
              <w:t xml:space="preserve"> </w:t>
            </w:r>
          </w:p>
        </w:tc>
      </w:tr>
    </w:tbl>
    <w:p w:rsidRPr="002A1F9A" w:rsidR="00850DFF" w:rsidRDefault="00850DFF" w14:paraId="470ED53D" w14:textId="393822AE"/>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A1F9A" w:rsidR="00850DFF" w:rsidTr="00E7153D" w14:paraId="4098DA69" w14:textId="77777777">
        <w:tc>
          <w:tcPr>
            <w:tcW w:w="567" w:type="dxa"/>
          </w:tcPr>
          <w:p w:rsidRPr="002A1F9A" w:rsidR="00850DFF" w:rsidP="00850DFF" w:rsidRDefault="00850DFF" w14:paraId="22E06776" w14:textId="646D1015">
            <w:pPr>
              <w:rPr>
                <w:rFonts w:ascii="Verdana" w:hAnsi="Verdana"/>
                <w:sz w:val="18"/>
                <w:szCs w:val="18"/>
              </w:rPr>
            </w:pPr>
            <w:r w:rsidRPr="002A1F9A">
              <w:rPr>
                <w:rFonts w:ascii="Verdana" w:hAnsi="Verdana"/>
                <w:sz w:val="18"/>
                <w:szCs w:val="18"/>
              </w:rPr>
              <w:t>3</w:t>
            </w:r>
          </w:p>
        </w:tc>
        <w:tc>
          <w:tcPr>
            <w:tcW w:w="6521" w:type="dxa"/>
          </w:tcPr>
          <w:p w:rsidRPr="002A1F9A" w:rsidR="00850DFF" w:rsidP="00850DFF" w:rsidRDefault="00850DFF" w14:paraId="42D95996" w14:textId="77777777">
            <w:pPr>
              <w:rPr>
                <w:rFonts w:ascii="Verdana" w:hAnsi="Verdana"/>
                <w:sz w:val="18"/>
                <w:szCs w:val="18"/>
              </w:rPr>
            </w:pPr>
            <w:r w:rsidRPr="002A1F9A">
              <w:rPr>
                <w:rFonts w:ascii="Verdana" w:hAnsi="Verdana"/>
                <w:sz w:val="18"/>
                <w:szCs w:val="18"/>
              </w:rPr>
              <w:t>Hoe heeft de verhouding tussen de financiering voor mbo</w:t>
            </w:r>
            <w:r w:rsidRPr="002A1F9A">
              <w:rPr>
                <w:rStyle w:val="Voetnootmarkering"/>
                <w:rFonts w:ascii="Verdana" w:hAnsi="Verdana" w:eastAsiaTheme="majorEastAsia"/>
                <w:szCs w:val="18"/>
              </w:rPr>
              <w:footnoteReference w:id="1"/>
            </w:r>
            <w:r w:rsidRPr="002A1F9A">
              <w:rPr>
                <w:rFonts w:ascii="Verdana" w:hAnsi="Verdana"/>
                <w:sz w:val="18"/>
                <w:szCs w:val="18"/>
              </w:rPr>
              <w:t>, hbo</w:t>
            </w:r>
            <w:r w:rsidRPr="002A1F9A">
              <w:rPr>
                <w:rStyle w:val="Voetnootmarkering"/>
                <w:rFonts w:ascii="Verdana" w:hAnsi="Verdana" w:eastAsiaTheme="majorEastAsia"/>
                <w:szCs w:val="18"/>
              </w:rPr>
              <w:footnoteReference w:id="2"/>
            </w:r>
            <w:r w:rsidRPr="002A1F9A">
              <w:rPr>
                <w:rFonts w:ascii="Verdana" w:hAnsi="Verdana"/>
                <w:sz w:val="18"/>
                <w:szCs w:val="18"/>
              </w:rPr>
              <w:t xml:space="preserve"> en wo</w:t>
            </w:r>
            <w:r w:rsidRPr="002A1F9A">
              <w:rPr>
                <w:rStyle w:val="Voetnootmarkering"/>
                <w:rFonts w:ascii="Verdana" w:hAnsi="Verdana" w:eastAsiaTheme="majorEastAsia"/>
                <w:szCs w:val="18"/>
              </w:rPr>
              <w:footnoteReference w:id="3"/>
            </w:r>
            <w:r w:rsidRPr="002A1F9A">
              <w:rPr>
                <w:rFonts w:ascii="Verdana" w:hAnsi="Verdana"/>
                <w:sz w:val="18"/>
                <w:szCs w:val="18"/>
              </w:rPr>
              <w:t xml:space="preserve"> zich over de afgelopen dertig jaar ontwikkeld?</w:t>
            </w:r>
          </w:p>
          <w:p w:rsidRPr="002A1F9A" w:rsidR="00850DFF" w:rsidP="00850DFF" w:rsidRDefault="00850DFF" w14:paraId="274EAAD5" w14:textId="77777777">
            <w:pPr>
              <w:rPr>
                <w:rFonts w:ascii="Verdana" w:hAnsi="Verdana"/>
                <w:sz w:val="18"/>
                <w:szCs w:val="18"/>
              </w:rPr>
            </w:pPr>
            <w:bookmarkStart w:name="_Hlk211946273" w:id="1"/>
          </w:p>
          <w:bookmarkEnd w:id="1"/>
          <w:p w:rsidRPr="002A1F9A" w:rsidR="00AD616C" w:rsidP="00AD616C" w:rsidRDefault="00AD616C" w14:paraId="2C98B4E2" w14:textId="77777777">
            <w:pPr>
              <w:rPr>
                <w:rFonts w:ascii="Verdana" w:hAnsi="Verdana"/>
                <w:sz w:val="18"/>
                <w:szCs w:val="18"/>
              </w:rPr>
            </w:pPr>
            <w:r w:rsidRPr="002A1F9A">
              <w:rPr>
                <w:rFonts w:ascii="Verdana" w:hAnsi="Verdana"/>
                <w:sz w:val="18"/>
                <w:szCs w:val="18"/>
              </w:rPr>
              <w:t xml:space="preserve">In onderstaande tabel worden de uitgaven en de studentenaantallen voor het mbo (artikel 4), hbo (artikel 6) en wo (artikel 7) weergegeven voor de periode 2002-2030. De uitgaven aan ontwerp en ontwikkeling in het hbo en onderzoek in het wo zijn hier ook meegenomen. De cijfers voor het mbo, hbo en wo kunnen daarom niet een op een vergeleken worden met elkaar. Voor de jaren 2000 en 2001 zijn de gegevens niet voldoende compleet om een betrouwbare vergelijking uit te voeren en deze jaren zijn daarom niet opgenomen in de tabel.  </w:t>
            </w:r>
          </w:p>
          <w:p w:rsidRPr="002A1F9A" w:rsidR="00850DFF" w:rsidP="00970005" w:rsidRDefault="00850DFF" w14:paraId="15E0449C" w14:textId="77777777">
            <w:pPr>
              <w:rPr>
                <w:rFonts w:ascii="Verdana" w:hAnsi="Verdana"/>
                <w:sz w:val="18"/>
                <w:szCs w:val="18"/>
              </w:rPr>
            </w:pPr>
          </w:p>
          <w:p w:rsidRPr="002A1F9A" w:rsidR="0042407E" w:rsidP="00970005" w:rsidRDefault="0042407E" w14:paraId="4F7D33CF" w14:textId="77777777">
            <w:pPr>
              <w:rPr>
                <w:rFonts w:ascii="Verdana" w:hAnsi="Verdana"/>
                <w:sz w:val="18"/>
                <w:szCs w:val="18"/>
              </w:rPr>
            </w:pPr>
          </w:p>
          <w:p w:rsidRPr="002A1F9A" w:rsidR="0042407E" w:rsidP="00970005" w:rsidRDefault="0042407E" w14:paraId="63F22972" w14:textId="77777777">
            <w:pPr>
              <w:rPr>
                <w:rFonts w:ascii="Verdana" w:hAnsi="Verdana"/>
                <w:sz w:val="18"/>
                <w:szCs w:val="18"/>
              </w:rPr>
            </w:pPr>
          </w:p>
          <w:p w:rsidRPr="002A1F9A" w:rsidR="0042407E" w:rsidP="00970005" w:rsidRDefault="0042407E" w14:paraId="43A2FC10" w14:textId="77777777">
            <w:pPr>
              <w:rPr>
                <w:rFonts w:ascii="Verdana" w:hAnsi="Verdana"/>
                <w:sz w:val="18"/>
                <w:szCs w:val="18"/>
              </w:rPr>
            </w:pPr>
          </w:p>
          <w:p w:rsidRPr="002A1F9A" w:rsidR="0042407E" w:rsidP="00970005" w:rsidRDefault="0042407E" w14:paraId="15EDDE94" w14:textId="4FB53AC3">
            <w:pPr>
              <w:rPr>
                <w:rFonts w:ascii="Verdana" w:hAnsi="Verdana"/>
                <w:sz w:val="18"/>
                <w:szCs w:val="18"/>
              </w:rPr>
            </w:pPr>
          </w:p>
        </w:tc>
        <w:tc>
          <w:tcPr>
            <w:tcW w:w="850" w:type="dxa"/>
          </w:tcPr>
          <w:p w:rsidRPr="002A1F9A" w:rsidR="00850DFF" w:rsidP="00850DFF" w:rsidRDefault="00850DFF" w14:paraId="61809CE5" w14:textId="77777777">
            <w:pPr>
              <w:jc w:val="right"/>
              <w:rPr>
                <w:rFonts w:ascii="Verdana" w:hAnsi="Verdana"/>
                <w:sz w:val="18"/>
                <w:szCs w:val="18"/>
              </w:rPr>
            </w:pPr>
          </w:p>
        </w:tc>
        <w:tc>
          <w:tcPr>
            <w:tcW w:w="992" w:type="dxa"/>
          </w:tcPr>
          <w:p w:rsidRPr="002A1F9A" w:rsidR="00850DFF" w:rsidP="00850DFF" w:rsidRDefault="00850DFF" w14:paraId="1E0FE1D3" w14:textId="77777777">
            <w:pPr>
              <w:jc w:val="right"/>
              <w:rPr>
                <w:rFonts w:ascii="Verdana" w:hAnsi="Verdana"/>
                <w:sz w:val="18"/>
                <w:szCs w:val="18"/>
              </w:rPr>
            </w:pPr>
          </w:p>
        </w:tc>
        <w:tc>
          <w:tcPr>
            <w:tcW w:w="567" w:type="dxa"/>
            <w:tcBorders>
              <w:left w:val="nil"/>
            </w:tcBorders>
          </w:tcPr>
          <w:p w:rsidRPr="002A1F9A" w:rsidR="00850DFF" w:rsidP="00850DFF" w:rsidRDefault="00850DFF" w14:paraId="62570CF4" w14:textId="77777777">
            <w:pPr>
              <w:jc w:val="right"/>
              <w:rPr>
                <w:rFonts w:ascii="Verdana" w:hAnsi="Verdana"/>
                <w:sz w:val="18"/>
                <w:szCs w:val="18"/>
              </w:rPr>
            </w:pPr>
            <w:r w:rsidRPr="002A1F9A">
              <w:rPr>
                <w:rFonts w:ascii="Verdana" w:hAnsi="Verdana"/>
                <w:sz w:val="18"/>
                <w:szCs w:val="18"/>
              </w:rPr>
              <w:t xml:space="preserve"> </w:t>
            </w:r>
          </w:p>
        </w:tc>
      </w:tr>
    </w:tbl>
    <w:tbl>
      <w:tblPr>
        <w:tblStyle w:val="Tabelrasterlicht"/>
        <w:tblW w:w="8542" w:type="dxa"/>
        <w:tblLook w:val="04A0" w:firstRow="1" w:lastRow="0" w:firstColumn="1" w:lastColumn="0" w:noHBand="0" w:noVBand="1"/>
      </w:tblPr>
      <w:tblGrid>
        <w:gridCol w:w="1200"/>
        <w:gridCol w:w="1326"/>
        <w:gridCol w:w="1237"/>
        <w:gridCol w:w="1148"/>
        <w:gridCol w:w="1237"/>
        <w:gridCol w:w="1157"/>
        <w:gridCol w:w="1237"/>
      </w:tblGrid>
      <w:tr w:rsidRPr="002A1F9A" w:rsidR="00970005" w:rsidTr="00AD616C" w14:paraId="4330C775" w14:textId="77777777">
        <w:trPr>
          <w:trHeight w:val="200"/>
        </w:trPr>
        <w:tc>
          <w:tcPr>
            <w:tcW w:w="8542" w:type="dxa"/>
            <w:gridSpan w:val="7"/>
            <w:noWrap/>
          </w:tcPr>
          <w:p w:rsidRPr="002A1F9A" w:rsidR="00970005" w:rsidP="00361B42" w:rsidRDefault="00970005" w14:paraId="3E1EEB2C" w14:textId="77777777">
            <w:pPr>
              <w:spacing w:before="0" w:after="0"/>
              <w:rPr>
                <w:rFonts w:ascii="Verdana" w:hAnsi="Verdana"/>
                <w:color w:val="000000"/>
                <w:sz w:val="18"/>
                <w:szCs w:val="18"/>
              </w:rPr>
            </w:pPr>
            <w:r w:rsidRPr="002A1F9A">
              <w:rPr>
                <w:rFonts w:ascii="Verdana" w:hAnsi="Verdana"/>
                <w:color w:val="000000"/>
                <w:sz w:val="18"/>
                <w:szCs w:val="18"/>
              </w:rPr>
              <w:lastRenderedPageBreak/>
              <w:t>(getallen x 1.000)</w:t>
            </w:r>
          </w:p>
        </w:tc>
      </w:tr>
      <w:tr w:rsidRPr="002A1F9A" w:rsidR="00AD616C" w:rsidTr="00AD616C" w14:paraId="1363910B" w14:textId="77777777">
        <w:trPr>
          <w:trHeight w:val="200"/>
        </w:trPr>
        <w:tc>
          <w:tcPr>
            <w:tcW w:w="1200" w:type="dxa"/>
            <w:vMerge w:val="restart"/>
            <w:noWrap/>
            <w:hideMark/>
          </w:tcPr>
          <w:p w:rsidRPr="002A1F9A" w:rsidR="00AD616C" w:rsidP="00AD616C" w:rsidRDefault="00AD616C" w14:paraId="54BB17E1" w14:textId="77777777">
            <w:pPr>
              <w:spacing w:before="0" w:after="0"/>
              <w:rPr>
                <w:rFonts w:ascii="Verdana" w:hAnsi="Verdana"/>
                <w:b/>
                <w:bCs/>
                <w:color w:val="000000"/>
                <w:sz w:val="18"/>
                <w:szCs w:val="18"/>
              </w:rPr>
            </w:pPr>
            <w:r w:rsidRPr="002A1F9A">
              <w:rPr>
                <w:rFonts w:ascii="Verdana" w:hAnsi="Verdana"/>
                <w:b/>
                <w:bCs/>
                <w:sz w:val="18"/>
                <w:szCs w:val="18"/>
              </w:rPr>
              <w:t xml:space="preserve">Periode </w:t>
            </w:r>
          </w:p>
          <w:p w:rsidRPr="002A1F9A" w:rsidR="00AD616C" w:rsidP="00AD616C" w:rsidRDefault="00AD616C" w14:paraId="4160B07D" w14:textId="68425B72">
            <w:pPr>
              <w:spacing w:before="0" w:after="0"/>
              <w:rPr>
                <w:rFonts w:ascii="Verdana" w:hAnsi="Verdana"/>
                <w:b/>
                <w:bCs/>
                <w:color w:val="000000"/>
                <w:sz w:val="18"/>
                <w:szCs w:val="18"/>
              </w:rPr>
            </w:pPr>
          </w:p>
        </w:tc>
        <w:tc>
          <w:tcPr>
            <w:tcW w:w="2563" w:type="dxa"/>
            <w:gridSpan w:val="2"/>
            <w:noWrap/>
            <w:hideMark/>
          </w:tcPr>
          <w:p w:rsidRPr="002A1F9A" w:rsidR="00AD616C" w:rsidP="00AD616C" w:rsidRDefault="00AD616C" w14:paraId="355F9536" w14:textId="04AA51C2">
            <w:pPr>
              <w:spacing w:before="0" w:after="0"/>
              <w:rPr>
                <w:rFonts w:ascii="Verdana" w:hAnsi="Verdana"/>
                <w:b/>
                <w:bCs/>
                <w:color w:val="000000"/>
                <w:sz w:val="18"/>
                <w:szCs w:val="18"/>
              </w:rPr>
            </w:pPr>
            <w:r w:rsidRPr="002A1F9A">
              <w:rPr>
                <w:rFonts w:ascii="Verdana" w:hAnsi="Verdana"/>
                <w:b/>
                <w:bCs/>
                <w:sz w:val="18"/>
                <w:szCs w:val="18"/>
              </w:rPr>
              <w:t>mbo (artikel 4)</w:t>
            </w:r>
          </w:p>
        </w:tc>
        <w:tc>
          <w:tcPr>
            <w:tcW w:w="2385" w:type="dxa"/>
            <w:gridSpan w:val="2"/>
            <w:noWrap/>
            <w:hideMark/>
          </w:tcPr>
          <w:p w:rsidRPr="002A1F9A" w:rsidR="00AD616C" w:rsidP="00AD616C" w:rsidRDefault="00AD616C" w14:paraId="2EEBFE60" w14:textId="00A46907">
            <w:pPr>
              <w:spacing w:before="0" w:after="0"/>
              <w:rPr>
                <w:rFonts w:ascii="Verdana" w:hAnsi="Verdana"/>
                <w:b/>
                <w:bCs/>
                <w:color w:val="000000"/>
                <w:sz w:val="18"/>
                <w:szCs w:val="18"/>
              </w:rPr>
            </w:pPr>
            <w:r w:rsidRPr="002A1F9A">
              <w:rPr>
                <w:rFonts w:ascii="Verdana" w:hAnsi="Verdana"/>
                <w:b/>
                <w:bCs/>
                <w:sz w:val="18"/>
                <w:szCs w:val="18"/>
              </w:rPr>
              <w:t>hbo (artikel 6)</w:t>
            </w:r>
          </w:p>
        </w:tc>
        <w:tc>
          <w:tcPr>
            <w:tcW w:w="2394" w:type="dxa"/>
            <w:gridSpan w:val="2"/>
            <w:noWrap/>
            <w:hideMark/>
          </w:tcPr>
          <w:p w:rsidRPr="002A1F9A" w:rsidR="00AD616C" w:rsidP="00AD616C" w:rsidRDefault="00AD616C" w14:paraId="2E8A86D6" w14:textId="32364D5B">
            <w:pPr>
              <w:spacing w:before="0" w:after="0"/>
              <w:rPr>
                <w:rFonts w:ascii="Verdana" w:hAnsi="Verdana"/>
                <w:b/>
                <w:bCs/>
                <w:color w:val="000000"/>
                <w:sz w:val="18"/>
                <w:szCs w:val="18"/>
              </w:rPr>
            </w:pPr>
            <w:r w:rsidRPr="002A1F9A">
              <w:rPr>
                <w:rFonts w:ascii="Verdana" w:hAnsi="Verdana"/>
                <w:b/>
                <w:bCs/>
                <w:sz w:val="18"/>
                <w:szCs w:val="18"/>
              </w:rPr>
              <w:t>wo (artikel 7)</w:t>
            </w:r>
          </w:p>
        </w:tc>
      </w:tr>
      <w:tr w:rsidRPr="002A1F9A" w:rsidR="00AD616C" w:rsidTr="00AD616C" w14:paraId="0EB9D875" w14:textId="77777777">
        <w:trPr>
          <w:trHeight w:val="400"/>
        </w:trPr>
        <w:tc>
          <w:tcPr>
            <w:tcW w:w="1200" w:type="dxa"/>
            <w:vMerge/>
            <w:noWrap/>
            <w:hideMark/>
          </w:tcPr>
          <w:p w:rsidRPr="002A1F9A" w:rsidR="00AD616C" w:rsidP="00AD616C" w:rsidRDefault="00AD616C" w14:paraId="6DC0098B" w14:textId="77777777">
            <w:pPr>
              <w:spacing w:before="0" w:after="0"/>
              <w:rPr>
                <w:rFonts w:ascii="Verdana" w:hAnsi="Verdana"/>
                <w:b/>
                <w:bCs/>
                <w:color w:val="000000"/>
                <w:sz w:val="18"/>
                <w:szCs w:val="18"/>
              </w:rPr>
            </w:pPr>
          </w:p>
        </w:tc>
        <w:tc>
          <w:tcPr>
            <w:tcW w:w="1326" w:type="dxa"/>
            <w:noWrap/>
            <w:hideMark/>
          </w:tcPr>
          <w:p w:rsidRPr="002A1F9A" w:rsidR="00AD616C" w:rsidP="00AD616C" w:rsidRDefault="00AD616C" w14:paraId="7B3AFC53" w14:textId="33ECA184">
            <w:pPr>
              <w:spacing w:before="0" w:after="0"/>
              <w:rPr>
                <w:rFonts w:ascii="Verdana" w:hAnsi="Verdana"/>
                <w:b/>
                <w:bCs/>
                <w:color w:val="000000"/>
                <w:sz w:val="18"/>
                <w:szCs w:val="18"/>
              </w:rPr>
            </w:pPr>
            <w:r w:rsidRPr="002A1F9A">
              <w:rPr>
                <w:rFonts w:ascii="Verdana" w:hAnsi="Verdana"/>
                <w:b/>
                <w:bCs/>
                <w:sz w:val="18"/>
                <w:szCs w:val="18"/>
              </w:rPr>
              <w:t>uitgaven (€)</w:t>
            </w:r>
          </w:p>
        </w:tc>
        <w:tc>
          <w:tcPr>
            <w:tcW w:w="1237" w:type="dxa"/>
            <w:hideMark/>
          </w:tcPr>
          <w:p w:rsidRPr="002A1F9A" w:rsidR="00AD616C" w:rsidP="00AD616C" w:rsidRDefault="00AD616C" w14:paraId="20EEEC79" w14:textId="64C9C0F5">
            <w:pPr>
              <w:spacing w:before="0" w:after="0"/>
              <w:rPr>
                <w:rFonts w:ascii="Verdana" w:hAnsi="Verdana"/>
                <w:b/>
                <w:bCs/>
                <w:color w:val="000000"/>
                <w:sz w:val="18"/>
                <w:szCs w:val="18"/>
              </w:rPr>
            </w:pPr>
            <w:r w:rsidRPr="002A1F9A">
              <w:rPr>
                <w:rFonts w:ascii="Verdana" w:hAnsi="Verdana"/>
                <w:b/>
                <w:bCs/>
                <w:sz w:val="18"/>
                <w:szCs w:val="18"/>
              </w:rPr>
              <w:t>aantal studenten</w:t>
            </w:r>
          </w:p>
        </w:tc>
        <w:tc>
          <w:tcPr>
            <w:tcW w:w="1148" w:type="dxa"/>
            <w:noWrap/>
            <w:hideMark/>
          </w:tcPr>
          <w:p w:rsidRPr="002A1F9A" w:rsidR="00AD616C" w:rsidP="00AD616C" w:rsidRDefault="00AD616C" w14:paraId="08F29C3A" w14:textId="3228616B">
            <w:pPr>
              <w:spacing w:before="0" w:after="0"/>
              <w:rPr>
                <w:rFonts w:ascii="Verdana" w:hAnsi="Verdana"/>
                <w:b/>
                <w:bCs/>
                <w:color w:val="000000"/>
                <w:sz w:val="18"/>
                <w:szCs w:val="18"/>
              </w:rPr>
            </w:pPr>
            <w:r w:rsidRPr="002A1F9A">
              <w:rPr>
                <w:rFonts w:ascii="Verdana" w:hAnsi="Verdana"/>
                <w:b/>
                <w:bCs/>
                <w:sz w:val="18"/>
                <w:szCs w:val="18"/>
              </w:rPr>
              <w:t>uitgaven (€)</w:t>
            </w:r>
          </w:p>
        </w:tc>
        <w:tc>
          <w:tcPr>
            <w:tcW w:w="1237" w:type="dxa"/>
            <w:hideMark/>
          </w:tcPr>
          <w:p w:rsidRPr="002A1F9A" w:rsidR="00AD616C" w:rsidP="00AD616C" w:rsidRDefault="00AD616C" w14:paraId="5E600E5F" w14:textId="4DDF8229">
            <w:pPr>
              <w:spacing w:before="0" w:after="0"/>
              <w:rPr>
                <w:rFonts w:ascii="Verdana" w:hAnsi="Verdana"/>
                <w:b/>
                <w:bCs/>
                <w:color w:val="000000"/>
                <w:sz w:val="18"/>
                <w:szCs w:val="18"/>
              </w:rPr>
            </w:pPr>
            <w:r w:rsidRPr="002A1F9A">
              <w:rPr>
                <w:rFonts w:ascii="Verdana" w:hAnsi="Verdana"/>
                <w:b/>
                <w:bCs/>
                <w:sz w:val="18"/>
                <w:szCs w:val="18"/>
              </w:rPr>
              <w:t>aantal studenten</w:t>
            </w:r>
          </w:p>
        </w:tc>
        <w:tc>
          <w:tcPr>
            <w:tcW w:w="1157" w:type="dxa"/>
            <w:noWrap/>
            <w:hideMark/>
          </w:tcPr>
          <w:p w:rsidRPr="002A1F9A" w:rsidR="00AD616C" w:rsidP="00AD616C" w:rsidRDefault="00AD616C" w14:paraId="26144049" w14:textId="68DE2E98">
            <w:pPr>
              <w:spacing w:before="0" w:after="0"/>
              <w:rPr>
                <w:rFonts w:ascii="Verdana" w:hAnsi="Verdana"/>
                <w:b/>
                <w:bCs/>
                <w:color w:val="000000"/>
                <w:sz w:val="18"/>
                <w:szCs w:val="18"/>
              </w:rPr>
            </w:pPr>
            <w:r w:rsidRPr="002A1F9A">
              <w:rPr>
                <w:rFonts w:ascii="Verdana" w:hAnsi="Verdana"/>
                <w:b/>
                <w:bCs/>
                <w:sz w:val="18"/>
                <w:szCs w:val="18"/>
              </w:rPr>
              <w:t>uitgaven (€)</w:t>
            </w:r>
          </w:p>
        </w:tc>
        <w:tc>
          <w:tcPr>
            <w:tcW w:w="1237" w:type="dxa"/>
            <w:hideMark/>
          </w:tcPr>
          <w:p w:rsidRPr="002A1F9A" w:rsidR="00AD616C" w:rsidP="00AD616C" w:rsidRDefault="00AD616C" w14:paraId="71F2E7F7" w14:textId="764812D4">
            <w:pPr>
              <w:spacing w:before="0" w:after="0"/>
              <w:rPr>
                <w:rFonts w:ascii="Verdana" w:hAnsi="Verdana"/>
                <w:b/>
                <w:bCs/>
                <w:color w:val="000000"/>
                <w:sz w:val="18"/>
                <w:szCs w:val="18"/>
              </w:rPr>
            </w:pPr>
            <w:r w:rsidRPr="002A1F9A">
              <w:rPr>
                <w:rFonts w:ascii="Verdana" w:hAnsi="Verdana"/>
                <w:b/>
                <w:bCs/>
                <w:sz w:val="18"/>
                <w:szCs w:val="18"/>
              </w:rPr>
              <w:t>aantal studenten</w:t>
            </w:r>
          </w:p>
        </w:tc>
      </w:tr>
      <w:tr w:rsidRPr="002A1F9A" w:rsidR="00AD616C" w:rsidTr="00AD616C" w14:paraId="41237C33" w14:textId="77777777">
        <w:trPr>
          <w:trHeight w:val="200"/>
        </w:trPr>
        <w:tc>
          <w:tcPr>
            <w:tcW w:w="1200" w:type="dxa"/>
            <w:noWrap/>
            <w:hideMark/>
          </w:tcPr>
          <w:p w:rsidRPr="002A1F9A" w:rsidR="00AD616C" w:rsidP="00AD616C" w:rsidRDefault="00AD616C" w14:paraId="0AB1BF5F" w14:textId="1E0470B9">
            <w:pPr>
              <w:spacing w:before="0" w:after="0"/>
              <w:rPr>
                <w:rFonts w:ascii="Verdana" w:hAnsi="Verdana"/>
                <w:b/>
                <w:bCs/>
                <w:i/>
                <w:iCs/>
                <w:color w:val="000000"/>
                <w:sz w:val="18"/>
                <w:szCs w:val="18"/>
              </w:rPr>
            </w:pPr>
            <w:r w:rsidRPr="002A1F9A">
              <w:rPr>
                <w:rFonts w:ascii="Verdana" w:hAnsi="Verdana"/>
                <w:b/>
                <w:bCs/>
                <w:sz w:val="18"/>
                <w:szCs w:val="18"/>
              </w:rPr>
              <w:t>2002</w:t>
            </w:r>
          </w:p>
        </w:tc>
        <w:tc>
          <w:tcPr>
            <w:tcW w:w="1326" w:type="dxa"/>
            <w:noWrap/>
            <w:hideMark/>
          </w:tcPr>
          <w:p w:rsidRPr="002A1F9A" w:rsidR="00AD616C" w:rsidP="00AD616C" w:rsidRDefault="00AD616C" w14:paraId="60076232" w14:textId="60D95971">
            <w:pPr>
              <w:spacing w:before="0" w:after="0"/>
              <w:jc w:val="right"/>
              <w:rPr>
                <w:rFonts w:ascii="Verdana" w:hAnsi="Verdana"/>
                <w:i/>
                <w:iCs/>
                <w:color w:val="000000"/>
                <w:sz w:val="18"/>
                <w:szCs w:val="18"/>
              </w:rPr>
            </w:pPr>
            <w:r w:rsidRPr="002A1F9A">
              <w:rPr>
                <w:rFonts w:ascii="Verdana" w:hAnsi="Verdana"/>
                <w:sz w:val="18"/>
                <w:szCs w:val="18"/>
              </w:rPr>
              <w:t>2.545.643</w:t>
            </w:r>
          </w:p>
        </w:tc>
        <w:tc>
          <w:tcPr>
            <w:tcW w:w="1237" w:type="dxa"/>
            <w:hideMark/>
          </w:tcPr>
          <w:p w:rsidRPr="002A1F9A" w:rsidR="00AD616C" w:rsidP="00AD616C" w:rsidRDefault="00AD616C" w14:paraId="164F0B55" w14:textId="4DBB2F92">
            <w:pPr>
              <w:spacing w:before="0" w:after="0"/>
              <w:jc w:val="right"/>
              <w:rPr>
                <w:rFonts w:ascii="Verdana" w:hAnsi="Verdana"/>
                <w:i/>
                <w:iCs/>
                <w:color w:val="000000"/>
                <w:sz w:val="18"/>
                <w:szCs w:val="18"/>
              </w:rPr>
            </w:pPr>
            <w:r w:rsidRPr="002A1F9A">
              <w:rPr>
                <w:rFonts w:ascii="Verdana" w:hAnsi="Verdana"/>
                <w:sz w:val="18"/>
                <w:szCs w:val="18"/>
              </w:rPr>
              <w:t>464</w:t>
            </w:r>
          </w:p>
        </w:tc>
        <w:tc>
          <w:tcPr>
            <w:tcW w:w="1148" w:type="dxa"/>
            <w:noWrap/>
            <w:hideMark/>
          </w:tcPr>
          <w:p w:rsidRPr="002A1F9A" w:rsidR="00AD616C" w:rsidP="00AD616C" w:rsidRDefault="00AD616C" w14:paraId="71727652" w14:textId="6A2F959B">
            <w:pPr>
              <w:spacing w:before="0" w:after="0"/>
              <w:jc w:val="right"/>
              <w:rPr>
                <w:rFonts w:ascii="Verdana" w:hAnsi="Verdana"/>
                <w:i/>
                <w:iCs/>
                <w:color w:val="000000"/>
                <w:sz w:val="18"/>
                <w:szCs w:val="18"/>
              </w:rPr>
            </w:pPr>
            <w:r w:rsidRPr="002A1F9A">
              <w:rPr>
                <w:rFonts w:ascii="Verdana" w:hAnsi="Verdana"/>
                <w:sz w:val="18"/>
                <w:szCs w:val="18"/>
              </w:rPr>
              <w:t>1.603.569</w:t>
            </w:r>
          </w:p>
        </w:tc>
        <w:tc>
          <w:tcPr>
            <w:tcW w:w="1237" w:type="dxa"/>
            <w:hideMark/>
          </w:tcPr>
          <w:p w:rsidRPr="002A1F9A" w:rsidR="00AD616C" w:rsidP="00AD616C" w:rsidRDefault="00AD616C" w14:paraId="4F321BB4" w14:textId="7F8B0D11">
            <w:pPr>
              <w:spacing w:before="0" w:after="0"/>
              <w:jc w:val="right"/>
              <w:rPr>
                <w:rFonts w:ascii="Verdana" w:hAnsi="Verdana"/>
                <w:i/>
                <w:iCs/>
                <w:color w:val="000000"/>
                <w:sz w:val="18"/>
                <w:szCs w:val="18"/>
              </w:rPr>
            </w:pPr>
            <w:r w:rsidRPr="002A1F9A">
              <w:rPr>
                <w:rFonts w:ascii="Verdana" w:hAnsi="Verdana"/>
                <w:sz w:val="18"/>
                <w:szCs w:val="18"/>
              </w:rPr>
              <w:t>322</w:t>
            </w:r>
          </w:p>
        </w:tc>
        <w:tc>
          <w:tcPr>
            <w:tcW w:w="1157" w:type="dxa"/>
            <w:noWrap/>
            <w:hideMark/>
          </w:tcPr>
          <w:p w:rsidRPr="002A1F9A" w:rsidR="00AD616C" w:rsidP="00AD616C" w:rsidRDefault="00AD616C" w14:paraId="505DA23B" w14:textId="3BB1AA32">
            <w:pPr>
              <w:spacing w:before="0" w:after="0"/>
              <w:jc w:val="right"/>
              <w:rPr>
                <w:rFonts w:ascii="Verdana" w:hAnsi="Verdana"/>
                <w:i/>
                <w:iCs/>
                <w:color w:val="000000"/>
                <w:sz w:val="18"/>
                <w:szCs w:val="18"/>
              </w:rPr>
            </w:pPr>
            <w:r w:rsidRPr="002A1F9A">
              <w:rPr>
                <w:rFonts w:ascii="Verdana" w:hAnsi="Verdana"/>
                <w:sz w:val="18"/>
                <w:szCs w:val="18"/>
              </w:rPr>
              <w:t>3.045.244</w:t>
            </w:r>
          </w:p>
        </w:tc>
        <w:tc>
          <w:tcPr>
            <w:tcW w:w="1237" w:type="dxa"/>
            <w:hideMark/>
          </w:tcPr>
          <w:p w:rsidRPr="002A1F9A" w:rsidR="00AD616C" w:rsidP="00AD616C" w:rsidRDefault="00AD616C" w14:paraId="3325831B" w14:textId="51F23308">
            <w:pPr>
              <w:spacing w:before="0" w:after="0"/>
              <w:jc w:val="right"/>
              <w:rPr>
                <w:rFonts w:ascii="Verdana" w:hAnsi="Verdana"/>
                <w:i/>
                <w:iCs/>
                <w:color w:val="000000"/>
                <w:sz w:val="18"/>
                <w:szCs w:val="18"/>
              </w:rPr>
            </w:pPr>
            <w:r w:rsidRPr="002A1F9A">
              <w:rPr>
                <w:rFonts w:ascii="Verdana" w:hAnsi="Verdana"/>
                <w:sz w:val="18"/>
                <w:szCs w:val="18"/>
              </w:rPr>
              <w:t>179</w:t>
            </w:r>
          </w:p>
        </w:tc>
      </w:tr>
      <w:tr w:rsidRPr="002A1F9A" w:rsidR="00AD616C" w:rsidTr="00AD616C" w14:paraId="3410D609" w14:textId="77777777">
        <w:trPr>
          <w:trHeight w:val="200"/>
        </w:trPr>
        <w:tc>
          <w:tcPr>
            <w:tcW w:w="1200" w:type="dxa"/>
            <w:noWrap/>
            <w:hideMark/>
          </w:tcPr>
          <w:p w:rsidRPr="002A1F9A" w:rsidR="00AD616C" w:rsidP="00AD616C" w:rsidRDefault="00AD616C" w14:paraId="09607EC2" w14:textId="39193558">
            <w:pPr>
              <w:spacing w:before="0" w:after="0"/>
              <w:rPr>
                <w:rFonts w:ascii="Verdana" w:hAnsi="Verdana"/>
                <w:b/>
                <w:bCs/>
                <w:i/>
                <w:iCs/>
                <w:color w:val="000000"/>
                <w:sz w:val="18"/>
                <w:szCs w:val="18"/>
              </w:rPr>
            </w:pPr>
            <w:r w:rsidRPr="002A1F9A">
              <w:rPr>
                <w:rFonts w:ascii="Verdana" w:hAnsi="Verdana"/>
                <w:b/>
                <w:bCs/>
                <w:sz w:val="18"/>
                <w:szCs w:val="18"/>
              </w:rPr>
              <w:t>2003</w:t>
            </w:r>
          </w:p>
        </w:tc>
        <w:tc>
          <w:tcPr>
            <w:tcW w:w="1326" w:type="dxa"/>
            <w:noWrap/>
            <w:hideMark/>
          </w:tcPr>
          <w:p w:rsidRPr="002A1F9A" w:rsidR="00AD616C" w:rsidP="00AD616C" w:rsidRDefault="00AD616C" w14:paraId="55EB7DDD" w14:textId="4B58EA97">
            <w:pPr>
              <w:spacing w:before="0" w:after="0"/>
              <w:jc w:val="right"/>
              <w:rPr>
                <w:rFonts w:ascii="Verdana" w:hAnsi="Verdana"/>
                <w:i/>
                <w:iCs/>
                <w:color w:val="000000"/>
                <w:sz w:val="18"/>
                <w:szCs w:val="18"/>
              </w:rPr>
            </w:pPr>
            <w:r w:rsidRPr="002A1F9A">
              <w:rPr>
                <w:rFonts w:ascii="Verdana" w:hAnsi="Verdana"/>
                <w:sz w:val="18"/>
                <w:szCs w:val="18"/>
              </w:rPr>
              <w:t>2.576.230</w:t>
            </w:r>
          </w:p>
        </w:tc>
        <w:tc>
          <w:tcPr>
            <w:tcW w:w="1237" w:type="dxa"/>
            <w:hideMark/>
          </w:tcPr>
          <w:p w:rsidRPr="002A1F9A" w:rsidR="00AD616C" w:rsidP="00AD616C" w:rsidRDefault="00AD616C" w14:paraId="464879A0" w14:textId="1D067DDE">
            <w:pPr>
              <w:spacing w:before="0" w:after="0"/>
              <w:jc w:val="right"/>
              <w:rPr>
                <w:rFonts w:ascii="Verdana" w:hAnsi="Verdana"/>
                <w:i/>
                <w:iCs/>
                <w:color w:val="000000"/>
                <w:sz w:val="18"/>
                <w:szCs w:val="18"/>
              </w:rPr>
            </w:pPr>
            <w:r w:rsidRPr="002A1F9A">
              <w:rPr>
                <w:rFonts w:ascii="Verdana" w:hAnsi="Verdana"/>
                <w:sz w:val="18"/>
                <w:szCs w:val="18"/>
              </w:rPr>
              <w:t>478</w:t>
            </w:r>
          </w:p>
        </w:tc>
        <w:tc>
          <w:tcPr>
            <w:tcW w:w="1148" w:type="dxa"/>
            <w:noWrap/>
            <w:hideMark/>
          </w:tcPr>
          <w:p w:rsidRPr="002A1F9A" w:rsidR="00AD616C" w:rsidP="00AD616C" w:rsidRDefault="00AD616C" w14:paraId="656ED001" w14:textId="26296C76">
            <w:pPr>
              <w:spacing w:before="0" w:after="0"/>
              <w:jc w:val="right"/>
              <w:rPr>
                <w:rFonts w:ascii="Verdana" w:hAnsi="Verdana"/>
                <w:i/>
                <w:iCs/>
                <w:color w:val="000000"/>
                <w:sz w:val="18"/>
                <w:szCs w:val="18"/>
              </w:rPr>
            </w:pPr>
            <w:r w:rsidRPr="002A1F9A">
              <w:rPr>
                <w:rFonts w:ascii="Verdana" w:hAnsi="Verdana"/>
                <w:sz w:val="18"/>
                <w:szCs w:val="18"/>
              </w:rPr>
              <w:t>1.634.146</w:t>
            </w:r>
          </w:p>
        </w:tc>
        <w:tc>
          <w:tcPr>
            <w:tcW w:w="1237" w:type="dxa"/>
            <w:hideMark/>
          </w:tcPr>
          <w:p w:rsidRPr="002A1F9A" w:rsidR="00AD616C" w:rsidP="00AD616C" w:rsidRDefault="00AD616C" w14:paraId="672EB13E" w14:textId="19C8A6EC">
            <w:pPr>
              <w:spacing w:before="0" w:after="0"/>
              <w:jc w:val="right"/>
              <w:rPr>
                <w:rFonts w:ascii="Verdana" w:hAnsi="Verdana"/>
                <w:i/>
                <w:iCs/>
                <w:color w:val="000000"/>
                <w:sz w:val="18"/>
                <w:szCs w:val="18"/>
              </w:rPr>
            </w:pPr>
            <w:r w:rsidRPr="002A1F9A">
              <w:rPr>
                <w:rFonts w:ascii="Verdana" w:hAnsi="Verdana"/>
                <w:sz w:val="18"/>
                <w:szCs w:val="18"/>
              </w:rPr>
              <w:t>335</w:t>
            </w:r>
          </w:p>
        </w:tc>
        <w:tc>
          <w:tcPr>
            <w:tcW w:w="1157" w:type="dxa"/>
            <w:noWrap/>
            <w:hideMark/>
          </w:tcPr>
          <w:p w:rsidRPr="002A1F9A" w:rsidR="00AD616C" w:rsidP="00AD616C" w:rsidRDefault="00AD616C" w14:paraId="05529389" w14:textId="5DD2569E">
            <w:pPr>
              <w:spacing w:before="0" w:after="0"/>
              <w:jc w:val="right"/>
              <w:rPr>
                <w:rFonts w:ascii="Verdana" w:hAnsi="Verdana"/>
                <w:i/>
                <w:iCs/>
                <w:color w:val="000000"/>
                <w:sz w:val="18"/>
                <w:szCs w:val="18"/>
              </w:rPr>
            </w:pPr>
            <w:r w:rsidRPr="002A1F9A">
              <w:rPr>
                <w:rFonts w:ascii="Verdana" w:hAnsi="Verdana"/>
                <w:sz w:val="18"/>
                <w:szCs w:val="18"/>
              </w:rPr>
              <w:t>3.131.645</w:t>
            </w:r>
          </w:p>
        </w:tc>
        <w:tc>
          <w:tcPr>
            <w:tcW w:w="1237" w:type="dxa"/>
            <w:hideMark/>
          </w:tcPr>
          <w:p w:rsidRPr="002A1F9A" w:rsidR="00AD616C" w:rsidP="00AD616C" w:rsidRDefault="00AD616C" w14:paraId="4BF2937C" w14:textId="03614BCF">
            <w:pPr>
              <w:spacing w:before="0" w:after="0"/>
              <w:jc w:val="right"/>
              <w:rPr>
                <w:rFonts w:ascii="Verdana" w:hAnsi="Verdana"/>
                <w:i/>
                <w:iCs/>
                <w:color w:val="000000"/>
                <w:sz w:val="18"/>
                <w:szCs w:val="18"/>
              </w:rPr>
            </w:pPr>
            <w:r w:rsidRPr="002A1F9A">
              <w:rPr>
                <w:rFonts w:ascii="Verdana" w:hAnsi="Verdana"/>
                <w:sz w:val="18"/>
                <w:szCs w:val="18"/>
              </w:rPr>
              <w:t>189</w:t>
            </w:r>
          </w:p>
        </w:tc>
      </w:tr>
      <w:tr w:rsidRPr="002A1F9A" w:rsidR="00AD616C" w:rsidTr="00AD616C" w14:paraId="5C506CE0" w14:textId="77777777">
        <w:trPr>
          <w:trHeight w:val="200"/>
        </w:trPr>
        <w:tc>
          <w:tcPr>
            <w:tcW w:w="1200" w:type="dxa"/>
            <w:noWrap/>
            <w:hideMark/>
          </w:tcPr>
          <w:p w:rsidRPr="002A1F9A" w:rsidR="00AD616C" w:rsidP="00AD616C" w:rsidRDefault="00AD616C" w14:paraId="04EFF6E2" w14:textId="6572382B">
            <w:pPr>
              <w:spacing w:before="0" w:after="0"/>
              <w:rPr>
                <w:rFonts w:ascii="Verdana" w:hAnsi="Verdana"/>
                <w:b/>
                <w:bCs/>
                <w:i/>
                <w:iCs/>
                <w:color w:val="000000"/>
                <w:sz w:val="18"/>
                <w:szCs w:val="18"/>
              </w:rPr>
            </w:pPr>
            <w:r w:rsidRPr="002A1F9A">
              <w:rPr>
                <w:rFonts w:ascii="Verdana" w:hAnsi="Verdana"/>
                <w:b/>
                <w:bCs/>
                <w:sz w:val="18"/>
                <w:szCs w:val="18"/>
              </w:rPr>
              <w:t>2004</w:t>
            </w:r>
          </w:p>
        </w:tc>
        <w:tc>
          <w:tcPr>
            <w:tcW w:w="1326" w:type="dxa"/>
            <w:noWrap/>
            <w:hideMark/>
          </w:tcPr>
          <w:p w:rsidRPr="002A1F9A" w:rsidR="00AD616C" w:rsidP="00AD616C" w:rsidRDefault="00AD616C" w14:paraId="04DEE6E4" w14:textId="12DAF9ED">
            <w:pPr>
              <w:spacing w:before="0" w:after="0"/>
              <w:jc w:val="right"/>
              <w:rPr>
                <w:rFonts w:ascii="Verdana" w:hAnsi="Verdana"/>
                <w:i/>
                <w:iCs/>
                <w:color w:val="000000"/>
                <w:sz w:val="18"/>
                <w:szCs w:val="18"/>
              </w:rPr>
            </w:pPr>
            <w:r w:rsidRPr="002A1F9A">
              <w:rPr>
                <w:rFonts w:ascii="Verdana" w:hAnsi="Verdana"/>
                <w:sz w:val="18"/>
                <w:szCs w:val="18"/>
              </w:rPr>
              <w:t>2.663.934</w:t>
            </w:r>
          </w:p>
        </w:tc>
        <w:tc>
          <w:tcPr>
            <w:tcW w:w="1237" w:type="dxa"/>
            <w:hideMark/>
          </w:tcPr>
          <w:p w:rsidRPr="002A1F9A" w:rsidR="00AD616C" w:rsidP="00AD616C" w:rsidRDefault="00AD616C" w14:paraId="764C6170" w14:textId="64CF5B56">
            <w:pPr>
              <w:spacing w:before="0" w:after="0"/>
              <w:jc w:val="right"/>
              <w:rPr>
                <w:rFonts w:ascii="Verdana" w:hAnsi="Verdana"/>
                <w:i/>
                <w:iCs/>
                <w:color w:val="000000"/>
                <w:sz w:val="18"/>
                <w:szCs w:val="18"/>
              </w:rPr>
            </w:pPr>
            <w:r w:rsidRPr="002A1F9A">
              <w:rPr>
                <w:rFonts w:ascii="Verdana" w:hAnsi="Verdana"/>
                <w:sz w:val="18"/>
                <w:szCs w:val="18"/>
              </w:rPr>
              <w:t>485</w:t>
            </w:r>
          </w:p>
        </w:tc>
        <w:tc>
          <w:tcPr>
            <w:tcW w:w="1148" w:type="dxa"/>
            <w:noWrap/>
            <w:hideMark/>
          </w:tcPr>
          <w:p w:rsidRPr="002A1F9A" w:rsidR="00AD616C" w:rsidP="00AD616C" w:rsidRDefault="00AD616C" w14:paraId="6B42F0C2" w14:textId="6AFBAAB1">
            <w:pPr>
              <w:spacing w:before="0" w:after="0"/>
              <w:jc w:val="right"/>
              <w:rPr>
                <w:rFonts w:ascii="Verdana" w:hAnsi="Verdana"/>
                <w:i/>
                <w:iCs/>
                <w:color w:val="000000"/>
                <w:sz w:val="18"/>
                <w:szCs w:val="18"/>
              </w:rPr>
            </w:pPr>
            <w:r w:rsidRPr="002A1F9A">
              <w:rPr>
                <w:rFonts w:ascii="Verdana" w:hAnsi="Verdana"/>
                <w:sz w:val="18"/>
                <w:szCs w:val="18"/>
              </w:rPr>
              <w:t>1.714.566</w:t>
            </w:r>
          </w:p>
        </w:tc>
        <w:tc>
          <w:tcPr>
            <w:tcW w:w="1237" w:type="dxa"/>
            <w:hideMark/>
          </w:tcPr>
          <w:p w:rsidRPr="002A1F9A" w:rsidR="00AD616C" w:rsidP="00AD616C" w:rsidRDefault="00AD616C" w14:paraId="021B320D" w14:textId="743616AE">
            <w:pPr>
              <w:spacing w:before="0" w:after="0"/>
              <w:jc w:val="right"/>
              <w:rPr>
                <w:rFonts w:ascii="Verdana" w:hAnsi="Verdana"/>
                <w:i/>
                <w:iCs/>
                <w:color w:val="000000"/>
                <w:sz w:val="18"/>
                <w:szCs w:val="18"/>
              </w:rPr>
            </w:pPr>
            <w:r w:rsidRPr="002A1F9A">
              <w:rPr>
                <w:rFonts w:ascii="Verdana" w:hAnsi="Verdana"/>
                <w:sz w:val="18"/>
                <w:szCs w:val="18"/>
              </w:rPr>
              <w:t>346</w:t>
            </w:r>
          </w:p>
        </w:tc>
        <w:tc>
          <w:tcPr>
            <w:tcW w:w="1157" w:type="dxa"/>
            <w:noWrap/>
            <w:hideMark/>
          </w:tcPr>
          <w:p w:rsidRPr="002A1F9A" w:rsidR="00AD616C" w:rsidP="00AD616C" w:rsidRDefault="00AD616C" w14:paraId="685BBBAA" w14:textId="59605D80">
            <w:pPr>
              <w:spacing w:before="0" w:after="0"/>
              <w:jc w:val="right"/>
              <w:rPr>
                <w:rFonts w:ascii="Verdana" w:hAnsi="Verdana"/>
                <w:i/>
                <w:iCs/>
                <w:color w:val="000000"/>
                <w:sz w:val="18"/>
                <w:szCs w:val="18"/>
              </w:rPr>
            </w:pPr>
            <w:r w:rsidRPr="002A1F9A">
              <w:rPr>
                <w:rFonts w:ascii="Verdana" w:hAnsi="Verdana"/>
                <w:sz w:val="18"/>
                <w:szCs w:val="18"/>
              </w:rPr>
              <w:t>3.215.642</w:t>
            </w:r>
          </w:p>
        </w:tc>
        <w:tc>
          <w:tcPr>
            <w:tcW w:w="1237" w:type="dxa"/>
            <w:hideMark/>
          </w:tcPr>
          <w:p w:rsidRPr="002A1F9A" w:rsidR="00AD616C" w:rsidP="00AD616C" w:rsidRDefault="00AD616C" w14:paraId="223B69A4" w14:textId="6E32C643">
            <w:pPr>
              <w:spacing w:before="0" w:after="0"/>
              <w:jc w:val="right"/>
              <w:rPr>
                <w:rFonts w:ascii="Verdana" w:hAnsi="Verdana"/>
                <w:i/>
                <w:iCs/>
                <w:color w:val="000000"/>
                <w:sz w:val="18"/>
                <w:szCs w:val="18"/>
              </w:rPr>
            </w:pPr>
            <w:r w:rsidRPr="002A1F9A">
              <w:rPr>
                <w:rFonts w:ascii="Verdana" w:hAnsi="Verdana"/>
                <w:sz w:val="18"/>
                <w:szCs w:val="18"/>
              </w:rPr>
              <w:t>199</w:t>
            </w:r>
          </w:p>
        </w:tc>
      </w:tr>
      <w:tr w:rsidRPr="002A1F9A" w:rsidR="00AD616C" w:rsidTr="00AD616C" w14:paraId="14EFB2C5" w14:textId="77777777">
        <w:trPr>
          <w:trHeight w:val="200"/>
        </w:trPr>
        <w:tc>
          <w:tcPr>
            <w:tcW w:w="1200" w:type="dxa"/>
            <w:noWrap/>
            <w:hideMark/>
          </w:tcPr>
          <w:p w:rsidRPr="002A1F9A" w:rsidR="00AD616C" w:rsidP="00AD616C" w:rsidRDefault="00AD616C" w14:paraId="146DC557" w14:textId="1883AFA1">
            <w:pPr>
              <w:spacing w:before="0" w:after="0"/>
              <w:rPr>
                <w:rFonts w:ascii="Verdana" w:hAnsi="Verdana"/>
                <w:b/>
                <w:bCs/>
                <w:i/>
                <w:iCs/>
                <w:color w:val="000000"/>
                <w:sz w:val="18"/>
                <w:szCs w:val="18"/>
              </w:rPr>
            </w:pPr>
            <w:r w:rsidRPr="002A1F9A">
              <w:rPr>
                <w:rFonts w:ascii="Verdana" w:hAnsi="Verdana"/>
                <w:b/>
                <w:bCs/>
                <w:sz w:val="18"/>
                <w:szCs w:val="18"/>
              </w:rPr>
              <w:t>2005</w:t>
            </w:r>
          </w:p>
        </w:tc>
        <w:tc>
          <w:tcPr>
            <w:tcW w:w="1326" w:type="dxa"/>
            <w:noWrap/>
            <w:hideMark/>
          </w:tcPr>
          <w:p w:rsidRPr="002A1F9A" w:rsidR="00AD616C" w:rsidP="00AD616C" w:rsidRDefault="00AD616C" w14:paraId="523846AA" w14:textId="7A4D62F0">
            <w:pPr>
              <w:spacing w:before="0" w:after="0"/>
              <w:jc w:val="right"/>
              <w:rPr>
                <w:rFonts w:ascii="Verdana" w:hAnsi="Verdana"/>
                <w:i/>
                <w:iCs/>
                <w:color w:val="000000"/>
                <w:sz w:val="18"/>
                <w:szCs w:val="18"/>
              </w:rPr>
            </w:pPr>
            <w:r w:rsidRPr="002A1F9A">
              <w:rPr>
                <w:rFonts w:ascii="Verdana" w:hAnsi="Verdana"/>
                <w:sz w:val="18"/>
                <w:szCs w:val="18"/>
              </w:rPr>
              <w:t>2.828.474</w:t>
            </w:r>
          </w:p>
        </w:tc>
        <w:tc>
          <w:tcPr>
            <w:tcW w:w="1237" w:type="dxa"/>
            <w:hideMark/>
          </w:tcPr>
          <w:p w:rsidRPr="002A1F9A" w:rsidR="00AD616C" w:rsidP="00AD616C" w:rsidRDefault="00AD616C" w14:paraId="53FBBA1A" w14:textId="06D0D953">
            <w:pPr>
              <w:spacing w:before="0" w:after="0"/>
              <w:jc w:val="right"/>
              <w:rPr>
                <w:rFonts w:ascii="Verdana" w:hAnsi="Verdana"/>
                <w:i/>
                <w:iCs/>
                <w:color w:val="000000"/>
                <w:sz w:val="18"/>
                <w:szCs w:val="18"/>
              </w:rPr>
            </w:pPr>
            <w:r w:rsidRPr="002A1F9A">
              <w:rPr>
                <w:rFonts w:ascii="Verdana" w:hAnsi="Verdana"/>
                <w:sz w:val="18"/>
                <w:szCs w:val="18"/>
              </w:rPr>
              <w:t>482</w:t>
            </w:r>
          </w:p>
        </w:tc>
        <w:tc>
          <w:tcPr>
            <w:tcW w:w="1148" w:type="dxa"/>
            <w:noWrap/>
            <w:hideMark/>
          </w:tcPr>
          <w:p w:rsidRPr="002A1F9A" w:rsidR="00AD616C" w:rsidP="00AD616C" w:rsidRDefault="00AD616C" w14:paraId="7B1F692F" w14:textId="1D4F4531">
            <w:pPr>
              <w:spacing w:before="0" w:after="0"/>
              <w:jc w:val="right"/>
              <w:rPr>
                <w:rFonts w:ascii="Verdana" w:hAnsi="Verdana"/>
                <w:i/>
                <w:iCs/>
                <w:color w:val="000000"/>
                <w:sz w:val="18"/>
                <w:szCs w:val="18"/>
              </w:rPr>
            </w:pPr>
            <w:r w:rsidRPr="002A1F9A">
              <w:rPr>
                <w:rFonts w:ascii="Verdana" w:hAnsi="Verdana"/>
                <w:sz w:val="18"/>
                <w:szCs w:val="18"/>
              </w:rPr>
              <w:t>1.797.739</w:t>
            </w:r>
          </w:p>
        </w:tc>
        <w:tc>
          <w:tcPr>
            <w:tcW w:w="1237" w:type="dxa"/>
            <w:hideMark/>
          </w:tcPr>
          <w:p w:rsidRPr="002A1F9A" w:rsidR="00AD616C" w:rsidP="00AD616C" w:rsidRDefault="00AD616C" w14:paraId="7F1325EF" w14:textId="71B6645D">
            <w:pPr>
              <w:spacing w:before="0" w:after="0"/>
              <w:jc w:val="right"/>
              <w:rPr>
                <w:rFonts w:ascii="Verdana" w:hAnsi="Verdana"/>
                <w:i/>
                <w:iCs/>
                <w:color w:val="000000"/>
                <w:sz w:val="18"/>
                <w:szCs w:val="18"/>
              </w:rPr>
            </w:pPr>
            <w:r w:rsidRPr="002A1F9A">
              <w:rPr>
                <w:rFonts w:ascii="Verdana" w:hAnsi="Verdana"/>
                <w:sz w:val="18"/>
                <w:szCs w:val="18"/>
              </w:rPr>
              <w:t>356</w:t>
            </w:r>
          </w:p>
        </w:tc>
        <w:tc>
          <w:tcPr>
            <w:tcW w:w="1157" w:type="dxa"/>
            <w:noWrap/>
            <w:hideMark/>
          </w:tcPr>
          <w:p w:rsidRPr="002A1F9A" w:rsidR="00AD616C" w:rsidP="00AD616C" w:rsidRDefault="00AD616C" w14:paraId="1CA33764" w14:textId="7E72BEC1">
            <w:pPr>
              <w:spacing w:before="0" w:after="0"/>
              <w:jc w:val="right"/>
              <w:rPr>
                <w:rFonts w:ascii="Verdana" w:hAnsi="Verdana"/>
                <w:i/>
                <w:iCs/>
                <w:color w:val="000000"/>
                <w:sz w:val="18"/>
                <w:szCs w:val="18"/>
              </w:rPr>
            </w:pPr>
            <w:r w:rsidRPr="002A1F9A">
              <w:rPr>
                <w:rFonts w:ascii="Verdana" w:hAnsi="Verdana"/>
                <w:sz w:val="18"/>
                <w:szCs w:val="18"/>
              </w:rPr>
              <w:t>3.337.895</w:t>
            </w:r>
          </w:p>
        </w:tc>
        <w:tc>
          <w:tcPr>
            <w:tcW w:w="1237" w:type="dxa"/>
            <w:hideMark/>
          </w:tcPr>
          <w:p w:rsidRPr="002A1F9A" w:rsidR="00AD616C" w:rsidP="00AD616C" w:rsidRDefault="00AD616C" w14:paraId="3C90AAA8" w14:textId="74B2C869">
            <w:pPr>
              <w:spacing w:before="0" w:after="0"/>
              <w:jc w:val="right"/>
              <w:rPr>
                <w:rFonts w:ascii="Verdana" w:hAnsi="Verdana"/>
                <w:i/>
                <w:iCs/>
                <w:color w:val="000000"/>
                <w:sz w:val="18"/>
                <w:szCs w:val="18"/>
              </w:rPr>
            </w:pPr>
            <w:r w:rsidRPr="002A1F9A">
              <w:rPr>
                <w:rFonts w:ascii="Verdana" w:hAnsi="Verdana"/>
                <w:sz w:val="18"/>
                <w:szCs w:val="18"/>
              </w:rPr>
              <w:t>205</w:t>
            </w:r>
          </w:p>
        </w:tc>
      </w:tr>
      <w:tr w:rsidRPr="002A1F9A" w:rsidR="00AD616C" w:rsidTr="00AD616C" w14:paraId="37E1C1FA" w14:textId="77777777">
        <w:trPr>
          <w:trHeight w:val="200"/>
        </w:trPr>
        <w:tc>
          <w:tcPr>
            <w:tcW w:w="1200" w:type="dxa"/>
            <w:noWrap/>
            <w:hideMark/>
          </w:tcPr>
          <w:p w:rsidRPr="002A1F9A" w:rsidR="00AD616C" w:rsidP="00AD616C" w:rsidRDefault="00AD616C" w14:paraId="4AA9EAD6" w14:textId="0A3DCCEA">
            <w:pPr>
              <w:spacing w:before="0" w:after="0"/>
              <w:rPr>
                <w:rFonts w:ascii="Verdana" w:hAnsi="Verdana"/>
                <w:b/>
                <w:bCs/>
                <w:i/>
                <w:iCs/>
                <w:color w:val="000000"/>
                <w:sz w:val="18"/>
                <w:szCs w:val="18"/>
              </w:rPr>
            </w:pPr>
            <w:r w:rsidRPr="002A1F9A">
              <w:rPr>
                <w:rFonts w:ascii="Verdana" w:hAnsi="Verdana"/>
                <w:b/>
                <w:bCs/>
                <w:sz w:val="18"/>
                <w:szCs w:val="18"/>
              </w:rPr>
              <w:t>2006</w:t>
            </w:r>
          </w:p>
        </w:tc>
        <w:tc>
          <w:tcPr>
            <w:tcW w:w="1326" w:type="dxa"/>
            <w:noWrap/>
            <w:hideMark/>
          </w:tcPr>
          <w:p w:rsidRPr="002A1F9A" w:rsidR="00AD616C" w:rsidP="00AD616C" w:rsidRDefault="00AD616C" w14:paraId="73A2E137" w14:textId="6FD570AD">
            <w:pPr>
              <w:spacing w:before="0" w:after="0"/>
              <w:jc w:val="right"/>
              <w:rPr>
                <w:rFonts w:ascii="Verdana" w:hAnsi="Verdana"/>
                <w:i/>
                <w:iCs/>
                <w:color w:val="000000"/>
                <w:sz w:val="18"/>
                <w:szCs w:val="18"/>
              </w:rPr>
            </w:pPr>
            <w:r w:rsidRPr="002A1F9A">
              <w:rPr>
                <w:rFonts w:ascii="Verdana" w:hAnsi="Verdana"/>
                <w:sz w:val="18"/>
                <w:szCs w:val="18"/>
              </w:rPr>
              <w:t>3.134.508</w:t>
            </w:r>
          </w:p>
        </w:tc>
        <w:tc>
          <w:tcPr>
            <w:tcW w:w="1237" w:type="dxa"/>
            <w:hideMark/>
          </w:tcPr>
          <w:p w:rsidRPr="002A1F9A" w:rsidR="00AD616C" w:rsidP="00AD616C" w:rsidRDefault="00AD616C" w14:paraId="4AA6F424" w14:textId="2D673E5B">
            <w:pPr>
              <w:spacing w:before="0" w:after="0"/>
              <w:jc w:val="right"/>
              <w:rPr>
                <w:rFonts w:ascii="Verdana" w:hAnsi="Verdana"/>
                <w:i/>
                <w:iCs/>
                <w:color w:val="000000"/>
                <w:sz w:val="18"/>
                <w:szCs w:val="18"/>
              </w:rPr>
            </w:pPr>
            <w:r w:rsidRPr="002A1F9A">
              <w:rPr>
                <w:rFonts w:ascii="Verdana" w:hAnsi="Verdana"/>
                <w:sz w:val="18"/>
                <w:szCs w:val="18"/>
              </w:rPr>
              <w:t>487</w:t>
            </w:r>
          </w:p>
        </w:tc>
        <w:tc>
          <w:tcPr>
            <w:tcW w:w="1148" w:type="dxa"/>
            <w:noWrap/>
            <w:hideMark/>
          </w:tcPr>
          <w:p w:rsidRPr="002A1F9A" w:rsidR="00AD616C" w:rsidP="00AD616C" w:rsidRDefault="00AD616C" w14:paraId="01F0D7FB" w14:textId="01C1721A">
            <w:pPr>
              <w:spacing w:before="0" w:after="0"/>
              <w:jc w:val="right"/>
              <w:rPr>
                <w:rFonts w:ascii="Verdana" w:hAnsi="Verdana"/>
                <w:i/>
                <w:iCs/>
                <w:color w:val="000000"/>
                <w:sz w:val="18"/>
                <w:szCs w:val="18"/>
              </w:rPr>
            </w:pPr>
            <w:r w:rsidRPr="002A1F9A">
              <w:rPr>
                <w:rFonts w:ascii="Verdana" w:hAnsi="Verdana"/>
                <w:sz w:val="18"/>
                <w:szCs w:val="18"/>
              </w:rPr>
              <w:t>1.876.798</w:t>
            </w:r>
          </w:p>
        </w:tc>
        <w:tc>
          <w:tcPr>
            <w:tcW w:w="1237" w:type="dxa"/>
            <w:hideMark/>
          </w:tcPr>
          <w:p w:rsidRPr="002A1F9A" w:rsidR="00AD616C" w:rsidP="00AD616C" w:rsidRDefault="00AD616C" w14:paraId="0F9A75EE" w14:textId="28CDD2A6">
            <w:pPr>
              <w:spacing w:before="0" w:after="0"/>
              <w:jc w:val="right"/>
              <w:rPr>
                <w:rFonts w:ascii="Verdana" w:hAnsi="Verdana"/>
                <w:i/>
                <w:iCs/>
                <w:color w:val="000000"/>
                <w:sz w:val="18"/>
                <w:szCs w:val="18"/>
              </w:rPr>
            </w:pPr>
            <w:r w:rsidRPr="002A1F9A">
              <w:rPr>
                <w:rFonts w:ascii="Verdana" w:hAnsi="Verdana"/>
                <w:sz w:val="18"/>
                <w:szCs w:val="18"/>
              </w:rPr>
              <w:t>366</w:t>
            </w:r>
          </w:p>
        </w:tc>
        <w:tc>
          <w:tcPr>
            <w:tcW w:w="1157" w:type="dxa"/>
            <w:noWrap/>
            <w:hideMark/>
          </w:tcPr>
          <w:p w:rsidRPr="002A1F9A" w:rsidR="00AD616C" w:rsidP="00AD616C" w:rsidRDefault="00AD616C" w14:paraId="33AAD25A" w14:textId="3B352611">
            <w:pPr>
              <w:spacing w:before="0" w:after="0"/>
              <w:jc w:val="right"/>
              <w:rPr>
                <w:rFonts w:ascii="Verdana" w:hAnsi="Verdana"/>
                <w:i/>
                <w:iCs/>
                <w:color w:val="000000"/>
                <w:sz w:val="18"/>
                <w:szCs w:val="18"/>
              </w:rPr>
            </w:pPr>
            <w:r w:rsidRPr="002A1F9A">
              <w:rPr>
                <w:rFonts w:ascii="Verdana" w:hAnsi="Verdana"/>
                <w:sz w:val="18"/>
                <w:szCs w:val="18"/>
              </w:rPr>
              <w:t>3.396.597</w:t>
            </w:r>
          </w:p>
        </w:tc>
        <w:tc>
          <w:tcPr>
            <w:tcW w:w="1237" w:type="dxa"/>
            <w:hideMark/>
          </w:tcPr>
          <w:p w:rsidRPr="002A1F9A" w:rsidR="00AD616C" w:rsidP="00AD616C" w:rsidRDefault="00AD616C" w14:paraId="3B549B97" w14:textId="49117779">
            <w:pPr>
              <w:spacing w:before="0" w:after="0"/>
              <w:jc w:val="right"/>
              <w:rPr>
                <w:rFonts w:ascii="Verdana" w:hAnsi="Verdana"/>
                <w:i/>
                <w:iCs/>
                <w:color w:val="000000"/>
                <w:sz w:val="18"/>
                <w:szCs w:val="18"/>
              </w:rPr>
            </w:pPr>
            <w:r w:rsidRPr="002A1F9A">
              <w:rPr>
                <w:rFonts w:ascii="Verdana" w:hAnsi="Verdana"/>
                <w:sz w:val="18"/>
                <w:szCs w:val="18"/>
              </w:rPr>
              <w:t>208</w:t>
            </w:r>
          </w:p>
        </w:tc>
      </w:tr>
      <w:tr w:rsidRPr="002A1F9A" w:rsidR="00AD616C" w:rsidTr="00AD616C" w14:paraId="0C2A9540" w14:textId="77777777">
        <w:trPr>
          <w:trHeight w:val="200"/>
        </w:trPr>
        <w:tc>
          <w:tcPr>
            <w:tcW w:w="1200" w:type="dxa"/>
            <w:noWrap/>
            <w:hideMark/>
          </w:tcPr>
          <w:p w:rsidRPr="002A1F9A" w:rsidR="00AD616C" w:rsidP="00AD616C" w:rsidRDefault="00AD616C" w14:paraId="6ADB70A7" w14:textId="1E25ABE2">
            <w:pPr>
              <w:spacing w:before="0" w:after="0"/>
              <w:rPr>
                <w:rFonts w:ascii="Verdana" w:hAnsi="Verdana"/>
                <w:b/>
                <w:bCs/>
                <w:i/>
                <w:iCs/>
                <w:color w:val="000000"/>
                <w:sz w:val="18"/>
                <w:szCs w:val="18"/>
              </w:rPr>
            </w:pPr>
            <w:r w:rsidRPr="002A1F9A">
              <w:rPr>
                <w:rFonts w:ascii="Verdana" w:hAnsi="Verdana"/>
                <w:b/>
                <w:bCs/>
                <w:sz w:val="18"/>
                <w:szCs w:val="18"/>
              </w:rPr>
              <w:t>2007</w:t>
            </w:r>
          </w:p>
        </w:tc>
        <w:tc>
          <w:tcPr>
            <w:tcW w:w="1326" w:type="dxa"/>
            <w:noWrap/>
            <w:hideMark/>
          </w:tcPr>
          <w:p w:rsidRPr="002A1F9A" w:rsidR="00AD616C" w:rsidP="00AD616C" w:rsidRDefault="00AD616C" w14:paraId="7F7DB8E4" w14:textId="74C4CB2B">
            <w:pPr>
              <w:spacing w:before="0" w:after="0"/>
              <w:jc w:val="right"/>
              <w:rPr>
                <w:rFonts w:ascii="Verdana" w:hAnsi="Verdana"/>
                <w:i/>
                <w:iCs/>
                <w:color w:val="000000"/>
                <w:sz w:val="18"/>
                <w:szCs w:val="18"/>
              </w:rPr>
            </w:pPr>
            <w:r w:rsidRPr="002A1F9A">
              <w:rPr>
                <w:rFonts w:ascii="Verdana" w:hAnsi="Verdana"/>
                <w:sz w:val="18"/>
                <w:szCs w:val="18"/>
              </w:rPr>
              <w:t>3.191.666</w:t>
            </w:r>
          </w:p>
        </w:tc>
        <w:tc>
          <w:tcPr>
            <w:tcW w:w="1237" w:type="dxa"/>
            <w:hideMark/>
          </w:tcPr>
          <w:p w:rsidRPr="002A1F9A" w:rsidR="00AD616C" w:rsidP="00AD616C" w:rsidRDefault="00AD616C" w14:paraId="152AF758" w14:textId="3E31A555">
            <w:pPr>
              <w:spacing w:before="0" w:after="0"/>
              <w:jc w:val="right"/>
              <w:rPr>
                <w:rFonts w:ascii="Verdana" w:hAnsi="Verdana"/>
                <w:i/>
                <w:iCs/>
                <w:color w:val="000000"/>
                <w:sz w:val="18"/>
                <w:szCs w:val="18"/>
              </w:rPr>
            </w:pPr>
            <w:r w:rsidRPr="002A1F9A">
              <w:rPr>
                <w:rFonts w:ascii="Verdana" w:hAnsi="Verdana"/>
                <w:sz w:val="18"/>
                <w:szCs w:val="18"/>
              </w:rPr>
              <w:t>498</w:t>
            </w:r>
          </w:p>
        </w:tc>
        <w:tc>
          <w:tcPr>
            <w:tcW w:w="1148" w:type="dxa"/>
            <w:noWrap/>
            <w:hideMark/>
          </w:tcPr>
          <w:p w:rsidRPr="002A1F9A" w:rsidR="00AD616C" w:rsidP="00AD616C" w:rsidRDefault="00AD616C" w14:paraId="2C5FAFD4" w14:textId="565291B7">
            <w:pPr>
              <w:spacing w:before="0" w:after="0"/>
              <w:jc w:val="right"/>
              <w:rPr>
                <w:rFonts w:ascii="Verdana" w:hAnsi="Verdana"/>
                <w:i/>
                <w:iCs/>
                <w:color w:val="000000"/>
                <w:sz w:val="18"/>
                <w:szCs w:val="18"/>
              </w:rPr>
            </w:pPr>
            <w:r w:rsidRPr="002A1F9A">
              <w:rPr>
                <w:rFonts w:ascii="Verdana" w:hAnsi="Verdana"/>
                <w:sz w:val="18"/>
                <w:szCs w:val="18"/>
              </w:rPr>
              <w:t>2.025.779</w:t>
            </w:r>
          </w:p>
        </w:tc>
        <w:tc>
          <w:tcPr>
            <w:tcW w:w="1237" w:type="dxa"/>
            <w:hideMark/>
          </w:tcPr>
          <w:p w:rsidRPr="002A1F9A" w:rsidR="00AD616C" w:rsidP="00AD616C" w:rsidRDefault="00AD616C" w14:paraId="6DE92F14" w14:textId="5CEE4EBF">
            <w:pPr>
              <w:spacing w:before="0" w:after="0"/>
              <w:jc w:val="right"/>
              <w:rPr>
                <w:rFonts w:ascii="Verdana" w:hAnsi="Verdana"/>
                <w:i/>
                <w:iCs/>
                <w:color w:val="000000"/>
                <w:sz w:val="18"/>
                <w:szCs w:val="18"/>
              </w:rPr>
            </w:pPr>
            <w:r w:rsidRPr="002A1F9A">
              <w:rPr>
                <w:rFonts w:ascii="Verdana" w:hAnsi="Verdana"/>
                <w:sz w:val="18"/>
                <w:szCs w:val="18"/>
              </w:rPr>
              <w:t>374</w:t>
            </w:r>
          </w:p>
        </w:tc>
        <w:tc>
          <w:tcPr>
            <w:tcW w:w="1157" w:type="dxa"/>
            <w:noWrap/>
            <w:hideMark/>
          </w:tcPr>
          <w:p w:rsidRPr="002A1F9A" w:rsidR="00AD616C" w:rsidP="00AD616C" w:rsidRDefault="00AD616C" w14:paraId="25C01504" w14:textId="3AEA48F1">
            <w:pPr>
              <w:spacing w:before="0" w:after="0"/>
              <w:jc w:val="right"/>
              <w:rPr>
                <w:rFonts w:ascii="Verdana" w:hAnsi="Verdana"/>
                <w:i/>
                <w:iCs/>
                <w:color w:val="000000"/>
                <w:sz w:val="18"/>
                <w:szCs w:val="18"/>
              </w:rPr>
            </w:pPr>
            <w:r w:rsidRPr="002A1F9A">
              <w:rPr>
                <w:rFonts w:ascii="Verdana" w:hAnsi="Verdana"/>
                <w:sz w:val="18"/>
                <w:szCs w:val="18"/>
              </w:rPr>
              <w:t>3.511.532</w:t>
            </w:r>
          </w:p>
        </w:tc>
        <w:tc>
          <w:tcPr>
            <w:tcW w:w="1237" w:type="dxa"/>
            <w:hideMark/>
          </w:tcPr>
          <w:p w:rsidRPr="002A1F9A" w:rsidR="00AD616C" w:rsidP="00AD616C" w:rsidRDefault="00AD616C" w14:paraId="54F312F1" w14:textId="2DF29BCF">
            <w:pPr>
              <w:spacing w:before="0" w:after="0"/>
              <w:jc w:val="right"/>
              <w:rPr>
                <w:rFonts w:ascii="Verdana" w:hAnsi="Verdana"/>
                <w:i/>
                <w:iCs/>
                <w:color w:val="000000"/>
                <w:sz w:val="18"/>
                <w:szCs w:val="18"/>
              </w:rPr>
            </w:pPr>
            <w:r w:rsidRPr="002A1F9A">
              <w:rPr>
                <w:rFonts w:ascii="Verdana" w:hAnsi="Verdana"/>
                <w:sz w:val="18"/>
                <w:szCs w:val="18"/>
              </w:rPr>
              <w:t>212</w:t>
            </w:r>
          </w:p>
        </w:tc>
      </w:tr>
      <w:tr w:rsidRPr="002A1F9A" w:rsidR="00AD616C" w:rsidTr="00AD616C" w14:paraId="41E064BD" w14:textId="77777777">
        <w:trPr>
          <w:trHeight w:val="200"/>
        </w:trPr>
        <w:tc>
          <w:tcPr>
            <w:tcW w:w="1200" w:type="dxa"/>
            <w:noWrap/>
            <w:hideMark/>
          </w:tcPr>
          <w:p w:rsidRPr="002A1F9A" w:rsidR="00AD616C" w:rsidP="00AD616C" w:rsidRDefault="00AD616C" w14:paraId="58AC68BA" w14:textId="4F654570">
            <w:pPr>
              <w:spacing w:before="0" w:after="0"/>
              <w:rPr>
                <w:rFonts w:ascii="Verdana" w:hAnsi="Verdana"/>
                <w:b/>
                <w:bCs/>
                <w:i/>
                <w:iCs/>
                <w:color w:val="000000"/>
                <w:sz w:val="18"/>
                <w:szCs w:val="18"/>
              </w:rPr>
            </w:pPr>
            <w:r w:rsidRPr="002A1F9A">
              <w:rPr>
                <w:rFonts w:ascii="Verdana" w:hAnsi="Verdana"/>
                <w:b/>
                <w:bCs/>
                <w:sz w:val="18"/>
                <w:szCs w:val="18"/>
              </w:rPr>
              <w:t>2008</w:t>
            </w:r>
          </w:p>
        </w:tc>
        <w:tc>
          <w:tcPr>
            <w:tcW w:w="1326" w:type="dxa"/>
            <w:noWrap/>
            <w:hideMark/>
          </w:tcPr>
          <w:p w:rsidRPr="002A1F9A" w:rsidR="00AD616C" w:rsidP="00AD616C" w:rsidRDefault="00AD616C" w14:paraId="693A956A" w14:textId="707EF28C">
            <w:pPr>
              <w:spacing w:before="0" w:after="0"/>
              <w:jc w:val="right"/>
              <w:rPr>
                <w:rFonts w:ascii="Verdana" w:hAnsi="Verdana"/>
                <w:i/>
                <w:iCs/>
                <w:color w:val="000000"/>
                <w:sz w:val="18"/>
                <w:szCs w:val="18"/>
              </w:rPr>
            </w:pPr>
            <w:r w:rsidRPr="002A1F9A">
              <w:rPr>
                <w:rFonts w:ascii="Verdana" w:hAnsi="Verdana"/>
                <w:sz w:val="18"/>
                <w:szCs w:val="18"/>
              </w:rPr>
              <w:t>3.332.952</w:t>
            </w:r>
          </w:p>
        </w:tc>
        <w:tc>
          <w:tcPr>
            <w:tcW w:w="1237" w:type="dxa"/>
            <w:hideMark/>
          </w:tcPr>
          <w:p w:rsidRPr="002A1F9A" w:rsidR="00AD616C" w:rsidP="00AD616C" w:rsidRDefault="00AD616C" w14:paraId="0782E84A" w14:textId="1C21E703">
            <w:pPr>
              <w:spacing w:before="0" w:after="0"/>
              <w:jc w:val="right"/>
              <w:rPr>
                <w:rFonts w:ascii="Verdana" w:hAnsi="Verdana"/>
                <w:i/>
                <w:iCs/>
                <w:color w:val="000000"/>
                <w:sz w:val="18"/>
                <w:szCs w:val="18"/>
              </w:rPr>
            </w:pPr>
            <w:r w:rsidRPr="002A1F9A">
              <w:rPr>
                <w:rFonts w:ascii="Verdana" w:hAnsi="Verdana"/>
                <w:sz w:val="18"/>
                <w:szCs w:val="18"/>
              </w:rPr>
              <w:t>512</w:t>
            </w:r>
          </w:p>
        </w:tc>
        <w:tc>
          <w:tcPr>
            <w:tcW w:w="1148" w:type="dxa"/>
            <w:noWrap/>
            <w:hideMark/>
          </w:tcPr>
          <w:p w:rsidRPr="002A1F9A" w:rsidR="00AD616C" w:rsidP="00AD616C" w:rsidRDefault="00AD616C" w14:paraId="44161E1F" w14:textId="5907613C">
            <w:pPr>
              <w:spacing w:before="0" w:after="0"/>
              <w:jc w:val="right"/>
              <w:rPr>
                <w:rFonts w:ascii="Verdana" w:hAnsi="Verdana"/>
                <w:i/>
                <w:iCs/>
                <w:color w:val="000000"/>
                <w:sz w:val="18"/>
                <w:szCs w:val="18"/>
              </w:rPr>
            </w:pPr>
            <w:r w:rsidRPr="002A1F9A">
              <w:rPr>
                <w:rFonts w:ascii="Verdana" w:hAnsi="Verdana"/>
                <w:sz w:val="18"/>
                <w:szCs w:val="18"/>
              </w:rPr>
              <w:t>2.153.863</w:t>
            </w:r>
          </w:p>
        </w:tc>
        <w:tc>
          <w:tcPr>
            <w:tcW w:w="1237" w:type="dxa"/>
            <w:hideMark/>
          </w:tcPr>
          <w:p w:rsidRPr="002A1F9A" w:rsidR="00AD616C" w:rsidP="00AD616C" w:rsidRDefault="00AD616C" w14:paraId="1F8E70CB" w14:textId="6B82BF10">
            <w:pPr>
              <w:spacing w:before="0" w:after="0"/>
              <w:jc w:val="right"/>
              <w:rPr>
                <w:rFonts w:ascii="Verdana" w:hAnsi="Verdana"/>
                <w:i/>
                <w:iCs/>
                <w:color w:val="000000"/>
                <w:sz w:val="18"/>
                <w:szCs w:val="18"/>
              </w:rPr>
            </w:pPr>
            <w:r w:rsidRPr="002A1F9A">
              <w:rPr>
                <w:rFonts w:ascii="Verdana" w:hAnsi="Verdana"/>
                <w:sz w:val="18"/>
                <w:szCs w:val="18"/>
              </w:rPr>
              <w:t>384</w:t>
            </w:r>
          </w:p>
        </w:tc>
        <w:tc>
          <w:tcPr>
            <w:tcW w:w="1157" w:type="dxa"/>
            <w:noWrap/>
            <w:hideMark/>
          </w:tcPr>
          <w:p w:rsidRPr="002A1F9A" w:rsidR="00AD616C" w:rsidP="00AD616C" w:rsidRDefault="00AD616C" w14:paraId="3689D3F1" w14:textId="260AC31A">
            <w:pPr>
              <w:spacing w:before="0" w:after="0"/>
              <w:jc w:val="right"/>
              <w:rPr>
                <w:rFonts w:ascii="Verdana" w:hAnsi="Verdana"/>
                <w:i/>
                <w:iCs/>
                <w:color w:val="000000"/>
                <w:sz w:val="18"/>
                <w:szCs w:val="18"/>
              </w:rPr>
            </w:pPr>
            <w:r w:rsidRPr="002A1F9A">
              <w:rPr>
                <w:rFonts w:ascii="Verdana" w:hAnsi="Verdana"/>
                <w:sz w:val="18"/>
                <w:szCs w:val="18"/>
              </w:rPr>
              <w:t>3.676.678</w:t>
            </w:r>
          </w:p>
        </w:tc>
        <w:tc>
          <w:tcPr>
            <w:tcW w:w="1237" w:type="dxa"/>
            <w:hideMark/>
          </w:tcPr>
          <w:p w:rsidRPr="002A1F9A" w:rsidR="00AD616C" w:rsidP="00AD616C" w:rsidRDefault="00AD616C" w14:paraId="6094A73B" w14:textId="3775FCC6">
            <w:pPr>
              <w:spacing w:before="0" w:after="0"/>
              <w:jc w:val="right"/>
              <w:rPr>
                <w:rFonts w:ascii="Verdana" w:hAnsi="Verdana"/>
                <w:i/>
                <w:iCs/>
                <w:color w:val="000000"/>
                <w:sz w:val="18"/>
                <w:szCs w:val="18"/>
              </w:rPr>
            </w:pPr>
            <w:r w:rsidRPr="002A1F9A">
              <w:rPr>
                <w:rFonts w:ascii="Verdana" w:hAnsi="Verdana"/>
                <w:sz w:val="18"/>
                <w:szCs w:val="18"/>
              </w:rPr>
              <w:t>220</w:t>
            </w:r>
          </w:p>
        </w:tc>
      </w:tr>
      <w:tr w:rsidRPr="002A1F9A" w:rsidR="00AD616C" w:rsidTr="00AD616C" w14:paraId="79574BAD" w14:textId="77777777">
        <w:trPr>
          <w:trHeight w:val="200"/>
        </w:trPr>
        <w:tc>
          <w:tcPr>
            <w:tcW w:w="1200" w:type="dxa"/>
            <w:noWrap/>
            <w:hideMark/>
          </w:tcPr>
          <w:p w:rsidRPr="002A1F9A" w:rsidR="00AD616C" w:rsidP="00AD616C" w:rsidRDefault="00AD616C" w14:paraId="58858C7D" w14:textId="7279F636">
            <w:pPr>
              <w:spacing w:before="0" w:after="0"/>
              <w:rPr>
                <w:rFonts w:ascii="Verdana" w:hAnsi="Verdana"/>
                <w:b/>
                <w:bCs/>
                <w:i/>
                <w:iCs/>
                <w:color w:val="000000"/>
                <w:sz w:val="18"/>
                <w:szCs w:val="18"/>
              </w:rPr>
            </w:pPr>
            <w:r w:rsidRPr="002A1F9A">
              <w:rPr>
                <w:rFonts w:ascii="Verdana" w:hAnsi="Verdana"/>
                <w:b/>
                <w:bCs/>
                <w:sz w:val="18"/>
                <w:szCs w:val="18"/>
              </w:rPr>
              <w:t>2009</w:t>
            </w:r>
          </w:p>
        </w:tc>
        <w:tc>
          <w:tcPr>
            <w:tcW w:w="1326" w:type="dxa"/>
            <w:noWrap/>
            <w:hideMark/>
          </w:tcPr>
          <w:p w:rsidRPr="002A1F9A" w:rsidR="00AD616C" w:rsidP="00AD616C" w:rsidRDefault="00AD616C" w14:paraId="166B6B7C" w14:textId="0929F06B">
            <w:pPr>
              <w:spacing w:before="0" w:after="0"/>
              <w:jc w:val="right"/>
              <w:rPr>
                <w:rFonts w:ascii="Verdana" w:hAnsi="Verdana"/>
                <w:i/>
                <w:iCs/>
                <w:color w:val="000000"/>
                <w:sz w:val="18"/>
                <w:szCs w:val="18"/>
              </w:rPr>
            </w:pPr>
            <w:r w:rsidRPr="002A1F9A">
              <w:rPr>
                <w:rFonts w:ascii="Verdana" w:hAnsi="Verdana"/>
                <w:sz w:val="18"/>
                <w:szCs w:val="18"/>
              </w:rPr>
              <w:t>3.503.474</w:t>
            </w:r>
          </w:p>
        </w:tc>
        <w:tc>
          <w:tcPr>
            <w:tcW w:w="1237" w:type="dxa"/>
            <w:hideMark/>
          </w:tcPr>
          <w:p w:rsidRPr="002A1F9A" w:rsidR="00AD616C" w:rsidP="00AD616C" w:rsidRDefault="00AD616C" w14:paraId="32071FE2" w14:textId="6F28942B">
            <w:pPr>
              <w:spacing w:before="0" w:after="0"/>
              <w:jc w:val="right"/>
              <w:rPr>
                <w:rFonts w:ascii="Verdana" w:hAnsi="Verdana"/>
                <w:i/>
                <w:iCs/>
                <w:color w:val="000000"/>
                <w:sz w:val="18"/>
                <w:szCs w:val="18"/>
              </w:rPr>
            </w:pPr>
            <w:r w:rsidRPr="002A1F9A">
              <w:rPr>
                <w:rFonts w:ascii="Verdana" w:hAnsi="Verdana"/>
                <w:sz w:val="18"/>
                <w:szCs w:val="18"/>
              </w:rPr>
              <w:t>515</w:t>
            </w:r>
          </w:p>
        </w:tc>
        <w:tc>
          <w:tcPr>
            <w:tcW w:w="1148" w:type="dxa"/>
            <w:noWrap/>
            <w:hideMark/>
          </w:tcPr>
          <w:p w:rsidRPr="002A1F9A" w:rsidR="00AD616C" w:rsidP="00AD616C" w:rsidRDefault="00AD616C" w14:paraId="565EDE8B" w14:textId="78C737FD">
            <w:pPr>
              <w:spacing w:before="0" w:after="0"/>
              <w:jc w:val="right"/>
              <w:rPr>
                <w:rFonts w:ascii="Verdana" w:hAnsi="Verdana"/>
                <w:i/>
                <w:iCs/>
                <w:color w:val="000000"/>
                <w:sz w:val="18"/>
                <w:szCs w:val="18"/>
              </w:rPr>
            </w:pPr>
            <w:r w:rsidRPr="002A1F9A">
              <w:rPr>
                <w:rFonts w:ascii="Verdana" w:hAnsi="Verdana"/>
                <w:sz w:val="18"/>
                <w:szCs w:val="18"/>
              </w:rPr>
              <w:t>2.317.618</w:t>
            </w:r>
          </w:p>
        </w:tc>
        <w:tc>
          <w:tcPr>
            <w:tcW w:w="1237" w:type="dxa"/>
            <w:hideMark/>
          </w:tcPr>
          <w:p w:rsidRPr="002A1F9A" w:rsidR="00AD616C" w:rsidP="00AD616C" w:rsidRDefault="00AD616C" w14:paraId="108C523E" w14:textId="7CEF8B2B">
            <w:pPr>
              <w:spacing w:before="0" w:after="0"/>
              <w:jc w:val="right"/>
              <w:rPr>
                <w:rFonts w:ascii="Verdana" w:hAnsi="Verdana"/>
                <w:i/>
                <w:iCs/>
                <w:color w:val="000000"/>
                <w:sz w:val="18"/>
                <w:szCs w:val="18"/>
              </w:rPr>
            </w:pPr>
            <w:r w:rsidRPr="002A1F9A">
              <w:rPr>
                <w:rFonts w:ascii="Verdana" w:hAnsi="Verdana"/>
                <w:sz w:val="18"/>
                <w:szCs w:val="18"/>
              </w:rPr>
              <w:t>405</w:t>
            </w:r>
          </w:p>
        </w:tc>
        <w:tc>
          <w:tcPr>
            <w:tcW w:w="1157" w:type="dxa"/>
            <w:noWrap/>
            <w:hideMark/>
          </w:tcPr>
          <w:p w:rsidRPr="002A1F9A" w:rsidR="00AD616C" w:rsidP="00AD616C" w:rsidRDefault="00AD616C" w14:paraId="723BBC88" w14:textId="7ADAFEA4">
            <w:pPr>
              <w:spacing w:before="0" w:after="0"/>
              <w:jc w:val="right"/>
              <w:rPr>
                <w:rFonts w:ascii="Verdana" w:hAnsi="Verdana"/>
                <w:i/>
                <w:iCs/>
                <w:color w:val="000000"/>
                <w:sz w:val="18"/>
                <w:szCs w:val="18"/>
              </w:rPr>
            </w:pPr>
            <w:r w:rsidRPr="002A1F9A">
              <w:rPr>
                <w:rFonts w:ascii="Verdana" w:hAnsi="Verdana"/>
                <w:sz w:val="18"/>
                <w:szCs w:val="18"/>
              </w:rPr>
              <w:t>3.781.800</w:t>
            </w:r>
          </w:p>
        </w:tc>
        <w:tc>
          <w:tcPr>
            <w:tcW w:w="1237" w:type="dxa"/>
            <w:hideMark/>
          </w:tcPr>
          <w:p w:rsidRPr="002A1F9A" w:rsidR="00AD616C" w:rsidP="00AD616C" w:rsidRDefault="00AD616C" w14:paraId="78BCAD75" w14:textId="2EC1DA82">
            <w:pPr>
              <w:spacing w:before="0" w:after="0"/>
              <w:jc w:val="right"/>
              <w:rPr>
                <w:rFonts w:ascii="Verdana" w:hAnsi="Verdana"/>
                <w:i/>
                <w:iCs/>
                <w:color w:val="000000"/>
                <w:sz w:val="18"/>
                <w:szCs w:val="18"/>
              </w:rPr>
            </w:pPr>
            <w:r w:rsidRPr="002A1F9A">
              <w:rPr>
                <w:rFonts w:ascii="Verdana" w:hAnsi="Verdana"/>
                <w:sz w:val="18"/>
                <w:szCs w:val="18"/>
              </w:rPr>
              <w:t>233</w:t>
            </w:r>
          </w:p>
        </w:tc>
      </w:tr>
      <w:tr w:rsidRPr="002A1F9A" w:rsidR="00AD616C" w:rsidTr="00AD616C" w14:paraId="26D173C6" w14:textId="77777777">
        <w:trPr>
          <w:trHeight w:val="200"/>
        </w:trPr>
        <w:tc>
          <w:tcPr>
            <w:tcW w:w="1200" w:type="dxa"/>
            <w:noWrap/>
            <w:hideMark/>
          </w:tcPr>
          <w:p w:rsidRPr="002A1F9A" w:rsidR="00AD616C" w:rsidP="00AD616C" w:rsidRDefault="00AD616C" w14:paraId="24FF1486" w14:textId="3B7015E9">
            <w:pPr>
              <w:spacing w:before="0" w:after="0"/>
              <w:rPr>
                <w:rFonts w:ascii="Verdana" w:hAnsi="Verdana"/>
                <w:b/>
                <w:bCs/>
                <w:i/>
                <w:iCs/>
                <w:color w:val="000000"/>
                <w:sz w:val="18"/>
                <w:szCs w:val="18"/>
              </w:rPr>
            </w:pPr>
            <w:r w:rsidRPr="002A1F9A">
              <w:rPr>
                <w:rFonts w:ascii="Verdana" w:hAnsi="Verdana"/>
                <w:b/>
                <w:bCs/>
                <w:sz w:val="18"/>
                <w:szCs w:val="18"/>
              </w:rPr>
              <w:t>2010</w:t>
            </w:r>
          </w:p>
        </w:tc>
        <w:tc>
          <w:tcPr>
            <w:tcW w:w="1326" w:type="dxa"/>
            <w:noWrap/>
            <w:hideMark/>
          </w:tcPr>
          <w:p w:rsidRPr="002A1F9A" w:rsidR="00AD616C" w:rsidP="00AD616C" w:rsidRDefault="00AD616C" w14:paraId="68C32913" w14:textId="27248274">
            <w:pPr>
              <w:spacing w:before="0" w:after="0"/>
              <w:jc w:val="right"/>
              <w:rPr>
                <w:rFonts w:ascii="Verdana" w:hAnsi="Verdana"/>
                <w:i/>
                <w:iCs/>
                <w:color w:val="000000"/>
                <w:sz w:val="18"/>
                <w:szCs w:val="18"/>
              </w:rPr>
            </w:pPr>
            <w:r w:rsidRPr="002A1F9A">
              <w:rPr>
                <w:rFonts w:ascii="Verdana" w:hAnsi="Verdana"/>
                <w:sz w:val="18"/>
                <w:szCs w:val="18"/>
              </w:rPr>
              <w:t>3.498.688</w:t>
            </w:r>
          </w:p>
        </w:tc>
        <w:tc>
          <w:tcPr>
            <w:tcW w:w="1237" w:type="dxa"/>
            <w:hideMark/>
          </w:tcPr>
          <w:p w:rsidRPr="002A1F9A" w:rsidR="00AD616C" w:rsidP="00AD616C" w:rsidRDefault="00AD616C" w14:paraId="220BBA49" w14:textId="1F071632">
            <w:pPr>
              <w:spacing w:before="0" w:after="0"/>
              <w:jc w:val="right"/>
              <w:rPr>
                <w:rFonts w:ascii="Verdana" w:hAnsi="Verdana"/>
                <w:i/>
                <w:iCs/>
                <w:color w:val="000000"/>
                <w:sz w:val="18"/>
                <w:szCs w:val="18"/>
              </w:rPr>
            </w:pPr>
            <w:r w:rsidRPr="002A1F9A">
              <w:rPr>
                <w:rFonts w:ascii="Verdana" w:hAnsi="Verdana"/>
                <w:sz w:val="18"/>
                <w:szCs w:val="18"/>
              </w:rPr>
              <w:t>524</w:t>
            </w:r>
          </w:p>
        </w:tc>
        <w:tc>
          <w:tcPr>
            <w:tcW w:w="1148" w:type="dxa"/>
            <w:noWrap/>
            <w:hideMark/>
          </w:tcPr>
          <w:p w:rsidRPr="002A1F9A" w:rsidR="00AD616C" w:rsidP="00AD616C" w:rsidRDefault="00AD616C" w14:paraId="36F64A14" w14:textId="74024790">
            <w:pPr>
              <w:spacing w:before="0" w:after="0"/>
              <w:jc w:val="right"/>
              <w:rPr>
                <w:rFonts w:ascii="Verdana" w:hAnsi="Verdana"/>
                <w:i/>
                <w:iCs/>
                <w:color w:val="000000"/>
                <w:sz w:val="18"/>
                <w:szCs w:val="18"/>
              </w:rPr>
            </w:pPr>
            <w:r w:rsidRPr="002A1F9A">
              <w:rPr>
                <w:rFonts w:ascii="Verdana" w:hAnsi="Verdana"/>
                <w:sz w:val="18"/>
                <w:szCs w:val="18"/>
              </w:rPr>
              <w:t>2.489.231</w:t>
            </w:r>
          </w:p>
        </w:tc>
        <w:tc>
          <w:tcPr>
            <w:tcW w:w="1237" w:type="dxa"/>
            <w:hideMark/>
          </w:tcPr>
          <w:p w:rsidRPr="002A1F9A" w:rsidR="00AD616C" w:rsidP="00AD616C" w:rsidRDefault="00AD616C" w14:paraId="2184A6A7" w14:textId="56A093E8">
            <w:pPr>
              <w:spacing w:before="0" w:after="0"/>
              <w:jc w:val="right"/>
              <w:rPr>
                <w:rFonts w:ascii="Verdana" w:hAnsi="Verdana"/>
                <w:i/>
                <w:iCs/>
                <w:color w:val="000000"/>
                <w:sz w:val="18"/>
                <w:szCs w:val="18"/>
              </w:rPr>
            </w:pPr>
            <w:r w:rsidRPr="002A1F9A">
              <w:rPr>
                <w:rFonts w:ascii="Verdana" w:hAnsi="Verdana"/>
                <w:sz w:val="18"/>
                <w:szCs w:val="18"/>
              </w:rPr>
              <w:t>419</w:t>
            </w:r>
          </w:p>
        </w:tc>
        <w:tc>
          <w:tcPr>
            <w:tcW w:w="1157" w:type="dxa"/>
            <w:noWrap/>
            <w:hideMark/>
          </w:tcPr>
          <w:p w:rsidRPr="002A1F9A" w:rsidR="00AD616C" w:rsidP="00AD616C" w:rsidRDefault="00AD616C" w14:paraId="78FA0FC9" w14:textId="49A5F0DB">
            <w:pPr>
              <w:spacing w:before="0" w:after="0"/>
              <w:jc w:val="right"/>
              <w:rPr>
                <w:rFonts w:ascii="Verdana" w:hAnsi="Verdana"/>
                <w:i/>
                <w:iCs/>
                <w:color w:val="000000"/>
                <w:sz w:val="18"/>
                <w:szCs w:val="18"/>
              </w:rPr>
            </w:pPr>
            <w:r w:rsidRPr="002A1F9A">
              <w:rPr>
                <w:rFonts w:ascii="Verdana" w:hAnsi="Verdana"/>
                <w:sz w:val="18"/>
                <w:szCs w:val="18"/>
              </w:rPr>
              <w:t>3.822.986</w:t>
            </w:r>
          </w:p>
        </w:tc>
        <w:tc>
          <w:tcPr>
            <w:tcW w:w="1237" w:type="dxa"/>
            <w:hideMark/>
          </w:tcPr>
          <w:p w:rsidRPr="002A1F9A" w:rsidR="00AD616C" w:rsidP="00AD616C" w:rsidRDefault="00AD616C" w14:paraId="2C3C77EC" w14:textId="29DBEF37">
            <w:pPr>
              <w:spacing w:before="0" w:after="0"/>
              <w:jc w:val="right"/>
              <w:rPr>
                <w:rFonts w:ascii="Verdana" w:hAnsi="Verdana"/>
                <w:i/>
                <w:iCs/>
                <w:color w:val="000000"/>
                <w:sz w:val="18"/>
                <w:szCs w:val="18"/>
              </w:rPr>
            </w:pPr>
            <w:r w:rsidRPr="002A1F9A">
              <w:rPr>
                <w:rFonts w:ascii="Verdana" w:hAnsi="Verdana"/>
                <w:sz w:val="18"/>
                <w:szCs w:val="18"/>
              </w:rPr>
              <w:t>242</w:t>
            </w:r>
          </w:p>
        </w:tc>
      </w:tr>
      <w:tr w:rsidRPr="002A1F9A" w:rsidR="00AD616C" w:rsidTr="00AD616C" w14:paraId="385937A4" w14:textId="77777777">
        <w:trPr>
          <w:trHeight w:val="200"/>
        </w:trPr>
        <w:tc>
          <w:tcPr>
            <w:tcW w:w="1200" w:type="dxa"/>
            <w:noWrap/>
            <w:hideMark/>
          </w:tcPr>
          <w:p w:rsidRPr="002A1F9A" w:rsidR="00AD616C" w:rsidP="00AD616C" w:rsidRDefault="00AD616C" w14:paraId="4C534101" w14:textId="21334E08">
            <w:pPr>
              <w:spacing w:before="0" w:after="0"/>
              <w:rPr>
                <w:rFonts w:ascii="Verdana" w:hAnsi="Verdana"/>
                <w:b/>
                <w:bCs/>
                <w:color w:val="000000"/>
                <w:sz w:val="18"/>
                <w:szCs w:val="18"/>
              </w:rPr>
            </w:pPr>
            <w:r w:rsidRPr="002A1F9A">
              <w:rPr>
                <w:rFonts w:ascii="Verdana" w:hAnsi="Verdana"/>
                <w:b/>
                <w:bCs/>
                <w:sz w:val="18"/>
                <w:szCs w:val="18"/>
              </w:rPr>
              <w:t>2011*</w:t>
            </w:r>
          </w:p>
        </w:tc>
        <w:tc>
          <w:tcPr>
            <w:tcW w:w="1326" w:type="dxa"/>
            <w:noWrap/>
            <w:hideMark/>
          </w:tcPr>
          <w:p w:rsidRPr="002A1F9A" w:rsidR="00AD616C" w:rsidP="00AD616C" w:rsidRDefault="00AD616C" w14:paraId="30F1A78B" w14:textId="27409E33">
            <w:pPr>
              <w:spacing w:before="0" w:after="0"/>
              <w:jc w:val="right"/>
              <w:rPr>
                <w:rFonts w:ascii="Verdana" w:hAnsi="Verdana"/>
                <w:color w:val="000000"/>
                <w:sz w:val="18"/>
                <w:szCs w:val="18"/>
              </w:rPr>
            </w:pPr>
            <w:r w:rsidRPr="002A1F9A">
              <w:rPr>
                <w:rFonts w:ascii="Verdana" w:hAnsi="Verdana"/>
                <w:sz w:val="18"/>
                <w:szCs w:val="18"/>
              </w:rPr>
              <w:t>3.262.317</w:t>
            </w:r>
          </w:p>
        </w:tc>
        <w:tc>
          <w:tcPr>
            <w:tcW w:w="1237" w:type="dxa"/>
            <w:hideMark/>
          </w:tcPr>
          <w:p w:rsidRPr="002A1F9A" w:rsidR="00AD616C" w:rsidP="00AD616C" w:rsidRDefault="00AD616C" w14:paraId="41B553B7" w14:textId="63FC0352">
            <w:pPr>
              <w:spacing w:before="0" w:after="0"/>
              <w:jc w:val="right"/>
              <w:rPr>
                <w:rFonts w:ascii="Verdana" w:hAnsi="Verdana"/>
                <w:color w:val="000000"/>
                <w:sz w:val="18"/>
                <w:szCs w:val="18"/>
              </w:rPr>
            </w:pPr>
            <w:r w:rsidRPr="002A1F9A">
              <w:rPr>
                <w:rFonts w:ascii="Verdana" w:hAnsi="Verdana"/>
                <w:sz w:val="18"/>
                <w:szCs w:val="18"/>
              </w:rPr>
              <w:t>528</w:t>
            </w:r>
          </w:p>
        </w:tc>
        <w:tc>
          <w:tcPr>
            <w:tcW w:w="1148" w:type="dxa"/>
            <w:noWrap/>
            <w:hideMark/>
          </w:tcPr>
          <w:p w:rsidRPr="002A1F9A" w:rsidR="00AD616C" w:rsidP="00AD616C" w:rsidRDefault="00AD616C" w14:paraId="6459739D" w14:textId="7BCFF5AC">
            <w:pPr>
              <w:spacing w:before="0" w:after="0"/>
              <w:jc w:val="right"/>
              <w:rPr>
                <w:rFonts w:ascii="Verdana" w:hAnsi="Verdana"/>
                <w:color w:val="000000"/>
                <w:sz w:val="18"/>
                <w:szCs w:val="18"/>
              </w:rPr>
            </w:pPr>
            <w:r w:rsidRPr="002A1F9A">
              <w:rPr>
                <w:rFonts w:ascii="Verdana" w:hAnsi="Verdana"/>
                <w:sz w:val="18"/>
                <w:szCs w:val="18"/>
              </w:rPr>
              <w:t>2.466.582</w:t>
            </w:r>
          </w:p>
        </w:tc>
        <w:tc>
          <w:tcPr>
            <w:tcW w:w="1237" w:type="dxa"/>
            <w:hideMark/>
          </w:tcPr>
          <w:p w:rsidRPr="002A1F9A" w:rsidR="00AD616C" w:rsidP="00AD616C" w:rsidRDefault="00AD616C" w14:paraId="56B52999" w14:textId="428A3F88">
            <w:pPr>
              <w:spacing w:before="0" w:after="0"/>
              <w:jc w:val="right"/>
              <w:rPr>
                <w:rFonts w:ascii="Verdana" w:hAnsi="Verdana"/>
                <w:color w:val="000000"/>
                <w:sz w:val="18"/>
                <w:szCs w:val="18"/>
              </w:rPr>
            </w:pPr>
            <w:r w:rsidRPr="002A1F9A">
              <w:rPr>
                <w:rFonts w:ascii="Verdana" w:hAnsi="Verdana"/>
                <w:sz w:val="18"/>
                <w:szCs w:val="18"/>
              </w:rPr>
              <w:t>425</w:t>
            </w:r>
          </w:p>
        </w:tc>
        <w:tc>
          <w:tcPr>
            <w:tcW w:w="1157" w:type="dxa"/>
            <w:noWrap/>
            <w:hideMark/>
          </w:tcPr>
          <w:p w:rsidRPr="002A1F9A" w:rsidR="00AD616C" w:rsidP="00AD616C" w:rsidRDefault="00AD616C" w14:paraId="7F09AB12" w14:textId="324D0757">
            <w:pPr>
              <w:spacing w:before="0" w:after="0"/>
              <w:jc w:val="right"/>
              <w:rPr>
                <w:rFonts w:ascii="Verdana" w:hAnsi="Verdana"/>
                <w:color w:val="000000"/>
                <w:sz w:val="18"/>
                <w:szCs w:val="18"/>
              </w:rPr>
            </w:pPr>
            <w:r w:rsidRPr="002A1F9A">
              <w:rPr>
                <w:rFonts w:ascii="Verdana" w:hAnsi="Verdana"/>
                <w:sz w:val="18"/>
                <w:szCs w:val="18"/>
              </w:rPr>
              <w:t>3.888.292</w:t>
            </w:r>
          </w:p>
        </w:tc>
        <w:tc>
          <w:tcPr>
            <w:tcW w:w="1237" w:type="dxa"/>
            <w:hideMark/>
          </w:tcPr>
          <w:p w:rsidRPr="002A1F9A" w:rsidR="00AD616C" w:rsidP="00AD616C" w:rsidRDefault="00AD616C" w14:paraId="30F4BF3C" w14:textId="5E4D7A92">
            <w:pPr>
              <w:spacing w:before="0" w:after="0"/>
              <w:jc w:val="right"/>
              <w:rPr>
                <w:rFonts w:ascii="Verdana" w:hAnsi="Verdana"/>
                <w:color w:val="000000"/>
                <w:sz w:val="18"/>
                <w:szCs w:val="18"/>
              </w:rPr>
            </w:pPr>
            <w:r w:rsidRPr="002A1F9A">
              <w:rPr>
                <w:rFonts w:ascii="Verdana" w:hAnsi="Verdana"/>
                <w:sz w:val="18"/>
                <w:szCs w:val="18"/>
              </w:rPr>
              <w:t>245</w:t>
            </w:r>
          </w:p>
        </w:tc>
      </w:tr>
      <w:tr w:rsidRPr="002A1F9A" w:rsidR="00AD616C" w:rsidTr="00AD616C" w14:paraId="5558F8AD" w14:textId="77777777">
        <w:trPr>
          <w:trHeight w:val="200"/>
        </w:trPr>
        <w:tc>
          <w:tcPr>
            <w:tcW w:w="1200" w:type="dxa"/>
            <w:noWrap/>
            <w:hideMark/>
          </w:tcPr>
          <w:p w:rsidRPr="002A1F9A" w:rsidR="00AD616C" w:rsidP="00AD616C" w:rsidRDefault="00AD616C" w14:paraId="51B8560F" w14:textId="65120598">
            <w:pPr>
              <w:spacing w:before="0" w:after="0"/>
              <w:rPr>
                <w:rFonts w:ascii="Verdana" w:hAnsi="Verdana"/>
                <w:b/>
                <w:bCs/>
                <w:color w:val="000000"/>
                <w:sz w:val="18"/>
                <w:szCs w:val="18"/>
              </w:rPr>
            </w:pPr>
            <w:r w:rsidRPr="002A1F9A">
              <w:rPr>
                <w:rFonts w:ascii="Verdana" w:hAnsi="Verdana"/>
                <w:b/>
                <w:bCs/>
                <w:sz w:val="18"/>
                <w:szCs w:val="18"/>
              </w:rPr>
              <w:t>2012</w:t>
            </w:r>
          </w:p>
        </w:tc>
        <w:tc>
          <w:tcPr>
            <w:tcW w:w="1326" w:type="dxa"/>
            <w:noWrap/>
            <w:hideMark/>
          </w:tcPr>
          <w:p w:rsidRPr="002A1F9A" w:rsidR="00AD616C" w:rsidP="00AD616C" w:rsidRDefault="00AD616C" w14:paraId="27CA623B" w14:textId="27F955E1">
            <w:pPr>
              <w:spacing w:before="0" w:after="0"/>
              <w:jc w:val="right"/>
              <w:rPr>
                <w:rFonts w:ascii="Verdana" w:hAnsi="Verdana"/>
                <w:color w:val="000000"/>
                <w:sz w:val="18"/>
                <w:szCs w:val="18"/>
              </w:rPr>
            </w:pPr>
            <w:r w:rsidRPr="002A1F9A">
              <w:rPr>
                <w:rFonts w:ascii="Verdana" w:hAnsi="Verdana"/>
                <w:sz w:val="18"/>
                <w:szCs w:val="18"/>
              </w:rPr>
              <w:t>3.315.750</w:t>
            </w:r>
          </w:p>
        </w:tc>
        <w:tc>
          <w:tcPr>
            <w:tcW w:w="1237" w:type="dxa"/>
            <w:hideMark/>
          </w:tcPr>
          <w:p w:rsidRPr="002A1F9A" w:rsidR="00AD616C" w:rsidP="00AD616C" w:rsidRDefault="00AD616C" w14:paraId="1A2730AD" w14:textId="40A92808">
            <w:pPr>
              <w:spacing w:before="0" w:after="0"/>
              <w:jc w:val="right"/>
              <w:rPr>
                <w:rFonts w:ascii="Verdana" w:hAnsi="Verdana"/>
                <w:color w:val="000000"/>
                <w:sz w:val="18"/>
                <w:szCs w:val="18"/>
              </w:rPr>
            </w:pPr>
            <w:r w:rsidRPr="002A1F9A">
              <w:rPr>
                <w:rFonts w:ascii="Verdana" w:hAnsi="Verdana"/>
                <w:sz w:val="18"/>
                <w:szCs w:val="18"/>
              </w:rPr>
              <w:t>520</w:t>
            </w:r>
          </w:p>
        </w:tc>
        <w:tc>
          <w:tcPr>
            <w:tcW w:w="1148" w:type="dxa"/>
            <w:noWrap/>
            <w:hideMark/>
          </w:tcPr>
          <w:p w:rsidRPr="002A1F9A" w:rsidR="00AD616C" w:rsidP="00AD616C" w:rsidRDefault="00AD616C" w14:paraId="6C831C03" w14:textId="0447765B">
            <w:pPr>
              <w:spacing w:before="0" w:after="0"/>
              <w:jc w:val="right"/>
              <w:rPr>
                <w:rFonts w:ascii="Verdana" w:hAnsi="Verdana"/>
                <w:color w:val="000000"/>
                <w:sz w:val="18"/>
                <w:szCs w:val="18"/>
              </w:rPr>
            </w:pPr>
            <w:r w:rsidRPr="002A1F9A">
              <w:rPr>
                <w:rFonts w:ascii="Verdana" w:hAnsi="Verdana"/>
                <w:sz w:val="18"/>
                <w:szCs w:val="18"/>
              </w:rPr>
              <w:t>2.491.890</w:t>
            </w:r>
          </w:p>
        </w:tc>
        <w:tc>
          <w:tcPr>
            <w:tcW w:w="1237" w:type="dxa"/>
            <w:hideMark/>
          </w:tcPr>
          <w:p w:rsidRPr="002A1F9A" w:rsidR="00AD616C" w:rsidP="00AD616C" w:rsidRDefault="00AD616C" w14:paraId="7CD67DA5" w14:textId="050C394F">
            <w:pPr>
              <w:spacing w:before="0" w:after="0"/>
              <w:jc w:val="right"/>
              <w:rPr>
                <w:rFonts w:ascii="Verdana" w:hAnsi="Verdana"/>
                <w:color w:val="000000"/>
                <w:sz w:val="18"/>
                <w:szCs w:val="18"/>
              </w:rPr>
            </w:pPr>
            <w:r w:rsidRPr="002A1F9A">
              <w:rPr>
                <w:rFonts w:ascii="Verdana" w:hAnsi="Verdana"/>
                <w:sz w:val="18"/>
                <w:szCs w:val="18"/>
              </w:rPr>
              <w:t>423</w:t>
            </w:r>
          </w:p>
        </w:tc>
        <w:tc>
          <w:tcPr>
            <w:tcW w:w="1157" w:type="dxa"/>
            <w:noWrap/>
            <w:hideMark/>
          </w:tcPr>
          <w:p w:rsidRPr="002A1F9A" w:rsidR="00AD616C" w:rsidP="00AD616C" w:rsidRDefault="00AD616C" w14:paraId="4B9F2C22" w14:textId="189250C4">
            <w:pPr>
              <w:spacing w:before="0" w:after="0"/>
              <w:jc w:val="right"/>
              <w:rPr>
                <w:rFonts w:ascii="Verdana" w:hAnsi="Verdana"/>
                <w:color w:val="000000"/>
                <w:sz w:val="18"/>
                <w:szCs w:val="18"/>
              </w:rPr>
            </w:pPr>
            <w:r w:rsidRPr="002A1F9A">
              <w:rPr>
                <w:rFonts w:ascii="Verdana" w:hAnsi="Verdana"/>
                <w:sz w:val="18"/>
                <w:szCs w:val="18"/>
              </w:rPr>
              <w:t>3.930.849</w:t>
            </w:r>
          </w:p>
        </w:tc>
        <w:tc>
          <w:tcPr>
            <w:tcW w:w="1237" w:type="dxa"/>
            <w:hideMark/>
          </w:tcPr>
          <w:p w:rsidRPr="002A1F9A" w:rsidR="00AD616C" w:rsidP="00AD616C" w:rsidRDefault="00AD616C" w14:paraId="346D04AC" w14:textId="3C0B90D8">
            <w:pPr>
              <w:spacing w:before="0" w:after="0"/>
              <w:jc w:val="right"/>
              <w:rPr>
                <w:rFonts w:ascii="Verdana" w:hAnsi="Verdana"/>
                <w:color w:val="000000"/>
                <w:sz w:val="18"/>
                <w:szCs w:val="18"/>
              </w:rPr>
            </w:pPr>
            <w:r w:rsidRPr="002A1F9A">
              <w:rPr>
                <w:rFonts w:ascii="Verdana" w:hAnsi="Verdana"/>
                <w:sz w:val="18"/>
                <w:szCs w:val="18"/>
              </w:rPr>
              <w:t>241</w:t>
            </w:r>
          </w:p>
        </w:tc>
      </w:tr>
      <w:tr w:rsidRPr="002A1F9A" w:rsidR="00AD616C" w:rsidTr="00AD616C" w14:paraId="4E1780CC" w14:textId="77777777">
        <w:trPr>
          <w:trHeight w:val="200"/>
        </w:trPr>
        <w:tc>
          <w:tcPr>
            <w:tcW w:w="1200" w:type="dxa"/>
            <w:noWrap/>
            <w:hideMark/>
          </w:tcPr>
          <w:p w:rsidRPr="002A1F9A" w:rsidR="00AD616C" w:rsidP="00AD616C" w:rsidRDefault="00AD616C" w14:paraId="5148D58B" w14:textId="4DC4612F">
            <w:pPr>
              <w:spacing w:before="0" w:after="0"/>
              <w:rPr>
                <w:rFonts w:ascii="Verdana" w:hAnsi="Verdana"/>
                <w:b/>
                <w:bCs/>
                <w:color w:val="000000"/>
                <w:sz w:val="18"/>
                <w:szCs w:val="18"/>
              </w:rPr>
            </w:pPr>
            <w:r w:rsidRPr="002A1F9A">
              <w:rPr>
                <w:rFonts w:ascii="Verdana" w:hAnsi="Verdana"/>
                <w:b/>
                <w:bCs/>
                <w:sz w:val="18"/>
                <w:szCs w:val="18"/>
              </w:rPr>
              <w:t>2013</w:t>
            </w:r>
          </w:p>
        </w:tc>
        <w:tc>
          <w:tcPr>
            <w:tcW w:w="1326" w:type="dxa"/>
            <w:noWrap/>
            <w:hideMark/>
          </w:tcPr>
          <w:p w:rsidRPr="002A1F9A" w:rsidR="00AD616C" w:rsidP="00AD616C" w:rsidRDefault="00AD616C" w14:paraId="72352762" w14:textId="4EC9E2C8">
            <w:pPr>
              <w:spacing w:before="0" w:after="0"/>
              <w:jc w:val="right"/>
              <w:rPr>
                <w:rFonts w:ascii="Verdana" w:hAnsi="Verdana"/>
                <w:color w:val="000000"/>
                <w:sz w:val="18"/>
                <w:szCs w:val="18"/>
              </w:rPr>
            </w:pPr>
            <w:r w:rsidRPr="002A1F9A">
              <w:rPr>
                <w:rFonts w:ascii="Verdana" w:hAnsi="Verdana"/>
                <w:sz w:val="18"/>
                <w:szCs w:val="18"/>
              </w:rPr>
              <w:t>3.381.288</w:t>
            </w:r>
          </w:p>
        </w:tc>
        <w:tc>
          <w:tcPr>
            <w:tcW w:w="1237" w:type="dxa"/>
            <w:hideMark/>
          </w:tcPr>
          <w:p w:rsidRPr="002A1F9A" w:rsidR="00AD616C" w:rsidP="00AD616C" w:rsidRDefault="00AD616C" w14:paraId="7C34DE66" w14:textId="5E78474E">
            <w:pPr>
              <w:spacing w:before="0" w:after="0"/>
              <w:jc w:val="right"/>
              <w:rPr>
                <w:rFonts w:ascii="Verdana" w:hAnsi="Verdana"/>
                <w:color w:val="000000"/>
                <w:sz w:val="18"/>
                <w:szCs w:val="18"/>
              </w:rPr>
            </w:pPr>
            <w:r w:rsidRPr="002A1F9A">
              <w:rPr>
                <w:rFonts w:ascii="Verdana" w:hAnsi="Verdana"/>
                <w:sz w:val="18"/>
                <w:szCs w:val="18"/>
              </w:rPr>
              <w:t>507</w:t>
            </w:r>
          </w:p>
        </w:tc>
        <w:tc>
          <w:tcPr>
            <w:tcW w:w="1148" w:type="dxa"/>
            <w:noWrap/>
            <w:hideMark/>
          </w:tcPr>
          <w:p w:rsidRPr="002A1F9A" w:rsidR="00AD616C" w:rsidP="00AD616C" w:rsidRDefault="00AD616C" w14:paraId="1344DC61" w14:textId="0CC6E952">
            <w:pPr>
              <w:spacing w:before="0" w:after="0"/>
              <w:jc w:val="right"/>
              <w:rPr>
                <w:rFonts w:ascii="Verdana" w:hAnsi="Verdana"/>
                <w:color w:val="000000"/>
                <w:sz w:val="18"/>
                <w:szCs w:val="18"/>
              </w:rPr>
            </w:pPr>
            <w:r w:rsidRPr="002A1F9A">
              <w:rPr>
                <w:rFonts w:ascii="Verdana" w:hAnsi="Verdana"/>
                <w:sz w:val="18"/>
                <w:szCs w:val="18"/>
              </w:rPr>
              <w:t>2.568.770</w:t>
            </w:r>
          </w:p>
        </w:tc>
        <w:tc>
          <w:tcPr>
            <w:tcW w:w="1237" w:type="dxa"/>
            <w:hideMark/>
          </w:tcPr>
          <w:p w:rsidRPr="002A1F9A" w:rsidR="00AD616C" w:rsidP="00AD616C" w:rsidRDefault="00AD616C" w14:paraId="53C72950" w14:textId="61F93BBA">
            <w:pPr>
              <w:spacing w:before="0" w:after="0"/>
              <w:jc w:val="right"/>
              <w:rPr>
                <w:rFonts w:ascii="Verdana" w:hAnsi="Verdana"/>
                <w:color w:val="000000"/>
                <w:sz w:val="18"/>
                <w:szCs w:val="18"/>
              </w:rPr>
            </w:pPr>
            <w:r w:rsidRPr="002A1F9A">
              <w:rPr>
                <w:rFonts w:ascii="Verdana" w:hAnsi="Verdana"/>
                <w:sz w:val="18"/>
                <w:szCs w:val="18"/>
              </w:rPr>
              <w:t>441</w:t>
            </w:r>
          </w:p>
        </w:tc>
        <w:tc>
          <w:tcPr>
            <w:tcW w:w="1157" w:type="dxa"/>
            <w:noWrap/>
            <w:hideMark/>
          </w:tcPr>
          <w:p w:rsidRPr="002A1F9A" w:rsidR="00AD616C" w:rsidP="00AD616C" w:rsidRDefault="00AD616C" w14:paraId="1A88C51F" w14:textId="793417F0">
            <w:pPr>
              <w:spacing w:before="0" w:after="0"/>
              <w:jc w:val="right"/>
              <w:rPr>
                <w:rFonts w:ascii="Verdana" w:hAnsi="Verdana"/>
                <w:color w:val="000000"/>
                <w:sz w:val="18"/>
                <w:szCs w:val="18"/>
              </w:rPr>
            </w:pPr>
            <w:r w:rsidRPr="002A1F9A">
              <w:rPr>
                <w:rFonts w:ascii="Verdana" w:hAnsi="Verdana"/>
                <w:sz w:val="18"/>
                <w:szCs w:val="18"/>
              </w:rPr>
              <w:t>4.015.082</w:t>
            </w:r>
          </w:p>
        </w:tc>
        <w:tc>
          <w:tcPr>
            <w:tcW w:w="1237" w:type="dxa"/>
            <w:hideMark/>
          </w:tcPr>
          <w:p w:rsidRPr="002A1F9A" w:rsidR="00AD616C" w:rsidP="00AD616C" w:rsidRDefault="00AD616C" w14:paraId="0BFEEEB0" w14:textId="09706C7E">
            <w:pPr>
              <w:spacing w:before="0" w:after="0"/>
              <w:jc w:val="right"/>
              <w:rPr>
                <w:rFonts w:ascii="Verdana" w:hAnsi="Verdana"/>
                <w:color w:val="000000"/>
                <w:sz w:val="18"/>
                <w:szCs w:val="18"/>
              </w:rPr>
            </w:pPr>
            <w:r w:rsidRPr="002A1F9A">
              <w:rPr>
                <w:rFonts w:ascii="Verdana" w:hAnsi="Verdana"/>
                <w:sz w:val="18"/>
                <w:szCs w:val="18"/>
              </w:rPr>
              <w:t>250</w:t>
            </w:r>
          </w:p>
        </w:tc>
      </w:tr>
      <w:tr w:rsidRPr="002A1F9A" w:rsidR="00AD616C" w:rsidTr="00AD616C" w14:paraId="284D8B8F" w14:textId="77777777">
        <w:trPr>
          <w:trHeight w:val="200"/>
        </w:trPr>
        <w:tc>
          <w:tcPr>
            <w:tcW w:w="1200" w:type="dxa"/>
            <w:noWrap/>
            <w:hideMark/>
          </w:tcPr>
          <w:p w:rsidRPr="002A1F9A" w:rsidR="00AD616C" w:rsidP="00AD616C" w:rsidRDefault="00AD616C" w14:paraId="76B4E80D" w14:textId="2523D99A">
            <w:pPr>
              <w:spacing w:before="0" w:after="0"/>
              <w:rPr>
                <w:rFonts w:ascii="Verdana" w:hAnsi="Verdana"/>
                <w:b/>
                <w:bCs/>
                <w:color w:val="000000"/>
                <w:sz w:val="18"/>
                <w:szCs w:val="18"/>
              </w:rPr>
            </w:pPr>
            <w:r w:rsidRPr="002A1F9A">
              <w:rPr>
                <w:rFonts w:ascii="Verdana" w:hAnsi="Verdana"/>
                <w:b/>
                <w:bCs/>
                <w:sz w:val="18"/>
                <w:szCs w:val="18"/>
              </w:rPr>
              <w:t>2014</w:t>
            </w:r>
          </w:p>
        </w:tc>
        <w:tc>
          <w:tcPr>
            <w:tcW w:w="1326" w:type="dxa"/>
            <w:noWrap/>
            <w:hideMark/>
          </w:tcPr>
          <w:p w:rsidRPr="002A1F9A" w:rsidR="00AD616C" w:rsidP="00AD616C" w:rsidRDefault="00AD616C" w14:paraId="153721AD" w14:textId="50A9EE41">
            <w:pPr>
              <w:spacing w:before="0" w:after="0"/>
              <w:jc w:val="right"/>
              <w:rPr>
                <w:rFonts w:ascii="Verdana" w:hAnsi="Verdana"/>
                <w:color w:val="000000"/>
                <w:sz w:val="18"/>
                <w:szCs w:val="18"/>
              </w:rPr>
            </w:pPr>
            <w:r w:rsidRPr="002A1F9A">
              <w:rPr>
                <w:rFonts w:ascii="Verdana" w:hAnsi="Verdana"/>
                <w:sz w:val="18"/>
                <w:szCs w:val="18"/>
              </w:rPr>
              <w:t>3.404.283</w:t>
            </w:r>
          </w:p>
        </w:tc>
        <w:tc>
          <w:tcPr>
            <w:tcW w:w="1237" w:type="dxa"/>
            <w:hideMark/>
          </w:tcPr>
          <w:p w:rsidRPr="002A1F9A" w:rsidR="00AD616C" w:rsidP="00AD616C" w:rsidRDefault="00AD616C" w14:paraId="7F13B380" w14:textId="2BECC9A3">
            <w:pPr>
              <w:spacing w:before="0" w:after="0"/>
              <w:jc w:val="right"/>
              <w:rPr>
                <w:rFonts w:ascii="Verdana" w:hAnsi="Verdana"/>
                <w:color w:val="000000"/>
                <w:sz w:val="18"/>
                <w:szCs w:val="18"/>
              </w:rPr>
            </w:pPr>
            <w:r w:rsidRPr="002A1F9A">
              <w:rPr>
                <w:rFonts w:ascii="Verdana" w:hAnsi="Verdana"/>
                <w:sz w:val="18"/>
                <w:szCs w:val="18"/>
              </w:rPr>
              <w:t>490</w:t>
            </w:r>
          </w:p>
        </w:tc>
        <w:tc>
          <w:tcPr>
            <w:tcW w:w="1148" w:type="dxa"/>
            <w:noWrap/>
            <w:hideMark/>
          </w:tcPr>
          <w:p w:rsidRPr="002A1F9A" w:rsidR="00AD616C" w:rsidP="00AD616C" w:rsidRDefault="00AD616C" w14:paraId="31DA248C" w14:textId="431F5605">
            <w:pPr>
              <w:spacing w:before="0" w:after="0"/>
              <w:jc w:val="right"/>
              <w:rPr>
                <w:rFonts w:ascii="Verdana" w:hAnsi="Verdana"/>
                <w:color w:val="000000"/>
                <w:sz w:val="18"/>
                <w:szCs w:val="18"/>
              </w:rPr>
            </w:pPr>
            <w:r w:rsidRPr="002A1F9A">
              <w:rPr>
                <w:rFonts w:ascii="Verdana" w:hAnsi="Verdana"/>
                <w:sz w:val="18"/>
                <w:szCs w:val="18"/>
              </w:rPr>
              <w:t>2.688.138</w:t>
            </w:r>
          </w:p>
        </w:tc>
        <w:tc>
          <w:tcPr>
            <w:tcW w:w="1237" w:type="dxa"/>
            <w:hideMark/>
          </w:tcPr>
          <w:p w:rsidRPr="002A1F9A" w:rsidR="00AD616C" w:rsidP="00AD616C" w:rsidRDefault="00AD616C" w14:paraId="18B8C9D5" w14:textId="71F6AFF2">
            <w:pPr>
              <w:spacing w:before="0" w:after="0"/>
              <w:jc w:val="right"/>
              <w:rPr>
                <w:rFonts w:ascii="Verdana" w:hAnsi="Verdana"/>
                <w:color w:val="000000"/>
                <w:sz w:val="18"/>
                <w:szCs w:val="18"/>
              </w:rPr>
            </w:pPr>
            <w:r w:rsidRPr="002A1F9A">
              <w:rPr>
                <w:rFonts w:ascii="Verdana" w:hAnsi="Verdana"/>
                <w:sz w:val="18"/>
                <w:szCs w:val="18"/>
              </w:rPr>
              <w:t>446</w:t>
            </w:r>
          </w:p>
        </w:tc>
        <w:tc>
          <w:tcPr>
            <w:tcW w:w="1157" w:type="dxa"/>
            <w:noWrap/>
            <w:hideMark/>
          </w:tcPr>
          <w:p w:rsidRPr="002A1F9A" w:rsidR="00AD616C" w:rsidP="00AD616C" w:rsidRDefault="00AD616C" w14:paraId="0423A1FC" w14:textId="73DDCF14">
            <w:pPr>
              <w:spacing w:before="0" w:after="0"/>
              <w:jc w:val="right"/>
              <w:rPr>
                <w:rFonts w:ascii="Verdana" w:hAnsi="Verdana"/>
                <w:color w:val="000000"/>
                <w:sz w:val="18"/>
                <w:szCs w:val="18"/>
              </w:rPr>
            </w:pPr>
            <w:r w:rsidRPr="002A1F9A">
              <w:rPr>
                <w:rFonts w:ascii="Verdana" w:hAnsi="Verdana"/>
                <w:sz w:val="18"/>
                <w:szCs w:val="18"/>
              </w:rPr>
              <w:t>4.115.685</w:t>
            </w:r>
          </w:p>
        </w:tc>
        <w:tc>
          <w:tcPr>
            <w:tcW w:w="1237" w:type="dxa"/>
            <w:hideMark/>
          </w:tcPr>
          <w:p w:rsidRPr="002A1F9A" w:rsidR="00AD616C" w:rsidP="00AD616C" w:rsidRDefault="00AD616C" w14:paraId="6609FD76" w14:textId="797B7184">
            <w:pPr>
              <w:spacing w:before="0" w:after="0"/>
              <w:jc w:val="right"/>
              <w:rPr>
                <w:rFonts w:ascii="Verdana" w:hAnsi="Verdana"/>
                <w:color w:val="000000"/>
                <w:sz w:val="18"/>
                <w:szCs w:val="18"/>
              </w:rPr>
            </w:pPr>
            <w:r w:rsidRPr="002A1F9A">
              <w:rPr>
                <w:rFonts w:ascii="Verdana" w:hAnsi="Verdana"/>
                <w:sz w:val="18"/>
                <w:szCs w:val="18"/>
              </w:rPr>
              <w:t>255</w:t>
            </w:r>
          </w:p>
        </w:tc>
      </w:tr>
      <w:tr w:rsidRPr="002A1F9A" w:rsidR="00AD616C" w:rsidTr="00AD616C" w14:paraId="66CEAF81" w14:textId="77777777">
        <w:trPr>
          <w:trHeight w:val="200"/>
        </w:trPr>
        <w:tc>
          <w:tcPr>
            <w:tcW w:w="1200" w:type="dxa"/>
            <w:noWrap/>
            <w:hideMark/>
          </w:tcPr>
          <w:p w:rsidRPr="002A1F9A" w:rsidR="00AD616C" w:rsidP="00AD616C" w:rsidRDefault="00AD616C" w14:paraId="41EFB1CF" w14:textId="25D65EEF">
            <w:pPr>
              <w:spacing w:before="0" w:after="0"/>
              <w:rPr>
                <w:rFonts w:ascii="Verdana" w:hAnsi="Verdana"/>
                <w:b/>
                <w:bCs/>
                <w:color w:val="000000"/>
                <w:sz w:val="18"/>
                <w:szCs w:val="18"/>
              </w:rPr>
            </w:pPr>
            <w:r w:rsidRPr="002A1F9A">
              <w:rPr>
                <w:rFonts w:ascii="Verdana" w:hAnsi="Verdana"/>
                <w:b/>
                <w:bCs/>
                <w:sz w:val="18"/>
                <w:szCs w:val="18"/>
              </w:rPr>
              <w:t>2015</w:t>
            </w:r>
          </w:p>
        </w:tc>
        <w:tc>
          <w:tcPr>
            <w:tcW w:w="1326" w:type="dxa"/>
            <w:noWrap/>
            <w:hideMark/>
          </w:tcPr>
          <w:p w:rsidRPr="002A1F9A" w:rsidR="00AD616C" w:rsidP="00AD616C" w:rsidRDefault="00AD616C" w14:paraId="23852945" w14:textId="4DA693DF">
            <w:pPr>
              <w:spacing w:before="0" w:after="0"/>
              <w:jc w:val="right"/>
              <w:rPr>
                <w:rFonts w:ascii="Verdana" w:hAnsi="Verdana"/>
                <w:color w:val="000000"/>
                <w:sz w:val="18"/>
                <w:szCs w:val="18"/>
              </w:rPr>
            </w:pPr>
            <w:r w:rsidRPr="002A1F9A">
              <w:rPr>
                <w:rFonts w:ascii="Verdana" w:hAnsi="Verdana"/>
                <w:sz w:val="18"/>
                <w:szCs w:val="18"/>
              </w:rPr>
              <w:t>3.686.725</w:t>
            </w:r>
          </w:p>
        </w:tc>
        <w:tc>
          <w:tcPr>
            <w:tcW w:w="1237" w:type="dxa"/>
            <w:hideMark/>
          </w:tcPr>
          <w:p w:rsidRPr="002A1F9A" w:rsidR="00AD616C" w:rsidP="00AD616C" w:rsidRDefault="00AD616C" w14:paraId="468CF217" w14:textId="7A10E898">
            <w:pPr>
              <w:spacing w:before="0" w:after="0"/>
              <w:jc w:val="right"/>
              <w:rPr>
                <w:rFonts w:ascii="Verdana" w:hAnsi="Verdana"/>
                <w:color w:val="000000"/>
                <w:sz w:val="18"/>
                <w:szCs w:val="18"/>
              </w:rPr>
            </w:pPr>
            <w:r w:rsidRPr="002A1F9A">
              <w:rPr>
                <w:rFonts w:ascii="Verdana" w:hAnsi="Verdana"/>
                <w:sz w:val="18"/>
                <w:szCs w:val="18"/>
              </w:rPr>
              <w:t>485</w:t>
            </w:r>
          </w:p>
        </w:tc>
        <w:tc>
          <w:tcPr>
            <w:tcW w:w="1148" w:type="dxa"/>
            <w:noWrap/>
            <w:hideMark/>
          </w:tcPr>
          <w:p w:rsidRPr="002A1F9A" w:rsidR="00AD616C" w:rsidP="00AD616C" w:rsidRDefault="00AD616C" w14:paraId="283034C6" w14:textId="311A9539">
            <w:pPr>
              <w:spacing w:before="0" w:after="0"/>
              <w:jc w:val="right"/>
              <w:rPr>
                <w:rFonts w:ascii="Verdana" w:hAnsi="Verdana"/>
                <w:color w:val="000000"/>
                <w:sz w:val="18"/>
                <w:szCs w:val="18"/>
              </w:rPr>
            </w:pPr>
            <w:r w:rsidRPr="002A1F9A">
              <w:rPr>
                <w:rFonts w:ascii="Verdana" w:hAnsi="Verdana"/>
                <w:sz w:val="18"/>
                <w:szCs w:val="18"/>
              </w:rPr>
              <w:t>2.756.130</w:t>
            </w:r>
          </w:p>
        </w:tc>
        <w:tc>
          <w:tcPr>
            <w:tcW w:w="1237" w:type="dxa"/>
            <w:hideMark/>
          </w:tcPr>
          <w:p w:rsidRPr="002A1F9A" w:rsidR="00AD616C" w:rsidP="00AD616C" w:rsidRDefault="00AD616C" w14:paraId="5C65504B" w14:textId="73B6CA89">
            <w:pPr>
              <w:spacing w:before="0" w:after="0"/>
              <w:jc w:val="right"/>
              <w:rPr>
                <w:rFonts w:ascii="Verdana" w:hAnsi="Verdana"/>
                <w:color w:val="000000"/>
                <w:sz w:val="18"/>
                <w:szCs w:val="18"/>
              </w:rPr>
            </w:pPr>
            <w:r w:rsidRPr="002A1F9A">
              <w:rPr>
                <w:rFonts w:ascii="Verdana" w:hAnsi="Verdana"/>
                <w:sz w:val="18"/>
                <w:szCs w:val="18"/>
              </w:rPr>
              <w:t>442</w:t>
            </w:r>
          </w:p>
        </w:tc>
        <w:tc>
          <w:tcPr>
            <w:tcW w:w="1157" w:type="dxa"/>
            <w:noWrap/>
            <w:hideMark/>
          </w:tcPr>
          <w:p w:rsidRPr="002A1F9A" w:rsidR="00AD616C" w:rsidP="00AD616C" w:rsidRDefault="00AD616C" w14:paraId="35C62836" w14:textId="707330D8">
            <w:pPr>
              <w:spacing w:before="0" w:after="0"/>
              <w:jc w:val="right"/>
              <w:rPr>
                <w:rFonts w:ascii="Verdana" w:hAnsi="Verdana"/>
                <w:color w:val="000000"/>
                <w:sz w:val="18"/>
                <w:szCs w:val="18"/>
              </w:rPr>
            </w:pPr>
            <w:r w:rsidRPr="002A1F9A">
              <w:rPr>
                <w:rFonts w:ascii="Verdana" w:hAnsi="Verdana"/>
                <w:sz w:val="18"/>
                <w:szCs w:val="18"/>
              </w:rPr>
              <w:t>4.178.621</w:t>
            </w:r>
          </w:p>
        </w:tc>
        <w:tc>
          <w:tcPr>
            <w:tcW w:w="1237" w:type="dxa"/>
            <w:hideMark/>
          </w:tcPr>
          <w:p w:rsidRPr="002A1F9A" w:rsidR="00AD616C" w:rsidP="00AD616C" w:rsidRDefault="00AD616C" w14:paraId="0E0166BA" w14:textId="5A14DE10">
            <w:pPr>
              <w:spacing w:before="0" w:after="0"/>
              <w:jc w:val="right"/>
              <w:rPr>
                <w:rFonts w:ascii="Verdana" w:hAnsi="Verdana"/>
                <w:color w:val="000000"/>
                <w:sz w:val="18"/>
                <w:szCs w:val="18"/>
              </w:rPr>
            </w:pPr>
            <w:r w:rsidRPr="002A1F9A">
              <w:rPr>
                <w:rFonts w:ascii="Verdana" w:hAnsi="Verdana"/>
                <w:sz w:val="18"/>
                <w:szCs w:val="18"/>
              </w:rPr>
              <w:t>259</w:t>
            </w:r>
          </w:p>
        </w:tc>
      </w:tr>
      <w:tr w:rsidRPr="002A1F9A" w:rsidR="00AD616C" w:rsidTr="00AD616C" w14:paraId="2B5BD5D8" w14:textId="77777777">
        <w:trPr>
          <w:trHeight w:val="200"/>
        </w:trPr>
        <w:tc>
          <w:tcPr>
            <w:tcW w:w="1200" w:type="dxa"/>
            <w:noWrap/>
            <w:hideMark/>
          </w:tcPr>
          <w:p w:rsidRPr="002A1F9A" w:rsidR="00AD616C" w:rsidP="00AD616C" w:rsidRDefault="00AD616C" w14:paraId="222FE213" w14:textId="787A1C04">
            <w:pPr>
              <w:spacing w:before="0" w:after="0"/>
              <w:rPr>
                <w:rFonts w:ascii="Verdana" w:hAnsi="Verdana"/>
                <w:b/>
                <w:bCs/>
                <w:color w:val="000000"/>
                <w:sz w:val="18"/>
                <w:szCs w:val="18"/>
              </w:rPr>
            </w:pPr>
            <w:r w:rsidRPr="002A1F9A">
              <w:rPr>
                <w:rFonts w:ascii="Verdana" w:hAnsi="Verdana"/>
                <w:b/>
                <w:bCs/>
                <w:sz w:val="18"/>
                <w:szCs w:val="18"/>
              </w:rPr>
              <w:t>2016</w:t>
            </w:r>
          </w:p>
        </w:tc>
        <w:tc>
          <w:tcPr>
            <w:tcW w:w="1326" w:type="dxa"/>
            <w:noWrap/>
            <w:hideMark/>
          </w:tcPr>
          <w:p w:rsidRPr="002A1F9A" w:rsidR="00AD616C" w:rsidP="00AD616C" w:rsidRDefault="00AD616C" w14:paraId="2200B032" w14:textId="15EB54B2">
            <w:pPr>
              <w:spacing w:before="0" w:after="0"/>
              <w:jc w:val="right"/>
              <w:rPr>
                <w:rFonts w:ascii="Verdana" w:hAnsi="Verdana"/>
                <w:color w:val="000000"/>
                <w:sz w:val="18"/>
                <w:szCs w:val="18"/>
              </w:rPr>
            </w:pPr>
            <w:r w:rsidRPr="002A1F9A">
              <w:rPr>
                <w:rFonts w:ascii="Verdana" w:hAnsi="Verdana"/>
                <w:sz w:val="18"/>
                <w:szCs w:val="18"/>
              </w:rPr>
              <w:t>3.704.063</w:t>
            </w:r>
          </w:p>
        </w:tc>
        <w:tc>
          <w:tcPr>
            <w:tcW w:w="1237" w:type="dxa"/>
            <w:hideMark/>
          </w:tcPr>
          <w:p w:rsidRPr="002A1F9A" w:rsidR="00AD616C" w:rsidP="00AD616C" w:rsidRDefault="00AD616C" w14:paraId="0F7437F9" w14:textId="70DEB9EF">
            <w:pPr>
              <w:spacing w:before="0" w:after="0"/>
              <w:jc w:val="right"/>
              <w:rPr>
                <w:rFonts w:ascii="Verdana" w:hAnsi="Verdana"/>
                <w:color w:val="000000"/>
                <w:sz w:val="18"/>
                <w:szCs w:val="18"/>
              </w:rPr>
            </w:pPr>
            <w:r w:rsidRPr="002A1F9A">
              <w:rPr>
                <w:rFonts w:ascii="Verdana" w:hAnsi="Verdana"/>
                <w:sz w:val="18"/>
                <w:szCs w:val="18"/>
              </w:rPr>
              <w:t>492</w:t>
            </w:r>
          </w:p>
        </w:tc>
        <w:tc>
          <w:tcPr>
            <w:tcW w:w="1148" w:type="dxa"/>
            <w:noWrap/>
            <w:hideMark/>
          </w:tcPr>
          <w:p w:rsidRPr="002A1F9A" w:rsidR="00AD616C" w:rsidP="00AD616C" w:rsidRDefault="00AD616C" w14:paraId="7893FBB5" w14:textId="4F669920">
            <w:pPr>
              <w:spacing w:before="0" w:after="0"/>
              <w:jc w:val="right"/>
              <w:rPr>
                <w:rFonts w:ascii="Verdana" w:hAnsi="Verdana"/>
                <w:color w:val="000000"/>
                <w:sz w:val="18"/>
                <w:szCs w:val="18"/>
              </w:rPr>
            </w:pPr>
            <w:r w:rsidRPr="002A1F9A">
              <w:rPr>
                <w:rFonts w:ascii="Verdana" w:hAnsi="Verdana"/>
                <w:sz w:val="18"/>
                <w:szCs w:val="18"/>
              </w:rPr>
              <w:t>2.773.809</w:t>
            </w:r>
          </w:p>
        </w:tc>
        <w:tc>
          <w:tcPr>
            <w:tcW w:w="1237" w:type="dxa"/>
            <w:hideMark/>
          </w:tcPr>
          <w:p w:rsidRPr="002A1F9A" w:rsidR="00AD616C" w:rsidP="00AD616C" w:rsidRDefault="00AD616C" w14:paraId="602C4E0E" w14:textId="4B216911">
            <w:pPr>
              <w:spacing w:before="0" w:after="0"/>
              <w:jc w:val="right"/>
              <w:rPr>
                <w:rFonts w:ascii="Verdana" w:hAnsi="Verdana"/>
                <w:color w:val="000000"/>
                <w:sz w:val="18"/>
                <w:szCs w:val="18"/>
              </w:rPr>
            </w:pPr>
            <w:r w:rsidRPr="002A1F9A">
              <w:rPr>
                <w:rFonts w:ascii="Verdana" w:hAnsi="Verdana"/>
                <w:sz w:val="18"/>
                <w:szCs w:val="18"/>
              </w:rPr>
              <w:t>446</w:t>
            </w:r>
          </w:p>
        </w:tc>
        <w:tc>
          <w:tcPr>
            <w:tcW w:w="1157" w:type="dxa"/>
            <w:noWrap/>
            <w:hideMark/>
          </w:tcPr>
          <w:p w:rsidRPr="002A1F9A" w:rsidR="00AD616C" w:rsidP="00AD616C" w:rsidRDefault="00AD616C" w14:paraId="1EBB604E" w14:textId="39EE2E94">
            <w:pPr>
              <w:spacing w:before="0" w:after="0"/>
              <w:jc w:val="right"/>
              <w:rPr>
                <w:rFonts w:ascii="Verdana" w:hAnsi="Verdana"/>
                <w:color w:val="000000"/>
                <w:sz w:val="18"/>
                <w:szCs w:val="18"/>
              </w:rPr>
            </w:pPr>
            <w:r w:rsidRPr="002A1F9A">
              <w:rPr>
                <w:rFonts w:ascii="Verdana" w:hAnsi="Verdana"/>
                <w:sz w:val="18"/>
                <w:szCs w:val="18"/>
              </w:rPr>
              <w:t>4.298.116</w:t>
            </w:r>
          </w:p>
        </w:tc>
        <w:tc>
          <w:tcPr>
            <w:tcW w:w="1237" w:type="dxa"/>
            <w:hideMark/>
          </w:tcPr>
          <w:p w:rsidRPr="002A1F9A" w:rsidR="00AD616C" w:rsidP="00AD616C" w:rsidRDefault="00AD616C" w14:paraId="156A556C" w14:textId="507DCDDE">
            <w:pPr>
              <w:spacing w:before="0" w:after="0"/>
              <w:jc w:val="right"/>
              <w:rPr>
                <w:rFonts w:ascii="Verdana" w:hAnsi="Verdana"/>
                <w:color w:val="000000"/>
                <w:sz w:val="18"/>
                <w:szCs w:val="18"/>
              </w:rPr>
            </w:pPr>
            <w:r w:rsidRPr="002A1F9A">
              <w:rPr>
                <w:rFonts w:ascii="Verdana" w:hAnsi="Verdana"/>
                <w:sz w:val="18"/>
                <w:szCs w:val="18"/>
              </w:rPr>
              <w:t>266</w:t>
            </w:r>
          </w:p>
        </w:tc>
      </w:tr>
      <w:tr w:rsidRPr="002A1F9A" w:rsidR="00AD616C" w:rsidTr="00AD616C" w14:paraId="0B039F2F" w14:textId="77777777">
        <w:trPr>
          <w:trHeight w:val="200"/>
        </w:trPr>
        <w:tc>
          <w:tcPr>
            <w:tcW w:w="1200" w:type="dxa"/>
            <w:noWrap/>
            <w:hideMark/>
          </w:tcPr>
          <w:p w:rsidRPr="002A1F9A" w:rsidR="00AD616C" w:rsidP="00AD616C" w:rsidRDefault="00AD616C" w14:paraId="7D278F7D" w14:textId="59E94E3E">
            <w:pPr>
              <w:spacing w:before="0" w:after="0"/>
              <w:rPr>
                <w:rFonts w:ascii="Verdana" w:hAnsi="Verdana"/>
                <w:b/>
                <w:bCs/>
                <w:color w:val="000000"/>
                <w:sz w:val="18"/>
                <w:szCs w:val="18"/>
              </w:rPr>
            </w:pPr>
            <w:r w:rsidRPr="002A1F9A">
              <w:rPr>
                <w:rFonts w:ascii="Verdana" w:hAnsi="Verdana"/>
                <w:b/>
                <w:bCs/>
                <w:sz w:val="18"/>
                <w:szCs w:val="18"/>
              </w:rPr>
              <w:t>2017</w:t>
            </w:r>
          </w:p>
        </w:tc>
        <w:tc>
          <w:tcPr>
            <w:tcW w:w="1326" w:type="dxa"/>
            <w:noWrap/>
            <w:hideMark/>
          </w:tcPr>
          <w:p w:rsidRPr="002A1F9A" w:rsidR="00AD616C" w:rsidP="00AD616C" w:rsidRDefault="00AD616C" w14:paraId="71B8AE4F" w14:textId="4669FAA0">
            <w:pPr>
              <w:spacing w:before="0" w:after="0"/>
              <w:jc w:val="right"/>
              <w:rPr>
                <w:rFonts w:ascii="Verdana" w:hAnsi="Verdana"/>
                <w:color w:val="000000"/>
                <w:sz w:val="18"/>
                <w:szCs w:val="18"/>
              </w:rPr>
            </w:pPr>
            <w:r w:rsidRPr="002A1F9A">
              <w:rPr>
                <w:rFonts w:ascii="Verdana" w:hAnsi="Verdana"/>
                <w:sz w:val="18"/>
                <w:szCs w:val="18"/>
              </w:rPr>
              <w:t>3.786.795</w:t>
            </w:r>
          </w:p>
        </w:tc>
        <w:tc>
          <w:tcPr>
            <w:tcW w:w="1237" w:type="dxa"/>
            <w:hideMark/>
          </w:tcPr>
          <w:p w:rsidRPr="002A1F9A" w:rsidR="00AD616C" w:rsidP="00AD616C" w:rsidRDefault="00AD616C" w14:paraId="55040F4C" w14:textId="7DC26E58">
            <w:pPr>
              <w:spacing w:before="0" w:after="0"/>
              <w:jc w:val="right"/>
              <w:rPr>
                <w:rFonts w:ascii="Verdana" w:hAnsi="Verdana"/>
                <w:color w:val="000000"/>
                <w:sz w:val="18"/>
                <w:szCs w:val="18"/>
              </w:rPr>
            </w:pPr>
            <w:r w:rsidRPr="002A1F9A">
              <w:rPr>
                <w:rFonts w:ascii="Verdana" w:hAnsi="Verdana"/>
                <w:sz w:val="18"/>
                <w:szCs w:val="18"/>
              </w:rPr>
              <w:t>496</w:t>
            </w:r>
          </w:p>
        </w:tc>
        <w:tc>
          <w:tcPr>
            <w:tcW w:w="1148" w:type="dxa"/>
            <w:noWrap/>
            <w:hideMark/>
          </w:tcPr>
          <w:p w:rsidRPr="002A1F9A" w:rsidR="00AD616C" w:rsidP="00AD616C" w:rsidRDefault="00AD616C" w14:paraId="17CBC787" w14:textId="31A0B737">
            <w:pPr>
              <w:spacing w:before="0" w:after="0"/>
              <w:jc w:val="right"/>
              <w:rPr>
                <w:rFonts w:ascii="Verdana" w:hAnsi="Verdana"/>
                <w:color w:val="000000"/>
                <w:sz w:val="18"/>
                <w:szCs w:val="18"/>
              </w:rPr>
            </w:pPr>
            <w:r w:rsidRPr="002A1F9A">
              <w:rPr>
                <w:rFonts w:ascii="Verdana" w:hAnsi="Verdana"/>
                <w:sz w:val="18"/>
                <w:szCs w:val="18"/>
              </w:rPr>
              <w:t>2.868.197</w:t>
            </w:r>
          </w:p>
        </w:tc>
        <w:tc>
          <w:tcPr>
            <w:tcW w:w="1237" w:type="dxa"/>
            <w:hideMark/>
          </w:tcPr>
          <w:p w:rsidRPr="002A1F9A" w:rsidR="00AD616C" w:rsidP="00AD616C" w:rsidRDefault="00AD616C" w14:paraId="7FB2559D" w14:textId="390C0529">
            <w:pPr>
              <w:spacing w:before="0" w:after="0"/>
              <w:jc w:val="right"/>
              <w:rPr>
                <w:rFonts w:ascii="Verdana" w:hAnsi="Verdana"/>
                <w:color w:val="000000"/>
                <w:sz w:val="18"/>
                <w:szCs w:val="18"/>
              </w:rPr>
            </w:pPr>
            <w:r w:rsidRPr="002A1F9A">
              <w:rPr>
                <w:rFonts w:ascii="Verdana" w:hAnsi="Verdana"/>
                <w:sz w:val="18"/>
                <w:szCs w:val="18"/>
              </w:rPr>
              <w:t>452</w:t>
            </w:r>
          </w:p>
        </w:tc>
        <w:tc>
          <w:tcPr>
            <w:tcW w:w="1157" w:type="dxa"/>
            <w:noWrap/>
            <w:hideMark/>
          </w:tcPr>
          <w:p w:rsidRPr="002A1F9A" w:rsidR="00AD616C" w:rsidP="00AD616C" w:rsidRDefault="00AD616C" w14:paraId="778B647D" w14:textId="297C5E9B">
            <w:pPr>
              <w:spacing w:before="0" w:after="0"/>
              <w:jc w:val="right"/>
              <w:rPr>
                <w:rFonts w:ascii="Verdana" w:hAnsi="Verdana"/>
                <w:color w:val="000000"/>
                <w:sz w:val="18"/>
                <w:szCs w:val="18"/>
              </w:rPr>
            </w:pPr>
            <w:r w:rsidRPr="002A1F9A">
              <w:rPr>
                <w:rFonts w:ascii="Verdana" w:hAnsi="Verdana"/>
                <w:sz w:val="18"/>
                <w:szCs w:val="18"/>
              </w:rPr>
              <w:t>4.416.577</w:t>
            </w:r>
          </w:p>
        </w:tc>
        <w:tc>
          <w:tcPr>
            <w:tcW w:w="1237" w:type="dxa"/>
            <w:hideMark/>
          </w:tcPr>
          <w:p w:rsidRPr="002A1F9A" w:rsidR="00AD616C" w:rsidP="00AD616C" w:rsidRDefault="00AD616C" w14:paraId="399B0460" w14:textId="56AAA710">
            <w:pPr>
              <w:spacing w:before="0" w:after="0"/>
              <w:jc w:val="right"/>
              <w:rPr>
                <w:rFonts w:ascii="Verdana" w:hAnsi="Verdana"/>
                <w:color w:val="000000"/>
                <w:sz w:val="18"/>
                <w:szCs w:val="18"/>
              </w:rPr>
            </w:pPr>
            <w:r w:rsidRPr="002A1F9A">
              <w:rPr>
                <w:rFonts w:ascii="Verdana" w:hAnsi="Verdana"/>
                <w:sz w:val="18"/>
                <w:szCs w:val="18"/>
              </w:rPr>
              <w:t>278</w:t>
            </w:r>
          </w:p>
        </w:tc>
      </w:tr>
      <w:tr w:rsidRPr="002A1F9A" w:rsidR="00AD616C" w:rsidTr="00AD616C" w14:paraId="4C2C42D2" w14:textId="77777777">
        <w:trPr>
          <w:trHeight w:val="200"/>
        </w:trPr>
        <w:tc>
          <w:tcPr>
            <w:tcW w:w="1200" w:type="dxa"/>
            <w:noWrap/>
            <w:hideMark/>
          </w:tcPr>
          <w:p w:rsidRPr="002A1F9A" w:rsidR="00AD616C" w:rsidP="00AD616C" w:rsidRDefault="00AD616C" w14:paraId="24FE8C6B" w14:textId="58C172C4">
            <w:pPr>
              <w:spacing w:before="0" w:after="0"/>
              <w:rPr>
                <w:rFonts w:ascii="Verdana" w:hAnsi="Verdana"/>
                <w:b/>
                <w:bCs/>
                <w:color w:val="000000"/>
                <w:sz w:val="18"/>
                <w:szCs w:val="18"/>
              </w:rPr>
            </w:pPr>
            <w:r w:rsidRPr="002A1F9A">
              <w:rPr>
                <w:rFonts w:ascii="Verdana" w:hAnsi="Verdana"/>
                <w:b/>
                <w:bCs/>
                <w:sz w:val="18"/>
                <w:szCs w:val="18"/>
              </w:rPr>
              <w:t>2018</w:t>
            </w:r>
          </w:p>
        </w:tc>
        <w:tc>
          <w:tcPr>
            <w:tcW w:w="1326" w:type="dxa"/>
            <w:noWrap/>
            <w:hideMark/>
          </w:tcPr>
          <w:p w:rsidRPr="002A1F9A" w:rsidR="00AD616C" w:rsidP="00AD616C" w:rsidRDefault="00AD616C" w14:paraId="545D9D24" w14:textId="4D9426E8">
            <w:pPr>
              <w:spacing w:before="0" w:after="0"/>
              <w:jc w:val="right"/>
              <w:rPr>
                <w:rFonts w:ascii="Verdana" w:hAnsi="Verdana"/>
                <w:color w:val="000000"/>
                <w:sz w:val="18"/>
                <w:szCs w:val="18"/>
              </w:rPr>
            </w:pPr>
            <w:r w:rsidRPr="002A1F9A">
              <w:rPr>
                <w:rFonts w:ascii="Verdana" w:hAnsi="Verdana"/>
                <w:sz w:val="18"/>
                <w:szCs w:val="18"/>
              </w:rPr>
              <w:t>4.151.144</w:t>
            </w:r>
          </w:p>
        </w:tc>
        <w:tc>
          <w:tcPr>
            <w:tcW w:w="1237" w:type="dxa"/>
            <w:hideMark/>
          </w:tcPr>
          <w:p w:rsidRPr="002A1F9A" w:rsidR="00AD616C" w:rsidP="00AD616C" w:rsidRDefault="00AD616C" w14:paraId="266257BB" w14:textId="3350CEFB">
            <w:pPr>
              <w:spacing w:before="0" w:after="0"/>
              <w:jc w:val="right"/>
              <w:rPr>
                <w:rFonts w:ascii="Verdana" w:hAnsi="Verdana"/>
                <w:color w:val="000000"/>
                <w:sz w:val="18"/>
                <w:szCs w:val="18"/>
              </w:rPr>
            </w:pPr>
            <w:r w:rsidRPr="002A1F9A">
              <w:rPr>
                <w:rFonts w:ascii="Verdana" w:hAnsi="Verdana"/>
                <w:sz w:val="18"/>
                <w:szCs w:val="18"/>
              </w:rPr>
              <w:t>506</w:t>
            </w:r>
          </w:p>
        </w:tc>
        <w:tc>
          <w:tcPr>
            <w:tcW w:w="1148" w:type="dxa"/>
            <w:noWrap/>
            <w:hideMark/>
          </w:tcPr>
          <w:p w:rsidRPr="002A1F9A" w:rsidR="00AD616C" w:rsidP="00AD616C" w:rsidRDefault="00AD616C" w14:paraId="25CC58C2" w14:textId="1F4CA894">
            <w:pPr>
              <w:spacing w:before="0" w:after="0"/>
              <w:jc w:val="right"/>
              <w:rPr>
                <w:rFonts w:ascii="Verdana" w:hAnsi="Verdana"/>
                <w:color w:val="000000"/>
                <w:sz w:val="18"/>
                <w:szCs w:val="18"/>
              </w:rPr>
            </w:pPr>
            <w:r w:rsidRPr="002A1F9A">
              <w:rPr>
                <w:rFonts w:ascii="Verdana" w:hAnsi="Verdana"/>
                <w:sz w:val="18"/>
                <w:szCs w:val="18"/>
              </w:rPr>
              <w:t>3.185.040</w:t>
            </w:r>
          </w:p>
        </w:tc>
        <w:tc>
          <w:tcPr>
            <w:tcW w:w="1237" w:type="dxa"/>
            <w:hideMark/>
          </w:tcPr>
          <w:p w:rsidRPr="002A1F9A" w:rsidR="00AD616C" w:rsidP="00AD616C" w:rsidRDefault="00AD616C" w14:paraId="2B75CA51" w14:textId="280679B2">
            <w:pPr>
              <w:spacing w:before="0" w:after="0"/>
              <w:jc w:val="right"/>
              <w:rPr>
                <w:rFonts w:ascii="Verdana" w:hAnsi="Verdana"/>
                <w:color w:val="000000"/>
                <w:sz w:val="18"/>
                <w:szCs w:val="18"/>
              </w:rPr>
            </w:pPr>
            <w:r w:rsidRPr="002A1F9A">
              <w:rPr>
                <w:rFonts w:ascii="Verdana" w:hAnsi="Verdana"/>
                <w:sz w:val="18"/>
                <w:szCs w:val="18"/>
              </w:rPr>
              <w:t>455</w:t>
            </w:r>
          </w:p>
        </w:tc>
        <w:tc>
          <w:tcPr>
            <w:tcW w:w="1157" w:type="dxa"/>
            <w:noWrap/>
            <w:hideMark/>
          </w:tcPr>
          <w:p w:rsidRPr="002A1F9A" w:rsidR="00AD616C" w:rsidP="00AD616C" w:rsidRDefault="00AD616C" w14:paraId="60DF55F9" w14:textId="50656592">
            <w:pPr>
              <w:spacing w:before="0" w:after="0"/>
              <w:jc w:val="right"/>
              <w:rPr>
                <w:rFonts w:ascii="Verdana" w:hAnsi="Verdana"/>
                <w:color w:val="000000"/>
                <w:sz w:val="18"/>
                <w:szCs w:val="18"/>
              </w:rPr>
            </w:pPr>
            <w:r w:rsidRPr="002A1F9A">
              <w:rPr>
                <w:rFonts w:ascii="Verdana" w:hAnsi="Verdana"/>
                <w:sz w:val="18"/>
                <w:szCs w:val="18"/>
              </w:rPr>
              <w:t>4.829.573</w:t>
            </w:r>
          </w:p>
        </w:tc>
        <w:tc>
          <w:tcPr>
            <w:tcW w:w="1237" w:type="dxa"/>
            <w:hideMark/>
          </w:tcPr>
          <w:p w:rsidRPr="002A1F9A" w:rsidR="00AD616C" w:rsidP="00AD616C" w:rsidRDefault="00AD616C" w14:paraId="72F21569" w14:textId="765B93F9">
            <w:pPr>
              <w:spacing w:before="0" w:after="0"/>
              <w:jc w:val="right"/>
              <w:rPr>
                <w:rFonts w:ascii="Verdana" w:hAnsi="Verdana"/>
                <w:color w:val="000000"/>
                <w:sz w:val="18"/>
                <w:szCs w:val="18"/>
              </w:rPr>
            </w:pPr>
            <w:r w:rsidRPr="002A1F9A">
              <w:rPr>
                <w:rFonts w:ascii="Verdana" w:hAnsi="Verdana"/>
                <w:sz w:val="18"/>
                <w:szCs w:val="18"/>
              </w:rPr>
              <w:t>293</w:t>
            </w:r>
          </w:p>
        </w:tc>
      </w:tr>
      <w:tr w:rsidRPr="002A1F9A" w:rsidR="00AD616C" w:rsidTr="00AD616C" w14:paraId="20DDDA0A" w14:textId="77777777">
        <w:trPr>
          <w:trHeight w:val="200"/>
        </w:trPr>
        <w:tc>
          <w:tcPr>
            <w:tcW w:w="1200" w:type="dxa"/>
            <w:noWrap/>
            <w:hideMark/>
          </w:tcPr>
          <w:p w:rsidRPr="002A1F9A" w:rsidR="00AD616C" w:rsidP="00AD616C" w:rsidRDefault="00AD616C" w14:paraId="590C5EDC" w14:textId="2AD19F1C">
            <w:pPr>
              <w:spacing w:before="0" w:after="0"/>
              <w:rPr>
                <w:rFonts w:ascii="Verdana" w:hAnsi="Verdana"/>
                <w:b/>
                <w:bCs/>
                <w:color w:val="000000"/>
                <w:sz w:val="18"/>
                <w:szCs w:val="18"/>
              </w:rPr>
            </w:pPr>
            <w:r w:rsidRPr="002A1F9A">
              <w:rPr>
                <w:rFonts w:ascii="Verdana" w:hAnsi="Verdana"/>
                <w:b/>
                <w:bCs/>
                <w:sz w:val="18"/>
                <w:szCs w:val="18"/>
              </w:rPr>
              <w:t>2019</w:t>
            </w:r>
          </w:p>
        </w:tc>
        <w:tc>
          <w:tcPr>
            <w:tcW w:w="1326" w:type="dxa"/>
            <w:noWrap/>
            <w:hideMark/>
          </w:tcPr>
          <w:p w:rsidRPr="002A1F9A" w:rsidR="00AD616C" w:rsidP="00AD616C" w:rsidRDefault="00AD616C" w14:paraId="4A9FFF54" w14:textId="7608C569">
            <w:pPr>
              <w:spacing w:before="0" w:after="0"/>
              <w:jc w:val="right"/>
              <w:rPr>
                <w:rFonts w:ascii="Verdana" w:hAnsi="Verdana"/>
                <w:color w:val="000000"/>
                <w:sz w:val="18"/>
                <w:szCs w:val="18"/>
              </w:rPr>
            </w:pPr>
            <w:r w:rsidRPr="002A1F9A">
              <w:rPr>
                <w:rFonts w:ascii="Verdana" w:hAnsi="Verdana"/>
                <w:sz w:val="18"/>
                <w:szCs w:val="18"/>
              </w:rPr>
              <w:t>4.210.160</w:t>
            </w:r>
          </w:p>
        </w:tc>
        <w:tc>
          <w:tcPr>
            <w:tcW w:w="1237" w:type="dxa"/>
            <w:hideMark/>
          </w:tcPr>
          <w:p w:rsidRPr="002A1F9A" w:rsidR="00AD616C" w:rsidP="00AD616C" w:rsidRDefault="00AD616C" w14:paraId="77131872" w14:textId="593F0715">
            <w:pPr>
              <w:spacing w:before="0" w:after="0"/>
              <w:jc w:val="right"/>
              <w:rPr>
                <w:rFonts w:ascii="Verdana" w:hAnsi="Verdana"/>
                <w:color w:val="000000"/>
                <w:sz w:val="18"/>
                <w:szCs w:val="18"/>
              </w:rPr>
            </w:pPr>
            <w:r w:rsidRPr="002A1F9A">
              <w:rPr>
                <w:rFonts w:ascii="Verdana" w:hAnsi="Verdana"/>
                <w:sz w:val="18"/>
                <w:szCs w:val="18"/>
              </w:rPr>
              <w:t>512</w:t>
            </w:r>
          </w:p>
        </w:tc>
        <w:tc>
          <w:tcPr>
            <w:tcW w:w="1148" w:type="dxa"/>
            <w:noWrap/>
            <w:hideMark/>
          </w:tcPr>
          <w:p w:rsidRPr="002A1F9A" w:rsidR="00AD616C" w:rsidP="00AD616C" w:rsidRDefault="00AD616C" w14:paraId="329DD2F0" w14:textId="23A68CCF">
            <w:pPr>
              <w:spacing w:before="0" w:after="0"/>
              <w:jc w:val="right"/>
              <w:rPr>
                <w:rFonts w:ascii="Verdana" w:hAnsi="Verdana"/>
                <w:color w:val="000000"/>
                <w:sz w:val="18"/>
                <w:szCs w:val="18"/>
              </w:rPr>
            </w:pPr>
            <w:r w:rsidRPr="002A1F9A">
              <w:rPr>
                <w:rFonts w:ascii="Verdana" w:hAnsi="Verdana"/>
                <w:sz w:val="18"/>
                <w:szCs w:val="18"/>
              </w:rPr>
              <w:t>3.310.594</w:t>
            </w:r>
          </w:p>
        </w:tc>
        <w:tc>
          <w:tcPr>
            <w:tcW w:w="1237" w:type="dxa"/>
            <w:hideMark/>
          </w:tcPr>
          <w:p w:rsidRPr="002A1F9A" w:rsidR="00AD616C" w:rsidP="00AD616C" w:rsidRDefault="00AD616C" w14:paraId="6BB20F09" w14:textId="63EAA3CB">
            <w:pPr>
              <w:spacing w:before="0" w:after="0"/>
              <w:jc w:val="right"/>
              <w:rPr>
                <w:rFonts w:ascii="Verdana" w:hAnsi="Verdana"/>
                <w:color w:val="000000"/>
                <w:sz w:val="18"/>
                <w:szCs w:val="18"/>
              </w:rPr>
            </w:pPr>
            <w:r w:rsidRPr="002A1F9A">
              <w:rPr>
                <w:rFonts w:ascii="Verdana" w:hAnsi="Verdana"/>
                <w:sz w:val="18"/>
                <w:szCs w:val="18"/>
              </w:rPr>
              <w:t>463</w:t>
            </w:r>
          </w:p>
        </w:tc>
        <w:tc>
          <w:tcPr>
            <w:tcW w:w="1157" w:type="dxa"/>
            <w:noWrap/>
            <w:hideMark/>
          </w:tcPr>
          <w:p w:rsidRPr="002A1F9A" w:rsidR="00AD616C" w:rsidP="00AD616C" w:rsidRDefault="00AD616C" w14:paraId="28F7C1E9" w14:textId="35C63D52">
            <w:pPr>
              <w:spacing w:before="0" w:after="0"/>
              <w:jc w:val="right"/>
              <w:rPr>
                <w:rFonts w:ascii="Verdana" w:hAnsi="Verdana"/>
                <w:color w:val="000000"/>
                <w:sz w:val="18"/>
                <w:szCs w:val="18"/>
              </w:rPr>
            </w:pPr>
            <w:r w:rsidRPr="002A1F9A">
              <w:rPr>
                <w:rFonts w:ascii="Verdana" w:hAnsi="Verdana"/>
                <w:sz w:val="18"/>
                <w:szCs w:val="18"/>
              </w:rPr>
              <w:t>5.101.096</w:t>
            </w:r>
          </w:p>
        </w:tc>
        <w:tc>
          <w:tcPr>
            <w:tcW w:w="1237" w:type="dxa"/>
            <w:hideMark/>
          </w:tcPr>
          <w:p w:rsidRPr="002A1F9A" w:rsidR="00AD616C" w:rsidP="00AD616C" w:rsidRDefault="00AD616C" w14:paraId="43D6C204" w14:textId="45CB66CA">
            <w:pPr>
              <w:spacing w:before="0" w:after="0"/>
              <w:jc w:val="right"/>
              <w:rPr>
                <w:rFonts w:ascii="Verdana" w:hAnsi="Verdana"/>
                <w:color w:val="000000"/>
                <w:sz w:val="18"/>
                <w:szCs w:val="18"/>
              </w:rPr>
            </w:pPr>
            <w:r w:rsidRPr="002A1F9A">
              <w:rPr>
                <w:rFonts w:ascii="Verdana" w:hAnsi="Verdana"/>
                <w:sz w:val="18"/>
                <w:szCs w:val="18"/>
              </w:rPr>
              <w:t>305</w:t>
            </w:r>
          </w:p>
        </w:tc>
      </w:tr>
      <w:tr w:rsidRPr="002A1F9A" w:rsidR="00AD616C" w:rsidTr="00AD616C" w14:paraId="66EB0070" w14:textId="77777777">
        <w:trPr>
          <w:trHeight w:val="200"/>
        </w:trPr>
        <w:tc>
          <w:tcPr>
            <w:tcW w:w="1200" w:type="dxa"/>
            <w:noWrap/>
            <w:hideMark/>
          </w:tcPr>
          <w:p w:rsidRPr="002A1F9A" w:rsidR="00AD616C" w:rsidP="00AD616C" w:rsidRDefault="00AD616C" w14:paraId="7A026927" w14:textId="70945E4D">
            <w:pPr>
              <w:spacing w:before="0" w:after="0"/>
              <w:rPr>
                <w:rFonts w:ascii="Verdana" w:hAnsi="Verdana"/>
                <w:b/>
                <w:bCs/>
                <w:color w:val="000000"/>
                <w:sz w:val="18"/>
                <w:szCs w:val="18"/>
              </w:rPr>
            </w:pPr>
            <w:r w:rsidRPr="002A1F9A">
              <w:rPr>
                <w:rFonts w:ascii="Verdana" w:hAnsi="Verdana"/>
                <w:b/>
                <w:bCs/>
                <w:sz w:val="18"/>
                <w:szCs w:val="18"/>
              </w:rPr>
              <w:t>2020</w:t>
            </w:r>
          </w:p>
        </w:tc>
        <w:tc>
          <w:tcPr>
            <w:tcW w:w="1326" w:type="dxa"/>
            <w:noWrap/>
            <w:hideMark/>
          </w:tcPr>
          <w:p w:rsidRPr="002A1F9A" w:rsidR="00AD616C" w:rsidP="00AD616C" w:rsidRDefault="00AD616C" w14:paraId="4988EDDC" w14:textId="23EB07B9">
            <w:pPr>
              <w:spacing w:before="0" w:after="0"/>
              <w:jc w:val="right"/>
              <w:rPr>
                <w:rFonts w:ascii="Verdana" w:hAnsi="Verdana"/>
                <w:color w:val="000000"/>
                <w:sz w:val="18"/>
                <w:szCs w:val="18"/>
              </w:rPr>
            </w:pPr>
            <w:r w:rsidRPr="002A1F9A">
              <w:rPr>
                <w:rFonts w:ascii="Verdana" w:hAnsi="Verdana"/>
                <w:sz w:val="18"/>
                <w:szCs w:val="18"/>
              </w:rPr>
              <w:t>4.330.200</w:t>
            </w:r>
          </w:p>
        </w:tc>
        <w:tc>
          <w:tcPr>
            <w:tcW w:w="1237" w:type="dxa"/>
            <w:hideMark/>
          </w:tcPr>
          <w:p w:rsidRPr="002A1F9A" w:rsidR="00AD616C" w:rsidP="00AD616C" w:rsidRDefault="00AD616C" w14:paraId="2519F1F5" w14:textId="6F20A63A">
            <w:pPr>
              <w:spacing w:before="0" w:after="0"/>
              <w:jc w:val="right"/>
              <w:rPr>
                <w:rFonts w:ascii="Verdana" w:hAnsi="Verdana"/>
                <w:color w:val="000000"/>
                <w:sz w:val="18"/>
                <w:szCs w:val="18"/>
              </w:rPr>
            </w:pPr>
            <w:r w:rsidRPr="002A1F9A">
              <w:rPr>
                <w:rFonts w:ascii="Verdana" w:hAnsi="Verdana"/>
                <w:sz w:val="18"/>
                <w:szCs w:val="18"/>
              </w:rPr>
              <w:t>517</w:t>
            </w:r>
          </w:p>
        </w:tc>
        <w:tc>
          <w:tcPr>
            <w:tcW w:w="1148" w:type="dxa"/>
            <w:noWrap/>
            <w:hideMark/>
          </w:tcPr>
          <w:p w:rsidRPr="002A1F9A" w:rsidR="00AD616C" w:rsidP="00AD616C" w:rsidRDefault="00AD616C" w14:paraId="6F640018" w14:textId="5E5DDE63">
            <w:pPr>
              <w:spacing w:before="0" w:after="0"/>
              <w:jc w:val="right"/>
              <w:rPr>
                <w:rFonts w:ascii="Verdana" w:hAnsi="Verdana"/>
                <w:color w:val="000000"/>
                <w:sz w:val="18"/>
                <w:szCs w:val="18"/>
              </w:rPr>
            </w:pPr>
            <w:r w:rsidRPr="002A1F9A">
              <w:rPr>
                <w:rFonts w:ascii="Verdana" w:hAnsi="Verdana"/>
                <w:sz w:val="18"/>
                <w:szCs w:val="18"/>
              </w:rPr>
              <w:t>3.420.261</w:t>
            </w:r>
          </w:p>
        </w:tc>
        <w:tc>
          <w:tcPr>
            <w:tcW w:w="1237" w:type="dxa"/>
            <w:hideMark/>
          </w:tcPr>
          <w:p w:rsidRPr="002A1F9A" w:rsidR="00AD616C" w:rsidP="00AD616C" w:rsidRDefault="00AD616C" w14:paraId="6A648C7B" w14:textId="17EA24B5">
            <w:pPr>
              <w:spacing w:before="0" w:after="0"/>
              <w:jc w:val="right"/>
              <w:rPr>
                <w:rFonts w:ascii="Verdana" w:hAnsi="Verdana"/>
                <w:color w:val="000000"/>
                <w:sz w:val="18"/>
                <w:szCs w:val="18"/>
              </w:rPr>
            </w:pPr>
            <w:r w:rsidRPr="002A1F9A">
              <w:rPr>
                <w:rFonts w:ascii="Verdana" w:hAnsi="Verdana"/>
                <w:sz w:val="18"/>
                <w:szCs w:val="18"/>
              </w:rPr>
              <w:t>488</w:t>
            </w:r>
          </w:p>
        </w:tc>
        <w:tc>
          <w:tcPr>
            <w:tcW w:w="1157" w:type="dxa"/>
            <w:noWrap/>
            <w:hideMark/>
          </w:tcPr>
          <w:p w:rsidRPr="002A1F9A" w:rsidR="00AD616C" w:rsidP="00AD616C" w:rsidRDefault="00AD616C" w14:paraId="2E6E3CF3" w14:textId="6351DCB2">
            <w:pPr>
              <w:spacing w:before="0" w:after="0"/>
              <w:jc w:val="right"/>
              <w:rPr>
                <w:rFonts w:ascii="Verdana" w:hAnsi="Verdana"/>
                <w:color w:val="000000"/>
                <w:sz w:val="18"/>
                <w:szCs w:val="18"/>
              </w:rPr>
            </w:pPr>
            <w:r w:rsidRPr="002A1F9A">
              <w:rPr>
                <w:rFonts w:ascii="Verdana" w:hAnsi="Verdana"/>
                <w:sz w:val="18"/>
                <w:szCs w:val="18"/>
              </w:rPr>
              <w:t>5.386.198</w:t>
            </w:r>
          </w:p>
        </w:tc>
        <w:tc>
          <w:tcPr>
            <w:tcW w:w="1237" w:type="dxa"/>
            <w:hideMark/>
          </w:tcPr>
          <w:p w:rsidRPr="002A1F9A" w:rsidR="00AD616C" w:rsidP="00AD616C" w:rsidRDefault="00AD616C" w14:paraId="56251031" w14:textId="68338C73">
            <w:pPr>
              <w:spacing w:before="0" w:after="0"/>
              <w:jc w:val="right"/>
              <w:rPr>
                <w:rFonts w:ascii="Verdana" w:hAnsi="Verdana"/>
                <w:color w:val="000000"/>
                <w:sz w:val="18"/>
                <w:szCs w:val="18"/>
              </w:rPr>
            </w:pPr>
            <w:r w:rsidRPr="002A1F9A">
              <w:rPr>
                <w:rFonts w:ascii="Verdana" w:hAnsi="Verdana"/>
                <w:sz w:val="18"/>
                <w:szCs w:val="18"/>
              </w:rPr>
              <w:t>329</w:t>
            </w:r>
          </w:p>
        </w:tc>
      </w:tr>
      <w:tr w:rsidRPr="002A1F9A" w:rsidR="00AD616C" w:rsidTr="00AD616C" w14:paraId="5971AFAC" w14:textId="77777777">
        <w:trPr>
          <w:trHeight w:val="200"/>
        </w:trPr>
        <w:tc>
          <w:tcPr>
            <w:tcW w:w="1200" w:type="dxa"/>
            <w:noWrap/>
            <w:hideMark/>
          </w:tcPr>
          <w:p w:rsidRPr="002A1F9A" w:rsidR="00AD616C" w:rsidP="00AD616C" w:rsidRDefault="00AD616C" w14:paraId="607CC451" w14:textId="44DEA8B1">
            <w:pPr>
              <w:spacing w:before="0" w:after="0"/>
              <w:rPr>
                <w:rFonts w:ascii="Verdana" w:hAnsi="Verdana"/>
                <w:b/>
                <w:bCs/>
                <w:color w:val="000000"/>
                <w:sz w:val="18"/>
                <w:szCs w:val="18"/>
              </w:rPr>
            </w:pPr>
            <w:r w:rsidRPr="002A1F9A">
              <w:rPr>
                <w:rFonts w:ascii="Verdana" w:hAnsi="Verdana"/>
                <w:b/>
                <w:bCs/>
                <w:sz w:val="18"/>
                <w:szCs w:val="18"/>
              </w:rPr>
              <w:t>2021</w:t>
            </w:r>
          </w:p>
        </w:tc>
        <w:tc>
          <w:tcPr>
            <w:tcW w:w="1326" w:type="dxa"/>
            <w:noWrap/>
            <w:hideMark/>
          </w:tcPr>
          <w:p w:rsidRPr="002A1F9A" w:rsidR="00AD616C" w:rsidP="00AD616C" w:rsidRDefault="00AD616C" w14:paraId="2D844C64" w14:textId="1D999D54">
            <w:pPr>
              <w:spacing w:before="0" w:after="0"/>
              <w:jc w:val="right"/>
              <w:rPr>
                <w:rFonts w:ascii="Verdana" w:hAnsi="Verdana"/>
                <w:color w:val="000000"/>
                <w:sz w:val="18"/>
                <w:szCs w:val="18"/>
              </w:rPr>
            </w:pPr>
            <w:r w:rsidRPr="002A1F9A">
              <w:rPr>
                <w:rFonts w:ascii="Verdana" w:hAnsi="Verdana"/>
                <w:sz w:val="18"/>
                <w:szCs w:val="18"/>
              </w:rPr>
              <w:t>4.605.346</w:t>
            </w:r>
          </w:p>
        </w:tc>
        <w:tc>
          <w:tcPr>
            <w:tcW w:w="1237" w:type="dxa"/>
            <w:hideMark/>
          </w:tcPr>
          <w:p w:rsidRPr="002A1F9A" w:rsidR="00AD616C" w:rsidP="00AD616C" w:rsidRDefault="00AD616C" w14:paraId="4773608F" w14:textId="0260D68A">
            <w:pPr>
              <w:spacing w:before="0" w:after="0"/>
              <w:jc w:val="right"/>
              <w:rPr>
                <w:rFonts w:ascii="Verdana" w:hAnsi="Verdana"/>
                <w:color w:val="000000"/>
                <w:sz w:val="18"/>
                <w:szCs w:val="18"/>
              </w:rPr>
            </w:pPr>
            <w:r w:rsidRPr="002A1F9A">
              <w:rPr>
                <w:rFonts w:ascii="Verdana" w:hAnsi="Verdana"/>
                <w:sz w:val="18"/>
                <w:szCs w:val="18"/>
              </w:rPr>
              <w:t>510</w:t>
            </w:r>
          </w:p>
        </w:tc>
        <w:tc>
          <w:tcPr>
            <w:tcW w:w="1148" w:type="dxa"/>
            <w:noWrap/>
            <w:hideMark/>
          </w:tcPr>
          <w:p w:rsidRPr="002A1F9A" w:rsidR="00AD616C" w:rsidP="00AD616C" w:rsidRDefault="00AD616C" w14:paraId="304C2BB0" w14:textId="6E85AE4E">
            <w:pPr>
              <w:spacing w:before="0" w:after="0"/>
              <w:jc w:val="right"/>
              <w:rPr>
                <w:rFonts w:ascii="Verdana" w:hAnsi="Verdana"/>
                <w:color w:val="000000"/>
                <w:sz w:val="18"/>
                <w:szCs w:val="18"/>
              </w:rPr>
            </w:pPr>
            <w:r w:rsidRPr="002A1F9A">
              <w:rPr>
                <w:rFonts w:ascii="Verdana" w:hAnsi="Verdana"/>
                <w:sz w:val="18"/>
                <w:szCs w:val="18"/>
              </w:rPr>
              <w:t>4.191.140</w:t>
            </w:r>
          </w:p>
        </w:tc>
        <w:tc>
          <w:tcPr>
            <w:tcW w:w="1237" w:type="dxa"/>
            <w:hideMark/>
          </w:tcPr>
          <w:p w:rsidRPr="002A1F9A" w:rsidR="00AD616C" w:rsidP="00AD616C" w:rsidRDefault="00AD616C" w14:paraId="7534BB54" w14:textId="63BCBAE2">
            <w:pPr>
              <w:spacing w:before="0" w:after="0"/>
              <w:jc w:val="right"/>
              <w:rPr>
                <w:rFonts w:ascii="Verdana" w:hAnsi="Verdana"/>
                <w:color w:val="000000"/>
                <w:sz w:val="18"/>
                <w:szCs w:val="18"/>
              </w:rPr>
            </w:pPr>
            <w:r w:rsidRPr="002A1F9A">
              <w:rPr>
                <w:rFonts w:ascii="Verdana" w:hAnsi="Verdana"/>
                <w:sz w:val="18"/>
                <w:szCs w:val="18"/>
              </w:rPr>
              <w:t>490</w:t>
            </w:r>
          </w:p>
        </w:tc>
        <w:tc>
          <w:tcPr>
            <w:tcW w:w="1157" w:type="dxa"/>
            <w:noWrap/>
            <w:hideMark/>
          </w:tcPr>
          <w:p w:rsidRPr="002A1F9A" w:rsidR="00AD616C" w:rsidP="00AD616C" w:rsidRDefault="00AD616C" w14:paraId="03036ECB" w14:textId="5800EF9F">
            <w:pPr>
              <w:spacing w:before="0" w:after="0"/>
              <w:jc w:val="right"/>
              <w:rPr>
                <w:rFonts w:ascii="Verdana" w:hAnsi="Verdana"/>
                <w:color w:val="000000"/>
                <w:sz w:val="18"/>
                <w:szCs w:val="18"/>
              </w:rPr>
            </w:pPr>
            <w:r w:rsidRPr="002A1F9A">
              <w:rPr>
                <w:rFonts w:ascii="Verdana" w:hAnsi="Verdana"/>
                <w:sz w:val="18"/>
                <w:szCs w:val="18"/>
              </w:rPr>
              <w:t>6.034.531</w:t>
            </w:r>
          </w:p>
        </w:tc>
        <w:tc>
          <w:tcPr>
            <w:tcW w:w="1237" w:type="dxa"/>
            <w:hideMark/>
          </w:tcPr>
          <w:p w:rsidRPr="002A1F9A" w:rsidR="00AD616C" w:rsidP="00AD616C" w:rsidRDefault="00AD616C" w14:paraId="35BE1D2A" w14:textId="06B49EB2">
            <w:pPr>
              <w:spacing w:before="0" w:after="0"/>
              <w:jc w:val="right"/>
              <w:rPr>
                <w:rFonts w:ascii="Verdana" w:hAnsi="Verdana"/>
                <w:color w:val="000000"/>
                <w:sz w:val="18"/>
                <w:szCs w:val="18"/>
              </w:rPr>
            </w:pPr>
            <w:r w:rsidRPr="002A1F9A">
              <w:rPr>
                <w:rFonts w:ascii="Verdana" w:hAnsi="Verdana"/>
                <w:sz w:val="18"/>
                <w:szCs w:val="18"/>
              </w:rPr>
              <w:t>342</w:t>
            </w:r>
          </w:p>
        </w:tc>
      </w:tr>
      <w:tr w:rsidRPr="002A1F9A" w:rsidR="00AD616C" w:rsidTr="00AD616C" w14:paraId="7991AD91" w14:textId="77777777">
        <w:trPr>
          <w:trHeight w:val="200"/>
        </w:trPr>
        <w:tc>
          <w:tcPr>
            <w:tcW w:w="1200" w:type="dxa"/>
            <w:noWrap/>
            <w:hideMark/>
          </w:tcPr>
          <w:p w:rsidRPr="002A1F9A" w:rsidR="00AD616C" w:rsidP="00AD616C" w:rsidRDefault="00AD616C" w14:paraId="796D3B0A" w14:textId="4D195BA4">
            <w:pPr>
              <w:spacing w:before="0" w:after="0"/>
              <w:rPr>
                <w:rFonts w:ascii="Verdana" w:hAnsi="Verdana"/>
                <w:b/>
                <w:bCs/>
                <w:color w:val="000000"/>
                <w:sz w:val="18"/>
                <w:szCs w:val="18"/>
              </w:rPr>
            </w:pPr>
            <w:r w:rsidRPr="002A1F9A">
              <w:rPr>
                <w:rFonts w:ascii="Verdana" w:hAnsi="Verdana"/>
                <w:b/>
                <w:bCs/>
                <w:sz w:val="18"/>
                <w:szCs w:val="18"/>
              </w:rPr>
              <w:t>2022</w:t>
            </w:r>
          </w:p>
        </w:tc>
        <w:tc>
          <w:tcPr>
            <w:tcW w:w="1326" w:type="dxa"/>
            <w:noWrap/>
            <w:hideMark/>
          </w:tcPr>
          <w:p w:rsidRPr="002A1F9A" w:rsidR="00AD616C" w:rsidP="00AD616C" w:rsidRDefault="00AD616C" w14:paraId="6E7EDB80" w14:textId="2BFDC66A">
            <w:pPr>
              <w:spacing w:before="0" w:after="0"/>
              <w:jc w:val="right"/>
              <w:rPr>
                <w:rFonts w:ascii="Verdana" w:hAnsi="Verdana"/>
                <w:color w:val="000000"/>
                <w:sz w:val="18"/>
                <w:szCs w:val="18"/>
              </w:rPr>
            </w:pPr>
            <w:r w:rsidRPr="002A1F9A">
              <w:rPr>
                <w:rFonts w:ascii="Verdana" w:hAnsi="Verdana"/>
                <w:sz w:val="18"/>
                <w:szCs w:val="18"/>
              </w:rPr>
              <w:t>4.722.353</w:t>
            </w:r>
          </w:p>
        </w:tc>
        <w:tc>
          <w:tcPr>
            <w:tcW w:w="1237" w:type="dxa"/>
            <w:hideMark/>
          </w:tcPr>
          <w:p w:rsidRPr="002A1F9A" w:rsidR="00AD616C" w:rsidP="00AD616C" w:rsidRDefault="00AD616C" w14:paraId="13B7BADC" w14:textId="573191E4">
            <w:pPr>
              <w:spacing w:before="0" w:after="0"/>
              <w:jc w:val="right"/>
              <w:rPr>
                <w:rFonts w:ascii="Verdana" w:hAnsi="Verdana"/>
                <w:color w:val="000000"/>
                <w:sz w:val="18"/>
                <w:szCs w:val="18"/>
              </w:rPr>
            </w:pPr>
            <w:r w:rsidRPr="002A1F9A">
              <w:rPr>
                <w:rFonts w:ascii="Verdana" w:hAnsi="Verdana"/>
                <w:sz w:val="18"/>
                <w:szCs w:val="18"/>
              </w:rPr>
              <w:t>491</w:t>
            </w:r>
          </w:p>
        </w:tc>
        <w:tc>
          <w:tcPr>
            <w:tcW w:w="1148" w:type="dxa"/>
            <w:noWrap/>
            <w:hideMark/>
          </w:tcPr>
          <w:p w:rsidRPr="002A1F9A" w:rsidR="00AD616C" w:rsidP="00AD616C" w:rsidRDefault="00AD616C" w14:paraId="0A88390E" w14:textId="35E6FAF8">
            <w:pPr>
              <w:spacing w:before="0" w:after="0"/>
              <w:jc w:val="right"/>
              <w:rPr>
                <w:rFonts w:ascii="Verdana" w:hAnsi="Verdana"/>
                <w:color w:val="000000"/>
                <w:sz w:val="18"/>
                <w:szCs w:val="18"/>
              </w:rPr>
            </w:pPr>
            <w:r w:rsidRPr="002A1F9A">
              <w:rPr>
                <w:rFonts w:ascii="Verdana" w:hAnsi="Verdana"/>
                <w:sz w:val="18"/>
                <w:szCs w:val="18"/>
              </w:rPr>
              <w:t>4.611.819</w:t>
            </w:r>
          </w:p>
        </w:tc>
        <w:tc>
          <w:tcPr>
            <w:tcW w:w="1237" w:type="dxa"/>
            <w:hideMark/>
          </w:tcPr>
          <w:p w:rsidRPr="002A1F9A" w:rsidR="00AD616C" w:rsidP="00AD616C" w:rsidRDefault="00AD616C" w14:paraId="27018B3B" w14:textId="4910141B">
            <w:pPr>
              <w:spacing w:before="0" w:after="0"/>
              <w:jc w:val="right"/>
              <w:rPr>
                <w:rFonts w:ascii="Verdana" w:hAnsi="Verdana"/>
                <w:color w:val="000000"/>
                <w:sz w:val="18"/>
                <w:szCs w:val="18"/>
              </w:rPr>
            </w:pPr>
            <w:r w:rsidRPr="002A1F9A">
              <w:rPr>
                <w:rFonts w:ascii="Verdana" w:hAnsi="Verdana"/>
                <w:sz w:val="18"/>
                <w:szCs w:val="18"/>
              </w:rPr>
              <w:t>476</w:t>
            </w:r>
          </w:p>
        </w:tc>
        <w:tc>
          <w:tcPr>
            <w:tcW w:w="1157" w:type="dxa"/>
            <w:noWrap/>
            <w:hideMark/>
          </w:tcPr>
          <w:p w:rsidRPr="002A1F9A" w:rsidR="00AD616C" w:rsidP="00AD616C" w:rsidRDefault="00AD616C" w14:paraId="0147124E" w14:textId="1BDB4945">
            <w:pPr>
              <w:spacing w:before="0" w:after="0"/>
              <w:jc w:val="right"/>
              <w:rPr>
                <w:rFonts w:ascii="Verdana" w:hAnsi="Verdana"/>
                <w:color w:val="000000"/>
                <w:sz w:val="18"/>
                <w:szCs w:val="18"/>
              </w:rPr>
            </w:pPr>
            <w:r w:rsidRPr="002A1F9A">
              <w:rPr>
                <w:rFonts w:ascii="Verdana" w:hAnsi="Verdana"/>
                <w:sz w:val="18"/>
                <w:szCs w:val="18"/>
              </w:rPr>
              <w:t>6.620.129</w:t>
            </w:r>
          </w:p>
        </w:tc>
        <w:tc>
          <w:tcPr>
            <w:tcW w:w="1237" w:type="dxa"/>
            <w:hideMark/>
          </w:tcPr>
          <w:p w:rsidRPr="002A1F9A" w:rsidR="00AD616C" w:rsidP="00AD616C" w:rsidRDefault="00AD616C" w14:paraId="1E95F2D6" w14:textId="1C82F157">
            <w:pPr>
              <w:spacing w:before="0" w:after="0"/>
              <w:jc w:val="right"/>
              <w:rPr>
                <w:rFonts w:ascii="Verdana" w:hAnsi="Verdana"/>
                <w:color w:val="000000"/>
                <w:sz w:val="18"/>
                <w:szCs w:val="18"/>
              </w:rPr>
            </w:pPr>
            <w:r w:rsidRPr="002A1F9A">
              <w:rPr>
                <w:rFonts w:ascii="Verdana" w:hAnsi="Verdana"/>
                <w:sz w:val="18"/>
                <w:szCs w:val="18"/>
              </w:rPr>
              <w:t>342</w:t>
            </w:r>
          </w:p>
        </w:tc>
      </w:tr>
      <w:tr w:rsidRPr="002A1F9A" w:rsidR="00AD616C" w:rsidTr="00AD616C" w14:paraId="686E06DD" w14:textId="77777777">
        <w:trPr>
          <w:trHeight w:val="200"/>
        </w:trPr>
        <w:tc>
          <w:tcPr>
            <w:tcW w:w="1200" w:type="dxa"/>
            <w:noWrap/>
            <w:hideMark/>
          </w:tcPr>
          <w:p w:rsidRPr="002A1F9A" w:rsidR="00AD616C" w:rsidP="00AD616C" w:rsidRDefault="00AD616C" w14:paraId="64BC975C" w14:textId="22A41FC5">
            <w:pPr>
              <w:spacing w:before="0" w:after="0"/>
              <w:rPr>
                <w:rFonts w:ascii="Verdana" w:hAnsi="Verdana"/>
                <w:b/>
                <w:bCs/>
                <w:color w:val="000000"/>
                <w:sz w:val="18"/>
                <w:szCs w:val="18"/>
              </w:rPr>
            </w:pPr>
            <w:r w:rsidRPr="002A1F9A">
              <w:rPr>
                <w:rFonts w:ascii="Verdana" w:hAnsi="Verdana"/>
                <w:b/>
                <w:bCs/>
                <w:sz w:val="18"/>
                <w:szCs w:val="18"/>
              </w:rPr>
              <w:t>2023</w:t>
            </w:r>
          </w:p>
        </w:tc>
        <w:tc>
          <w:tcPr>
            <w:tcW w:w="1326" w:type="dxa"/>
            <w:noWrap/>
            <w:hideMark/>
          </w:tcPr>
          <w:p w:rsidRPr="002A1F9A" w:rsidR="00AD616C" w:rsidP="00AD616C" w:rsidRDefault="00AD616C" w14:paraId="32079A6F" w14:textId="3EAB6BDF">
            <w:pPr>
              <w:spacing w:before="0" w:after="0"/>
              <w:jc w:val="right"/>
              <w:rPr>
                <w:rFonts w:ascii="Verdana" w:hAnsi="Verdana"/>
                <w:color w:val="000000"/>
                <w:sz w:val="18"/>
                <w:szCs w:val="18"/>
              </w:rPr>
            </w:pPr>
            <w:r w:rsidRPr="002A1F9A">
              <w:rPr>
                <w:rFonts w:ascii="Verdana" w:hAnsi="Verdana"/>
                <w:sz w:val="18"/>
                <w:szCs w:val="18"/>
              </w:rPr>
              <w:t>5.192.137</w:t>
            </w:r>
          </w:p>
        </w:tc>
        <w:tc>
          <w:tcPr>
            <w:tcW w:w="1237" w:type="dxa"/>
            <w:hideMark/>
          </w:tcPr>
          <w:p w:rsidRPr="002A1F9A" w:rsidR="00AD616C" w:rsidP="00AD616C" w:rsidRDefault="00AD616C" w14:paraId="68BC7162" w14:textId="71F1E51F">
            <w:pPr>
              <w:spacing w:before="0" w:after="0"/>
              <w:jc w:val="right"/>
              <w:rPr>
                <w:rFonts w:ascii="Verdana" w:hAnsi="Verdana"/>
                <w:color w:val="000000"/>
                <w:sz w:val="18"/>
                <w:szCs w:val="18"/>
              </w:rPr>
            </w:pPr>
            <w:r w:rsidRPr="002A1F9A">
              <w:rPr>
                <w:rFonts w:ascii="Verdana" w:hAnsi="Verdana"/>
                <w:sz w:val="18"/>
                <w:szCs w:val="18"/>
              </w:rPr>
              <w:t>477</w:t>
            </w:r>
          </w:p>
        </w:tc>
        <w:tc>
          <w:tcPr>
            <w:tcW w:w="1148" w:type="dxa"/>
            <w:noWrap/>
            <w:hideMark/>
          </w:tcPr>
          <w:p w:rsidRPr="002A1F9A" w:rsidR="00AD616C" w:rsidP="00AD616C" w:rsidRDefault="00AD616C" w14:paraId="2056AD5F" w14:textId="7587F60C">
            <w:pPr>
              <w:spacing w:before="0" w:after="0"/>
              <w:jc w:val="right"/>
              <w:rPr>
                <w:rFonts w:ascii="Verdana" w:hAnsi="Verdana"/>
                <w:color w:val="000000"/>
                <w:sz w:val="18"/>
                <w:szCs w:val="18"/>
              </w:rPr>
            </w:pPr>
            <w:r w:rsidRPr="002A1F9A">
              <w:rPr>
                <w:rFonts w:ascii="Verdana" w:hAnsi="Verdana"/>
                <w:sz w:val="18"/>
                <w:szCs w:val="18"/>
              </w:rPr>
              <w:t>4.476.273</w:t>
            </w:r>
          </w:p>
        </w:tc>
        <w:tc>
          <w:tcPr>
            <w:tcW w:w="1237" w:type="dxa"/>
            <w:hideMark/>
          </w:tcPr>
          <w:p w:rsidRPr="002A1F9A" w:rsidR="00AD616C" w:rsidP="00AD616C" w:rsidRDefault="00AD616C" w14:paraId="3845D726" w14:textId="506B7333">
            <w:pPr>
              <w:spacing w:before="0" w:after="0"/>
              <w:jc w:val="right"/>
              <w:rPr>
                <w:rFonts w:ascii="Verdana" w:hAnsi="Verdana"/>
                <w:color w:val="000000"/>
                <w:sz w:val="18"/>
                <w:szCs w:val="18"/>
              </w:rPr>
            </w:pPr>
            <w:r w:rsidRPr="002A1F9A">
              <w:rPr>
                <w:rFonts w:ascii="Verdana" w:hAnsi="Verdana"/>
                <w:sz w:val="18"/>
                <w:szCs w:val="18"/>
              </w:rPr>
              <w:t>460</w:t>
            </w:r>
          </w:p>
        </w:tc>
        <w:tc>
          <w:tcPr>
            <w:tcW w:w="1157" w:type="dxa"/>
            <w:noWrap/>
            <w:hideMark/>
          </w:tcPr>
          <w:p w:rsidRPr="002A1F9A" w:rsidR="00AD616C" w:rsidP="00AD616C" w:rsidRDefault="00AD616C" w14:paraId="6A5BAB23" w14:textId="423CF08B">
            <w:pPr>
              <w:spacing w:before="0" w:after="0"/>
              <w:jc w:val="right"/>
              <w:rPr>
                <w:rFonts w:ascii="Verdana" w:hAnsi="Verdana"/>
                <w:color w:val="000000"/>
                <w:sz w:val="18"/>
                <w:szCs w:val="18"/>
              </w:rPr>
            </w:pPr>
            <w:r w:rsidRPr="002A1F9A">
              <w:rPr>
                <w:rFonts w:ascii="Verdana" w:hAnsi="Verdana"/>
                <w:sz w:val="18"/>
                <w:szCs w:val="18"/>
              </w:rPr>
              <w:t>7.067.562</w:t>
            </w:r>
          </w:p>
        </w:tc>
        <w:tc>
          <w:tcPr>
            <w:tcW w:w="1237" w:type="dxa"/>
            <w:hideMark/>
          </w:tcPr>
          <w:p w:rsidRPr="002A1F9A" w:rsidR="00AD616C" w:rsidP="00AD616C" w:rsidRDefault="00AD616C" w14:paraId="59C151DA" w14:textId="05D9136B">
            <w:pPr>
              <w:spacing w:before="0" w:after="0"/>
              <w:jc w:val="right"/>
              <w:rPr>
                <w:rFonts w:ascii="Verdana" w:hAnsi="Verdana"/>
                <w:color w:val="000000"/>
                <w:sz w:val="18"/>
                <w:szCs w:val="18"/>
              </w:rPr>
            </w:pPr>
            <w:r w:rsidRPr="002A1F9A">
              <w:rPr>
                <w:rFonts w:ascii="Verdana" w:hAnsi="Verdana"/>
                <w:sz w:val="18"/>
                <w:szCs w:val="18"/>
              </w:rPr>
              <w:t>342</w:t>
            </w:r>
          </w:p>
        </w:tc>
      </w:tr>
      <w:tr w:rsidRPr="002A1F9A" w:rsidR="00AD616C" w:rsidTr="00AD616C" w14:paraId="7334B805" w14:textId="77777777">
        <w:trPr>
          <w:trHeight w:val="200"/>
        </w:trPr>
        <w:tc>
          <w:tcPr>
            <w:tcW w:w="1200" w:type="dxa"/>
            <w:noWrap/>
            <w:hideMark/>
          </w:tcPr>
          <w:p w:rsidRPr="002A1F9A" w:rsidR="00AD616C" w:rsidP="00AD616C" w:rsidRDefault="00AD616C" w14:paraId="600A30FD" w14:textId="3E84EF0A">
            <w:pPr>
              <w:spacing w:before="0" w:after="0"/>
              <w:rPr>
                <w:rFonts w:ascii="Verdana" w:hAnsi="Verdana"/>
                <w:b/>
                <w:bCs/>
                <w:color w:val="000000"/>
                <w:sz w:val="18"/>
                <w:szCs w:val="18"/>
              </w:rPr>
            </w:pPr>
            <w:r w:rsidRPr="002A1F9A">
              <w:rPr>
                <w:rFonts w:ascii="Verdana" w:hAnsi="Verdana"/>
                <w:b/>
                <w:bCs/>
                <w:sz w:val="18"/>
                <w:szCs w:val="18"/>
              </w:rPr>
              <w:t>2024</w:t>
            </w:r>
          </w:p>
        </w:tc>
        <w:tc>
          <w:tcPr>
            <w:tcW w:w="1326" w:type="dxa"/>
            <w:noWrap/>
            <w:hideMark/>
          </w:tcPr>
          <w:p w:rsidRPr="002A1F9A" w:rsidR="00AD616C" w:rsidP="00AD616C" w:rsidRDefault="00AD616C" w14:paraId="0206388C" w14:textId="1E29DAF0">
            <w:pPr>
              <w:spacing w:before="0" w:after="0"/>
              <w:jc w:val="right"/>
              <w:rPr>
                <w:rFonts w:ascii="Verdana" w:hAnsi="Verdana"/>
                <w:color w:val="000000"/>
                <w:sz w:val="18"/>
                <w:szCs w:val="18"/>
              </w:rPr>
            </w:pPr>
            <w:r w:rsidRPr="002A1F9A">
              <w:rPr>
                <w:rFonts w:ascii="Verdana" w:hAnsi="Verdana"/>
                <w:sz w:val="18"/>
                <w:szCs w:val="18"/>
              </w:rPr>
              <w:t>5.232.850</w:t>
            </w:r>
          </w:p>
        </w:tc>
        <w:tc>
          <w:tcPr>
            <w:tcW w:w="1237" w:type="dxa"/>
            <w:hideMark/>
          </w:tcPr>
          <w:p w:rsidRPr="002A1F9A" w:rsidR="00AD616C" w:rsidP="00AD616C" w:rsidRDefault="00AD616C" w14:paraId="43B41625" w14:textId="7478C267">
            <w:pPr>
              <w:spacing w:before="0" w:after="0"/>
              <w:jc w:val="right"/>
              <w:rPr>
                <w:rFonts w:ascii="Verdana" w:hAnsi="Verdana"/>
                <w:color w:val="000000"/>
                <w:sz w:val="18"/>
                <w:szCs w:val="18"/>
              </w:rPr>
            </w:pPr>
            <w:r w:rsidRPr="002A1F9A">
              <w:rPr>
                <w:rFonts w:ascii="Verdana" w:hAnsi="Verdana"/>
                <w:sz w:val="18"/>
                <w:szCs w:val="18"/>
              </w:rPr>
              <w:t>476</w:t>
            </w:r>
          </w:p>
        </w:tc>
        <w:tc>
          <w:tcPr>
            <w:tcW w:w="1148" w:type="dxa"/>
            <w:noWrap/>
            <w:hideMark/>
          </w:tcPr>
          <w:p w:rsidRPr="002A1F9A" w:rsidR="00AD616C" w:rsidP="00AD616C" w:rsidRDefault="00AD616C" w14:paraId="6EC267A0" w14:textId="04ACCE22">
            <w:pPr>
              <w:spacing w:before="0" w:after="0"/>
              <w:jc w:val="right"/>
              <w:rPr>
                <w:rFonts w:ascii="Verdana" w:hAnsi="Verdana"/>
                <w:color w:val="000000"/>
                <w:sz w:val="18"/>
                <w:szCs w:val="18"/>
              </w:rPr>
            </w:pPr>
            <w:r w:rsidRPr="002A1F9A">
              <w:rPr>
                <w:rFonts w:ascii="Verdana" w:hAnsi="Verdana"/>
                <w:sz w:val="18"/>
                <w:szCs w:val="18"/>
              </w:rPr>
              <w:t>4.538.365</w:t>
            </w:r>
          </w:p>
        </w:tc>
        <w:tc>
          <w:tcPr>
            <w:tcW w:w="1237" w:type="dxa"/>
            <w:hideMark/>
          </w:tcPr>
          <w:p w:rsidRPr="002A1F9A" w:rsidR="00AD616C" w:rsidP="00AD616C" w:rsidRDefault="00AD616C" w14:paraId="330E6255" w14:textId="078EA7EC">
            <w:pPr>
              <w:spacing w:before="0" w:after="0"/>
              <w:jc w:val="right"/>
              <w:rPr>
                <w:rFonts w:ascii="Verdana" w:hAnsi="Verdana"/>
                <w:color w:val="000000"/>
                <w:sz w:val="18"/>
                <w:szCs w:val="18"/>
              </w:rPr>
            </w:pPr>
            <w:r w:rsidRPr="002A1F9A">
              <w:rPr>
                <w:rFonts w:ascii="Verdana" w:hAnsi="Verdana"/>
                <w:sz w:val="18"/>
                <w:szCs w:val="18"/>
              </w:rPr>
              <w:t>449</w:t>
            </w:r>
          </w:p>
        </w:tc>
        <w:tc>
          <w:tcPr>
            <w:tcW w:w="1157" w:type="dxa"/>
            <w:noWrap/>
            <w:hideMark/>
          </w:tcPr>
          <w:p w:rsidRPr="002A1F9A" w:rsidR="00AD616C" w:rsidP="00AD616C" w:rsidRDefault="00AD616C" w14:paraId="49DF1E6F" w14:textId="7899670F">
            <w:pPr>
              <w:spacing w:before="0" w:after="0"/>
              <w:jc w:val="right"/>
              <w:rPr>
                <w:rFonts w:ascii="Verdana" w:hAnsi="Verdana"/>
                <w:color w:val="000000"/>
                <w:sz w:val="18"/>
                <w:szCs w:val="18"/>
              </w:rPr>
            </w:pPr>
            <w:r w:rsidRPr="002A1F9A">
              <w:rPr>
                <w:rFonts w:ascii="Verdana" w:hAnsi="Verdana"/>
                <w:sz w:val="18"/>
                <w:szCs w:val="18"/>
              </w:rPr>
              <w:t>7.400.830</w:t>
            </w:r>
          </w:p>
        </w:tc>
        <w:tc>
          <w:tcPr>
            <w:tcW w:w="1237" w:type="dxa"/>
            <w:hideMark/>
          </w:tcPr>
          <w:p w:rsidRPr="002A1F9A" w:rsidR="00AD616C" w:rsidP="00AD616C" w:rsidRDefault="00AD616C" w14:paraId="0F9F7413" w14:textId="7E838F08">
            <w:pPr>
              <w:spacing w:before="0" w:after="0"/>
              <w:jc w:val="right"/>
              <w:rPr>
                <w:rFonts w:ascii="Verdana" w:hAnsi="Verdana"/>
                <w:color w:val="000000"/>
                <w:sz w:val="18"/>
                <w:szCs w:val="18"/>
              </w:rPr>
            </w:pPr>
            <w:r w:rsidRPr="002A1F9A">
              <w:rPr>
                <w:rFonts w:ascii="Verdana" w:hAnsi="Verdana"/>
                <w:sz w:val="18"/>
                <w:szCs w:val="18"/>
              </w:rPr>
              <w:t>340</w:t>
            </w:r>
          </w:p>
        </w:tc>
      </w:tr>
      <w:tr w:rsidRPr="002A1F9A" w:rsidR="00AD616C" w:rsidTr="00AD616C" w14:paraId="20086903" w14:textId="77777777">
        <w:trPr>
          <w:trHeight w:val="200"/>
        </w:trPr>
        <w:tc>
          <w:tcPr>
            <w:tcW w:w="1200" w:type="dxa"/>
            <w:noWrap/>
            <w:hideMark/>
          </w:tcPr>
          <w:p w:rsidRPr="002A1F9A" w:rsidR="00AD616C" w:rsidP="00AD616C" w:rsidRDefault="00AD616C" w14:paraId="48847DB8" w14:textId="300904BF">
            <w:pPr>
              <w:spacing w:before="0" w:after="0"/>
              <w:rPr>
                <w:rFonts w:ascii="Verdana" w:hAnsi="Verdana"/>
                <w:b/>
                <w:bCs/>
                <w:color w:val="000000"/>
                <w:sz w:val="18"/>
                <w:szCs w:val="18"/>
              </w:rPr>
            </w:pPr>
            <w:r w:rsidRPr="002A1F9A">
              <w:rPr>
                <w:rFonts w:ascii="Verdana" w:hAnsi="Verdana"/>
                <w:b/>
                <w:bCs/>
                <w:sz w:val="18"/>
                <w:szCs w:val="18"/>
              </w:rPr>
              <w:t>2025</w:t>
            </w:r>
          </w:p>
        </w:tc>
        <w:tc>
          <w:tcPr>
            <w:tcW w:w="1326" w:type="dxa"/>
            <w:noWrap/>
            <w:hideMark/>
          </w:tcPr>
          <w:p w:rsidRPr="002A1F9A" w:rsidR="00AD616C" w:rsidP="00AD616C" w:rsidRDefault="00AD616C" w14:paraId="1DD7D6E2" w14:textId="7BBA4086">
            <w:pPr>
              <w:spacing w:before="0" w:after="0"/>
              <w:jc w:val="right"/>
              <w:rPr>
                <w:rFonts w:ascii="Verdana" w:hAnsi="Verdana"/>
                <w:color w:val="000000"/>
                <w:sz w:val="18"/>
                <w:szCs w:val="18"/>
              </w:rPr>
            </w:pPr>
            <w:r w:rsidRPr="002A1F9A">
              <w:rPr>
                <w:rFonts w:ascii="Verdana" w:hAnsi="Verdana"/>
                <w:sz w:val="18"/>
                <w:szCs w:val="18"/>
              </w:rPr>
              <w:t>5.485.689</w:t>
            </w:r>
          </w:p>
        </w:tc>
        <w:tc>
          <w:tcPr>
            <w:tcW w:w="1237" w:type="dxa"/>
            <w:hideMark/>
          </w:tcPr>
          <w:p w:rsidRPr="002A1F9A" w:rsidR="00AD616C" w:rsidP="00AD616C" w:rsidRDefault="00AD616C" w14:paraId="7C5B6A2C" w14:textId="4570963B">
            <w:pPr>
              <w:spacing w:before="0" w:after="0"/>
              <w:jc w:val="right"/>
              <w:rPr>
                <w:rFonts w:ascii="Verdana" w:hAnsi="Verdana"/>
                <w:color w:val="000000"/>
                <w:sz w:val="18"/>
                <w:szCs w:val="18"/>
              </w:rPr>
            </w:pPr>
            <w:r w:rsidRPr="002A1F9A">
              <w:rPr>
                <w:rFonts w:ascii="Verdana" w:hAnsi="Verdana"/>
                <w:sz w:val="18"/>
                <w:szCs w:val="18"/>
              </w:rPr>
              <w:t>477</w:t>
            </w:r>
          </w:p>
        </w:tc>
        <w:tc>
          <w:tcPr>
            <w:tcW w:w="1148" w:type="dxa"/>
            <w:noWrap/>
            <w:hideMark/>
          </w:tcPr>
          <w:p w:rsidRPr="002A1F9A" w:rsidR="00AD616C" w:rsidP="00AD616C" w:rsidRDefault="00AD616C" w14:paraId="5A052487" w14:textId="388D802A">
            <w:pPr>
              <w:spacing w:before="0" w:after="0"/>
              <w:jc w:val="right"/>
              <w:rPr>
                <w:rFonts w:ascii="Verdana" w:hAnsi="Verdana"/>
                <w:color w:val="000000"/>
                <w:sz w:val="18"/>
                <w:szCs w:val="18"/>
              </w:rPr>
            </w:pPr>
            <w:r w:rsidRPr="002A1F9A">
              <w:rPr>
                <w:rFonts w:ascii="Verdana" w:hAnsi="Verdana"/>
                <w:sz w:val="18"/>
                <w:szCs w:val="18"/>
              </w:rPr>
              <w:t>4.474.899</w:t>
            </w:r>
          </w:p>
        </w:tc>
        <w:tc>
          <w:tcPr>
            <w:tcW w:w="1237" w:type="dxa"/>
            <w:hideMark/>
          </w:tcPr>
          <w:p w:rsidRPr="002A1F9A" w:rsidR="00AD616C" w:rsidP="00AD616C" w:rsidRDefault="00AD616C" w14:paraId="12572357" w14:textId="23878B03">
            <w:pPr>
              <w:spacing w:before="0" w:after="0"/>
              <w:jc w:val="right"/>
              <w:rPr>
                <w:rFonts w:ascii="Verdana" w:hAnsi="Verdana"/>
                <w:color w:val="000000"/>
                <w:sz w:val="18"/>
                <w:szCs w:val="18"/>
              </w:rPr>
            </w:pPr>
            <w:r w:rsidRPr="002A1F9A">
              <w:rPr>
                <w:rFonts w:ascii="Verdana" w:hAnsi="Verdana"/>
                <w:sz w:val="18"/>
                <w:szCs w:val="18"/>
              </w:rPr>
              <w:t>439</w:t>
            </w:r>
          </w:p>
        </w:tc>
        <w:tc>
          <w:tcPr>
            <w:tcW w:w="1157" w:type="dxa"/>
            <w:noWrap/>
            <w:hideMark/>
          </w:tcPr>
          <w:p w:rsidRPr="002A1F9A" w:rsidR="00AD616C" w:rsidP="00AD616C" w:rsidRDefault="00AD616C" w14:paraId="33F38158" w14:textId="10110C69">
            <w:pPr>
              <w:spacing w:before="0" w:after="0"/>
              <w:jc w:val="right"/>
              <w:rPr>
                <w:rFonts w:ascii="Verdana" w:hAnsi="Verdana"/>
                <w:color w:val="000000"/>
                <w:sz w:val="18"/>
                <w:szCs w:val="18"/>
              </w:rPr>
            </w:pPr>
            <w:r w:rsidRPr="002A1F9A">
              <w:rPr>
                <w:rFonts w:ascii="Verdana" w:hAnsi="Verdana"/>
                <w:sz w:val="18"/>
                <w:szCs w:val="18"/>
              </w:rPr>
              <w:t>7.394.607</w:t>
            </w:r>
          </w:p>
        </w:tc>
        <w:tc>
          <w:tcPr>
            <w:tcW w:w="1237" w:type="dxa"/>
            <w:hideMark/>
          </w:tcPr>
          <w:p w:rsidRPr="002A1F9A" w:rsidR="00AD616C" w:rsidP="00AD616C" w:rsidRDefault="00AD616C" w14:paraId="1FB5E46A" w14:textId="53B5C9FE">
            <w:pPr>
              <w:spacing w:before="0" w:after="0"/>
              <w:jc w:val="right"/>
              <w:rPr>
                <w:rFonts w:ascii="Verdana" w:hAnsi="Verdana"/>
                <w:color w:val="000000"/>
                <w:sz w:val="18"/>
                <w:szCs w:val="18"/>
              </w:rPr>
            </w:pPr>
            <w:r w:rsidRPr="002A1F9A">
              <w:rPr>
                <w:rFonts w:ascii="Verdana" w:hAnsi="Verdana"/>
                <w:sz w:val="18"/>
                <w:szCs w:val="18"/>
              </w:rPr>
              <w:t>336</w:t>
            </w:r>
          </w:p>
        </w:tc>
      </w:tr>
      <w:tr w:rsidRPr="002A1F9A" w:rsidR="00AD616C" w:rsidTr="00AD616C" w14:paraId="4CA66089" w14:textId="77777777">
        <w:trPr>
          <w:trHeight w:val="200"/>
        </w:trPr>
        <w:tc>
          <w:tcPr>
            <w:tcW w:w="1200" w:type="dxa"/>
            <w:noWrap/>
            <w:hideMark/>
          </w:tcPr>
          <w:p w:rsidRPr="002A1F9A" w:rsidR="00AD616C" w:rsidP="00AD616C" w:rsidRDefault="00AD616C" w14:paraId="7DB15BE6" w14:textId="74ECD4DB">
            <w:pPr>
              <w:spacing w:before="0" w:after="0"/>
              <w:rPr>
                <w:rFonts w:ascii="Verdana" w:hAnsi="Verdana"/>
                <w:b/>
                <w:bCs/>
                <w:color w:val="000000"/>
                <w:sz w:val="18"/>
                <w:szCs w:val="18"/>
              </w:rPr>
            </w:pPr>
            <w:r w:rsidRPr="002A1F9A">
              <w:rPr>
                <w:rFonts w:ascii="Verdana" w:hAnsi="Verdana"/>
                <w:b/>
                <w:bCs/>
                <w:sz w:val="18"/>
                <w:szCs w:val="18"/>
              </w:rPr>
              <w:t>2026</w:t>
            </w:r>
          </w:p>
        </w:tc>
        <w:tc>
          <w:tcPr>
            <w:tcW w:w="1326" w:type="dxa"/>
            <w:noWrap/>
            <w:hideMark/>
          </w:tcPr>
          <w:p w:rsidRPr="002A1F9A" w:rsidR="00AD616C" w:rsidP="00AD616C" w:rsidRDefault="00AD616C" w14:paraId="181F6F28" w14:textId="17435C25">
            <w:pPr>
              <w:spacing w:before="0" w:after="0"/>
              <w:jc w:val="right"/>
              <w:rPr>
                <w:rFonts w:ascii="Verdana" w:hAnsi="Verdana"/>
                <w:color w:val="000000"/>
                <w:sz w:val="18"/>
                <w:szCs w:val="18"/>
              </w:rPr>
            </w:pPr>
            <w:r w:rsidRPr="002A1F9A">
              <w:rPr>
                <w:rFonts w:ascii="Verdana" w:hAnsi="Verdana"/>
                <w:sz w:val="18"/>
                <w:szCs w:val="18"/>
              </w:rPr>
              <w:t>5.690.318</w:t>
            </w:r>
          </w:p>
        </w:tc>
        <w:tc>
          <w:tcPr>
            <w:tcW w:w="1237" w:type="dxa"/>
            <w:hideMark/>
          </w:tcPr>
          <w:p w:rsidRPr="002A1F9A" w:rsidR="00AD616C" w:rsidP="00AD616C" w:rsidRDefault="00AD616C" w14:paraId="08F81AE4" w14:textId="4A29DBA7">
            <w:pPr>
              <w:spacing w:before="0" w:after="0"/>
              <w:jc w:val="right"/>
              <w:rPr>
                <w:rFonts w:ascii="Verdana" w:hAnsi="Verdana"/>
                <w:color w:val="000000"/>
                <w:sz w:val="18"/>
                <w:szCs w:val="18"/>
              </w:rPr>
            </w:pPr>
            <w:r w:rsidRPr="002A1F9A">
              <w:rPr>
                <w:rFonts w:ascii="Verdana" w:hAnsi="Verdana"/>
                <w:sz w:val="18"/>
                <w:szCs w:val="18"/>
              </w:rPr>
              <w:t>480</w:t>
            </w:r>
          </w:p>
        </w:tc>
        <w:tc>
          <w:tcPr>
            <w:tcW w:w="1148" w:type="dxa"/>
            <w:noWrap/>
            <w:hideMark/>
          </w:tcPr>
          <w:p w:rsidRPr="002A1F9A" w:rsidR="00AD616C" w:rsidP="00AD616C" w:rsidRDefault="00AD616C" w14:paraId="312C49A3" w14:textId="1EDC7252">
            <w:pPr>
              <w:spacing w:before="0" w:after="0"/>
              <w:jc w:val="right"/>
              <w:rPr>
                <w:rFonts w:ascii="Verdana" w:hAnsi="Verdana"/>
                <w:color w:val="000000"/>
                <w:sz w:val="18"/>
                <w:szCs w:val="18"/>
              </w:rPr>
            </w:pPr>
            <w:r w:rsidRPr="002A1F9A">
              <w:rPr>
                <w:rFonts w:ascii="Verdana" w:hAnsi="Verdana"/>
                <w:sz w:val="18"/>
                <w:szCs w:val="18"/>
              </w:rPr>
              <w:t>4.397.857</w:t>
            </w:r>
          </w:p>
        </w:tc>
        <w:tc>
          <w:tcPr>
            <w:tcW w:w="1237" w:type="dxa"/>
            <w:hideMark/>
          </w:tcPr>
          <w:p w:rsidRPr="002A1F9A" w:rsidR="00AD616C" w:rsidP="00AD616C" w:rsidRDefault="00AD616C" w14:paraId="0B11BD85" w14:textId="360BDE6E">
            <w:pPr>
              <w:spacing w:before="0" w:after="0"/>
              <w:jc w:val="right"/>
              <w:rPr>
                <w:rFonts w:ascii="Verdana" w:hAnsi="Verdana"/>
                <w:color w:val="000000"/>
                <w:sz w:val="18"/>
                <w:szCs w:val="18"/>
              </w:rPr>
            </w:pPr>
            <w:r w:rsidRPr="002A1F9A">
              <w:rPr>
                <w:rFonts w:ascii="Verdana" w:hAnsi="Verdana"/>
                <w:sz w:val="18"/>
                <w:szCs w:val="18"/>
              </w:rPr>
              <w:t>430</w:t>
            </w:r>
          </w:p>
        </w:tc>
        <w:tc>
          <w:tcPr>
            <w:tcW w:w="1157" w:type="dxa"/>
            <w:noWrap/>
            <w:hideMark/>
          </w:tcPr>
          <w:p w:rsidRPr="002A1F9A" w:rsidR="00AD616C" w:rsidP="00AD616C" w:rsidRDefault="00AD616C" w14:paraId="42A05FD9" w14:textId="23A01989">
            <w:pPr>
              <w:spacing w:before="0" w:after="0"/>
              <w:jc w:val="right"/>
              <w:rPr>
                <w:rFonts w:ascii="Verdana" w:hAnsi="Verdana"/>
                <w:color w:val="000000"/>
                <w:sz w:val="18"/>
                <w:szCs w:val="18"/>
              </w:rPr>
            </w:pPr>
            <w:r w:rsidRPr="002A1F9A">
              <w:rPr>
                <w:rFonts w:ascii="Verdana" w:hAnsi="Verdana"/>
                <w:sz w:val="18"/>
                <w:szCs w:val="18"/>
              </w:rPr>
              <w:t>7.354.973</w:t>
            </w:r>
          </w:p>
        </w:tc>
        <w:tc>
          <w:tcPr>
            <w:tcW w:w="1237" w:type="dxa"/>
            <w:hideMark/>
          </w:tcPr>
          <w:p w:rsidRPr="002A1F9A" w:rsidR="00AD616C" w:rsidP="00AD616C" w:rsidRDefault="00AD616C" w14:paraId="1D89DB14" w14:textId="38DC6C62">
            <w:pPr>
              <w:spacing w:before="0" w:after="0"/>
              <w:jc w:val="right"/>
              <w:rPr>
                <w:rFonts w:ascii="Verdana" w:hAnsi="Verdana"/>
                <w:color w:val="000000"/>
                <w:sz w:val="18"/>
                <w:szCs w:val="18"/>
              </w:rPr>
            </w:pPr>
            <w:r w:rsidRPr="002A1F9A">
              <w:rPr>
                <w:rFonts w:ascii="Verdana" w:hAnsi="Verdana"/>
                <w:sz w:val="18"/>
                <w:szCs w:val="18"/>
              </w:rPr>
              <w:t>332</w:t>
            </w:r>
          </w:p>
        </w:tc>
      </w:tr>
      <w:tr w:rsidRPr="002A1F9A" w:rsidR="00AD616C" w:rsidTr="00AD616C" w14:paraId="64455BD2" w14:textId="77777777">
        <w:trPr>
          <w:trHeight w:val="200"/>
        </w:trPr>
        <w:tc>
          <w:tcPr>
            <w:tcW w:w="1200" w:type="dxa"/>
            <w:noWrap/>
            <w:hideMark/>
          </w:tcPr>
          <w:p w:rsidRPr="002A1F9A" w:rsidR="00AD616C" w:rsidP="00AD616C" w:rsidRDefault="00AD616C" w14:paraId="25D2528B" w14:textId="7E024013">
            <w:pPr>
              <w:spacing w:before="0" w:after="0"/>
              <w:rPr>
                <w:rFonts w:ascii="Verdana" w:hAnsi="Verdana"/>
                <w:b/>
                <w:bCs/>
                <w:color w:val="000000"/>
                <w:sz w:val="18"/>
                <w:szCs w:val="18"/>
              </w:rPr>
            </w:pPr>
            <w:r w:rsidRPr="002A1F9A">
              <w:rPr>
                <w:rFonts w:ascii="Verdana" w:hAnsi="Verdana"/>
                <w:b/>
                <w:bCs/>
                <w:sz w:val="18"/>
                <w:szCs w:val="18"/>
              </w:rPr>
              <w:t>2027</w:t>
            </w:r>
          </w:p>
        </w:tc>
        <w:tc>
          <w:tcPr>
            <w:tcW w:w="1326" w:type="dxa"/>
            <w:noWrap/>
            <w:hideMark/>
          </w:tcPr>
          <w:p w:rsidRPr="002A1F9A" w:rsidR="00AD616C" w:rsidP="00AD616C" w:rsidRDefault="00AD616C" w14:paraId="10B5721F" w14:textId="228E783F">
            <w:pPr>
              <w:spacing w:before="0" w:after="0"/>
              <w:jc w:val="right"/>
              <w:rPr>
                <w:rFonts w:ascii="Verdana" w:hAnsi="Verdana"/>
                <w:color w:val="000000"/>
                <w:sz w:val="18"/>
                <w:szCs w:val="18"/>
              </w:rPr>
            </w:pPr>
            <w:r w:rsidRPr="002A1F9A">
              <w:rPr>
                <w:rFonts w:ascii="Verdana" w:hAnsi="Verdana"/>
                <w:sz w:val="18"/>
                <w:szCs w:val="18"/>
              </w:rPr>
              <w:t>5.718.415</w:t>
            </w:r>
          </w:p>
        </w:tc>
        <w:tc>
          <w:tcPr>
            <w:tcW w:w="1237" w:type="dxa"/>
            <w:hideMark/>
          </w:tcPr>
          <w:p w:rsidRPr="002A1F9A" w:rsidR="00AD616C" w:rsidP="00AD616C" w:rsidRDefault="00AD616C" w14:paraId="1BE7B7A7" w14:textId="19197219">
            <w:pPr>
              <w:spacing w:before="0" w:after="0"/>
              <w:jc w:val="right"/>
              <w:rPr>
                <w:rFonts w:ascii="Verdana" w:hAnsi="Verdana"/>
                <w:color w:val="000000"/>
                <w:sz w:val="18"/>
                <w:szCs w:val="18"/>
              </w:rPr>
            </w:pPr>
            <w:r w:rsidRPr="002A1F9A">
              <w:rPr>
                <w:rFonts w:ascii="Verdana" w:hAnsi="Verdana"/>
                <w:sz w:val="18"/>
                <w:szCs w:val="18"/>
              </w:rPr>
              <w:t>481</w:t>
            </w:r>
          </w:p>
        </w:tc>
        <w:tc>
          <w:tcPr>
            <w:tcW w:w="1148" w:type="dxa"/>
            <w:noWrap/>
            <w:hideMark/>
          </w:tcPr>
          <w:p w:rsidRPr="002A1F9A" w:rsidR="00AD616C" w:rsidP="00AD616C" w:rsidRDefault="00AD616C" w14:paraId="237D3179" w14:textId="71175E7C">
            <w:pPr>
              <w:spacing w:before="0" w:after="0"/>
              <w:jc w:val="right"/>
              <w:rPr>
                <w:rFonts w:ascii="Verdana" w:hAnsi="Verdana"/>
                <w:color w:val="000000"/>
                <w:sz w:val="18"/>
                <w:szCs w:val="18"/>
              </w:rPr>
            </w:pPr>
            <w:r w:rsidRPr="002A1F9A">
              <w:rPr>
                <w:rFonts w:ascii="Verdana" w:hAnsi="Verdana"/>
                <w:sz w:val="18"/>
                <w:szCs w:val="18"/>
              </w:rPr>
              <w:t>4.217.570</w:t>
            </w:r>
          </w:p>
        </w:tc>
        <w:tc>
          <w:tcPr>
            <w:tcW w:w="1237" w:type="dxa"/>
            <w:hideMark/>
          </w:tcPr>
          <w:p w:rsidRPr="002A1F9A" w:rsidR="00AD616C" w:rsidP="00AD616C" w:rsidRDefault="00AD616C" w14:paraId="14DFC474" w14:textId="5089A78B">
            <w:pPr>
              <w:spacing w:before="0" w:after="0"/>
              <w:jc w:val="right"/>
              <w:rPr>
                <w:rFonts w:ascii="Verdana" w:hAnsi="Verdana"/>
                <w:color w:val="000000"/>
                <w:sz w:val="18"/>
                <w:szCs w:val="18"/>
              </w:rPr>
            </w:pPr>
            <w:r w:rsidRPr="002A1F9A">
              <w:rPr>
                <w:rFonts w:ascii="Verdana" w:hAnsi="Verdana"/>
                <w:sz w:val="18"/>
                <w:szCs w:val="18"/>
              </w:rPr>
              <w:t>425</w:t>
            </w:r>
          </w:p>
        </w:tc>
        <w:tc>
          <w:tcPr>
            <w:tcW w:w="1157" w:type="dxa"/>
            <w:noWrap/>
            <w:hideMark/>
          </w:tcPr>
          <w:p w:rsidRPr="002A1F9A" w:rsidR="00AD616C" w:rsidP="00AD616C" w:rsidRDefault="00AD616C" w14:paraId="67805348" w14:textId="6E3DCABE">
            <w:pPr>
              <w:spacing w:before="0" w:after="0"/>
              <w:jc w:val="right"/>
              <w:rPr>
                <w:rFonts w:ascii="Verdana" w:hAnsi="Verdana"/>
                <w:color w:val="000000"/>
                <w:sz w:val="18"/>
                <w:szCs w:val="18"/>
              </w:rPr>
            </w:pPr>
            <w:r w:rsidRPr="002A1F9A">
              <w:rPr>
                <w:rFonts w:ascii="Verdana" w:hAnsi="Verdana"/>
                <w:sz w:val="18"/>
                <w:szCs w:val="18"/>
              </w:rPr>
              <w:t>7.251.765</w:t>
            </w:r>
          </w:p>
        </w:tc>
        <w:tc>
          <w:tcPr>
            <w:tcW w:w="1237" w:type="dxa"/>
            <w:hideMark/>
          </w:tcPr>
          <w:p w:rsidRPr="002A1F9A" w:rsidR="00AD616C" w:rsidP="00AD616C" w:rsidRDefault="00AD616C" w14:paraId="4107D363" w14:textId="0454AB4D">
            <w:pPr>
              <w:spacing w:before="0" w:after="0"/>
              <w:jc w:val="right"/>
              <w:rPr>
                <w:rFonts w:ascii="Verdana" w:hAnsi="Verdana"/>
                <w:color w:val="000000"/>
                <w:sz w:val="18"/>
                <w:szCs w:val="18"/>
              </w:rPr>
            </w:pPr>
            <w:r w:rsidRPr="002A1F9A">
              <w:rPr>
                <w:rFonts w:ascii="Verdana" w:hAnsi="Verdana"/>
                <w:sz w:val="18"/>
                <w:szCs w:val="18"/>
              </w:rPr>
              <w:t>327</w:t>
            </w:r>
          </w:p>
        </w:tc>
      </w:tr>
      <w:tr w:rsidRPr="002A1F9A" w:rsidR="00AD616C" w:rsidTr="00AD616C" w14:paraId="7ED2506E" w14:textId="77777777">
        <w:trPr>
          <w:trHeight w:val="200"/>
        </w:trPr>
        <w:tc>
          <w:tcPr>
            <w:tcW w:w="1200" w:type="dxa"/>
            <w:noWrap/>
            <w:hideMark/>
          </w:tcPr>
          <w:p w:rsidRPr="002A1F9A" w:rsidR="00AD616C" w:rsidP="00AD616C" w:rsidRDefault="00AD616C" w14:paraId="53E085D8" w14:textId="08F8A1DC">
            <w:pPr>
              <w:spacing w:before="0" w:after="0"/>
              <w:rPr>
                <w:rFonts w:ascii="Verdana" w:hAnsi="Verdana"/>
                <w:b/>
                <w:bCs/>
                <w:color w:val="000000"/>
                <w:sz w:val="18"/>
                <w:szCs w:val="18"/>
              </w:rPr>
            </w:pPr>
            <w:r w:rsidRPr="002A1F9A">
              <w:rPr>
                <w:rFonts w:ascii="Verdana" w:hAnsi="Verdana"/>
                <w:b/>
                <w:bCs/>
                <w:sz w:val="18"/>
                <w:szCs w:val="18"/>
              </w:rPr>
              <w:t>2028</w:t>
            </w:r>
          </w:p>
        </w:tc>
        <w:tc>
          <w:tcPr>
            <w:tcW w:w="1326" w:type="dxa"/>
            <w:noWrap/>
            <w:hideMark/>
          </w:tcPr>
          <w:p w:rsidRPr="002A1F9A" w:rsidR="00AD616C" w:rsidP="00AD616C" w:rsidRDefault="00AD616C" w14:paraId="677B814A" w14:textId="7AFD84AA">
            <w:pPr>
              <w:spacing w:before="0" w:after="0"/>
              <w:jc w:val="right"/>
              <w:rPr>
                <w:rFonts w:ascii="Verdana" w:hAnsi="Verdana"/>
                <w:color w:val="000000"/>
                <w:sz w:val="18"/>
                <w:szCs w:val="18"/>
              </w:rPr>
            </w:pPr>
            <w:r w:rsidRPr="002A1F9A">
              <w:rPr>
                <w:rFonts w:ascii="Verdana" w:hAnsi="Verdana"/>
                <w:sz w:val="18"/>
                <w:szCs w:val="18"/>
              </w:rPr>
              <w:t>5.681.960</w:t>
            </w:r>
          </w:p>
        </w:tc>
        <w:tc>
          <w:tcPr>
            <w:tcW w:w="1237" w:type="dxa"/>
            <w:hideMark/>
          </w:tcPr>
          <w:p w:rsidRPr="002A1F9A" w:rsidR="00AD616C" w:rsidP="00AD616C" w:rsidRDefault="00AD616C" w14:paraId="081BDB36" w14:textId="635502B3">
            <w:pPr>
              <w:spacing w:before="0" w:after="0"/>
              <w:jc w:val="right"/>
              <w:rPr>
                <w:rFonts w:ascii="Verdana" w:hAnsi="Verdana"/>
                <w:color w:val="000000"/>
                <w:sz w:val="18"/>
                <w:szCs w:val="18"/>
              </w:rPr>
            </w:pPr>
            <w:r w:rsidRPr="002A1F9A">
              <w:rPr>
                <w:rFonts w:ascii="Verdana" w:hAnsi="Verdana"/>
                <w:sz w:val="18"/>
                <w:szCs w:val="18"/>
              </w:rPr>
              <w:t>479</w:t>
            </w:r>
          </w:p>
        </w:tc>
        <w:tc>
          <w:tcPr>
            <w:tcW w:w="1148" w:type="dxa"/>
            <w:noWrap/>
            <w:hideMark/>
          </w:tcPr>
          <w:p w:rsidRPr="002A1F9A" w:rsidR="00AD616C" w:rsidP="00AD616C" w:rsidRDefault="00AD616C" w14:paraId="2FB56C9A" w14:textId="1C800B7E">
            <w:pPr>
              <w:spacing w:before="0" w:after="0"/>
              <w:jc w:val="right"/>
              <w:rPr>
                <w:rFonts w:ascii="Verdana" w:hAnsi="Verdana"/>
                <w:color w:val="000000"/>
                <w:sz w:val="18"/>
                <w:szCs w:val="18"/>
              </w:rPr>
            </w:pPr>
            <w:r w:rsidRPr="002A1F9A">
              <w:rPr>
                <w:rFonts w:ascii="Verdana" w:hAnsi="Verdana"/>
                <w:sz w:val="18"/>
                <w:szCs w:val="18"/>
              </w:rPr>
              <w:t>4.142.359</w:t>
            </w:r>
          </w:p>
        </w:tc>
        <w:tc>
          <w:tcPr>
            <w:tcW w:w="1237" w:type="dxa"/>
            <w:hideMark/>
          </w:tcPr>
          <w:p w:rsidRPr="002A1F9A" w:rsidR="00AD616C" w:rsidP="00AD616C" w:rsidRDefault="00AD616C" w14:paraId="5E141C72" w14:textId="456BD4DE">
            <w:pPr>
              <w:spacing w:before="0" w:after="0"/>
              <w:jc w:val="right"/>
              <w:rPr>
                <w:rFonts w:ascii="Verdana" w:hAnsi="Verdana"/>
                <w:color w:val="000000"/>
                <w:sz w:val="18"/>
                <w:szCs w:val="18"/>
              </w:rPr>
            </w:pPr>
            <w:r w:rsidRPr="002A1F9A">
              <w:rPr>
                <w:rFonts w:ascii="Verdana" w:hAnsi="Verdana"/>
                <w:sz w:val="18"/>
                <w:szCs w:val="18"/>
              </w:rPr>
              <w:t>421</w:t>
            </w:r>
          </w:p>
        </w:tc>
        <w:tc>
          <w:tcPr>
            <w:tcW w:w="1157" w:type="dxa"/>
            <w:noWrap/>
            <w:hideMark/>
          </w:tcPr>
          <w:p w:rsidRPr="002A1F9A" w:rsidR="00AD616C" w:rsidP="00AD616C" w:rsidRDefault="00AD616C" w14:paraId="44942CB6" w14:textId="1C8D6691">
            <w:pPr>
              <w:spacing w:before="0" w:after="0"/>
              <w:jc w:val="right"/>
              <w:rPr>
                <w:rFonts w:ascii="Verdana" w:hAnsi="Verdana"/>
                <w:color w:val="000000"/>
                <w:sz w:val="18"/>
                <w:szCs w:val="18"/>
              </w:rPr>
            </w:pPr>
            <w:r w:rsidRPr="002A1F9A">
              <w:rPr>
                <w:rFonts w:ascii="Verdana" w:hAnsi="Verdana"/>
                <w:sz w:val="18"/>
                <w:szCs w:val="18"/>
              </w:rPr>
              <w:t>7.189.657</w:t>
            </w:r>
          </w:p>
        </w:tc>
        <w:tc>
          <w:tcPr>
            <w:tcW w:w="1237" w:type="dxa"/>
            <w:hideMark/>
          </w:tcPr>
          <w:p w:rsidRPr="002A1F9A" w:rsidR="00AD616C" w:rsidP="00AD616C" w:rsidRDefault="00AD616C" w14:paraId="03842028" w14:textId="7F71D0D9">
            <w:pPr>
              <w:spacing w:before="0" w:after="0"/>
              <w:jc w:val="right"/>
              <w:rPr>
                <w:rFonts w:ascii="Verdana" w:hAnsi="Verdana"/>
                <w:color w:val="000000"/>
                <w:sz w:val="18"/>
                <w:szCs w:val="18"/>
              </w:rPr>
            </w:pPr>
            <w:r w:rsidRPr="002A1F9A">
              <w:rPr>
                <w:rFonts w:ascii="Verdana" w:hAnsi="Verdana"/>
                <w:sz w:val="18"/>
                <w:szCs w:val="18"/>
              </w:rPr>
              <w:t>323</w:t>
            </w:r>
          </w:p>
        </w:tc>
      </w:tr>
      <w:tr w:rsidRPr="002A1F9A" w:rsidR="00AD616C" w:rsidTr="00AD616C" w14:paraId="61A9EE15" w14:textId="77777777">
        <w:trPr>
          <w:trHeight w:val="200"/>
        </w:trPr>
        <w:tc>
          <w:tcPr>
            <w:tcW w:w="1200" w:type="dxa"/>
            <w:noWrap/>
            <w:hideMark/>
          </w:tcPr>
          <w:p w:rsidRPr="002A1F9A" w:rsidR="00AD616C" w:rsidP="00AD616C" w:rsidRDefault="00AD616C" w14:paraId="65648B1D" w14:textId="04C8BA6F">
            <w:pPr>
              <w:spacing w:before="0" w:after="0"/>
              <w:rPr>
                <w:rFonts w:ascii="Verdana" w:hAnsi="Verdana"/>
                <w:b/>
                <w:bCs/>
                <w:color w:val="000000"/>
                <w:sz w:val="18"/>
                <w:szCs w:val="18"/>
              </w:rPr>
            </w:pPr>
            <w:r w:rsidRPr="002A1F9A">
              <w:rPr>
                <w:rFonts w:ascii="Verdana" w:hAnsi="Verdana"/>
                <w:b/>
                <w:bCs/>
                <w:sz w:val="18"/>
                <w:szCs w:val="18"/>
              </w:rPr>
              <w:t>2029</w:t>
            </w:r>
          </w:p>
        </w:tc>
        <w:tc>
          <w:tcPr>
            <w:tcW w:w="1326" w:type="dxa"/>
            <w:noWrap/>
            <w:hideMark/>
          </w:tcPr>
          <w:p w:rsidRPr="002A1F9A" w:rsidR="00AD616C" w:rsidP="00AD616C" w:rsidRDefault="00AD616C" w14:paraId="5D39BAD0" w14:textId="05D6B23F">
            <w:pPr>
              <w:spacing w:before="0" w:after="0"/>
              <w:jc w:val="right"/>
              <w:rPr>
                <w:rFonts w:ascii="Verdana" w:hAnsi="Verdana"/>
                <w:color w:val="000000"/>
                <w:sz w:val="18"/>
                <w:szCs w:val="18"/>
              </w:rPr>
            </w:pPr>
            <w:r w:rsidRPr="002A1F9A">
              <w:rPr>
                <w:rFonts w:ascii="Verdana" w:hAnsi="Verdana"/>
                <w:sz w:val="18"/>
                <w:szCs w:val="18"/>
              </w:rPr>
              <w:t>5.680.468</w:t>
            </w:r>
          </w:p>
        </w:tc>
        <w:tc>
          <w:tcPr>
            <w:tcW w:w="1237" w:type="dxa"/>
            <w:hideMark/>
          </w:tcPr>
          <w:p w:rsidRPr="002A1F9A" w:rsidR="00AD616C" w:rsidP="00AD616C" w:rsidRDefault="00AD616C" w14:paraId="0AC0B141" w14:textId="21626CFC">
            <w:pPr>
              <w:spacing w:before="0" w:after="0"/>
              <w:jc w:val="right"/>
              <w:rPr>
                <w:rFonts w:ascii="Verdana" w:hAnsi="Verdana"/>
                <w:color w:val="000000"/>
                <w:sz w:val="18"/>
                <w:szCs w:val="18"/>
              </w:rPr>
            </w:pPr>
            <w:r w:rsidRPr="002A1F9A">
              <w:rPr>
                <w:rFonts w:ascii="Verdana" w:hAnsi="Verdana"/>
                <w:sz w:val="18"/>
                <w:szCs w:val="18"/>
              </w:rPr>
              <w:t>475</w:t>
            </w:r>
          </w:p>
        </w:tc>
        <w:tc>
          <w:tcPr>
            <w:tcW w:w="1148" w:type="dxa"/>
            <w:noWrap/>
            <w:hideMark/>
          </w:tcPr>
          <w:p w:rsidRPr="002A1F9A" w:rsidR="00AD616C" w:rsidP="00AD616C" w:rsidRDefault="00AD616C" w14:paraId="1D5CCF7A" w14:textId="6FB64BD7">
            <w:pPr>
              <w:spacing w:before="0" w:after="0"/>
              <w:jc w:val="right"/>
              <w:rPr>
                <w:rFonts w:ascii="Verdana" w:hAnsi="Verdana"/>
                <w:color w:val="000000"/>
                <w:sz w:val="18"/>
                <w:szCs w:val="18"/>
              </w:rPr>
            </w:pPr>
            <w:r w:rsidRPr="002A1F9A">
              <w:rPr>
                <w:rFonts w:ascii="Verdana" w:hAnsi="Verdana"/>
                <w:sz w:val="18"/>
                <w:szCs w:val="18"/>
              </w:rPr>
              <w:t>4.125.291</w:t>
            </w:r>
          </w:p>
        </w:tc>
        <w:tc>
          <w:tcPr>
            <w:tcW w:w="1237" w:type="dxa"/>
            <w:hideMark/>
          </w:tcPr>
          <w:p w:rsidRPr="002A1F9A" w:rsidR="00AD616C" w:rsidP="00AD616C" w:rsidRDefault="00AD616C" w14:paraId="0C902C07" w14:textId="6CB87886">
            <w:pPr>
              <w:spacing w:before="0" w:after="0"/>
              <w:jc w:val="right"/>
              <w:rPr>
                <w:rFonts w:ascii="Verdana" w:hAnsi="Verdana"/>
                <w:color w:val="000000"/>
                <w:sz w:val="18"/>
                <w:szCs w:val="18"/>
              </w:rPr>
            </w:pPr>
            <w:r w:rsidRPr="002A1F9A">
              <w:rPr>
                <w:rFonts w:ascii="Verdana" w:hAnsi="Verdana"/>
                <w:sz w:val="18"/>
                <w:szCs w:val="18"/>
              </w:rPr>
              <w:t>418</w:t>
            </w:r>
          </w:p>
        </w:tc>
        <w:tc>
          <w:tcPr>
            <w:tcW w:w="1157" w:type="dxa"/>
            <w:noWrap/>
            <w:hideMark/>
          </w:tcPr>
          <w:p w:rsidRPr="002A1F9A" w:rsidR="00AD616C" w:rsidP="00AD616C" w:rsidRDefault="00AD616C" w14:paraId="11F5BE92" w14:textId="6FA584F4">
            <w:pPr>
              <w:spacing w:before="0" w:after="0"/>
              <w:jc w:val="right"/>
              <w:rPr>
                <w:rFonts w:ascii="Verdana" w:hAnsi="Verdana"/>
                <w:color w:val="000000"/>
                <w:sz w:val="18"/>
                <w:szCs w:val="18"/>
              </w:rPr>
            </w:pPr>
            <w:r w:rsidRPr="002A1F9A">
              <w:rPr>
                <w:rFonts w:ascii="Verdana" w:hAnsi="Verdana"/>
                <w:sz w:val="18"/>
                <w:szCs w:val="18"/>
              </w:rPr>
              <w:t>7.135.853</w:t>
            </w:r>
          </w:p>
        </w:tc>
        <w:tc>
          <w:tcPr>
            <w:tcW w:w="1237" w:type="dxa"/>
            <w:hideMark/>
          </w:tcPr>
          <w:p w:rsidRPr="002A1F9A" w:rsidR="00AD616C" w:rsidP="00AD616C" w:rsidRDefault="00AD616C" w14:paraId="1B9C9918" w14:textId="2D64B653">
            <w:pPr>
              <w:spacing w:before="0" w:after="0"/>
              <w:jc w:val="right"/>
              <w:rPr>
                <w:rFonts w:ascii="Verdana" w:hAnsi="Verdana"/>
                <w:color w:val="000000"/>
                <w:sz w:val="18"/>
                <w:szCs w:val="18"/>
              </w:rPr>
            </w:pPr>
            <w:r w:rsidRPr="002A1F9A">
              <w:rPr>
                <w:rFonts w:ascii="Verdana" w:hAnsi="Verdana"/>
                <w:sz w:val="18"/>
                <w:szCs w:val="18"/>
              </w:rPr>
              <w:t>320</w:t>
            </w:r>
          </w:p>
        </w:tc>
      </w:tr>
      <w:tr w:rsidRPr="002A1F9A" w:rsidR="00AD616C" w:rsidTr="00AD616C" w14:paraId="66B2D9F7" w14:textId="77777777">
        <w:trPr>
          <w:trHeight w:val="200"/>
        </w:trPr>
        <w:tc>
          <w:tcPr>
            <w:tcW w:w="1200" w:type="dxa"/>
            <w:noWrap/>
            <w:hideMark/>
          </w:tcPr>
          <w:p w:rsidRPr="002A1F9A" w:rsidR="00AD616C" w:rsidP="00AD616C" w:rsidRDefault="00AD616C" w14:paraId="4F1F7697" w14:textId="781D2152">
            <w:pPr>
              <w:spacing w:before="0" w:after="0"/>
              <w:rPr>
                <w:rFonts w:ascii="Verdana" w:hAnsi="Verdana"/>
                <w:b/>
                <w:bCs/>
                <w:color w:val="000000"/>
                <w:sz w:val="18"/>
                <w:szCs w:val="18"/>
              </w:rPr>
            </w:pPr>
            <w:r w:rsidRPr="002A1F9A">
              <w:rPr>
                <w:rFonts w:ascii="Verdana" w:hAnsi="Verdana"/>
                <w:b/>
                <w:bCs/>
                <w:sz w:val="18"/>
                <w:szCs w:val="18"/>
              </w:rPr>
              <w:t>2030</w:t>
            </w:r>
          </w:p>
        </w:tc>
        <w:tc>
          <w:tcPr>
            <w:tcW w:w="1326" w:type="dxa"/>
            <w:noWrap/>
            <w:hideMark/>
          </w:tcPr>
          <w:p w:rsidRPr="002A1F9A" w:rsidR="00AD616C" w:rsidP="00AD616C" w:rsidRDefault="00AD616C" w14:paraId="05156C54" w14:textId="208BD171">
            <w:pPr>
              <w:spacing w:before="0" w:after="0"/>
              <w:jc w:val="right"/>
              <w:rPr>
                <w:rFonts w:ascii="Verdana" w:hAnsi="Verdana"/>
                <w:color w:val="000000"/>
                <w:sz w:val="18"/>
                <w:szCs w:val="18"/>
              </w:rPr>
            </w:pPr>
            <w:r w:rsidRPr="002A1F9A">
              <w:rPr>
                <w:rFonts w:ascii="Verdana" w:hAnsi="Verdana"/>
                <w:sz w:val="18"/>
                <w:szCs w:val="18"/>
              </w:rPr>
              <w:t>5.662.954</w:t>
            </w:r>
          </w:p>
        </w:tc>
        <w:tc>
          <w:tcPr>
            <w:tcW w:w="1237" w:type="dxa"/>
            <w:hideMark/>
          </w:tcPr>
          <w:p w:rsidRPr="002A1F9A" w:rsidR="00AD616C" w:rsidP="00AD616C" w:rsidRDefault="00AD616C" w14:paraId="21E99474" w14:textId="15ADEA0C">
            <w:pPr>
              <w:spacing w:before="0" w:after="0"/>
              <w:jc w:val="right"/>
              <w:rPr>
                <w:rFonts w:ascii="Verdana" w:hAnsi="Verdana"/>
                <w:color w:val="000000"/>
                <w:sz w:val="18"/>
                <w:szCs w:val="18"/>
              </w:rPr>
            </w:pPr>
            <w:r w:rsidRPr="002A1F9A">
              <w:rPr>
                <w:rFonts w:ascii="Verdana" w:hAnsi="Verdana"/>
                <w:sz w:val="18"/>
                <w:szCs w:val="18"/>
              </w:rPr>
              <w:t>472</w:t>
            </w:r>
          </w:p>
        </w:tc>
        <w:tc>
          <w:tcPr>
            <w:tcW w:w="1148" w:type="dxa"/>
            <w:noWrap/>
            <w:hideMark/>
          </w:tcPr>
          <w:p w:rsidRPr="002A1F9A" w:rsidR="00AD616C" w:rsidP="00AD616C" w:rsidRDefault="00AD616C" w14:paraId="18F0F9FD" w14:textId="19F28563">
            <w:pPr>
              <w:spacing w:before="0" w:after="0"/>
              <w:jc w:val="right"/>
              <w:rPr>
                <w:rFonts w:ascii="Verdana" w:hAnsi="Verdana"/>
                <w:color w:val="000000"/>
                <w:sz w:val="18"/>
                <w:szCs w:val="18"/>
              </w:rPr>
            </w:pPr>
            <w:r w:rsidRPr="002A1F9A">
              <w:rPr>
                <w:rFonts w:ascii="Verdana" w:hAnsi="Verdana"/>
                <w:sz w:val="18"/>
                <w:szCs w:val="18"/>
              </w:rPr>
              <w:t>4.113.331</w:t>
            </w:r>
          </w:p>
        </w:tc>
        <w:tc>
          <w:tcPr>
            <w:tcW w:w="1237" w:type="dxa"/>
            <w:hideMark/>
          </w:tcPr>
          <w:p w:rsidRPr="002A1F9A" w:rsidR="00AD616C" w:rsidP="00AD616C" w:rsidRDefault="00AD616C" w14:paraId="6FB31C33" w14:textId="34266F29">
            <w:pPr>
              <w:spacing w:before="0" w:after="0"/>
              <w:jc w:val="right"/>
              <w:rPr>
                <w:rFonts w:ascii="Verdana" w:hAnsi="Verdana"/>
                <w:color w:val="000000"/>
                <w:sz w:val="18"/>
                <w:szCs w:val="18"/>
              </w:rPr>
            </w:pPr>
            <w:r w:rsidRPr="002A1F9A">
              <w:rPr>
                <w:rFonts w:ascii="Verdana" w:hAnsi="Verdana"/>
                <w:sz w:val="18"/>
                <w:szCs w:val="18"/>
              </w:rPr>
              <w:t>415</w:t>
            </w:r>
          </w:p>
        </w:tc>
        <w:tc>
          <w:tcPr>
            <w:tcW w:w="1157" w:type="dxa"/>
            <w:noWrap/>
            <w:hideMark/>
          </w:tcPr>
          <w:p w:rsidRPr="002A1F9A" w:rsidR="00AD616C" w:rsidP="00AD616C" w:rsidRDefault="00AD616C" w14:paraId="454DC0B2" w14:textId="62B5EF91">
            <w:pPr>
              <w:spacing w:before="0" w:after="0"/>
              <w:jc w:val="right"/>
              <w:rPr>
                <w:rFonts w:ascii="Verdana" w:hAnsi="Verdana"/>
                <w:color w:val="000000"/>
                <w:sz w:val="18"/>
                <w:szCs w:val="18"/>
              </w:rPr>
            </w:pPr>
            <w:r w:rsidRPr="002A1F9A">
              <w:rPr>
                <w:rFonts w:ascii="Verdana" w:hAnsi="Verdana"/>
                <w:sz w:val="18"/>
                <w:szCs w:val="18"/>
              </w:rPr>
              <w:t>7.143.352</w:t>
            </w:r>
          </w:p>
        </w:tc>
        <w:tc>
          <w:tcPr>
            <w:tcW w:w="1237" w:type="dxa"/>
            <w:hideMark/>
          </w:tcPr>
          <w:p w:rsidRPr="002A1F9A" w:rsidR="00AD616C" w:rsidP="00AD616C" w:rsidRDefault="00AD616C" w14:paraId="52E6435B" w14:textId="3E300AE4">
            <w:pPr>
              <w:spacing w:before="0" w:after="0"/>
              <w:jc w:val="right"/>
              <w:rPr>
                <w:rFonts w:ascii="Verdana" w:hAnsi="Verdana"/>
                <w:color w:val="000000"/>
                <w:sz w:val="18"/>
                <w:szCs w:val="18"/>
              </w:rPr>
            </w:pPr>
            <w:r w:rsidRPr="002A1F9A">
              <w:rPr>
                <w:rFonts w:ascii="Verdana" w:hAnsi="Verdana"/>
                <w:sz w:val="18"/>
                <w:szCs w:val="18"/>
              </w:rPr>
              <w:t>316</w:t>
            </w:r>
          </w:p>
        </w:tc>
      </w:tr>
    </w:tbl>
    <w:p w:rsidRPr="002A1F9A" w:rsidR="00AD616C" w:rsidP="00AD616C" w:rsidRDefault="00AD616C" w14:paraId="3132121E" w14:textId="77777777">
      <w:pPr>
        <w:rPr>
          <w:rFonts w:ascii="Verdana" w:hAnsi="Verdana"/>
          <w:sz w:val="16"/>
          <w:szCs w:val="16"/>
        </w:rPr>
      </w:pPr>
      <w:r w:rsidRPr="002A1F9A">
        <w:rPr>
          <w:rFonts w:ascii="Verdana" w:hAnsi="Verdana"/>
          <w:sz w:val="16"/>
          <w:szCs w:val="16"/>
        </w:rPr>
        <w:t xml:space="preserve">* Voor de periode 2002-2010 zijn de totale uitgaven van het artikel weergegeven. Vanaf 2011 zijn de uitgaven van het instrument bekostiging van het artikel weergegeven. Dit betreft dus niet de totale uitgaven van het hele artikelonderdeel en verklaart de lagere bedragen voor mbo en hbo in 2011 ten opzichte van 2010.  </w:t>
      </w:r>
    </w:p>
    <w:p w:rsidRPr="002A1F9A" w:rsidR="00970005" w:rsidRDefault="00970005" w14:paraId="42EEBE7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A1F9A" w:rsidR="00850DFF" w:rsidTr="00E7153D" w14:paraId="21790358" w14:textId="77777777">
        <w:tc>
          <w:tcPr>
            <w:tcW w:w="567" w:type="dxa"/>
          </w:tcPr>
          <w:p w:rsidRPr="002A1F9A" w:rsidR="00850DFF" w:rsidP="00850DFF" w:rsidRDefault="00850DFF" w14:paraId="42FFCBF4" w14:textId="77777777">
            <w:pPr>
              <w:rPr>
                <w:rFonts w:ascii="Verdana" w:hAnsi="Verdana"/>
                <w:sz w:val="18"/>
                <w:szCs w:val="18"/>
              </w:rPr>
            </w:pPr>
            <w:r w:rsidRPr="002A1F9A">
              <w:rPr>
                <w:rFonts w:ascii="Verdana" w:hAnsi="Verdana"/>
                <w:sz w:val="18"/>
                <w:szCs w:val="18"/>
              </w:rPr>
              <w:t>4</w:t>
            </w:r>
          </w:p>
        </w:tc>
        <w:tc>
          <w:tcPr>
            <w:tcW w:w="6521" w:type="dxa"/>
          </w:tcPr>
          <w:p w:rsidRPr="002A1F9A" w:rsidR="00850DFF" w:rsidP="00850DFF" w:rsidRDefault="00850DFF" w14:paraId="3183FC89" w14:textId="77777777">
            <w:pPr>
              <w:rPr>
                <w:rFonts w:ascii="Verdana" w:hAnsi="Verdana"/>
                <w:sz w:val="18"/>
                <w:szCs w:val="18"/>
              </w:rPr>
            </w:pPr>
            <w:r w:rsidRPr="002A1F9A">
              <w:rPr>
                <w:rFonts w:ascii="Verdana" w:hAnsi="Verdana"/>
                <w:sz w:val="18"/>
                <w:szCs w:val="18"/>
              </w:rPr>
              <w:t>Van welke studierichtingen is er nog maar één bestaande, erkende opleiding in Nederland?</w:t>
            </w:r>
          </w:p>
          <w:p w:rsidRPr="002A1F9A" w:rsidR="00462742" w:rsidP="00850DFF" w:rsidRDefault="00462742" w14:paraId="3D326F8E" w14:textId="77777777">
            <w:pPr>
              <w:rPr>
                <w:rFonts w:ascii="Verdana" w:hAnsi="Verdana"/>
                <w:sz w:val="18"/>
                <w:szCs w:val="18"/>
              </w:rPr>
            </w:pPr>
          </w:p>
          <w:p w:rsidRPr="002A1F9A" w:rsidR="00462742" w:rsidP="00462742" w:rsidRDefault="00462742" w14:paraId="52EE76F9" w14:textId="74A1B8EF">
            <w:pPr>
              <w:rPr>
                <w:rFonts w:ascii="Verdana" w:hAnsi="Verdana"/>
                <w:sz w:val="18"/>
                <w:szCs w:val="18"/>
              </w:rPr>
            </w:pPr>
            <w:r w:rsidRPr="002A1F9A">
              <w:rPr>
                <w:rFonts w:ascii="Verdana" w:hAnsi="Verdana"/>
                <w:sz w:val="18"/>
                <w:szCs w:val="18"/>
              </w:rPr>
              <w:t>‘Studierichting’ is geen gedefinieerd begrip in het hoger onderwijs beleid. Het is daarom niet te zeggen van welke studierichtingen er nog maar één bestaande, erkende opleiding in Nederland is. Wat we wel weten uit het z</w:t>
            </w:r>
            <w:r w:rsidRPr="002A1F9A" w:rsidR="00B01777">
              <w:rPr>
                <w:rFonts w:ascii="Verdana" w:hAnsi="Verdana"/>
                <w:sz w:val="18"/>
                <w:szCs w:val="18"/>
              </w:rPr>
              <w:t>ogenaamde</w:t>
            </w:r>
            <w:r w:rsidRPr="002A1F9A">
              <w:rPr>
                <w:rFonts w:ascii="Verdana" w:hAnsi="Verdana"/>
                <w:sz w:val="18"/>
                <w:szCs w:val="18"/>
              </w:rPr>
              <w:t xml:space="preserve"> RIO-register waarin alle erkende hbo- en wo-opleidingen zijn opgenomen, is dat in het jaar 2024 er 236 opleidingen waren die aan één hbo-instelling werden gegeven en 511 opleidingen die aan één wo-instelling werden gegeven (Bron: </w:t>
            </w:r>
            <w:hyperlink w:history="1" r:id="rId12">
              <w:r w:rsidRPr="002A1F9A">
                <w:rPr>
                  <w:rStyle w:val="Hyperlink"/>
                  <w:rFonts w:ascii="Verdana" w:hAnsi="Verdana"/>
                  <w:sz w:val="18"/>
                  <w:szCs w:val="18"/>
                </w:rPr>
                <w:t>Aantal opleidingen aan een enkele instelling gegeven | Kerncijfers en indicatoren Hoger Onderwijs | OCW in cijfers</w:t>
              </w:r>
            </w:hyperlink>
            <w:r w:rsidRPr="002A1F9A">
              <w:rPr>
                <w:rFonts w:ascii="Verdana" w:hAnsi="Verdana"/>
                <w:sz w:val="18"/>
                <w:szCs w:val="18"/>
              </w:rPr>
              <w:t>). In hoeverre deze opleidingen inhoudelijk</w:t>
            </w:r>
            <w:r w:rsidRPr="002A1F9A" w:rsidR="00B01777">
              <w:rPr>
                <w:rFonts w:ascii="Verdana" w:hAnsi="Verdana"/>
                <w:sz w:val="18"/>
                <w:szCs w:val="18"/>
              </w:rPr>
              <w:t>e</w:t>
            </w:r>
            <w:r w:rsidRPr="002A1F9A">
              <w:rPr>
                <w:rFonts w:ascii="Verdana" w:hAnsi="Verdana"/>
                <w:sz w:val="18"/>
                <w:szCs w:val="18"/>
              </w:rPr>
              <w:t xml:space="preserve"> overlap of verschillen hebben met andere opleidingen is niet uit de cijfers af te leiden. Wel zijn er enkele bekende voorbeelden van unieke studies, denk dan aan de studie dansdocent Euritmie die aan de hogeschool Leiden wordt aangeboden en diergeneeskunde bij universiteit Utrecht.</w:t>
            </w:r>
          </w:p>
          <w:p w:rsidRPr="002A1F9A" w:rsidR="00462742" w:rsidP="00850DFF" w:rsidRDefault="00462742" w14:paraId="6A40395D" w14:textId="77777777">
            <w:pPr>
              <w:rPr>
                <w:rFonts w:ascii="Verdana" w:hAnsi="Verdana"/>
                <w:sz w:val="18"/>
                <w:szCs w:val="18"/>
              </w:rPr>
            </w:pPr>
          </w:p>
        </w:tc>
        <w:tc>
          <w:tcPr>
            <w:tcW w:w="850" w:type="dxa"/>
          </w:tcPr>
          <w:p w:rsidRPr="002A1F9A" w:rsidR="00850DFF" w:rsidP="00850DFF" w:rsidRDefault="00850DFF" w14:paraId="3CE589F0" w14:textId="77777777">
            <w:pPr>
              <w:jc w:val="right"/>
              <w:rPr>
                <w:rFonts w:ascii="Verdana" w:hAnsi="Verdana"/>
                <w:sz w:val="18"/>
                <w:szCs w:val="18"/>
              </w:rPr>
            </w:pPr>
          </w:p>
        </w:tc>
        <w:tc>
          <w:tcPr>
            <w:tcW w:w="992" w:type="dxa"/>
          </w:tcPr>
          <w:p w:rsidRPr="002A1F9A" w:rsidR="00850DFF" w:rsidP="00850DFF" w:rsidRDefault="00850DFF" w14:paraId="4CE99E45" w14:textId="77777777">
            <w:pPr>
              <w:jc w:val="right"/>
              <w:rPr>
                <w:rFonts w:ascii="Verdana" w:hAnsi="Verdana"/>
                <w:sz w:val="18"/>
                <w:szCs w:val="18"/>
              </w:rPr>
            </w:pPr>
          </w:p>
        </w:tc>
        <w:tc>
          <w:tcPr>
            <w:tcW w:w="567" w:type="dxa"/>
            <w:tcBorders>
              <w:left w:val="nil"/>
            </w:tcBorders>
          </w:tcPr>
          <w:p w:rsidRPr="002A1F9A" w:rsidR="00850DFF" w:rsidP="00850DFF" w:rsidRDefault="00850DFF" w14:paraId="39698DFD"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5CE4A475" w14:textId="77777777">
        <w:tc>
          <w:tcPr>
            <w:tcW w:w="567" w:type="dxa"/>
          </w:tcPr>
          <w:p w:rsidRPr="002A1F9A" w:rsidR="00850DFF" w:rsidP="00850DFF" w:rsidRDefault="00850DFF" w14:paraId="3A82180B" w14:textId="77777777">
            <w:pPr>
              <w:rPr>
                <w:rFonts w:ascii="Verdana" w:hAnsi="Verdana"/>
                <w:sz w:val="18"/>
                <w:szCs w:val="18"/>
              </w:rPr>
            </w:pPr>
            <w:r w:rsidRPr="002A1F9A">
              <w:rPr>
                <w:rFonts w:ascii="Verdana" w:hAnsi="Verdana"/>
                <w:sz w:val="18"/>
                <w:szCs w:val="18"/>
              </w:rPr>
              <w:t>5</w:t>
            </w:r>
          </w:p>
        </w:tc>
        <w:tc>
          <w:tcPr>
            <w:tcW w:w="6521" w:type="dxa"/>
          </w:tcPr>
          <w:p w:rsidRPr="002A1F9A" w:rsidR="00850DFF" w:rsidP="00850DFF" w:rsidRDefault="00850DFF" w14:paraId="2AE1FBF0" w14:textId="77777777">
            <w:pPr>
              <w:rPr>
                <w:rFonts w:ascii="Verdana" w:hAnsi="Verdana"/>
                <w:sz w:val="18"/>
                <w:szCs w:val="18"/>
              </w:rPr>
            </w:pPr>
            <w:r w:rsidRPr="002A1F9A">
              <w:rPr>
                <w:rFonts w:ascii="Verdana" w:hAnsi="Verdana"/>
                <w:sz w:val="18"/>
                <w:szCs w:val="18"/>
              </w:rPr>
              <w:t>Kunt u de (verwachte) ontwikkeling laten zien van de verhouding tussen reguliere promovendi, beurspromovendi en buitenpromovendi?</w:t>
            </w:r>
          </w:p>
          <w:p w:rsidRPr="002A1F9A" w:rsidR="00850DFF" w:rsidP="00850DFF" w:rsidRDefault="00850DFF" w14:paraId="01A3DD2F" w14:textId="77777777">
            <w:pPr>
              <w:rPr>
                <w:rFonts w:ascii="Verdana" w:hAnsi="Verdana"/>
                <w:sz w:val="18"/>
                <w:szCs w:val="18"/>
              </w:rPr>
            </w:pPr>
          </w:p>
          <w:p w:rsidRPr="002A1F9A" w:rsidR="00850DFF" w:rsidP="00850DFF" w:rsidRDefault="00850DFF" w14:paraId="78CF3191" w14:textId="77777777">
            <w:pPr>
              <w:rPr>
                <w:rFonts w:ascii="Verdana" w:hAnsi="Verdana"/>
                <w:sz w:val="18"/>
                <w:szCs w:val="18"/>
              </w:rPr>
            </w:pPr>
            <w:r w:rsidRPr="002A1F9A">
              <w:rPr>
                <w:rFonts w:ascii="Verdana" w:hAnsi="Verdana"/>
                <w:sz w:val="18"/>
                <w:szCs w:val="18"/>
              </w:rPr>
              <w:lastRenderedPageBreak/>
              <w:t xml:space="preserve">Onderstaande tabel geeft de absolute aantallen promovendi weer voor 2021 t/m 2024, uitgesplitst naar type. Deze data staan op de </w:t>
            </w:r>
            <w:hyperlink w:history="1" r:id="rId13">
              <w:r w:rsidRPr="002A1F9A">
                <w:rPr>
                  <w:rStyle w:val="Hyperlink"/>
                  <w:rFonts w:ascii="Verdana" w:hAnsi="Verdana"/>
                  <w:sz w:val="18"/>
                  <w:szCs w:val="18"/>
                </w:rPr>
                <w:t>website</w:t>
              </w:r>
            </w:hyperlink>
            <w:r w:rsidRPr="002A1F9A">
              <w:rPr>
                <w:rFonts w:ascii="Verdana" w:hAnsi="Verdana"/>
                <w:sz w:val="18"/>
                <w:szCs w:val="18"/>
              </w:rPr>
              <w:t xml:space="preserve"> van Universiteiten van Nederland. Voor eerdere jaren zijn geen data beschikbaar omdat er toen nog geen </w:t>
            </w:r>
            <w:proofErr w:type="spellStart"/>
            <w:r w:rsidRPr="002A1F9A">
              <w:rPr>
                <w:rFonts w:ascii="Verdana" w:hAnsi="Verdana"/>
                <w:sz w:val="18"/>
                <w:szCs w:val="18"/>
              </w:rPr>
              <w:t>universiteitsbrede</w:t>
            </w:r>
            <w:proofErr w:type="spellEnd"/>
            <w:r w:rsidRPr="002A1F9A">
              <w:rPr>
                <w:rFonts w:ascii="Verdana" w:hAnsi="Verdana"/>
                <w:sz w:val="18"/>
                <w:szCs w:val="18"/>
              </w:rPr>
              <w:t xml:space="preserve"> registratiesystemen voor promovendi bestonden. Er is geen informatie over verwachte ontwikkelingen beschikbaar.</w:t>
            </w:r>
          </w:p>
          <w:tbl>
            <w:tblPr>
              <w:tblStyle w:val="Tabelraster"/>
              <w:tblW w:w="0" w:type="auto"/>
              <w:tblLook w:val="04A0" w:firstRow="1" w:lastRow="0" w:firstColumn="1" w:lastColumn="0" w:noHBand="0" w:noVBand="1"/>
            </w:tblPr>
            <w:tblGrid>
              <w:gridCol w:w="2833"/>
              <w:gridCol w:w="851"/>
              <w:gridCol w:w="850"/>
              <w:gridCol w:w="851"/>
              <w:gridCol w:w="789"/>
            </w:tblGrid>
            <w:tr w:rsidRPr="002A1F9A" w:rsidR="00850DFF" w:rsidTr="006776FB" w14:paraId="5733D397" w14:textId="534C9514">
              <w:trPr>
                <w:trHeight w:val="272"/>
              </w:trPr>
              <w:tc>
                <w:tcPr>
                  <w:tcW w:w="2833" w:type="dxa"/>
                </w:tcPr>
                <w:p w:rsidRPr="002A1F9A" w:rsidR="00850DFF" w:rsidP="00850DFF" w:rsidRDefault="00850DFF" w14:paraId="4E0B5A17" w14:textId="77777777">
                  <w:pPr>
                    <w:rPr>
                      <w:rFonts w:ascii="Verdana" w:hAnsi="Verdana"/>
                      <w:sz w:val="14"/>
                      <w:szCs w:val="14"/>
                    </w:rPr>
                  </w:pPr>
                </w:p>
              </w:tc>
              <w:tc>
                <w:tcPr>
                  <w:tcW w:w="851" w:type="dxa"/>
                </w:tcPr>
                <w:p w:rsidRPr="002A1F9A" w:rsidR="00850DFF" w:rsidP="00850DFF" w:rsidRDefault="00850DFF" w14:paraId="248BFE92" w14:textId="7AEDE428">
                  <w:pPr>
                    <w:rPr>
                      <w:rFonts w:ascii="Verdana" w:hAnsi="Verdana"/>
                      <w:b/>
                      <w:bCs/>
                      <w:sz w:val="14"/>
                      <w:szCs w:val="14"/>
                    </w:rPr>
                  </w:pPr>
                  <w:r w:rsidRPr="002A1F9A">
                    <w:rPr>
                      <w:rFonts w:ascii="Verdana" w:hAnsi="Verdana"/>
                      <w:b/>
                      <w:bCs/>
                      <w:sz w:val="14"/>
                      <w:szCs w:val="14"/>
                    </w:rPr>
                    <w:t>2024</w:t>
                  </w:r>
                </w:p>
              </w:tc>
              <w:tc>
                <w:tcPr>
                  <w:tcW w:w="850" w:type="dxa"/>
                </w:tcPr>
                <w:p w:rsidRPr="002A1F9A" w:rsidR="00850DFF" w:rsidP="00850DFF" w:rsidRDefault="00850DFF" w14:paraId="29B1F531" w14:textId="1356D13D">
                  <w:pPr>
                    <w:rPr>
                      <w:rFonts w:ascii="Verdana" w:hAnsi="Verdana"/>
                      <w:b/>
                      <w:bCs/>
                      <w:sz w:val="14"/>
                      <w:szCs w:val="14"/>
                    </w:rPr>
                  </w:pPr>
                  <w:r w:rsidRPr="002A1F9A">
                    <w:rPr>
                      <w:rFonts w:ascii="Verdana" w:hAnsi="Verdana"/>
                      <w:b/>
                      <w:bCs/>
                      <w:sz w:val="14"/>
                      <w:szCs w:val="14"/>
                    </w:rPr>
                    <w:t>2023</w:t>
                  </w:r>
                </w:p>
              </w:tc>
              <w:tc>
                <w:tcPr>
                  <w:tcW w:w="851" w:type="dxa"/>
                </w:tcPr>
                <w:p w:rsidRPr="002A1F9A" w:rsidR="00850DFF" w:rsidP="00850DFF" w:rsidRDefault="00850DFF" w14:paraId="2B181D96" w14:textId="04A5CAA2">
                  <w:pPr>
                    <w:rPr>
                      <w:rFonts w:ascii="Verdana" w:hAnsi="Verdana"/>
                      <w:b/>
                      <w:bCs/>
                      <w:sz w:val="14"/>
                      <w:szCs w:val="14"/>
                    </w:rPr>
                  </w:pPr>
                  <w:r w:rsidRPr="002A1F9A">
                    <w:rPr>
                      <w:rFonts w:ascii="Verdana" w:hAnsi="Verdana"/>
                      <w:b/>
                      <w:bCs/>
                      <w:sz w:val="14"/>
                      <w:szCs w:val="14"/>
                    </w:rPr>
                    <w:t>2022</w:t>
                  </w:r>
                </w:p>
              </w:tc>
              <w:tc>
                <w:tcPr>
                  <w:tcW w:w="789" w:type="dxa"/>
                </w:tcPr>
                <w:p w:rsidRPr="002A1F9A" w:rsidR="00850DFF" w:rsidP="00850DFF" w:rsidRDefault="00850DFF" w14:paraId="3C0008CB" w14:textId="675B688A">
                  <w:pPr>
                    <w:rPr>
                      <w:rFonts w:ascii="Verdana" w:hAnsi="Verdana"/>
                      <w:b/>
                      <w:bCs/>
                      <w:sz w:val="14"/>
                      <w:szCs w:val="14"/>
                    </w:rPr>
                  </w:pPr>
                  <w:r w:rsidRPr="002A1F9A">
                    <w:rPr>
                      <w:rFonts w:ascii="Verdana" w:hAnsi="Verdana"/>
                      <w:b/>
                      <w:bCs/>
                      <w:sz w:val="14"/>
                      <w:szCs w:val="14"/>
                    </w:rPr>
                    <w:t>2021</w:t>
                  </w:r>
                </w:p>
              </w:tc>
            </w:tr>
            <w:tr w:rsidRPr="002A1F9A" w:rsidR="00850DFF" w:rsidTr="006776FB" w14:paraId="5E08B8BF" w14:textId="685E1621">
              <w:trPr>
                <w:trHeight w:val="272"/>
              </w:trPr>
              <w:tc>
                <w:tcPr>
                  <w:tcW w:w="2833" w:type="dxa"/>
                </w:tcPr>
                <w:p w:rsidRPr="002A1F9A" w:rsidR="00850DFF" w:rsidP="00850DFF" w:rsidRDefault="00850DFF" w14:paraId="7A49285C" w14:textId="38C65F1C">
                  <w:pPr>
                    <w:rPr>
                      <w:rFonts w:ascii="Verdana" w:hAnsi="Verdana"/>
                      <w:b/>
                      <w:bCs/>
                      <w:sz w:val="14"/>
                      <w:szCs w:val="14"/>
                    </w:rPr>
                  </w:pPr>
                  <w:r w:rsidRPr="002A1F9A">
                    <w:rPr>
                      <w:rFonts w:ascii="Verdana" w:hAnsi="Verdana"/>
                      <w:b/>
                      <w:bCs/>
                      <w:sz w:val="14"/>
                      <w:szCs w:val="14"/>
                    </w:rPr>
                    <w:t>1a. Werknemer-promovendus</w:t>
                  </w:r>
                </w:p>
              </w:tc>
              <w:tc>
                <w:tcPr>
                  <w:tcW w:w="851" w:type="dxa"/>
                </w:tcPr>
                <w:p w:rsidRPr="002A1F9A" w:rsidR="00850DFF" w:rsidP="00850DFF" w:rsidRDefault="00850DFF" w14:paraId="639E4FD3" w14:textId="2D3B7B02">
                  <w:pPr>
                    <w:rPr>
                      <w:rFonts w:ascii="Verdana" w:hAnsi="Verdana"/>
                      <w:sz w:val="14"/>
                      <w:szCs w:val="14"/>
                    </w:rPr>
                  </w:pPr>
                  <w:r w:rsidRPr="002A1F9A">
                    <w:rPr>
                      <w:rFonts w:ascii="Verdana" w:hAnsi="Verdana"/>
                      <w:sz w:val="14"/>
                      <w:szCs w:val="14"/>
                    </w:rPr>
                    <w:t>22.312</w:t>
                  </w:r>
                </w:p>
              </w:tc>
              <w:tc>
                <w:tcPr>
                  <w:tcW w:w="850" w:type="dxa"/>
                </w:tcPr>
                <w:p w:rsidRPr="002A1F9A" w:rsidR="00850DFF" w:rsidP="00850DFF" w:rsidRDefault="00850DFF" w14:paraId="4B693BFA" w14:textId="5DEABA4A">
                  <w:pPr>
                    <w:rPr>
                      <w:rFonts w:ascii="Verdana" w:hAnsi="Verdana"/>
                      <w:sz w:val="14"/>
                      <w:szCs w:val="14"/>
                    </w:rPr>
                  </w:pPr>
                  <w:r w:rsidRPr="002A1F9A">
                    <w:rPr>
                      <w:rFonts w:ascii="Verdana" w:hAnsi="Verdana"/>
                      <w:sz w:val="14"/>
                      <w:szCs w:val="14"/>
                    </w:rPr>
                    <w:t>20.936</w:t>
                  </w:r>
                </w:p>
              </w:tc>
              <w:tc>
                <w:tcPr>
                  <w:tcW w:w="851" w:type="dxa"/>
                </w:tcPr>
                <w:p w:rsidRPr="002A1F9A" w:rsidR="00850DFF" w:rsidP="00850DFF" w:rsidRDefault="00850DFF" w14:paraId="1F2EB5FF" w14:textId="10F99C6D">
                  <w:pPr>
                    <w:rPr>
                      <w:rFonts w:ascii="Verdana" w:hAnsi="Verdana"/>
                      <w:sz w:val="14"/>
                      <w:szCs w:val="14"/>
                    </w:rPr>
                  </w:pPr>
                  <w:r w:rsidRPr="002A1F9A">
                    <w:rPr>
                      <w:rFonts w:ascii="Verdana" w:hAnsi="Verdana"/>
                      <w:sz w:val="14"/>
                      <w:szCs w:val="14"/>
                    </w:rPr>
                    <w:t>19.110</w:t>
                  </w:r>
                </w:p>
              </w:tc>
              <w:tc>
                <w:tcPr>
                  <w:tcW w:w="789" w:type="dxa"/>
                </w:tcPr>
                <w:p w:rsidRPr="002A1F9A" w:rsidR="00850DFF" w:rsidP="00850DFF" w:rsidRDefault="00850DFF" w14:paraId="7C83EDA4" w14:textId="52F2B885">
                  <w:pPr>
                    <w:rPr>
                      <w:rFonts w:ascii="Verdana" w:hAnsi="Verdana"/>
                      <w:sz w:val="14"/>
                      <w:szCs w:val="14"/>
                    </w:rPr>
                  </w:pPr>
                  <w:r w:rsidRPr="002A1F9A">
                    <w:rPr>
                      <w:rFonts w:ascii="Verdana" w:hAnsi="Verdana"/>
                      <w:sz w:val="14"/>
                      <w:szCs w:val="14"/>
                    </w:rPr>
                    <w:t>17.591</w:t>
                  </w:r>
                </w:p>
              </w:tc>
            </w:tr>
            <w:tr w:rsidRPr="002A1F9A" w:rsidR="00850DFF" w:rsidTr="006776FB" w14:paraId="6C753BD2" w14:textId="6C409DDE">
              <w:trPr>
                <w:trHeight w:val="272"/>
              </w:trPr>
              <w:tc>
                <w:tcPr>
                  <w:tcW w:w="2833" w:type="dxa"/>
                </w:tcPr>
                <w:p w:rsidRPr="002A1F9A" w:rsidR="00850DFF" w:rsidP="00850DFF" w:rsidRDefault="00850DFF" w14:paraId="0FA471AC" w14:textId="449DA5A0">
                  <w:pPr>
                    <w:rPr>
                      <w:rFonts w:ascii="Verdana" w:hAnsi="Verdana"/>
                      <w:b/>
                      <w:bCs/>
                      <w:sz w:val="14"/>
                      <w:szCs w:val="14"/>
                    </w:rPr>
                  </w:pPr>
                  <w:r w:rsidRPr="002A1F9A">
                    <w:rPr>
                      <w:rFonts w:ascii="Verdana" w:hAnsi="Verdana"/>
                      <w:b/>
                      <w:bCs/>
                      <w:sz w:val="14"/>
                      <w:szCs w:val="14"/>
                    </w:rPr>
                    <w:t>1b. Promoverend medewerker</w:t>
                  </w:r>
                </w:p>
              </w:tc>
              <w:tc>
                <w:tcPr>
                  <w:tcW w:w="851" w:type="dxa"/>
                </w:tcPr>
                <w:p w:rsidRPr="002A1F9A" w:rsidR="00850DFF" w:rsidP="00850DFF" w:rsidRDefault="00850DFF" w14:paraId="32A997BF" w14:textId="6EE7C6C2">
                  <w:pPr>
                    <w:rPr>
                      <w:rFonts w:ascii="Verdana" w:hAnsi="Verdana"/>
                      <w:sz w:val="14"/>
                      <w:szCs w:val="14"/>
                    </w:rPr>
                  </w:pPr>
                  <w:r w:rsidRPr="002A1F9A">
                    <w:rPr>
                      <w:rFonts w:ascii="Verdana" w:hAnsi="Verdana"/>
                      <w:sz w:val="14"/>
                      <w:szCs w:val="14"/>
                    </w:rPr>
                    <w:t>2.517</w:t>
                  </w:r>
                </w:p>
              </w:tc>
              <w:tc>
                <w:tcPr>
                  <w:tcW w:w="850" w:type="dxa"/>
                </w:tcPr>
                <w:p w:rsidRPr="002A1F9A" w:rsidR="00850DFF" w:rsidP="00850DFF" w:rsidRDefault="00850DFF" w14:paraId="2F2F4012" w14:textId="4CC1064C">
                  <w:pPr>
                    <w:rPr>
                      <w:rFonts w:ascii="Verdana" w:hAnsi="Verdana"/>
                      <w:sz w:val="14"/>
                      <w:szCs w:val="14"/>
                    </w:rPr>
                  </w:pPr>
                  <w:r w:rsidRPr="002A1F9A">
                    <w:rPr>
                      <w:rFonts w:ascii="Verdana" w:hAnsi="Verdana"/>
                      <w:sz w:val="14"/>
                      <w:szCs w:val="14"/>
                    </w:rPr>
                    <w:t>2.497</w:t>
                  </w:r>
                </w:p>
              </w:tc>
              <w:tc>
                <w:tcPr>
                  <w:tcW w:w="851" w:type="dxa"/>
                </w:tcPr>
                <w:p w:rsidRPr="002A1F9A" w:rsidR="00850DFF" w:rsidP="00850DFF" w:rsidRDefault="00850DFF" w14:paraId="42B9C988" w14:textId="241B7B56">
                  <w:pPr>
                    <w:rPr>
                      <w:rFonts w:ascii="Verdana" w:hAnsi="Verdana"/>
                      <w:sz w:val="14"/>
                      <w:szCs w:val="14"/>
                    </w:rPr>
                  </w:pPr>
                  <w:r w:rsidRPr="002A1F9A">
                    <w:rPr>
                      <w:rFonts w:ascii="Verdana" w:hAnsi="Verdana"/>
                      <w:sz w:val="14"/>
                      <w:szCs w:val="14"/>
                    </w:rPr>
                    <w:t>1.553</w:t>
                  </w:r>
                </w:p>
              </w:tc>
              <w:tc>
                <w:tcPr>
                  <w:tcW w:w="789" w:type="dxa"/>
                </w:tcPr>
                <w:p w:rsidRPr="002A1F9A" w:rsidR="00850DFF" w:rsidP="00850DFF" w:rsidRDefault="00850DFF" w14:paraId="05F54011" w14:textId="4D575108">
                  <w:pPr>
                    <w:rPr>
                      <w:rFonts w:ascii="Verdana" w:hAnsi="Verdana"/>
                      <w:sz w:val="14"/>
                      <w:szCs w:val="14"/>
                    </w:rPr>
                  </w:pPr>
                  <w:r w:rsidRPr="002A1F9A">
                    <w:rPr>
                      <w:rFonts w:ascii="Verdana" w:hAnsi="Verdana"/>
                      <w:sz w:val="14"/>
                      <w:szCs w:val="14"/>
                    </w:rPr>
                    <w:t>1.514</w:t>
                  </w:r>
                </w:p>
              </w:tc>
            </w:tr>
            <w:tr w:rsidRPr="002A1F9A" w:rsidR="00850DFF" w:rsidTr="006776FB" w14:paraId="5EA3980D" w14:textId="2CA78DBD">
              <w:trPr>
                <w:trHeight w:val="262"/>
              </w:trPr>
              <w:tc>
                <w:tcPr>
                  <w:tcW w:w="2833" w:type="dxa"/>
                </w:tcPr>
                <w:p w:rsidRPr="002A1F9A" w:rsidR="00850DFF" w:rsidP="00850DFF" w:rsidRDefault="00850DFF" w14:paraId="6884EA30" w14:textId="29CC81FD">
                  <w:pPr>
                    <w:rPr>
                      <w:rFonts w:ascii="Verdana" w:hAnsi="Verdana"/>
                      <w:b/>
                      <w:bCs/>
                      <w:sz w:val="14"/>
                      <w:szCs w:val="14"/>
                    </w:rPr>
                  </w:pPr>
                  <w:r w:rsidRPr="002A1F9A">
                    <w:rPr>
                      <w:rFonts w:ascii="Verdana" w:hAnsi="Verdana"/>
                      <w:b/>
                      <w:bCs/>
                      <w:sz w:val="14"/>
                      <w:szCs w:val="14"/>
                    </w:rPr>
                    <w:t>2. Beurspromovendus</w:t>
                  </w:r>
                </w:p>
              </w:tc>
              <w:tc>
                <w:tcPr>
                  <w:tcW w:w="851" w:type="dxa"/>
                </w:tcPr>
                <w:p w:rsidRPr="002A1F9A" w:rsidR="00850DFF" w:rsidP="00850DFF" w:rsidRDefault="00850DFF" w14:paraId="4E1919DD" w14:textId="25A397D6">
                  <w:pPr>
                    <w:rPr>
                      <w:rFonts w:ascii="Verdana" w:hAnsi="Verdana"/>
                      <w:sz w:val="14"/>
                      <w:szCs w:val="14"/>
                    </w:rPr>
                  </w:pPr>
                  <w:r w:rsidRPr="002A1F9A">
                    <w:rPr>
                      <w:rFonts w:ascii="Verdana" w:hAnsi="Verdana"/>
                      <w:sz w:val="14"/>
                      <w:szCs w:val="14"/>
                    </w:rPr>
                    <w:t>4.457</w:t>
                  </w:r>
                </w:p>
              </w:tc>
              <w:tc>
                <w:tcPr>
                  <w:tcW w:w="850" w:type="dxa"/>
                </w:tcPr>
                <w:p w:rsidRPr="002A1F9A" w:rsidR="00850DFF" w:rsidP="00850DFF" w:rsidRDefault="00850DFF" w14:paraId="340218BD" w14:textId="1004A6D1">
                  <w:pPr>
                    <w:rPr>
                      <w:rFonts w:ascii="Verdana" w:hAnsi="Verdana"/>
                      <w:sz w:val="14"/>
                      <w:szCs w:val="14"/>
                    </w:rPr>
                  </w:pPr>
                  <w:r w:rsidRPr="002A1F9A">
                    <w:rPr>
                      <w:rFonts w:ascii="Verdana" w:hAnsi="Verdana"/>
                      <w:sz w:val="14"/>
                      <w:szCs w:val="14"/>
                    </w:rPr>
                    <w:t>4.496</w:t>
                  </w:r>
                </w:p>
              </w:tc>
              <w:tc>
                <w:tcPr>
                  <w:tcW w:w="851" w:type="dxa"/>
                </w:tcPr>
                <w:p w:rsidRPr="002A1F9A" w:rsidR="00850DFF" w:rsidP="00850DFF" w:rsidRDefault="00850DFF" w14:paraId="4F7BE240" w14:textId="1D804AA3">
                  <w:pPr>
                    <w:rPr>
                      <w:rFonts w:ascii="Verdana" w:hAnsi="Verdana"/>
                      <w:sz w:val="14"/>
                      <w:szCs w:val="14"/>
                    </w:rPr>
                  </w:pPr>
                  <w:r w:rsidRPr="002A1F9A">
                    <w:rPr>
                      <w:rFonts w:ascii="Verdana" w:hAnsi="Verdana"/>
                      <w:sz w:val="14"/>
                      <w:szCs w:val="14"/>
                    </w:rPr>
                    <w:t>4.190</w:t>
                  </w:r>
                </w:p>
              </w:tc>
              <w:tc>
                <w:tcPr>
                  <w:tcW w:w="789" w:type="dxa"/>
                </w:tcPr>
                <w:p w:rsidRPr="002A1F9A" w:rsidR="00850DFF" w:rsidP="00850DFF" w:rsidRDefault="00850DFF" w14:paraId="32F56307" w14:textId="5DBC1738">
                  <w:pPr>
                    <w:rPr>
                      <w:rFonts w:ascii="Verdana" w:hAnsi="Verdana"/>
                      <w:sz w:val="14"/>
                      <w:szCs w:val="14"/>
                    </w:rPr>
                  </w:pPr>
                  <w:r w:rsidRPr="002A1F9A">
                    <w:rPr>
                      <w:rFonts w:ascii="Verdana" w:hAnsi="Verdana"/>
                      <w:sz w:val="14"/>
                      <w:szCs w:val="14"/>
                    </w:rPr>
                    <w:t>4.679</w:t>
                  </w:r>
                </w:p>
              </w:tc>
            </w:tr>
            <w:tr w:rsidRPr="002A1F9A" w:rsidR="00850DFF" w:rsidTr="006776FB" w14:paraId="62A5D41C" w14:textId="0AE4D571">
              <w:trPr>
                <w:trHeight w:val="272"/>
              </w:trPr>
              <w:tc>
                <w:tcPr>
                  <w:tcW w:w="2833" w:type="dxa"/>
                </w:tcPr>
                <w:p w:rsidRPr="002A1F9A" w:rsidR="00850DFF" w:rsidP="00850DFF" w:rsidRDefault="00850DFF" w14:paraId="450D0CA7" w14:textId="13D3AE8A">
                  <w:pPr>
                    <w:rPr>
                      <w:rFonts w:ascii="Verdana" w:hAnsi="Verdana"/>
                      <w:b/>
                      <w:bCs/>
                      <w:sz w:val="14"/>
                      <w:szCs w:val="14"/>
                    </w:rPr>
                  </w:pPr>
                  <w:r w:rsidRPr="002A1F9A">
                    <w:rPr>
                      <w:rFonts w:ascii="Verdana" w:hAnsi="Verdana"/>
                      <w:b/>
                      <w:bCs/>
                      <w:sz w:val="14"/>
                      <w:szCs w:val="14"/>
                    </w:rPr>
                    <w:t>3. Extern gefinancierde promovendus</w:t>
                  </w:r>
                </w:p>
              </w:tc>
              <w:tc>
                <w:tcPr>
                  <w:tcW w:w="851" w:type="dxa"/>
                </w:tcPr>
                <w:p w:rsidRPr="002A1F9A" w:rsidR="00850DFF" w:rsidP="00850DFF" w:rsidRDefault="00850DFF" w14:paraId="20AB4C05" w14:textId="3ADBACE4">
                  <w:pPr>
                    <w:rPr>
                      <w:rFonts w:ascii="Verdana" w:hAnsi="Verdana"/>
                      <w:sz w:val="14"/>
                      <w:szCs w:val="14"/>
                    </w:rPr>
                  </w:pPr>
                  <w:r w:rsidRPr="002A1F9A">
                    <w:rPr>
                      <w:rFonts w:ascii="Verdana" w:hAnsi="Verdana"/>
                      <w:sz w:val="14"/>
                      <w:szCs w:val="14"/>
                    </w:rPr>
                    <w:t>4.717</w:t>
                  </w:r>
                </w:p>
              </w:tc>
              <w:tc>
                <w:tcPr>
                  <w:tcW w:w="850" w:type="dxa"/>
                </w:tcPr>
                <w:p w:rsidRPr="002A1F9A" w:rsidR="00850DFF" w:rsidP="00850DFF" w:rsidRDefault="00850DFF" w14:paraId="66901E20" w14:textId="1884689E">
                  <w:pPr>
                    <w:rPr>
                      <w:rFonts w:ascii="Verdana" w:hAnsi="Verdana"/>
                      <w:sz w:val="14"/>
                      <w:szCs w:val="14"/>
                    </w:rPr>
                  </w:pPr>
                  <w:r w:rsidRPr="002A1F9A">
                    <w:rPr>
                      <w:rFonts w:ascii="Verdana" w:hAnsi="Verdana"/>
                      <w:sz w:val="14"/>
                      <w:szCs w:val="14"/>
                    </w:rPr>
                    <w:t>4.855</w:t>
                  </w:r>
                </w:p>
              </w:tc>
              <w:tc>
                <w:tcPr>
                  <w:tcW w:w="851" w:type="dxa"/>
                </w:tcPr>
                <w:p w:rsidRPr="002A1F9A" w:rsidR="00850DFF" w:rsidP="00850DFF" w:rsidRDefault="00850DFF" w14:paraId="41E0A850" w14:textId="2AAE3B4F">
                  <w:pPr>
                    <w:rPr>
                      <w:rFonts w:ascii="Verdana" w:hAnsi="Verdana"/>
                      <w:sz w:val="14"/>
                      <w:szCs w:val="14"/>
                    </w:rPr>
                  </w:pPr>
                  <w:r w:rsidRPr="002A1F9A">
                    <w:rPr>
                      <w:rFonts w:ascii="Verdana" w:hAnsi="Verdana"/>
                      <w:sz w:val="14"/>
                      <w:szCs w:val="14"/>
                    </w:rPr>
                    <w:t>4.776</w:t>
                  </w:r>
                </w:p>
              </w:tc>
              <w:tc>
                <w:tcPr>
                  <w:tcW w:w="789" w:type="dxa"/>
                </w:tcPr>
                <w:p w:rsidRPr="002A1F9A" w:rsidR="00850DFF" w:rsidP="00850DFF" w:rsidRDefault="00850DFF" w14:paraId="07DD17FC" w14:textId="79260B3B">
                  <w:pPr>
                    <w:rPr>
                      <w:rFonts w:ascii="Verdana" w:hAnsi="Verdana"/>
                      <w:sz w:val="14"/>
                      <w:szCs w:val="14"/>
                    </w:rPr>
                  </w:pPr>
                  <w:r w:rsidRPr="002A1F9A">
                    <w:rPr>
                      <w:rFonts w:ascii="Verdana" w:hAnsi="Verdana"/>
                      <w:sz w:val="14"/>
                      <w:szCs w:val="14"/>
                    </w:rPr>
                    <w:t>3.595</w:t>
                  </w:r>
                </w:p>
              </w:tc>
            </w:tr>
            <w:tr w:rsidRPr="002A1F9A" w:rsidR="00850DFF" w:rsidTr="006776FB" w14:paraId="6F195255" w14:textId="47EDE069">
              <w:trPr>
                <w:trHeight w:val="272"/>
              </w:trPr>
              <w:tc>
                <w:tcPr>
                  <w:tcW w:w="2833" w:type="dxa"/>
                </w:tcPr>
                <w:p w:rsidRPr="002A1F9A" w:rsidR="00850DFF" w:rsidP="00850DFF" w:rsidRDefault="00850DFF" w14:paraId="0EC72837" w14:textId="4389C5DA">
                  <w:pPr>
                    <w:rPr>
                      <w:rFonts w:ascii="Verdana" w:hAnsi="Verdana"/>
                      <w:b/>
                      <w:bCs/>
                      <w:sz w:val="14"/>
                      <w:szCs w:val="14"/>
                    </w:rPr>
                  </w:pPr>
                  <w:r w:rsidRPr="002A1F9A">
                    <w:rPr>
                      <w:rFonts w:ascii="Verdana" w:hAnsi="Verdana"/>
                      <w:b/>
                      <w:bCs/>
                      <w:sz w:val="14"/>
                      <w:szCs w:val="14"/>
                    </w:rPr>
                    <w:t>4. Buitenpromovendus (eigen middelen)</w:t>
                  </w:r>
                </w:p>
              </w:tc>
              <w:tc>
                <w:tcPr>
                  <w:tcW w:w="851" w:type="dxa"/>
                </w:tcPr>
                <w:p w:rsidRPr="002A1F9A" w:rsidR="00850DFF" w:rsidP="00850DFF" w:rsidRDefault="00850DFF" w14:paraId="095E8AFE" w14:textId="177819EF">
                  <w:pPr>
                    <w:rPr>
                      <w:rFonts w:ascii="Verdana" w:hAnsi="Verdana"/>
                      <w:sz w:val="14"/>
                      <w:szCs w:val="14"/>
                    </w:rPr>
                  </w:pPr>
                  <w:r w:rsidRPr="002A1F9A">
                    <w:rPr>
                      <w:rFonts w:ascii="Verdana" w:hAnsi="Verdana"/>
                      <w:sz w:val="14"/>
                      <w:szCs w:val="14"/>
                    </w:rPr>
                    <w:t>5.791</w:t>
                  </w:r>
                </w:p>
              </w:tc>
              <w:tc>
                <w:tcPr>
                  <w:tcW w:w="850" w:type="dxa"/>
                </w:tcPr>
                <w:p w:rsidRPr="002A1F9A" w:rsidR="00850DFF" w:rsidP="00850DFF" w:rsidRDefault="00850DFF" w14:paraId="0B06F0EB" w14:textId="7587A237">
                  <w:pPr>
                    <w:rPr>
                      <w:rFonts w:ascii="Verdana" w:hAnsi="Verdana"/>
                      <w:sz w:val="14"/>
                      <w:szCs w:val="14"/>
                    </w:rPr>
                  </w:pPr>
                  <w:r w:rsidRPr="002A1F9A">
                    <w:rPr>
                      <w:rFonts w:ascii="Verdana" w:hAnsi="Verdana"/>
                      <w:sz w:val="14"/>
                      <w:szCs w:val="14"/>
                    </w:rPr>
                    <w:t>6.015</w:t>
                  </w:r>
                </w:p>
              </w:tc>
              <w:tc>
                <w:tcPr>
                  <w:tcW w:w="851" w:type="dxa"/>
                </w:tcPr>
                <w:p w:rsidRPr="002A1F9A" w:rsidR="00850DFF" w:rsidP="00850DFF" w:rsidRDefault="00850DFF" w14:paraId="24551528" w14:textId="6F670141">
                  <w:pPr>
                    <w:rPr>
                      <w:rFonts w:ascii="Verdana" w:hAnsi="Verdana"/>
                      <w:sz w:val="14"/>
                      <w:szCs w:val="14"/>
                    </w:rPr>
                  </w:pPr>
                  <w:r w:rsidRPr="002A1F9A">
                    <w:rPr>
                      <w:rFonts w:ascii="Verdana" w:hAnsi="Verdana"/>
                      <w:sz w:val="14"/>
                      <w:szCs w:val="14"/>
                    </w:rPr>
                    <w:t>5.845</w:t>
                  </w:r>
                </w:p>
              </w:tc>
              <w:tc>
                <w:tcPr>
                  <w:tcW w:w="789" w:type="dxa"/>
                </w:tcPr>
                <w:p w:rsidRPr="002A1F9A" w:rsidR="00850DFF" w:rsidP="00850DFF" w:rsidRDefault="00850DFF" w14:paraId="0BC6E906" w14:textId="5DA7FC65">
                  <w:pPr>
                    <w:rPr>
                      <w:rFonts w:ascii="Verdana" w:hAnsi="Verdana"/>
                      <w:sz w:val="14"/>
                      <w:szCs w:val="14"/>
                    </w:rPr>
                  </w:pPr>
                  <w:r w:rsidRPr="002A1F9A">
                    <w:rPr>
                      <w:rFonts w:ascii="Verdana" w:hAnsi="Verdana"/>
                      <w:sz w:val="14"/>
                      <w:szCs w:val="14"/>
                    </w:rPr>
                    <w:t>6.215</w:t>
                  </w:r>
                </w:p>
              </w:tc>
            </w:tr>
            <w:tr w:rsidRPr="002A1F9A" w:rsidR="00850DFF" w:rsidTr="006776FB" w14:paraId="4F8A18B2" w14:textId="77777777">
              <w:trPr>
                <w:trHeight w:val="272"/>
              </w:trPr>
              <w:tc>
                <w:tcPr>
                  <w:tcW w:w="2833" w:type="dxa"/>
                </w:tcPr>
                <w:p w:rsidRPr="002A1F9A" w:rsidR="00850DFF" w:rsidP="00850DFF" w:rsidRDefault="00850DFF" w14:paraId="7719FAD9" w14:textId="26D2A402">
                  <w:pPr>
                    <w:rPr>
                      <w:rFonts w:ascii="Verdana" w:hAnsi="Verdana"/>
                      <w:b/>
                      <w:bCs/>
                      <w:sz w:val="14"/>
                      <w:szCs w:val="14"/>
                    </w:rPr>
                  </w:pPr>
                  <w:r w:rsidRPr="002A1F9A">
                    <w:rPr>
                      <w:rFonts w:ascii="Verdana" w:hAnsi="Verdana"/>
                      <w:b/>
                      <w:bCs/>
                      <w:sz w:val="14"/>
                      <w:szCs w:val="14"/>
                    </w:rPr>
                    <w:t>Onbekend*</w:t>
                  </w:r>
                </w:p>
              </w:tc>
              <w:tc>
                <w:tcPr>
                  <w:tcW w:w="851" w:type="dxa"/>
                </w:tcPr>
                <w:p w:rsidRPr="002A1F9A" w:rsidR="00850DFF" w:rsidP="00850DFF" w:rsidRDefault="00850DFF" w14:paraId="3AB960ED" w14:textId="79EAB76A">
                  <w:pPr>
                    <w:rPr>
                      <w:rFonts w:ascii="Verdana" w:hAnsi="Verdana"/>
                      <w:sz w:val="14"/>
                      <w:szCs w:val="14"/>
                    </w:rPr>
                  </w:pPr>
                  <w:r w:rsidRPr="002A1F9A">
                    <w:rPr>
                      <w:rFonts w:ascii="Verdana" w:hAnsi="Verdana"/>
                      <w:sz w:val="14"/>
                      <w:szCs w:val="14"/>
                    </w:rPr>
                    <w:t>412</w:t>
                  </w:r>
                </w:p>
              </w:tc>
              <w:tc>
                <w:tcPr>
                  <w:tcW w:w="850" w:type="dxa"/>
                </w:tcPr>
                <w:p w:rsidRPr="002A1F9A" w:rsidR="00850DFF" w:rsidP="00850DFF" w:rsidRDefault="00850DFF" w14:paraId="74C834F1" w14:textId="3C8B63C8">
                  <w:pPr>
                    <w:rPr>
                      <w:rFonts w:ascii="Verdana" w:hAnsi="Verdana"/>
                      <w:sz w:val="14"/>
                      <w:szCs w:val="14"/>
                    </w:rPr>
                  </w:pPr>
                  <w:r w:rsidRPr="002A1F9A">
                    <w:rPr>
                      <w:rFonts w:ascii="Verdana" w:hAnsi="Verdana"/>
                      <w:sz w:val="14"/>
                      <w:szCs w:val="14"/>
                    </w:rPr>
                    <w:t>563</w:t>
                  </w:r>
                </w:p>
              </w:tc>
              <w:tc>
                <w:tcPr>
                  <w:tcW w:w="851" w:type="dxa"/>
                </w:tcPr>
                <w:p w:rsidRPr="002A1F9A" w:rsidR="00850DFF" w:rsidP="00850DFF" w:rsidRDefault="00850DFF" w14:paraId="3FA40161" w14:textId="4A7FB650">
                  <w:pPr>
                    <w:rPr>
                      <w:rFonts w:ascii="Verdana" w:hAnsi="Verdana"/>
                      <w:sz w:val="14"/>
                      <w:szCs w:val="14"/>
                    </w:rPr>
                  </w:pPr>
                  <w:r w:rsidRPr="002A1F9A">
                    <w:rPr>
                      <w:rFonts w:ascii="Verdana" w:hAnsi="Verdana"/>
                      <w:sz w:val="14"/>
                      <w:szCs w:val="14"/>
                    </w:rPr>
                    <w:t>1.860</w:t>
                  </w:r>
                </w:p>
              </w:tc>
              <w:tc>
                <w:tcPr>
                  <w:tcW w:w="789" w:type="dxa"/>
                </w:tcPr>
                <w:p w:rsidRPr="002A1F9A" w:rsidR="00850DFF" w:rsidP="00850DFF" w:rsidRDefault="00850DFF" w14:paraId="11D5BB96" w14:textId="2081FFEB">
                  <w:pPr>
                    <w:rPr>
                      <w:rFonts w:ascii="Verdana" w:hAnsi="Verdana"/>
                      <w:sz w:val="14"/>
                      <w:szCs w:val="14"/>
                    </w:rPr>
                  </w:pPr>
                  <w:r w:rsidRPr="002A1F9A">
                    <w:rPr>
                      <w:rFonts w:ascii="Verdana" w:hAnsi="Verdana"/>
                      <w:sz w:val="14"/>
                      <w:szCs w:val="14"/>
                    </w:rPr>
                    <w:t>2.825</w:t>
                  </w:r>
                </w:p>
              </w:tc>
            </w:tr>
            <w:tr w:rsidRPr="002A1F9A" w:rsidR="00850DFF" w:rsidTr="006776FB" w14:paraId="4EF867DB" w14:textId="77777777">
              <w:trPr>
                <w:trHeight w:val="272"/>
              </w:trPr>
              <w:tc>
                <w:tcPr>
                  <w:tcW w:w="2833" w:type="dxa"/>
                </w:tcPr>
                <w:p w:rsidRPr="002A1F9A" w:rsidR="00850DFF" w:rsidP="00850DFF" w:rsidRDefault="00850DFF" w14:paraId="6D1293A9" w14:textId="3643A094">
                  <w:pPr>
                    <w:rPr>
                      <w:rFonts w:ascii="Verdana" w:hAnsi="Verdana"/>
                      <w:b/>
                      <w:bCs/>
                      <w:sz w:val="14"/>
                      <w:szCs w:val="14"/>
                    </w:rPr>
                  </w:pPr>
                  <w:r w:rsidRPr="002A1F9A">
                    <w:rPr>
                      <w:rFonts w:ascii="Verdana" w:hAnsi="Verdana"/>
                      <w:b/>
                      <w:bCs/>
                      <w:sz w:val="14"/>
                      <w:szCs w:val="14"/>
                    </w:rPr>
                    <w:t>Totaal</w:t>
                  </w:r>
                </w:p>
              </w:tc>
              <w:tc>
                <w:tcPr>
                  <w:tcW w:w="851" w:type="dxa"/>
                </w:tcPr>
                <w:p w:rsidRPr="002A1F9A" w:rsidR="00850DFF" w:rsidP="00850DFF" w:rsidRDefault="00850DFF" w14:paraId="7CB7AC35" w14:textId="5B742F2C">
                  <w:pPr>
                    <w:rPr>
                      <w:rFonts w:ascii="Verdana" w:hAnsi="Verdana"/>
                      <w:sz w:val="14"/>
                      <w:szCs w:val="14"/>
                    </w:rPr>
                  </w:pPr>
                  <w:r w:rsidRPr="002A1F9A">
                    <w:rPr>
                      <w:rFonts w:ascii="Verdana" w:hAnsi="Verdana"/>
                      <w:sz w:val="14"/>
                      <w:szCs w:val="14"/>
                    </w:rPr>
                    <w:t>40.206</w:t>
                  </w:r>
                </w:p>
              </w:tc>
              <w:tc>
                <w:tcPr>
                  <w:tcW w:w="850" w:type="dxa"/>
                </w:tcPr>
                <w:p w:rsidRPr="002A1F9A" w:rsidR="00850DFF" w:rsidP="00850DFF" w:rsidRDefault="00850DFF" w14:paraId="2D566A29" w14:textId="134289EC">
                  <w:pPr>
                    <w:rPr>
                      <w:rFonts w:ascii="Verdana" w:hAnsi="Verdana"/>
                      <w:sz w:val="14"/>
                      <w:szCs w:val="14"/>
                    </w:rPr>
                  </w:pPr>
                  <w:r w:rsidRPr="002A1F9A">
                    <w:rPr>
                      <w:rFonts w:ascii="Verdana" w:hAnsi="Verdana"/>
                      <w:sz w:val="14"/>
                      <w:szCs w:val="14"/>
                    </w:rPr>
                    <w:t>39.362</w:t>
                  </w:r>
                </w:p>
              </w:tc>
              <w:tc>
                <w:tcPr>
                  <w:tcW w:w="851" w:type="dxa"/>
                </w:tcPr>
                <w:p w:rsidRPr="002A1F9A" w:rsidR="00850DFF" w:rsidP="00850DFF" w:rsidRDefault="00850DFF" w14:paraId="673378F0" w14:textId="7AB1DB87">
                  <w:pPr>
                    <w:rPr>
                      <w:rFonts w:ascii="Verdana" w:hAnsi="Verdana"/>
                      <w:sz w:val="14"/>
                      <w:szCs w:val="14"/>
                    </w:rPr>
                  </w:pPr>
                  <w:r w:rsidRPr="002A1F9A">
                    <w:rPr>
                      <w:rFonts w:ascii="Verdana" w:hAnsi="Verdana"/>
                      <w:sz w:val="14"/>
                      <w:szCs w:val="14"/>
                    </w:rPr>
                    <w:t>37.334</w:t>
                  </w:r>
                </w:p>
              </w:tc>
              <w:tc>
                <w:tcPr>
                  <w:tcW w:w="789" w:type="dxa"/>
                </w:tcPr>
                <w:p w:rsidRPr="002A1F9A" w:rsidR="00850DFF" w:rsidP="00850DFF" w:rsidRDefault="00850DFF" w14:paraId="3CB38B6B" w14:textId="143FBE1C">
                  <w:pPr>
                    <w:rPr>
                      <w:rFonts w:ascii="Verdana" w:hAnsi="Verdana"/>
                      <w:sz w:val="14"/>
                      <w:szCs w:val="14"/>
                    </w:rPr>
                  </w:pPr>
                  <w:r w:rsidRPr="002A1F9A">
                    <w:rPr>
                      <w:rFonts w:ascii="Verdana" w:hAnsi="Verdana"/>
                      <w:sz w:val="14"/>
                      <w:szCs w:val="14"/>
                    </w:rPr>
                    <w:t>36.419</w:t>
                  </w:r>
                </w:p>
              </w:tc>
            </w:tr>
          </w:tbl>
          <w:p w:rsidRPr="002A1F9A" w:rsidR="00850DFF" w:rsidP="00850DFF" w:rsidRDefault="00850DFF" w14:paraId="2EE0F905" w14:textId="77777777">
            <w:pPr>
              <w:rPr>
                <w:rFonts w:ascii="Verdana" w:hAnsi="Verdana"/>
                <w:sz w:val="14"/>
                <w:szCs w:val="14"/>
              </w:rPr>
            </w:pPr>
            <w:r w:rsidRPr="002A1F9A">
              <w:rPr>
                <w:rFonts w:ascii="Verdana" w:hAnsi="Verdana"/>
                <w:sz w:val="14"/>
                <w:szCs w:val="14"/>
              </w:rPr>
              <w:t>*Het aantal ‘Onbekend’ neemt over tijd af vanwege verbeterde promovendiregistratiesystemen bij de universiteiten.</w:t>
            </w:r>
          </w:p>
          <w:p w:rsidRPr="002A1F9A" w:rsidR="00850DFF" w:rsidP="00850DFF" w:rsidRDefault="00850DFF" w14:paraId="2BE12601" w14:textId="77777777">
            <w:pPr>
              <w:rPr>
                <w:rFonts w:ascii="Verdana" w:hAnsi="Verdana"/>
                <w:sz w:val="18"/>
                <w:szCs w:val="18"/>
              </w:rPr>
            </w:pPr>
          </w:p>
        </w:tc>
        <w:tc>
          <w:tcPr>
            <w:tcW w:w="850" w:type="dxa"/>
          </w:tcPr>
          <w:p w:rsidRPr="002A1F9A" w:rsidR="00850DFF" w:rsidP="00850DFF" w:rsidRDefault="00850DFF" w14:paraId="777BBD31" w14:textId="77777777">
            <w:pPr>
              <w:jc w:val="right"/>
              <w:rPr>
                <w:rFonts w:ascii="Verdana" w:hAnsi="Verdana"/>
                <w:sz w:val="18"/>
                <w:szCs w:val="18"/>
              </w:rPr>
            </w:pPr>
          </w:p>
        </w:tc>
        <w:tc>
          <w:tcPr>
            <w:tcW w:w="992" w:type="dxa"/>
          </w:tcPr>
          <w:p w:rsidRPr="002A1F9A" w:rsidR="00850DFF" w:rsidP="00850DFF" w:rsidRDefault="00850DFF" w14:paraId="6115EFEB" w14:textId="77777777">
            <w:pPr>
              <w:jc w:val="right"/>
              <w:rPr>
                <w:rFonts w:ascii="Verdana" w:hAnsi="Verdana"/>
                <w:sz w:val="18"/>
                <w:szCs w:val="18"/>
              </w:rPr>
            </w:pPr>
          </w:p>
        </w:tc>
        <w:tc>
          <w:tcPr>
            <w:tcW w:w="567" w:type="dxa"/>
            <w:tcBorders>
              <w:left w:val="nil"/>
            </w:tcBorders>
          </w:tcPr>
          <w:p w:rsidRPr="002A1F9A" w:rsidR="00850DFF" w:rsidP="00850DFF" w:rsidRDefault="00850DFF" w14:paraId="21A1F299"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1E664113" w14:textId="77777777">
        <w:tc>
          <w:tcPr>
            <w:tcW w:w="567" w:type="dxa"/>
          </w:tcPr>
          <w:p w:rsidRPr="002A1F9A" w:rsidR="00850DFF" w:rsidP="00850DFF" w:rsidRDefault="00850DFF" w14:paraId="4A860447" w14:textId="77777777">
            <w:pPr>
              <w:rPr>
                <w:rFonts w:ascii="Verdana" w:hAnsi="Verdana"/>
                <w:sz w:val="18"/>
                <w:szCs w:val="18"/>
              </w:rPr>
            </w:pPr>
            <w:r w:rsidRPr="002A1F9A">
              <w:rPr>
                <w:rFonts w:ascii="Verdana" w:hAnsi="Verdana"/>
                <w:sz w:val="18"/>
                <w:szCs w:val="18"/>
              </w:rPr>
              <w:t>6</w:t>
            </w:r>
          </w:p>
        </w:tc>
        <w:tc>
          <w:tcPr>
            <w:tcW w:w="6521" w:type="dxa"/>
          </w:tcPr>
          <w:p w:rsidRPr="002A1F9A" w:rsidR="00850DFF" w:rsidP="00850DFF" w:rsidRDefault="00850DFF" w14:paraId="067D10C7" w14:textId="77777777">
            <w:pPr>
              <w:rPr>
                <w:rFonts w:ascii="Verdana" w:hAnsi="Verdana"/>
                <w:sz w:val="18"/>
                <w:szCs w:val="18"/>
              </w:rPr>
            </w:pPr>
            <w:bookmarkStart w:name="_Hlk212541613" w:id="2"/>
            <w:r w:rsidRPr="002A1F9A">
              <w:rPr>
                <w:rFonts w:ascii="Verdana" w:hAnsi="Verdana"/>
                <w:sz w:val="18"/>
                <w:szCs w:val="18"/>
              </w:rPr>
              <w:t>Kunt u de (verwachte) ontwikkeling laten zien van de rijksbijdrage per student voor de periode 2000-2030?</w:t>
            </w:r>
          </w:p>
          <w:bookmarkEnd w:id="2"/>
          <w:p w:rsidRPr="002A1F9A" w:rsidR="00462742" w:rsidP="00850DFF" w:rsidRDefault="00462742" w14:paraId="2481ED94" w14:textId="77777777">
            <w:pPr>
              <w:rPr>
                <w:rFonts w:ascii="Verdana" w:hAnsi="Verdana"/>
                <w:sz w:val="18"/>
                <w:szCs w:val="18"/>
              </w:rPr>
            </w:pPr>
          </w:p>
          <w:p w:rsidRPr="002A1F9A" w:rsidR="00462742" w:rsidP="00462742" w:rsidRDefault="00462742" w14:paraId="113D1EFF" w14:textId="081E926F">
            <w:pPr>
              <w:rPr>
                <w:rFonts w:ascii="Verdana" w:hAnsi="Verdana"/>
                <w:sz w:val="18"/>
                <w:szCs w:val="18"/>
              </w:rPr>
            </w:pPr>
            <w:bookmarkStart w:name="_Hlk212541592" w:id="3"/>
            <w:r w:rsidRPr="002A1F9A">
              <w:rPr>
                <w:rFonts w:ascii="Verdana" w:hAnsi="Verdana"/>
                <w:sz w:val="18"/>
                <w:szCs w:val="18"/>
              </w:rPr>
              <w:t xml:space="preserve">De hoogte van de rijksbijdrage per student is afhankelijk van een aantal factoren. </w:t>
            </w:r>
            <w:r w:rsidRPr="002A1F9A">
              <w:rPr>
                <w:rFonts w:ascii="Verdana" w:hAnsi="Verdana"/>
                <w:sz w:val="18"/>
                <w:szCs w:val="18"/>
              </w:rPr>
              <w:br/>
              <w:t xml:space="preserve">Allereerst wordt jaarlijks aan de hand van de referentieraming het macrobudget bijgesteld. Voor de budgettaire verwerking wordt gebruikt gemaakt van de onderwijsuitgaven per student en het </w:t>
            </w:r>
            <w:r w:rsidRPr="002A1F9A" w:rsidR="00343185">
              <w:rPr>
                <w:rFonts w:ascii="Verdana" w:hAnsi="Verdana"/>
                <w:sz w:val="18"/>
                <w:szCs w:val="18"/>
              </w:rPr>
              <w:t>verschil in</w:t>
            </w:r>
            <w:r w:rsidRPr="002A1F9A">
              <w:rPr>
                <w:rFonts w:ascii="Verdana" w:hAnsi="Verdana"/>
                <w:sz w:val="18"/>
                <w:szCs w:val="18"/>
              </w:rPr>
              <w:t xml:space="preserve"> studenten tussen de actuele raming en de voorgaande raming. Een stijging van het aantal studenten</w:t>
            </w:r>
            <w:r w:rsidRPr="002A1F9A" w:rsidR="003B043F">
              <w:rPr>
                <w:rFonts w:ascii="Verdana" w:hAnsi="Verdana"/>
                <w:sz w:val="18"/>
                <w:szCs w:val="18"/>
              </w:rPr>
              <w:t xml:space="preserve"> bij een gelijkblijvend onderwijsbudget</w:t>
            </w:r>
            <w:r w:rsidRPr="002A1F9A">
              <w:rPr>
                <w:rFonts w:ascii="Verdana" w:hAnsi="Verdana"/>
                <w:sz w:val="18"/>
                <w:szCs w:val="18"/>
              </w:rPr>
              <w:t xml:space="preserve">, kan daarom resulteren in een lagere rijksbijdrage (onderwijs en onderzoek) per student. </w:t>
            </w:r>
          </w:p>
          <w:p w:rsidRPr="002A1F9A" w:rsidR="00462742" w:rsidP="00462742" w:rsidRDefault="00462742" w14:paraId="70DAC7A5" w14:textId="77777777">
            <w:pPr>
              <w:rPr>
                <w:rFonts w:ascii="Verdana" w:hAnsi="Verdana"/>
                <w:color w:val="FF0000"/>
                <w:sz w:val="18"/>
                <w:szCs w:val="18"/>
              </w:rPr>
            </w:pPr>
            <w:r w:rsidRPr="002A1F9A">
              <w:rPr>
                <w:rFonts w:ascii="Verdana" w:hAnsi="Verdana"/>
                <w:sz w:val="18"/>
                <w:szCs w:val="18"/>
              </w:rPr>
              <w:t>Naast deze autonome ontwikkeling kunnen er extra middelen worden toegevoegd aan de Rijksbijdrage of kunnen de taken van instellingen worden uitgebreid (bijvoorbeeld meer aandacht voor studievoortgang en studentbegeleiding).</w:t>
            </w:r>
            <w:r w:rsidRPr="002A1F9A">
              <w:rPr>
                <w:rFonts w:ascii="Verdana" w:hAnsi="Verdana"/>
                <w:color w:val="FF0000"/>
                <w:sz w:val="18"/>
                <w:szCs w:val="18"/>
              </w:rPr>
              <w:t xml:space="preserve"> </w:t>
            </w:r>
          </w:p>
          <w:p w:rsidRPr="002A1F9A" w:rsidR="00462742" w:rsidP="00462742" w:rsidRDefault="00462742" w14:paraId="1429E8D3" w14:textId="33BD894A">
            <w:pPr>
              <w:rPr>
                <w:rFonts w:ascii="Verdana" w:hAnsi="Verdana"/>
                <w:sz w:val="18"/>
                <w:szCs w:val="18"/>
              </w:rPr>
            </w:pPr>
            <w:r w:rsidRPr="002A1F9A">
              <w:rPr>
                <w:rFonts w:ascii="Verdana" w:hAnsi="Verdana"/>
                <w:sz w:val="18"/>
                <w:szCs w:val="18"/>
              </w:rPr>
              <w:t xml:space="preserve">In onderstaande grafiek en tabel is de (verwachte) ontwikkeling te zien van de rijksbijdrage per student voor de periode 2000-2030. Dit omvat zowel onderwijs- als </w:t>
            </w:r>
            <w:proofErr w:type="spellStart"/>
            <w:r w:rsidRPr="002A1F9A">
              <w:rPr>
                <w:rFonts w:ascii="Verdana" w:hAnsi="Verdana"/>
                <w:sz w:val="18"/>
                <w:szCs w:val="18"/>
              </w:rPr>
              <w:t>onderzoeksbekostiging</w:t>
            </w:r>
            <w:proofErr w:type="spellEnd"/>
            <w:r w:rsidRPr="002A1F9A">
              <w:rPr>
                <w:rFonts w:ascii="Verdana" w:hAnsi="Verdana"/>
                <w:sz w:val="18"/>
                <w:szCs w:val="18"/>
              </w:rPr>
              <w:t xml:space="preserve">. De gegevens zijn afkomstig uit de referentieramingen, de jaarverslagen en de begroting 2026 van </w:t>
            </w:r>
            <w:r w:rsidRPr="002A1F9A" w:rsidR="009A3C2E">
              <w:rPr>
                <w:rFonts w:ascii="Verdana" w:hAnsi="Verdana"/>
                <w:sz w:val="18"/>
                <w:szCs w:val="18"/>
              </w:rPr>
              <w:t xml:space="preserve">het ministerie van </w:t>
            </w:r>
            <w:r w:rsidRPr="002A1F9A">
              <w:rPr>
                <w:rFonts w:ascii="Verdana" w:hAnsi="Verdana"/>
                <w:sz w:val="18"/>
                <w:szCs w:val="18"/>
              </w:rPr>
              <w:t xml:space="preserve">OCW en zijn gecorrigeerd voor inflatie. </w:t>
            </w:r>
          </w:p>
          <w:p w:rsidRPr="002A1F9A" w:rsidR="00462742" w:rsidP="00462742" w:rsidRDefault="00462742" w14:paraId="26D59F13" w14:textId="77777777">
            <w:pPr>
              <w:rPr>
                <w:rFonts w:ascii="Verdana" w:hAnsi="Verdana"/>
                <w:sz w:val="18"/>
                <w:szCs w:val="18"/>
              </w:rPr>
            </w:pPr>
            <w:r w:rsidRPr="002A1F9A">
              <w:rPr>
                <w:rFonts w:ascii="Verdana" w:hAnsi="Verdana"/>
                <w:sz w:val="18"/>
                <w:szCs w:val="18"/>
              </w:rPr>
              <w:t>Belangrijk om te vermelden is dat in de gevraagde periode twee verschillende berekeningsmethoden gehanteerd zijn. Namelijk:</w:t>
            </w:r>
          </w:p>
          <w:p w:rsidRPr="002A1F9A" w:rsidR="00462742" w:rsidP="00462742" w:rsidRDefault="00462742" w14:paraId="6C446D1F" w14:textId="77777777">
            <w:pPr>
              <w:numPr>
                <w:ilvl w:val="0"/>
                <w:numId w:val="4"/>
              </w:numPr>
              <w:rPr>
                <w:rFonts w:ascii="Verdana" w:hAnsi="Verdana"/>
                <w:sz w:val="18"/>
                <w:szCs w:val="18"/>
              </w:rPr>
            </w:pPr>
            <w:r w:rsidRPr="002A1F9A">
              <w:rPr>
                <w:rFonts w:ascii="Verdana" w:hAnsi="Verdana"/>
                <w:sz w:val="18"/>
                <w:szCs w:val="18"/>
              </w:rPr>
              <w:t xml:space="preserve">In de jaren 2000 t/m 2010 is in de begroting uitgegaan van de totale begrotingsomvang exclusief apparaatskosten (dus bekostiging inclusief subsidies en opdrachten). </w:t>
            </w:r>
          </w:p>
          <w:p w:rsidRPr="002A1F9A" w:rsidR="00462742" w:rsidP="00462742" w:rsidRDefault="00462742" w14:paraId="181B3A92" w14:textId="77777777">
            <w:pPr>
              <w:numPr>
                <w:ilvl w:val="0"/>
                <w:numId w:val="4"/>
              </w:numPr>
              <w:rPr>
                <w:rFonts w:ascii="Verdana" w:hAnsi="Verdana"/>
                <w:sz w:val="18"/>
                <w:szCs w:val="18"/>
              </w:rPr>
            </w:pPr>
            <w:r w:rsidRPr="002A1F9A">
              <w:rPr>
                <w:rFonts w:ascii="Verdana" w:hAnsi="Verdana"/>
                <w:sz w:val="18"/>
                <w:szCs w:val="18"/>
              </w:rPr>
              <w:t xml:space="preserve">Voor de jaren 2011 t/m 2030 is uitgegaan van de totale rijksbijdrage (alleen bekostiging) aan de instellingen. </w:t>
            </w:r>
          </w:p>
          <w:p w:rsidRPr="002A1F9A" w:rsidR="00462742" w:rsidP="00462742" w:rsidRDefault="00462742" w14:paraId="67A2B3B3" w14:textId="77777777">
            <w:pPr>
              <w:rPr>
                <w:rFonts w:ascii="Verdana" w:hAnsi="Verdana"/>
                <w:sz w:val="18"/>
                <w:szCs w:val="18"/>
              </w:rPr>
            </w:pPr>
            <w:r w:rsidRPr="002A1F9A">
              <w:rPr>
                <w:rFonts w:ascii="Verdana" w:hAnsi="Verdana"/>
                <w:sz w:val="18"/>
                <w:szCs w:val="18"/>
              </w:rPr>
              <w:t xml:space="preserve">Dit maakt dat de rijksbijdrage per student over die twee periodes niet vergelijkbaar is. De rijksbijdrage per student in 2000 t/m 2010 is zeer waarschijnlijk een overschatting, doordat hier ook subsidies en opdrachten in zitten.  </w:t>
            </w:r>
          </w:p>
          <w:p w:rsidRPr="002A1F9A" w:rsidR="00462742" w:rsidP="00462742" w:rsidRDefault="00462742" w14:paraId="67D4D0DD" w14:textId="77777777">
            <w:pPr>
              <w:rPr>
                <w:rFonts w:ascii="Verdana" w:hAnsi="Verdana"/>
                <w:sz w:val="18"/>
                <w:szCs w:val="18"/>
              </w:rPr>
            </w:pPr>
            <w:r w:rsidRPr="002A1F9A">
              <w:rPr>
                <w:rFonts w:ascii="Verdana" w:hAnsi="Verdana"/>
                <w:sz w:val="18"/>
                <w:szCs w:val="18"/>
              </w:rPr>
              <w:t>In de grafiek is te zien dat de rijksbijdrage per student in de eerste periode tot 2010 daalt en daarna redelijk stabiliseert. Tussen 2020 en 2022 is een lichte stijging te zien.</w:t>
            </w:r>
          </w:p>
          <w:bookmarkEnd w:id="3"/>
          <w:p w:rsidRPr="002A1F9A" w:rsidR="00343185" w:rsidP="00462742" w:rsidRDefault="00343185" w14:paraId="593AE2C7" w14:textId="77777777">
            <w:pPr>
              <w:rPr>
                <w:rFonts w:ascii="Verdana" w:hAnsi="Verdana"/>
                <w:sz w:val="18"/>
                <w:szCs w:val="18"/>
              </w:rPr>
            </w:pPr>
          </w:p>
          <w:p w:rsidRPr="002A1F9A" w:rsidR="00462742" w:rsidP="00462742" w:rsidRDefault="0042407E" w14:paraId="0F64E4CB" w14:textId="70B5EA85">
            <w:r w:rsidRPr="002A1F9A">
              <w:object w:dxaOrig="9225" w:dyaOrig="5865" w14:anchorId="2784159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1.5pt;height:180pt" o:ole="" type="#_x0000_t75">
                  <v:imagedata o:title="" r:id="rId14"/>
                </v:shape>
                <o:OLEObject Type="Embed" ProgID="Paint.Picture" ShapeID="_x0000_i1025" DrawAspect="Content" ObjectID="_1824444843" r:id="rId15"/>
              </w:object>
            </w:r>
          </w:p>
          <w:p w:rsidRPr="002A1F9A" w:rsidR="00462742" w:rsidP="00462742" w:rsidRDefault="00462742" w14:paraId="105A5292" w14:textId="77777777"/>
          <w:tbl>
            <w:tblPr>
              <w:tblStyle w:val="Tabelraster"/>
              <w:tblpPr w:leftFromText="141" w:rightFromText="141" w:vertAnchor="text" w:horzAnchor="margin" w:tblpY="-280"/>
              <w:tblW w:w="3240" w:type="dxa"/>
              <w:tblLook w:val="04A0" w:firstRow="1" w:lastRow="0" w:firstColumn="1" w:lastColumn="0" w:noHBand="0" w:noVBand="1"/>
            </w:tblPr>
            <w:tblGrid>
              <w:gridCol w:w="1080"/>
              <w:gridCol w:w="1080"/>
              <w:gridCol w:w="1080"/>
            </w:tblGrid>
            <w:tr w:rsidRPr="002A1F9A" w:rsidR="00343185" w:rsidTr="0047315C" w14:paraId="6470B1C6" w14:textId="77777777">
              <w:trPr>
                <w:trHeight w:val="255"/>
              </w:trPr>
              <w:tc>
                <w:tcPr>
                  <w:tcW w:w="1080" w:type="dxa"/>
                  <w:noWrap/>
                  <w:hideMark/>
                </w:tcPr>
                <w:p w:rsidRPr="002A1F9A" w:rsidR="00343185" w:rsidP="00343185" w:rsidRDefault="00343185" w14:paraId="7AFD20E9" w14:textId="77777777">
                  <w:pPr>
                    <w:rPr>
                      <w:rFonts w:ascii="Verdana" w:hAnsi="Verdana"/>
                      <w:sz w:val="14"/>
                      <w:szCs w:val="14"/>
                    </w:rPr>
                  </w:pPr>
                </w:p>
              </w:tc>
              <w:tc>
                <w:tcPr>
                  <w:tcW w:w="1080" w:type="dxa"/>
                  <w:noWrap/>
                  <w:hideMark/>
                </w:tcPr>
                <w:p w:rsidRPr="002A1F9A" w:rsidR="00343185" w:rsidP="00343185" w:rsidRDefault="00343185" w14:paraId="5BE4859A" w14:textId="70EB79B2">
                  <w:pPr>
                    <w:rPr>
                      <w:rFonts w:ascii="Verdana" w:hAnsi="Verdana"/>
                      <w:b/>
                      <w:bCs/>
                      <w:sz w:val="14"/>
                      <w:szCs w:val="14"/>
                    </w:rPr>
                  </w:pPr>
                  <w:r w:rsidRPr="002A1F9A">
                    <w:rPr>
                      <w:rFonts w:ascii="Verdana" w:hAnsi="Verdana"/>
                      <w:b/>
                      <w:bCs/>
                      <w:sz w:val="14"/>
                      <w:szCs w:val="14"/>
                    </w:rPr>
                    <w:t>hbo</w:t>
                  </w:r>
                </w:p>
              </w:tc>
              <w:tc>
                <w:tcPr>
                  <w:tcW w:w="1080" w:type="dxa"/>
                  <w:noWrap/>
                  <w:hideMark/>
                </w:tcPr>
                <w:p w:rsidRPr="002A1F9A" w:rsidR="00343185" w:rsidP="00343185" w:rsidRDefault="00343185" w14:paraId="68E641A1" w14:textId="77777777">
                  <w:pPr>
                    <w:rPr>
                      <w:rFonts w:ascii="Verdana" w:hAnsi="Verdana"/>
                      <w:b/>
                      <w:bCs/>
                      <w:sz w:val="14"/>
                      <w:szCs w:val="14"/>
                    </w:rPr>
                  </w:pPr>
                  <w:r w:rsidRPr="002A1F9A">
                    <w:rPr>
                      <w:rFonts w:ascii="Verdana" w:hAnsi="Verdana"/>
                      <w:b/>
                      <w:bCs/>
                      <w:sz w:val="14"/>
                      <w:szCs w:val="14"/>
                    </w:rPr>
                    <w:t>wo</w:t>
                  </w:r>
                </w:p>
              </w:tc>
            </w:tr>
            <w:tr w:rsidRPr="002A1F9A" w:rsidR="00343185" w:rsidTr="0047315C" w14:paraId="056B9F9C" w14:textId="77777777">
              <w:trPr>
                <w:trHeight w:val="255"/>
              </w:trPr>
              <w:tc>
                <w:tcPr>
                  <w:tcW w:w="1080" w:type="dxa"/>
                  <w:noWrap/>
                  <w:hideMark/>
                </w:tcPr>
                <w:p w:rsidRPr="002A1F9A" w:rsidR="00343185" w:rsidP="00343185" w:rsidRDefault="00343185" w14:paraId="5260F589" w14:textId="77777777">
                  <w:pPr>
                    <w:rPr>
                      <w:rFonts w:ascii="Verdana" w:hAnsi="Verdana"/>
                      <w:b/>
                      <w:bCs/>
                      <w:sz w:val="14"/>
                      <w:szCs w:val="14"/>
                    </w:rPr>
                  </w:pPr>
                  <w:r w:rsidRPr="002A1F9A">
                    <w:rPr>
                      <w:rFonts w:ascii="Verdana" w:hAnsi="Verdana"/>
                      <w:b/>
                      <w:bCs/>
                      <w:sz w:val="14"/>
                      <w:szCs w:val="14"/>
                    </w:rPr>
                    <w:t>2000</w:t>
                  </w:r>
                </w:p>
              </w:tc>
              <w:tc>
                <w:tcPr>
                  <w:tcW w:w="1080" w:type="dxa"/>
                  <w:noWrap/>
                  <w:hideMark/>
                </w:tcPr>
                <w:p w:rsidRPr="002A1F9A" w:rsidR="00343185" w:rsidP="00343185" w:rsidRDefault="00343185" w14:paraId="6CB8653B" w14:textId="77777777">
                  <w:pPr>
                    <w:rPr>
                      <w:rFonts w:ascii="Verdana" w:hAnsi="Verdana"/>
                      <w:sz w:val="14"/>
                      <w:szCs w:val="14"/>
                    </w:rPr>
                  </w:pPr>
                  <w:r w:rsidRPr="002A1F9A">
                    <w:rPr>
                      <w:rFonts w:ascii="Verdana" w:hAnsi="Verdana"/>
                      <w:sz w:val="14"/>
                      <w:szCs w:val="14"/>
                    </w:rPr>
                    <w:t xml:space="preserve">     8.219 </w:t>
                  </w:r>
                </w:p>
              </w:tc>
              <w:tc>
                <w:tcPr>
                  <w:tcW w:w="1080" w:type="dxa"/>
                  <w:noWrap/>
                  <w:hideMark/>
                </w:tcPr>
                <w:p w:rsidRPr="002A1F9A" w:rsidR="00343185" w:rsidP="00343185" w:rsidRDefault="00343185" w14:paraId="791067D0" w14:textId="77777777">
                  <w:pPr>
                    <w:rPr>
                      <w:rFonts w:ascii="Verdana" w:hAnsi="Verdana"/>
                      <w:sz w:val="14"/>
                      <w:szCs w:val="14"/>
                    </w:rPr>
                  </w:pPr>
                  <w:r w:rsidRPr="002A1F9A">
                    <w:rPr>
                      <w:rFonts w:ascii="Verdana" w:hAnsi="Verdana"/>
                      <w:sz w:val="14"/>
                      <w:szCs w:val="14"/>
                    </w:rPr>
                    <w:t xml:space="preserve">   31.105 </w:t>
                  </w:r>
                </w:p>
              </w:tc>
            </w:tr>
            <w:tr w:rsidRPr="002A1F9A" w:rsidR="00343185" w:rsidTr="0047315C" w14:paraId="02C2D676" w14:textId="77777777">
              <w:trPr>
                <w:trHeight w:val="255"/>
              </w:trPr>
              <w:tc>
                <w:tcPr>
                  <w:tcW w:w="1080" w:type="dxa"/>
                  <w:noWrap/>
                  <w:hideMark/>
                </w:tcPr>
                <w:p w:rsidRPr="002A1F9A" w:rsidR="00343185" w:rsidP="00343185" w:rsidRDefault="00343185" w14:paraId="0CD6DFB1" w14:textId="77777777">
                  <w:pPr>
                    <w:rPr>
                      <w:rFonts w:ascii="Verdana" w:hAnsi="Verdana"/>
                      <w:b/>
                      <w:bCs/>
                      <w:sz w:val="14"/>
                      <w:szCs w:val="14"/>
                    </w:rPr>
                  </w:pPr>
                  <w:r w:rsidRPr="002A1F9A">
                    <w:rPr>
                      <w:rFonts w:ascii="Verdana" w:hAnsi="Verdana"/>
                      <w:b/>
                      <w:bCs/>
                      <w:sz w:val="14"/>
                      <w:szCs w:val="14"/>
                    </w:rPr>
                    <w:t>2001</w:t>
                  </w:r>
                </w:p>
              </w:tc>
              <w:tc>
                <w:tcPr>
                  <w:tcW w:w="1080" w:type="dxa"/>
                  <w:noWrap/>
                  <w:hideMark/>
                </w:tcPr>
                <w:p w:rsidRPr="002A1F9A" w:rsidR="00343185" w:rsidP="00343185" w:rsidRDefault="00343185" w14:paraId="2A504FBC" w14:textId="77777777">
                  <w:pPr>
                    <w:rPr>
                      <w:rFonts w:ascii="Verdana" w:hAnsi="Verdana"/>
                      <w:sz w:val="14"/>
                      <w:szCs w:val="14"/>
                    </w:rPr>
                  </w:pPr>
                  <w:r w:rsidRPr="002A1F9A">
                    <w:rPr>
                      <w:rFonts w:ascii="Verdana" w:hAnsi="Verdana"/>
                      <w:sz w:val="14"/>
                      <w:szCs w:val="14"/>
                    </w:rPr>
                    <w:t xml:space="preserve">     8.716 </w:t>
                  </w:r>
                </w:p>
              </w:tc>
              <w:tc>
                <w:tcPr>
                  <w:tcW w:w="1080" w:type="dxa"/>
                  <w:noWrap/>
                  <w:hideMark/>
                </w:tcPr>
                <w:p w:rsidRPr="002A1F9A" w:rsidR="00343185" w:rsidP="00343185" w:rsidRDefault="00343185" w14:paraId="660FAF3E" w14:textId="77777777">
                  <w:pPr>
                    <w:rPr>
                      <w:rFonts w:ascii="Verdana" w:hAnsi="Verdana"/>
                      <w:sz w:val="14"/>
                      <w:szCs w:val="14"/>
                    </w:rPr>
                  </w:pPr>
                  <w:r w:rsidRPr="002A1F9A">
                    <w:rPr>
                      <w:rFonts w:ascii="Verdana" w:hAnsi="Verdana"/>
                      <w:sz w:val="14"/>
                      <w:szCs w:val="14"/>
                    </w:rPr>
                    <w:t xml:space="preserve">   31.393 </w:t>
                  </w:r>
                </w:p>
              </w:tc>
            </w:tr>
            <w:tr w:rsidRPr="002A1F9A" w:rsidR="00343185" w:rsidTr="0047315C" w14:paraId="4D61AB14" w14:textId="77777777">
              <w:trPr>
                <w:trHeight w:val="255"/>
              </w:trPr>
              <w:tc>
                <w:tcPr>
                  <w:tcW w:w="1080" w:type="dxa"/>
                  <w:noWrap/>
                  <w:hideMark/>
                </w:tcPr>
                <w:p w:rsidRPr="002A1F9A" w:rsidR="00343185" w:rsidP="00343185" w:rsidRDefault="00343185" w14:paraId="07AA26CA" w14:textId="77777777">
                  <w:pPr>
                    <w:rPr>
                      <w:rFonts w:ascii="Verdana" w:hAnsi="Verdana"/>
                      <w:b/>
                      <w:bCs/>
                      <w:sz w:val="14"/>
                      <w:szCs w:val="14"/>
                    </w:rPr>
                  </w:pPr>
                  <w:r w:rsidRPr="002A1F9A">
                    <w:rPr>
                      <w:rFonts w:ascii="Verdana" w:hAnsi="Verdana"/>
                      <w:b/>
                      <w:bCs/>
                      <w:sz w:val="14"/>
                      <w:szCs w:val="14"/>
                    </w:rPr>
                    <w:t>2002</w:t>
                  </w:r>
                </w:p>
              </w:tc>
              <w:tc>
                <w:tcPr>
                  <w:tcW w:w="1080" w:type="dxa"/>
                  <w:noWrap/>
                  <w:hideMark/>
                </w:tcPr>
                <w:p w:rsidRPr="002A1F9A" w:rsidR="00343185" w:rsidP="00343185" w:rsidRDefault="00343185" w14:paraId="259ED686" w14:textId="77777777">
                  <w:pPr>
                    <w:rPr>
                      <w:rFonts w:ascii="Verdana" w:hAnsi="Verdana"/>
                      <w:sz w:val="14"/>
                      <w:szCs w:val="14"/>
                    </w:rPr>
                  </w:pPr>
                  <w:r w:rsidRPr="002A1F9A">
                    <w:rPr>
                      <w:rFonts w:ascii="Verdana" w:hAnsi="Verdana"/>
                      <w:sz w:val="14"/>
                      <w:szCs w:val="14"/>
                    </w:rPr>
                    <w:t xml:space="preserve">     8.839 </w:t>
                  </w:r>
                </w:p>
              </w:tc>
              <w:tc>
                <w:tcPr>
                  <w:tcW w:w="1080" w:type="dxa"/>
                  <w:noWrap/>
                  <w:hideMark/>
                </w:tcPr>
                <w:p w:rsidRPr="002A1F9A" w:rsidR="00343185" w:rsidP="00343185" w:rsidRDefault="00343185" w14:paraId="5998938F" w14:textId="77777777">
                  <w:pPr>
                    <w:rPr>
                      <w:rFonts w:ascii="Verdana" w:hAnsi="Verdana"/>
                      <w:sz w:val="14"/>
                      <w:szCs w:val="14"/>
                    </w:rPr>
                  </w:pPr>
                  <w:r w:rsidRPr="002A1F9A">
                    <w:rPr>
                      <w:rFonts w:ascii="Verdana" w:hAnsi="Verdana"/>
                      <w:sz w:val="14"/>
                      <w:szCs w:val="14"/>
                    </w:rPr>
                    <w:t xml:space="preserve">   30.529 </w:t>
                  </w:r>
                </w:p>
              </w:tc>
            </w:tr>
            <w:tr w:rsidRPr="002A1F9A" w:rsidR="00343185" w:rsidTr="0047315C" w14:paraId="3EE77ABF" w14:textId="77777777">
              <w:trPr>
                <w:trHeight w:val="255"/>
              </w:trPr>
              <w:tc>
                <w:tcPr>
                  <w:tcW w:w="1080" w:type="dxa"/>
                  <w:noWrap/>
                  <w:hideMark/>
                </w:tcPr>
                <w:p w:rsidRPr="002A1F9A" w:rsidR="00343185" w:rsidP="00343185" w:rsidRDefault="00343185" w14:paraId="36ED036B" w14:textId="77777777">
                  <w:pPr>
                    <w:rPr>
                      <w:rFonts w:ascii="Verdana" w:hAnsi="Verdana"/>
                      <w:b/>
                      <w:bCs/>
                      <w:sz w:val="14"/>
                      <w:szCs w:val="14"/>
                    </w:rPr>
                  </w:pPr>
                  <w:r w:rsidRPr="002A1F9A">
                    <w:rPr>
                      <w:rFonts w:ascii="Verdana" w:hAnsi="Verdana"/>
                      <w:b/>
                      <w:bCs/>
                      <w:sz w:val="14"/>
                      <w:szCs w:val="14"/>
                    </w:rPr>
                    <w:t>2003</w:t>
                  </w:r>
                </w:p>
              </w:tc>
              <w:tc>
                <w:tcPr>
                  <w:tcW w:w="1080" w:type="dxa"/>
                  <w:noWrap/>
                  <w:hideMark/>
                </w:tcPr>
                <w:p w:rsidRPr="002A1F9A" w:rsidR="00343185" w:rsidP="00343185" w:rsidRDefault="00343185" w14:paraId="3DA901F4" w14:textId="77777777">
                  <w:pPr>
                    <w:rPr>
                      <w:rFonts w:ascii="Verdana" w:hAnsi="Verdana"/>
                      <w:sz w:val="14"/>
                      <w:szCs w:val="14"/>
                    </w:rPr>
                  </w:pPr>
                  <w:r w:rsidRPr="002A1F9A">
                    <w:rPr>
                      <w:rFonts w:ascii="Verdana" w:hAnsi="Verdana"/>
                      <w:sz w:val="14"/>
                      <w:szCs w:val="14"/>
                    </w:rPr>
                    <w:t xml:space="preserve">     8.657 </w:t>
                  </w:r>
                </w:p>
              </w:tc>
              <w:tc>
                <w:tcPr>
                  <w:tcW w:w="1080" w:type="dxa"/>
                  <w:noWrap/>
                  <w:hideMark/>
                </w:tcPr>
                <w:p w:rsidRPr="002A1F9A" w:rsidR="00343185" w:rsidP="00343185" w:rsidRDefault="00343185" w14:paraId="17BCBE91" w14:textId="77777777">
                  <w:pPr>
                    <w:rPr>
                      <w:rFonts w:ascii="Verdana" w:hAnsi="Verdana"/>
                      <w:sz w:val="14"/>
                      <w:szCs w:val="14"/>
                    </w:rPr>
                  </w:pPr>
                  <w:r w:rsidRPr="002A1F9A">
                    <w:rPr>
                      <w:rFonts w:ascii="Verdana" w:hAnsi="Verdana"/>
                      <w:sz w:val="14"/>
                      <w:szCs w:val="14"/>
                    </w:rPr>
                    <w:t xml:space="preserve">   29.481 </w:t>
                  </w:r>
                </w:p>
              </w:tc>
            </w:tr>
            <w:tr w:rsidRPr="002A1F9A" w:rsidR="00343185" w:rsidTr="0047315C" w14:paraId="22AFDC03" w14:textId="77777777">
              <w:trPr>
                <w:trHeight w:val="255"/>
              </w:trPr>
              <w:tc>
                <w:tcPr>
                  <w:tcW w:w="1080" w:type="dxa"/>
                  <w:noWrap/>
                  <w:hideMark/>
                </w:tcPr>
                <w:p w:rsidRPr="002A1F9A" w:rsidR="00343185" w:rsidP="00343185" w:rsidRDefault="00343185" w14:paraId="515CC275" w14:textId="77777777">
                  <w:pPr>
                    <w:rPr>
                      <w:rFonts w:ascii="Verdana" w:hAnsi="Verdana"/>
                      <w:b/>
                      <w:bCs/>
                      <w:sz w:val="14"/>
                      <w:szCs w:val="14"/>
                    </w:rPr>
                  </w:pPr>
                  <w:r w:rsidRPr="002A1F9A">
                    <w:rPr>
                      <w:rFonts w:ascii="Verdana" w:hAnsi="Verdana"/>
                      <w:b/>
                      <w:bCs/>
                      <w:sz w:val="14"/>
                      <w:szCs w:val="14"/>
                    </w:rPr>
                    <w:t>2004</w:t>
                  </w:r>
                </w:p>
              </w:tc>
              <w:tc>
                <w:tcPr>
                  <w:tcW w:w="1080" w:type="dxa"/>
                  <w:noWrap/>
                  <w:hideMark/>
                </w:tcPr>
                <w:p w:rsidRPr="002A1F9A" w:rsidR="00343185" w:rsidP="00343185" w:rsidRDefault="00343185" w14:paraId="6E9CF0DF" w14:textId="77777777">
                  <w:pPr>
                    <w:rPr>
                      <w:rFonts w:ascii="Verdana" w:hAnsi="Verdana"/>
                      <w:sz w:val="14"/>
                      <w:szCs w:val="14"/>
                    </w:rPr>
                  </w:pPr>
                  <w:r w:rsidRPr="002A1F9A">
                    <w:rPr>
                      <w:rFonts w:ascii="Verdana" w:hAnsi="Verdana"/>
                      <w:sz w:val="14"/>
                      <w:szCs w:val="14"/>
                    </w:rPr>
                    <w:t xml:space="preserve">     8.685 </w:t>
                  </w:r>
                </w:p>
              </w:tc>
              <w:tc>
                <w:tcPr>
                  <w:tcW w:w="1080" w:type="dxa"/>
                  <w:noWrap/>
                  <w:hideMark/>
                </w:tcPr>
                <w:p w:rsidRPr="002A1F9A" w:rsidR="00343185" w:rsidP="00343185" w:rsidRDefault="00343185" w14:paraId="15D18A35" w14:textId="77777777">
                  <w:pPr>
                    <w:rPr>
                      <w:rFonts w:ascii="Verdana" w:hAnsi="Verdana"/>
                      <w:sz w:val="14"/>
                      <w:szCs w:val="14"/>
                    </w:rPr>
                  </w:pPr>
                  <w:r w:rsidRPr="002A1F9A">
                    <w:rPr>
                      <w:rFonts w:ascii="Verdana" w:hAnsi="Verdana"/>
                      <w:sz w:val="14"/>
                      <w:szCs w:val="14"/>
                    </w:rPr>
                    <w:t xml:space="preserve">   28.578 </w:t>
                  </w:r>
                </w:p>
              </w:tc>
            </w:tr>
            <w:tr w:rsidRPr="002A1F9A" w:rsidR="00343185" w:rsidTr="0047315C" w14:paraId="4219B729" w14:textId="77777777">
              <w:trPr>
                <w:trHeight w:val="255"/>
              </w:trPr>
              <w:tc>
                <w:tcPr>
                  <w:tcW w:w="1080" w:type="dxa"/>
                  <w:noWrap/>
                  <w:hideMark/>
                </w:tcPr>
                <w:p w:rsidRPr="002A1F9A" w:rsidR="00343185" w:rsidP="00343185" w:rsidRDefault="00343185" w14:paraId="4F9820E0" w14:textId="77777777">
                  <w:pPr>
                    <w:rPr>
                      <w:rFonts w:ascii="Verdana" w:hAnsi="Verdana"/>
                      <w:b/>
                      <w:bCs/>
                      <w:sz w:val="14"/>
                      <w:szCs w:val="14"/>
                    </w:rPr>
                  </w:pPr>
                  <w:r w:rsidRPr="002A1F9A">
                    <w:rPr>
                      <w:rFonts w:ascii="Verdana" w:hAnsi="Verdana"/>
                      <w:b/>
                      <w:bCs/>
                      <w:sz w:val="14"/>
                      <w:szCs w:val="14"/>
                    </w:rPr>
                    <w:t>2005</w:t>
                  </w:r>
                </w:p>
              </w:tc>
              <w:tc>
                <w:tcPr>
                  <w:tcW w:w="1080" w:type="dxa"/>
                  <w:noWrap/>
                  <w:hideMark/>
                </w:tcPr>
                <w:p w:rsidRPr="002A1F9A" w:rsidR="00343185" w:rsidP="00343185" w:rsidRDefault="00343185" w14:paraId="1A321DA6" w14:textId="77777777">
                  <w:pPr>
                    <w:rPr>
                      <w:rFonts w:ascii="Verdana" w:hAnsi="Verdana"/>
                      <w:sz w:val="14"/>
                      <w:szCs w:val="14"/>
                    </w:rPr>
                  </w:pPr>
                  <w:r w:rsidRPr="002A1F9A">
                    <w:rPr>
                      <w:rFonts w:ascii="Verdana" w:hAnsi="Verdana"/>
                      <w:sz w:val="14"/>
                      <w:szCs w:val="14"/>
                    </w:rPr>
                    <w:t xml:space="preserve">     8.757 </w:t>
                  </w:r>
                </w:p>
              </w:tc>
              <w:tc>
                <w:tcPr>
                  <w:tcW w:w="1080" w:type="dxa"/>
                  <w:noWrap/>
                  <w:hideMark/>
                </w:tcPr>
                <w:p w:rsidRPr="002A1F9A" w:rsidR="00343185" w:rsidP="00343185" w:rsidRDefault="00343185" w14:paraId="0FA82ED7" w14:textId="77777777">
                  <w:pPr>
                    <w:rPr>
                      <w:rFonts w:ascii="Verdana" w:hAnsi="Verdana"/>
                      <w:sz w:val="14"/>
                      <w:szCs w:val="14"/>
                    </w:rPr>
                  </w:pPr>
                  <w:r w:rsidRPr="002A1F9A">
                    <w:rPr>
                      <w:rFonts w:ascii="Verdana" w:hAnsi="Verdana"/>
                      <w:sz w:val="14"/>
                      <w:szCs w:val="14"/>
                    </w:rPr>
                    <w:t xml:space="preserve">   28.124 </w:t>
                  </w:r>
                </w:p>
              </w:tc>
            </w:tr>
            <w:tr w:rsidRPr="002A1F9A" w:rsidR="00343185" w:rsidTr="0047315C" w14:paraId="5159567C" w14:textId="77777777">
              <w:trPr>
                <w:trHeight w:val="255"/>
              </w:trPr>
              <w:tc>
                <w:tcPr>
                  <w:tcW w:w="1080" w:type="dxa"/>
                  <w:noWrap/>
                  <w:hideMark/>
                </w:tcPr>
                <w:p w:rsidRPr="002A1F9A" w:rsidR="00343185" w:rsidP="00343185" w:rsidRDefault="00343185" w14:paraId="6F947D8D" w14:textId="77777777">
                  <w:pPr>
                    <w:rPr>
                      <w:rFonts w:ascii="Verdana" w:hAnsi="Verdana"/>
                      <w:b/>
                      <w:bCs/>
                      <w:sz w:val="14"/>
                      <w:szCs w:val="14"/>
                    </w:rPr>
                  </w:pPr>
                  <w:r w:rsidRPr="002A1F9A">
                    <w:rPr>
                      <w:rFonts w:ascii="Verdana" w:hAnsi="Verdana"/>
                      <w:b/>
                      <w:bCs/>
                      <w:sz w:val="14"/>
                      <w:szCs w:val="14"/>
                    </w:rPr>
                    <w:t>2006</w:t>
                  </w:r>
                </w:p>
              </w:tc>
              <w:tc>
                <w:tcPr>
                  <w:tcW w:w="1080" w:type="dxa"/>
                  <w:noWrap/>
                  <w:hideMark/>
                </w:tcPr>
                <w:p w:rsidRPr="002A1F9A" w:rsidR="00343185" w:rsidP="00343185" w:rsidRDefault="00343185" w14:paraId="2EA18C60" w14:textId="77777777">
                  <w:pPr>
                    <w:rPr>
                      <w:rFonts w:ascii="Verdana" w:hAnsi="Verdana"/>
                      <w:sz w:val="14"/>
                      <w:szCs w:val="14"/>
                    </w:rPr>
                  </w:pPr>
                  <w:r w:rsidRPr="002A1F9A">
                    <w:rPr>
                      <w:rFonts w:ascii="Verdana" w:hAnsi="Verdana"/>
                      <w:sz w:val="14"/>
                      <w:szCs w:val="14"/>
                    </w:rPr>
                    <w:t xml:space="preserve">     8.687 </w:t>
                  </w:r>
                </w:p>
              </w:tc>
              <w:tc>
                <w:tcPr>
                  <w:tcW w:w="1080" w:type="dxa"/>
                  <w:noWrap/>
                  <w:hideMark/>
                </w:tcPr>
                <w:p w:rsidRPr="002A1F9A" w:rsidR="00343185" w:rsidP="00343185" w:rsidRDefault="00343185" w14:paraId="069305FC" w14:textId="77777777">
                  <w:pPr>
                    <w:rPr>
                      <w:rFonts w:ascii="Verdana" w:hAnsi="Verdana"/>
                      <w:sz w:val="14"/>
                      <w:szCs w:val="14"/>
                    </w:rPr>
                  </w:pPr>
                  <w:r w:rsidRPr="002A1F9A">
                    <w:rPr>
                      <w:rFonts w:ascii="Verdana" w:hAnsi="Verdana"/>
                      <w:sz w:val="14"/>
                      <w:szCs w:val="14"/>
                    </w:rPr>
                    <w:t xml:space="preserve">   27.351 </w:t>
                  </w:r>
                </w:p>
              </w:tc>
            </w:tr>
            <w:tr w:rsidRPr="002A1F9A" w:rsidR="00343185" w:rsidTr="0047315C" w14:paraId="093AA38F" w14:textId="77777777">
              <w:trPr>
                <w:trHeight w:val="255"/>
              </w:trPr>
              <w:tc>
                <w:tcPr>
                  <w:tcW w:w="1080" w:type="dxa"/>
                  <w:noWrap/>
                  <w:hideMark/>
                </w:tcPr>
                <w:p w:rsidRPr="002A1F9A" w:rsidR="00343185" w:rsidP="00343185" w:rsidRDefault="00343185" w14:paraId="6B57A6E4" w14:textId="77777777">
                  <w:pPr>
                    <w:rPr>
                      <w:rFonts w:ascii="Verdana" w:hAnsi="Verdana"/>
                      <w:b/>
                      <w:bCs/>
                      <w:sz w:val="14"/>
                      <w:szCs w:val="14"/>
                    </w:rPr>
                  </w:pPr>
                  <w:r w:rsidRPr="002A1F9A">
                    <w:rPr>
                      <w:rFonts w:ascii="Verdana" w:hAnsi="Verdana"/>
                      <w:b/>
                      <w:bCs/>
                      <w:sz w:val="14"/>
                      <w:szCs w:val="14"/>
                    </w:rPr>
                    <w:t>2007</w:t>
                  </w:r>
                </w:p>
              </w:tc>
              <w:tc>
                <w:tcPr>
                  <w:tcW w:w="1080" w:type="dxa"/>
                  <w:noWrap/>
                  <w:hideMark/>
                </w:tcPr>
                <w:p w:rsidRPr="002A1F9A" w:rsidR="00343185" w:rsidP="00343185" w:rsidRDefault="00343185" w14:paraId="1CAA5C7C" w14:textId="77777777">
                  <w:pPr>
                    <w:rPr>
                      <w:rFonts w:ascii="Verdana" w:hAnsi="Verdana"/>
                      <w:sz w:val="14"/>
                      <w:szCs w:val="14"/>
                    </w:rPr>
                  </w:pPr>
                  <w:r w:rsidRPr="002A1F9A">
                    <w:rPr>
                      <w:rFonts w:ascii="Verdana" w:hAnsi="Verdana"/>
                      <w:sz w:val="14"/>
                      <w:szCs w:val="14"/>
                    </w:rPr>
                    <w:t xml:space="preserve">     8.915 </w:t>
                  </w:r>
                </w:p>
              </w:tc>
              <w:tc>
                <w:tcPr>
                  <w:tcW w:w="1080" w:type="dxa"/>
                  <w:noWrap/>
                  <w:hideMark/>
                </w:tcPr>
                <w:p w:rsidRPr="002A1F9A" w:rsidR="00343185" w:rsidP="00343185" w:rsidRDefault="00343185" w14:paraId="4EAACB00" w14:textId="77777777">
                  <w:pPr>
                    <w:rPr>
                      <w:rFonts w:ascii="Verdana" w:hAnsi="Verdana"/>
                      <w:sz w:val="14"/>
                      <w:szCs w:val="14"/>
                    </w:rPr>
                  </w:pPr>
                  <w:r w:rsidRPr="002A1F9A">
                    <w:rPr>
                      <w:rFonts w:ascii="Verdana" w:hAnsi="Verdana"/>
                      <w:sz w:val="14"/>
                      <w:szCs w:val="14"/>
                    </w:rPr>
                    <w:t xml:space="preserve">   27.340 </w:t>
                  </w:r>
                </w:p>
              </w:tc>
            </w:tr>
            <w:tr w:rsidRPr="002A1F9A" w:rsidR="00343185" w:rsidTr="0047315C" w14:paraId="1EE1E4FE" w14:textId="77777777">
              <w:trPr>
                <w:trHeight w:val="255"/>
              </w:trPr>
              <w:tc>
                <w:tcPr>
                  <w:tcW w:w="1080" w:type="dxa"/>
                  <w:noWrap/>
                  <w:hideMark/>
                </w:tcPr>
                <w:p w:rsidRPr="002A1F9A" w:rsidR="00343185" w:rsidP="00343185" w:rsidRDefault="00343185" w14:paraId="29A14F49" w14:textId="77777777">
                  <w:pPr>
                    <w:rPr>
                      <w:rFonts w:ascii="Verdana" w:hAnsi="Verdana"/>
                      <w:b/>
                      <w:bCs/>
                      <w:sz w:val="14"/>
                      <w:szCs w:val="14"/>
                    </w:rPr>
                  </w:pPr>
                  <w:r w:rsidRPr="002A1F9A">
                    <w:rPr>
                      <w:rFonts w:ascii="Verdana" w:hAnsi="Verdana"/>
                      <w:b/>
                      <w:bCs/>
                      <w:sz w:val="14"/>
                      <w:szCs w:val="14"/>
                    </w:rPr>
                    <w:t>2008</w:t>
                  </w:r>
                </w:p>
              </w:tc>
              <w:tc>
                <w:tcPr>
                  <w:tcW w:w="1080" w:type="dxa"/>
                  <w:noWrap/>
                  <w:hideMark/>
                </w:tcPr>
                <w:p w:rsidRPr="002A1F9A" w:rsidR="00343185" w:rsidP="00343185" w:rsidRDefault="00343185" w14:paraId="2C6B6F0C" w14:textId="77777777">
                  <w:pPr>
                    <w:rPr>
                      <w:rFonts w:ascii="Verdana" w:hAnsi="Verdana"/>
                      <w:sz w:val="14"/>
                      <w:szCs w:val="14"/>
                    </w:rPr>
                  </w:pPr>
                  <w:r w:rsidRPr="002A1F9A">
                    <w:rPr>
                      <w:rFonts w:ascii="Verdana" w:hAnsi="Verdana"/>
                      <w:sz w:val="14"/>
                      <w:szCs w:val="14"/>
                    </w:rPr>
                    <w:t xml:space="preserve">     8.894 </w:t>
                  </w:r>
                </w:p>
              </w:tc>
              <w:tc>
                <w:tcPr>
                  <w:tcW w:w="1080" w:type="dxa"/>
                  <w:noWrap/>
                  <w:hideMark/>
                </w:tcPr>
                <w:p w:rsidRPr="002A1F9A" w:rsidR="00343185" w:rsidP="00343185" w:rsidRDefault="00343185" w14:paraId="308FFCCC" w14:textId="77777777">
                  <w:pPr>
                    <w:rPr>
                      <w:rFonts w:ascii="Verdana" w:hAnsi="Verdana"/>
                      <w:sz w:val="14"/>
                      <w:szCs w:val="14"/>
                    </w:rPr>
                  </w:pPr>
                  <w:r w:rsidRPr="002A1F9A">
                    <w:rPr>
                      <w:rFonts w:ascii="Verdana" w:hAnsi="Verdana"/>
                      <w:sz w:val="14"/>
                      <w:szCs w:val="14"/>
                    </w:rPr>
                    <w:t xml:space="preserve">   26.843 </w:t>
                  </w:r>
                </w:p>
              </w:tc>
            </w:tr>
            <w:tr w:rsidRPr="002A1F9A" w:rsidR="00343185" w:rsidTr="0047315C" w14:paraId="747DA8BA" w14:textId="77777777">
              <w:trPr>
                <w:trHeight w:val="255"/>
              </w:trPr>
              <w:tc>
                <w:tcPr>
                  <w:tcW w:w="1080" w:type="dxa"/>
                  <w:noWrap/>
                  <w:hideMark/>
                </w:tcPr>
                <w:p w:rsidRPr="002A1F9A" w:rsidR="00343185" w:rsidP="00343185" w:rsidRDefault="00343185" w14:paraId="5B1AB7AB" w14:textId="77777777">
                  <w:pPr>
                    <w:rPr>
                      <w:rFonts w:ascii="Verdana" w:hAnsi="Verdana"/>
                      <w:b/>
                      <w:bCs/>
                      <w:sz w:val="14"/>
                      <w:szCs w:val="14"/>
                    </w:rPr>
                  </w:pPr>
                  <w:r w:rsidRPr="002A1F9A">
                    <w:rPr>
                      <w:rFonts w:ascii="Verdana" w:hAnsi="Verdana"/>
                      <w:b/>
                      <w:bCs/>
                      <w:sz w:val="14"/>
                      <w:szCs w:val="14"/>
                    </w:rPr>
                    <w:t>2009</w:t>
                  </w:r>
                </w:p>
              </w:tc>
              <w:tc>
                <w:tcPr>
                  <w:tcW w:w="1080" w:type="dxa"/>
                  <w:noWrap/>
                  <w:hideMark/>
                </w:tcPr>
                <w:p w:rsidRPr="002A1F9A" w:rsidR="00343185" w:rsidP="00343185" w:rsidRDefault="00343185" w14:paraId="2B04FB55" w14:textId="77777777">
                  <w:pPr>
                    <w:rPr>
                      <w:rFonts w:ascii="Verdana" w:hAnsi="Verdana"/>
                      <w:sz w:val="14"/>
                      <w:szCs w:val="14"/>
                    </w:rPr>
                  </w:pPr>
                  <w:r w:rsidRPr="002A1F9A">
                    <w:rPr>
                      <w:rFonts w:ascii="Verdana" w:hAnsi="Verdana"/>
                      <w:sz w:val="14"/>
                      <w:szCs w:val="14"/>
                    </w:rPr>
                    <w:t xml:space="preserve">     9.178 </w:t>
                  </w:r>
                </w:p>
              </w:tc>
              <w:tc>
                <w:tcPr>
                  <w:tcW w:w="1080" w:type="dxa"/>
                  <w:noWrap/>
                  <w:hideMark/>
                </w:tcPr>
                <w:p w:rsidRPr="002A1F9A" w:rsidR="00343185" w:rsidP="00343185" w:rsidRDefault="00343185" w14:paraId="792AA80B" w14:textId="77777777">
                  <w:pPr>
                    <w:rPr>
                      <w:rFonts w:ascii="Verdana" w:hAnsi="Verdana"/>
                      <w:sz w:val="14"/>
                      <w:szCs w:val="14"/>
                    </w:rPr>
                  </w:pPr>
                  <w:r w:rsidRPr="002A1F9A">
                    <w:rPr>
                      <w:rFonts w:ascii="Verdana" w:hAnsi="Verdana"/>
                      <w:sz w:val="14"/>
                      <w:szCs w:val="14"/>
                    </w:rPr>
                    <w:t xml:space="preserve">   26.267 </w:t>
                  </w:r>
                </w:p>
              </w:tc>
            </w:tr>
            <w:tr w:rsidRPr="002A1F9A" w:rsidR="00343185" w:rsidTr="0047315C" w14:paraId="04E7ABB3" w14:textId="77777777">
              <w:trPr>
                <w:trHeight w:val="255"/>
              </w:trPr>
              <w:tc>
                <w:tcPr>
                  <w:tcW w:w="1080" w:type="dxa"/>
                  <w:noWrap/>
                  <w:hideMark/>
                </w:tcPr>
                <w:p w:rsidRPr="002A1F9A" w:rsidR="00343185" w:rsidP="00343185" w:rsidRDefault="00343185" w14:paraId="13BED5CB" w14:textId="77777777">
                  <w:pPr>
                    <w:rPr>
                      <w:rFonts w:ascii="Verdana" w:hAnsi="Verdana"/>
                      <w:b/>
                      <w:bCs/>
                      <w:sz w:val="14"/>
                      <w:szCs w:val="14"/>
                    </w:rPr>
                  </w:pPr>
                  <w:r w:rsidRPr="002A1F9A">
                    <w:rPr>
                      <w:rFonts w:ascii="Verdana" w:hAnsi="Verdana"/>
                      <w:b/>
                      <w:bCs/>
                      <w:sz w:val="14"/>
                      <w:szCs w:val="14"/>
                    </w:rPr>
                    <w:t>2010</w:t>
                  </w:r>
                </w:p>
              </w:tc>
              <w:tc>
                <w:tcPr>
                  <w:tcW w:w="1080" w:type="dxa"/>
                  <w:noWrap/>
                  <w:hideMark/>
                </w:tcPr>
                <w:p w:rsidRPr="002A1F9A" w:rsidR="00343185" w:rsidP="00343185" w:rsidRDefault="00343185" w14:paraId="1B1C87B8" w14:textId="77777777">
                  <w:pPr>
                    <w:rPr>
                      <w:rFonts w:ascii="Verdana" w:hAnsi="Verdana"/>
                      <w:sz w:val="14"/>
                      <w:szCs w:val="14"/>
                    </w:rPr>
                  </w:pPr>
                  <w:r w:rsidRPr="002A1F9A">
                    <w:rPr>
                      <w:rFonts w:ascii="Verdana" w:hAnsi="Verdana"/>
                      <w:sz w:val="14"/>
                      <w:szCs w:val="14"/>
                    </w:rPr>
                    <w:t xml:space="preserve">     9.349 </w:t>
                  </w:r>
                </w:p>
              </w:tc>
              <w:tc>
                <w:tcPr>
                  <w:tcW w:w="1080" w:type="dxa"/>
                  <w:noWrap/>
                  <w:hideMark/>
                </w:tcPr>
                <w:p w:rsidRPr="002A1F9A" w:rsidR="00343185" w:rsidP="00343185" w:rsidRDefault="00343185" w14:paraId="308F4F73" w14:textId="77777777">
                  <w:pPr>
                    <w:rPr>
                      <w:rFonts w:ascii="Verdana" w:hAnsi="Verdana"/>
                      <w:sz w:val="14"/>
                      <w:szCs w:val="14"/>
                    </w:rPr>
                  </w:pPr>
                  <w:r w:rsidRPr="002A1F9A">
                    <w:rPr>
                      <w:rFonts w:ascii="Verdana" w:hAnsi="Verdana"/>
                      <w:sz w:val="14"/>
                      <w:szCs w:val="14"/>
                    </w:rPr>
                    <w:t xml:space="preserve">   25.080 </w:t>
                  </w:r>
                </w:p>
              </w:tc>
            </w:tr>
            <w:tr w:rsidRPr="002A1F9A" w:rsidR="00343185" w:rsidTr="0047315C" w14:paraId="1781ED43" w14:textId="77777777">
              <w:trPr>
                <w:trHeight w:val="255"/>
              </w:trPr>
              <w:tc>
                <w:tcPr>
                  <w:tcW w:w="1080" w:type="dxa"/>
                  <w:noWrap/>
                  <w:hideMark/>
                </w:tcPr>
                <w:p w:rsidRPr="002A1F9A" w:rsidR="00343185" w:rsidP="00343185" w:rsidRDefault="00343185" w14:paraId="46B298FD" w14:textId="77777777">
                  <w:pPr>
                    <w:rPr>
                      <w:rFonts w:ascii="Verdana" w:hAnsi="Verdana"/>
                      <w:b/>
                      <w:bCs/>
                      <w:sz w:val="14"/>
                      <w:szCs w:val="14"/>
                    </w:rPr>
                  </w:pPr>
                  <w:r w:rsidRPr="002A1F9A">
                    <w:rPr>
                      <w:rFonts w:ascii="Verdana" w:hAnsi="Verdana"/>
                      <w:b/>
                      <w:bCs/>
                      <w:sz w:val="14"/>
                      <w:szCs w:val="14"/>
                    </w:rPr>
                    <w:t>2011</w:t>
                  </w:r>
                </w:p>
              </w:tc>
              <w:tc>
                <w:tcPr>
                  <w:tcW w:w="1080" w:type="dxa"/>
                  <w:noWrap/>
                  <w:hideMark/>
                </w:tcPr>
                <w:p w:rsidRPr="002A1F9A" w:rsidR="00343185" w:rsidP="00343185" w:rsidRDefault="00343185" w14:paraId="4CA40D22" w14:textId="77777777">
                  <w:pPr>
                    <w:rPr>
                      <w:rFonts w:ascii="Verdana" w:hAnsi="Verdana"/>
                      <w:sz w:val="14"/>
                      <w:szCs w:val="14"/>
                    </w:rPr>
                  </w:pPr>
                  <w:r w:rsidRPr="002A1F9A">
                    <w:rPr>
                      <w:rFonts w:ascii="Verdana" w:hAnsi="Verdana"/>
                      <w:sz w:val="14"/>
                      <w:szCs w:val="14"/>
                    </w:rPr>
                    <w:t xml:space="preserve">     8.830 </w:t>
                  </w:r>
                </w:p>
              </w:tc>
              <w:tc>
                <w:tcPr>
                  <w:tcW w:w="1080" w:type="dxa"/>
                  <w:noWrap/>
                  <w:hideMark/>
                </w:tcPr>
                <w:p w:rsidRPr="002A1F9A" w:rsidR="00343185" w:rsidP="00343185" w:rsidRDefault="00343185" w14:paraId="4C98A86B" w14:textId="77777777">
                  <w:pPr>
                    <w:rPr>
                      <w:rFonts w:ascii="Verdana" w:hAnsi="Verdana"/>
                      <w:sz w:val="14"/>
                      <w:szCs w:val="14"/>
                    </w:rPr>
                  </w:pPr>
                  <w:r w:rsidRPr="002A1F9A">
                    <w:rPr>
                      <w:rFonts w:ascii="Verdana" w:hAnsi="Verdana"/>
                      <w:sz w:val="14"/>
                      <w:szCs w:val="14"/>
                    </w:rPr>
                    <w:t xml:space="preserve">   25.307 </w:t>
                  </w:r>
                </w:p>
              </w:tc>
            </w:tr>
            <w:tr w:rsidRPr="002A1F9A" w:rsidR="00343185" w:rsidTr="0047315C" w14:paraId="39F3A1B3" w14:textId="77777777">
              <w:trPr>
                <w:trHeight w:val="255"/>
              </w:trPr>
              <w:tc>
                <w:tcPr>
                  <w:tcW w:w="1080" w:type="dxa"/>
                  <w:noWrap/>
                  <w:hideMark/>
                </w:tcPr>
                <w:p w:rsidRPr="002A1F9A" w:rsidR="00343185" w:rsidP="00343185" w:rsidRDefault="00343185" w14:paraId="6E77D564" w14:textId="77777777">
                  <w:pPr>
                    <w:rPr>
                      <w:rFonts w:ascii="Verdana" w:hAnsi="Verdana"/>
                      <w:b/>
                      <w:bCs/>
                      <w:sz w:val="14"/>
                      <w:szCs w:val="14"/>
                    </w:rPr>
                  </w:pPr>
                  <w:r w:rsidRPr="002A1F9A">
                    <w:rPr>
                      <w:rFonts w:ascii="Verdana" w:hAnsi="Verdana"/>
                      <w:b/>
                      <w:bCs/>
                      <w:sz w:val="14"/>
                      <w:szCs w:val="14"/>
                    </w:rPr>
                    <w:t>2012</w:t>
                  </w:r>
                </w:p>
              </w:tc>
              <w:tc>
                <w:tcPr>
                  <w:tcW w:w="1080" w:type="dxa"/>
                  <w:noWrap/>
                  <w:hideMark/>
                </w:tcPr>
                <w:p w:rsidRPr="002A1F9A" w:rsidR="00343185" w:rsidP="00343185" w:rsidRDefault="00343185" w14:paraId="0642440F" w14:textId="77777777">
                  <w:pPr>
                    <w:rPr>
                      <w:rFonts w:ascii="Verdana" w:hAnsi="Verdana"/>
                      <w:sz w:val="14"/>
                      <w:szCs w:val="14"/>
                    </w:rPr>
                  </w:pPr>
                  <w:r w:rsidRPr="002A1F9A">
                    <w:rPr>
                      <w:rFonts w:ascii="Verdana" w:hAnsi="Verdana"/>
                      <w:sz w:val="14"/>
                      <w:szCs w:val="14"/>
                    </w:rPr>
                    <w:t xml:space="preserve">     8.800 </w:t>
                  </w:r>
                </w:p>
              </w:tc>
              <w:tc>
                <w:tcPr>
                  <w:tcW w:w="1080" w:type="dxa"/>
                  <w:noWrap/>
                  <w:hideMark/>
                </w:tcPr>
                <w:p w:rsidRPr="002A1F9A" w:rsidR="00343185" w:rsidP="00343185" w:rsidRDefault="00343185" w14:paraId="3739A820" w14:textId="77777777">
                  <w:pPr>
                    <w:rPr>
                      <w:rFonts w:ascii="Verdana" w:hAnsi="Verdana"/>
                      <w:sz w:val="14"/>
                      <w:szCs w:val="14"/>
                    </w:rPr>
                  </w:pPr>
                  <w:r w:rsidRPr="002A1F9A">
                    <w:rPr>
                      <w:rFonts w:ascii="Verdana" w:hAnsi="Verdana"/>
                      <w:sz w:val="14"/>
                      <w:szCs w:val="14"/>
                    </w:rPr>
                    <w:t xml:space="preserve">   25.359 </w:t>
                  </w:r>
                </w:p>
              </w:tc>
            </w:tr>
            <w:tr w:rsidRPr="002A1F9A" w:rsidR="00343185" w:rsidTr="0047315C" w14:paraId="7CCBB8EA" w14:textId="77777777">
              <w:trPr>
                <w:trHeight w:val="255"/>
              </w:trPr>
              <w:tc>
                <w:tcPr>
                  <w:tcW w:w="1080" w:type="dxa"/>
                  <w:noWrap/>
                  <w:hideMark/>
                </w:tcPr>
                <w:p w:rsidRPr="002A1F9A" w:rsidR="00343185" w:rsidP="00343185" w:rsidRDefault="00343185" w14:paraId="528F3435" w14:textId="77777777">
                  <w:pPr>
                    <w:rPr>
                      <w:rFonts w:ascii="Verdana" w:hAnsi="Verdana"/>
                      <w:b/>
                      <w:bCs/>
                      <w:sz w:val="14"/>
                      <w:szCs w:val="14"/>
                    </w:rPr>
                  </w:pPr>
                  <w:r w:rsidRPr="002A1F9A">
                    <w:rPr>
                      <w:rFonts w:ascii="Verdana" w:hAnsi="Verdana"/>
                      <w:b/>
                      <w:bCs/>
                      <w:sz w:val="14"/>
                      <w:szCs w:val="14"/>
                    </w:rPr>
                    <w:t>2013</w:t>
                  </w:r>
                </w:p>
              </w:tc>
              <w:tc>
                <w:tcPr>
                  <w:tcW w:w="1080" w:type="dxa"/>
                  <w:noWrap/>
                  <w:hideMark/>
                </w:tcPr>
                <w:p w:rsidRPr="002A1F9A" w:rsidR="00343185" w:rsidP="00343185" w:rsidRDefault="00343185" w14:paraId="5AD2A979" w14:textId="77777777">
                  <w:pPr>
                    <w:rPr>
                      <w:rFonts w:ascii="Verdana" w:hAnsi="Verdana"/>
                      <w:sz w:val="14"/>
                      <w:szCs w:val="14"/>
                    </w:rPr>
                  </w:pPr>
                  <w:r w:rsidRPr="002A1F9A">
                    <w:rPr>
                      <w:rFonts w:ascii="Verdana" w:hAnsi="Verdana"/>
                      <w:sz w:val="14"/>
                      <w:szCs w:val="14"/>
                    </w:rPr>
                    <w:t xml:space="preserve">     8.934 </w:t>
                  </w:r>
                </w:p>
              </w:tc>
              <w:tc>
                <w:tcPr>
                  <w:tcW w:w="1080" w:type="dxa"/>
                  <w:noWrap/>
                  <w:hideMark/>
                </w:tcPr>
                <w:p w:rsidRPr="002A1F9A" w:rsidR="00343185" w:rsidP="00343185" w:rsidRDefault="00343185" w14:paraId="5EBC6717" w14:textId="77777777">
                  <w:pPr>
                    <w:rPr>
                      <w:rFonts w:ascii="Verdana" w:hAnsi="Verdana"/>
                      <w:sz w:val="14"/>
                      <w:szCs w:val="14"/>
                    </w:rPr>
                  </w:pPr>
                  <w:r w:rsidRPr="002A1F9A">
                    <w:rPr>
                      <w:rFonts w:ascii="Verdana" w:hAnsi="Verdana"/>
                      <w:sz w:val="14"/>
                      <w:szCs w:val="14"/>
                    </w:rPr>
                    <w:t xml:space="preserve">   24.976 </w:t>
                  </w:r>
                </w:p>
              </w:tc>
            </w:tr>
            <w:tr w:rsidRPr="002A1F9A" w:rsidR="00343185" w:rsidTr="0047315C" w14:paraId="2F53BFE6" w14:textId="77777777">
              <w:trPr>
                <w:trHeight w:val="255"/>
              </w:trPr>
              <w:tc>
                <w:tcPr>
                  <w:tcW w:w="1080" w:type="dxa"/>
                  <w:noWrap/>
                  <w:hideMark/>
                </w:tcPr>
                <w:p w:rsidRPr="002A1F9A" w:rsidR="00343185" w:rsidP="00343185" w:rsidRDefault="00343185" w14:paraId="2E81E7DD" w14:textId="77777777">
                  <w:pPr>
                    <w:rPr>
                      <w:rFonts w:ascii="Verdana" w:hAnsi="Verdana"/>
                      <w:b/>
                      <w:bCs/>
                      <w:sz w:val="14"/>
                      <w:szCs w:val="14"/>
                    </w:rPr>
                  </w:pPr>
                  <w:r w:rsidRPr="002A1F9A">
                    <w:rPr>
                      <w:rFonts w:ascii="Verdana" w:hAnsi="Verdana"/>
                      <w:b/>
                      <w:bCs/>
                      <w:sz w:val="14"/>
                      <w:szCs w:val="14"/>
                    </w:rPr>
                    <w:t>2014</w:t>
                  </w:r>
                </w:p>
              </w:tc>
              <w:tc>
                <w:tcPr>
                  <w:tcW w:w="1080" w:type="dxa"/>
                  <w:noWrap/>
                  <w:hideMark/>
                </w:tcPr>
                <w:p w:rsidRPr="002A1F9A" w:rsidR="00343185" w:rsidP="00343185" w:rsidRDefault="00343185" w14:paraId="48A8D0B1" w14:textId="77777777">
                  <w:pPr>
                    <w:rPr>
                      <w:rFonts w:ascii="Verdana" w:hAnsi="Verdana"/>
                      <w:sz w:val="14"/>
                      <w:szCs w:val="14"/>
                    </w:rPr>
                  </w:pPr>
                  <w:r w:rsidRPr="002A1F9A">
                    <w:rPr>
                      <w:rFonts w:ascii="Verdana" w:hAnsi="Verdana"/>
                      <w:sz w:val="14"/>
                      <w:szCs w:val="14"/>
                    </w:rPr>
                    <w:t xml:space="preserve">     9.005 </w:t>
                  </w:r>
                </w:p>
              </w:tc>
              <w:tc>
                <w:tcPr>
                  <w:tcW w:w="1080" w:type="dxa"/>
                  <w:noWrap/>
                  <w:hideMark/>
                </w:tcPr>
                <w:p w:rsidRPr="002A1F9A" w:rsidR="00343185" w:rsidP="00343185" w:rsidRDefault="00343185" w14:paraId="0F5AF41D" w14:textId="77777777">
                  <w:pPr>
                    <w:rPr>
                      <w:rFonts w:ascii="Verdana" w:hAnsi="Verdana"/>
                      <w:sz w:val="14"/>
                      <w:szCs w:val="14"/>
                    </w:rPr>
                  </w:pPr>
                  <w:r w:rsidRPr="002A1F9A">
                    <w:rPr>
                      <w:rFonts w:ascii="Verdana" w:hAnsi="Verdana"/>
                      <w:sz w:val="14"/>
                      <w:szCs w:val="14"/>
                    </w:rPr>
                    <w:t xml:space="preserve">   24.787 </w:t>
                  </w:r>
                </w:p>
              </w:tc>
            </w:tr>
            <w:tr w:rsidRPr="002A1F9A" w:rsidR="00343185" w:rsidTr="0047315C" w14:paraId="368A9060" w14:textId="77777777">
              <w:trPr>
                <w:trHeight w:val="255"/>
              </w:trPr>
              <w:tc>
                <w:tcPr>
                  <w:tcW w:w="1080" w:type="dxa"/>
                  <w:noWrap/>
                  <w:hideMark/>
                </w:tcPr>
                <w:p w:rsidRPr="002A1F9A" w:rsidR="00343185" w:rsidP="00343185" w:rsidRDefault="00343185" w14:paraId="3AF59958" w14:textId="77777777">
                  <w:pPr>
                    <w:rPr>
                      <w:rFonts w:ascii="Verdana" w:hAnsi="Verdana"/>
                      <w:b/>
                      <w:bCs/>
                      <w:sz w:val="14"/>
                      <w:szCs w:val="14"/>
                    </w:rPr>
                  </w:pPr>
                  <w:r w:rsidRPr="002A1F9A">
                    <w:rPr>
                      <w:rFonts w:ascii="Verdana" w:hAnsi="Verdana"/>
                      <w:b/>
                      <w:bCs/>
                      <w:sz w:val="14"/>
                      <w:szCs w:val="14"/>
                    </w:rPr>
                    <w:t>2015</w:t>
                  </w:r>
                </w:p>
              </w:tc>
              <w:tc>
                <w:tcPr>
                  <w:tcW w:w="1080" w:type="dxa"/>
                  <w:noWrap/>
                  <w:hideMark/>
                </w:tcPr>
                <w:p w:rsidRPr="002A1F9A" w:rsidR="00343185" w:rsidP="00343185" w:rsidRDefault="00343185" w14:paraId="7B08A70C" w14:textId="77777777">
                  <w:pPr>
                    <w:rPr>
                      <w:rFonts w:ascii="Verdana" w:hAnsi="Verdana"/>
                      <w:sz w:val="14"/>
                      <w:szCs w:val="14"/>
                    </w:rPr>
                  </w:pPr>
                  <w:r w:rsidRPr="002A1F9A">
                    <w:rPr>
                      <w:rFonts w:ascii="Verdana" w:hAnsi="Verdana"/>
                      <w:sz w:val="14"/>
                      <w:szCs w:val="14"/>
                    </w:rPr>
                    <w:t xml:space="preserve">     9.028 </w:t>
                  </w:r>
                </w:p>
              </w:tc>
              <w:tc>
                <w:tcPr>
                  <w:tcW w:w="1080" w:type="dxa"/>
                  <w:noWrap/>
                  <w:hideMark/>
                </w:tcPr>
                <w:p w:rsidRPr="002A1F9A" w:rsidR="00343185" w:rsidP="00343185" w:rsidRDefault="00343185" w14:paraId="15FD6EA6" w14:textId="77777777">
                  <w:pPr>
                    <w:rPr>
                      <w:rFonts w:ascii="Verdana" w:hAnsi="Verdana"/>
                      <w:sz w:val="14"/>
                      <w:szCs w:val="14"/>
                    </w:rPr>
                  </w:pPr>
                  <w:r w:rsidRPr="002A1F9A">
                    <w:rPr>
                      <w:rFonts w:ascii="Verdana" w:hAnsi="Verdana"/>
                      <w:sz w:val="14"/>
                      <w:szCs w:val="14"/>
                    </w:rPr>
                    <w:t xml:space="preserve">   24.367 </w:t>
                  </w:r>
                </w:p>
              </w:tc>
            </w:tr>
            <w:tr w:rsidRPr="002A1F9A" w:rsidR="00343185" w:rsidTr="0047315C" w14:paraId="092B2B53" w14:textId="77777777">
              <w:trPr>
                <w:trHeight w:val="255"/>
              </w:trPr>
              <w:tc>
                <w:tcPr>
                  <w:tcW w:w="1080" w:type="dxa"/>
                  <w:noWrap/>
                  <w:hideMark/>
                </w:tcPr>
                <w:p w:rsidRPr="002A1F9A" w:rsidR="00343185" w:rsidP="00343185" w:rsidRDefault="00343185" w14:paraId="7CD183F2" w14:textId="77777777">
                  <w:pPr>
                    <w:rPr>
                      <w:rFonts w:ascii="Verdana" w:hAnsi="Verdana"/>
                      <w:b/>
                      <w:bCs/>
                      <w:sz w:val="14"/>
                      <w:szCs w:val="14"/>
                    </w:rPr>
                  </w:pPr>
                  <w:r w:rsidRPr="002A1F9A">
                    <w:rPr>
                      <w:rFonts w:ascii="Verdana" w:hAnsi="Verdana"/>
                      <w:b/>
                      <w:bCs/>
                      <w:sz w:val="14"/>
                      <w:szCs w:val="14"/>
                    </w:rPr>
                    <w:t>2016</w:t>
                  </w:r>
                </w:p>
              </w:tc>
              <w:tc>
                <w:tcPr>
                  <w:tcW w:w="1080" w:type="dxa"/>
                  <w:noWrap/>
                  <w:hideMark/>
                </w:tcPr>
                <w:p w:rsidRPr="002A1F9A" w:rsidR="00343185" w:rsidP="00343185" w:rsidRDefault="00343185" w14:paraId="0CBFC949" w14:textId="77777777">
                  <w:pPr>
                    <w:rPr>
                      <w:rFonts w:ascii="Verdana" w:hAnsi="Verdana"/>
                      <w:sz w:val="14"/>
                      <w:szCs w:val="14"/>
                    </w:rPr>
                  </w:pPr>
                  <w:r w:rsidRPr="002A1F9A">
                    <w:rPr>
                      <w:rFonts w:ascii="Verdana" w:hAnsi="Verdana"/>
                      <w:sz w:val="14"/>
                      <w:szCs w:val="14"/>
                    </w:rPr>
                    <w:t xml:space="preserve">     8.989 </w:t>
                  </w:r>
                </w:p>
              </w:tc>
              <w:tc>
                <w:tcPr>
                  <w:tcW w:w="1080" w:type="dxa"/>
                  <w:noWrap/>
                  <w:hideMark/>
                </w:tcPr>
                <w:p w:rsidRPr="002A1F9A" w:rsidR="00343185" w:rsidP="00343185" w:rsidRDefault="00343185" w14:paraId="3499BE6D" w14:textId="77777777">
                  <w:pPr>
                    <w:rPr>
                      <w:rFonts w:ascii="Verdana" w:hAnsi="Verdana"/>
                      <w:sz w:val="14"/>
                      <w:szCs w:val="14"/>
                    </w:rPr>
                  </w:pPr>
                  <w:r w:rsidRPr="002A1F9A">
                    <w:rPr>
                      <w:rFonts w:ascii="Verdana" w:hAnsi="Verdana"/>
                      <w:sz w:val="14"/>
                      <w:szCs w:val="14"/>
                    </w:rPr>
                    <w:t xml:space="preserve">   24.380 </w:t>
                  </w:r>
                </w:p>
              </w:tc>
            </w:tr>
            <w:tr w:rsidRPr="002A1F9A" w:rsidR="00343185" w:rsidTr="0047315C" w14:paraId="66496C52" w14:textId="77777777">
              <w:trPr>
                <w:trHeight w:val="255"/>
              </w:trPr>
              <w:tc>
                <w:tcPr>
                  <w:tcW w:w="1080" w:type="dxa"/>
                  <w:noWrap/>
                  <w:hideMark/>
                </w:tcPr>
                <w:p w:rsidRPr="002A1F9A" w:rsidR="00343185" w:rsidP="00343185" w:rsidRDefault="00343185" w14:paraId="5829CCD1" w14:textId="77777777">
                  <w:pPr>
                    <w:rPr>
                      <w:rFonts w:ascii="Verdana" w:hAnsi="Verdana"/>
                      <w:b/>
                      <w:bCs/>
                      <w:sz w:val="14"/>
                      <w:szCs w:val="14"/>
                    </w:rPr>
                  </w:pPr>
                  <w:r w:rsidRPr="002A1F9A">
                    <w:rPr>
                      <w:rFonts w:ascii="Verdana" w:hAnsi="Verdana"/>
                      <w:b/>
                      <w:bCs/>
                      <w:sz w:val="14"/>
                      <w:szCs w:val="14"/>
                    </w:rPr>
                    <w:t>2017</w:t>
                  </w:r>
                </w:p>
              </w:tc>
              <w:tc>
                <w:tcPr>
                  <w:tcW w:w="1080" w:type="dxa"/>
                  <w:noWrap/>
                  <w:hideMark/>
                </w:tcPr>
                <w:p w:rsidRPr="002A1F9A" w:rsidR="00343185" w:rsidP="00343185" w:rsidRDefault="00343185" w14:paraId="56A35A92" w14:textId="77777777">
                  <w:pPr>
                    <w:rPr>
                      <w:rFonts w:ascii="Verdana" w:hAnsi="Verdana"/>
                      <w:sz w:val="14"/>
                      <w:szCs w:val="14"/>
                    </w:rPr>
                  </w:pPr>
                  <w:r w:rsidRPr="002A1F9A">
                    <w:rPr>
                      <w:rFonts w:ascii="Verdana" w:hAnsi="Verdana"/>
                      <w:sz w:val="14"/>
                      <w:szCs w:val="14"/>
                    </w:rPr>
                    <w:t xml:space="preserve">     8.993 </w:t>
                  </w:r>
                </w:p>
              </w:tc>
              <w:tc>
                <w:tcPr>
                  <w:tcW w:w="1080" w:type="dxa"/>
                  <w:noWrap/>
                  <w:hideMark/>
                </w:tcPr>
                <w:p w:rsidRPr="002A1F9A" w:rsidR="00343185" w:rsidP="00343185" w:rsidRDefault="00343185" w14:paraId="53D67B6A" w14:textId="77777777">
                  <w:pPr>
                    <w:rPr>
                      <w:rFonts w:ascii="Verdana" w:hAnsi="Verdana"/>
                      <w:sz w:val="14"/>
                      <w:szCs w:val="14"/>
                    </w:rPr>
                  </w:pPr>
                  <w:r w:rsidRPr="002A1F9A">
                    <w:rPr>
                      <w:rFonts w:ascii="Verdana" w:hAnsi="Verdana"/>
                      <w:sz w:val="14"/>
                      <w:szCs w:val="14"/>
                    </w:rPr>
                    <w:t xml:space="preserve">   23.862 </w:t>
                  </w:r>
                </w:p>
              </w:tc>
            </w:tr>
            <w:tr w:rsidRPr="002A1F9A" w:rsidR="00343185" w:rsidTr="0047315C" w14:paraId="7240B127" w14:textId="77777777">
              <w:trPr>
                <w:trHeight w:val="255"/>
              </w:trPr>
              <w:tc>
                <w:tcPr>
                  <w:tcW w:w="1080" w:type="dxa"/>
                  <w:noWrap/>
                  <w:hideMark/>
                </w:tcPr>
                <w:p w:rsidRPr="002A1F9A" w:rsidR="00343185" w:rsidP="00343185" w:rsidRDefault="00343185" w14:paraId="29CD6553" w14:textId="77777777">
                  <w:pPr>
                    <w:rPr>
                      <w:rFonts w:ascii="Verdana" w:hAnsi="Verdana"/>
                      <w:b/>
                      <w:bCs/>
                      <w:sz w:val="14"/>
                      <w:szCs w:val="14"/>
                    </w:rPr>
                  </w:pPr>
                  <w:r w:rsidRPr="002A1F9A">
                    <w:rPr>
                      <w:rFonts w:ascii="Verdana" w:hAnsi="Verdana"/>
                      <w:b/>
                      <w:bCs/>
                      <w:sz w:val="14"/>
                      <w:szCs w:val="14"/>
                    </w:rPr>
                    <w:t>2018</w:t>
                  </w:r>
                </w:p>
              </w:tc>
              <w:tc>
                <w:tcPr>
                  <w:tcW w:w="1080" w:type="dxa"/>
                  <w:noWrap/>
                  <w:hideMark/>
                </w:tcPr>
                <w:p w:rsidRPr="002A1F9A" w:rsidR="00343185" w:rsidP="00343185" w:rsidRDefault="00343185" w14:paraId="47B4EB55" w14:textId="77777777">
                  <w:pPr>
                    <w:rPr>
                      <w:rFonts w:ascii="Verdana" w:hAnsi="Verdana"/>
                      <w:sz w:val="14"/>
                      <w:szCs w:val="14"/>
                    </w:rPr>
                  </w:pPr>
                  <w:r w:rsidRPr="002A1F9A">
                    <w:rPr>
                      <w:rFonts w:ascii="Verdana" w:hAnsi="Verdana"/>
                      <w:sz w:val="14"/>
                      <w:szCs w:val="14"/>
                    </w:rPr>
                    <w:t xml:space="preserve">     9.604 </w:t>
                  </w:r>
                </w:p>
              </w:tc>
              <w:tc>
                <w:tcPr>
                  <w:tcW w:w="1080" w:type="dxa"/>
                  <w:noWrap/>
                  <w:hideMark/>
                </w:tcPr>
                <w:p w:rsidRPr="002A1F9A" w:rsidR="00343185" w:rsidP="00343185" w:rsidRDefault="00343185" w14:paraId="02B4EEFA" w14:textId="77777777">
                  <w:pPr>
                    <w:rPr>
                      <w:rFonts w:ascii="Verdana" w:hAnsi="Verdana"/>
                      <w:sz w:val="14"/>
                      <w:szCs w:val="14"/>
                    </w:rPr>
                  </w:pPr>
                  <w:r w:rsidRPr="002A1F9A">
                    <w:rPr>
                      <w:rFonts w:ascii="Verdana" w:hAnsi="Verdana"/>
                      <w:sz w:val="14"/>
                      <w:szCs w:val="14"/>
                    </w:rPr>
                    <w:t xml:space="preserve">   24.308 </w:t>
                  </w:r>
                </w:p>
              </w:tc>
            </w:tr>
            <w:tr w:rsidRPr="002A1F9A" w:rsidR="00343185" w:rsidTr="0047315C" w14:paraId="48E40734" w14:textId="77777777">
              <w:trPr>
                <w:trHeight w:val="255"/>
              </w:trPr>
              <w:tc>
                <w:tcPr>
                  <w:tcW w:w="1080" w:type="dxa"/>
                  <w:noWrap/>
                  <w:hideMark/>
                </w:tcPr>
                <w:p w:rsidRPr="002A1F9A" w:rsidR="00343185" w:rsidP="00343185" w:rsidRDefault="00343185" w14:paraId="36D91830" w14:textId="77777777">
                  <w:pPr>
                    <w:rPr>
                      <w:rFonts w:ascii="Verdana" w:hAnsi="Verdana"/>
                      <w:b/>
                      <w:bCs/>
                      <w:sz w:val="14"/>
                      <w:szCs w:val="14"/>
                    </w:rPr>
                  </w:pPr>
                  <w:r w:rsidRPr="002A1F9A">
                    <w:rPr>
                      <w:rFonts w:ascii="Verdana" w:hAnsi="Verdana"/>
                      <w:b/>
                      <w:bCs/>
                      <w:sz w:val="14"/>
                      <w:szCs w:val="14"/>
                    </w:rPr>
                    <w:t>2019</w:t>
                  </w:r>
                </w:p>
              </w:tc>
              <w:tc>
                <w:tcPr>
                  <w:tcW w:w="1080" w:type="dxa"/>
                  <w:noWrap/>
                  <w:hideMark/>
                </w:tcPr>
                <w:p w:rsidRPr="002A1F9A" w:rsidR="00343185" w:rsidP="00343185" w:rsidRDefault="00343185" w14:paraId="4181ACF3" w14:textId="77777777">
                  <w:pPr>
                    <w:rPr>
                      <w:rFonts w:ascii="Verdana" w:hAnsi="Verdana"/>
                      <w:sz w:val="14"/>
                      <w:szCs w:val="14"/>
                    </w:rPr>
                  </w:pPr>
                  <w:r w:rsidRPr="002A1F9A">
                    <w:rPr>
                      <w:rFonts w:ascii="Verdana" w:hAnsi="Verdana"/>
                      <w:sz w:val="14"/>
                      <w:szCs w:val="14"/>
                    </w:rPr>
                    <w:t xml:space="preserve">     9.582 </w:t>
                  </w:r>
                </w:p>
              </w:tc>
              <w:tc>
                <w:tcPr>
                  <w:tcW w:w="1080" w:type="dxa"/>
                  <w:noWrap/>
                  <w:hideMark/>
                </w:tcPr>
                <w:p w:rsidRPr="002A1F9A" w:rsidR="00343185" w:rsidP="00343185" w:rsidRDefault="00343185" w14:paraId="26D4B301" w14:textId="77777777">
                  <w:pPr>
                    <w:rPr>
                      <w:rFonts w:ascii="Verdana" w:hAnsi="Verdana"/>
                      <w:sz w:val="14"/>
                      <w:szCs w:val="14"/>
                    </w:rPr>
                  </w:pPr>
                  <w:r w:rsidRPr="002A1F9A">
                    <w:rPr>
                      <w:rFonts w:ascii="Verdana" w:hAnsi="Verdana"/>
                      <w:sz w:val="14"/>
                      <w:szCs w:val="14"/>
                    </w:rPr>
                    <w:t xml:space="preserve">   23.818 </w:t>
                  </w:r>
                </w:p>
              </w:tc>
            </w:tr>
            <w:tr w:rsidRPr="002A1F9A" w:rsidR="00343185" w:rsidTr="0047315C" w14:paraId="41E6FC06" w14:textId="77777777">
              <w:trPr>
                <w:trHeight w:val="255"/>
              </w:trPr>
              <w:tc>
                <w:tcPr>
                  <w:tcW w:w="1080" w:type="dxa"/>
                  <w:noWrap/>
                  <w:hideMark/>
                </w:tcPr>
                <w:p w:rsidRPr="002A1F9A" w:rsidR="00343185" w:rsidP="00343185" w:rsidRDefault="00343185" w14:paraId="6EF5278F" w14:textId="77777777">
                  <w:pPr>
                    <w:rPr>
                      <w:rFonts w:ascii="Verdana" w:hAnsi="Verdana"/>
                      <w:b/>
                      <w:bCs/>
                      <w:sz w:val="14"/>
                      <w:szCs w:val="14"/>
                    </w:rPr>
                  </w:pPr>
                  <w:r w:rsidRPr="002A1F9A">
                    <w:rPr>
                      <w:rFonts w:ascii="Verdana" w:hAnsi="Verdana"/>
                      <w:b/>
                      <w:bCs/>
                      <w:sz w:val="14"/>
                      <w:szCs w:val="14"/>
                    </w:rPr>
                    <w:t>2020</w:t>
                  </w:r>
                </w:p>
              </w:tc>
              <w:tc>
                <w:tcPr>
                  <w:tcW w:w="1080" w:type="dxa"/>
                  <w:noWrap/>
                  <w:hideMark/>
                </w:tcPr>
                <w:p w:rsidRPr="002A1F9A" w:rsidR="00343185" w:rsidP="00343185" w:rsidRDefault="00343185" w14:paraId="4DFB98B4" w14:textId="77777777">
                  <w:pPr>
                    <w:rPr>
                      <w:rFonts w:ascii="Verdana" w:hAnsi="Verdana"/>
                      <w:sz w:val="14"/>
                      <w:szCs w:val="14"/>
                    </w:rPr>
                  </w:pPr>
                  <w:r w:rsidRPr="002A1F9A">
                    <w:rPr>
                      <w:rFonts w:ascii="Verdana" w:hAnsi="Verdana"/>
                      <w:sz w:val="14"/>
                      <w:szCs w:val="14"/>
                    </w:rPr>
                    <w:t xml:space="preserve">     9.401 </w:t>
                  </w:r>
                </w:p>
              </w:tc>
              <w:tc>
                <w:tcPr>
                  <w:tcW w:w="1080" w:type="dxa"/>
                  <w:noWrap/>
                  <w:hideMark/>
                </w:tcPr>
                <w:p w:rsidRPr="002A1F9A" w:rsidR="00343185" w:rsidP="00343185" w:rsidRDefault="00343185" w14:paraId="481DFFB1" w14:textId="77777777">
                  <w:pPr>
                    <w:rPr>
                      <w:rFonts w:ascii="Verdana" w:hAnsi="Verdana"/>
                      <w:sz w:val="14"/>
                      <w:szCs w:val="14"/>
                    </w:rPr>
                  </w:pPr>
                  <w:r w:rsidRPr="002A1F9A">
                    <w:rPr>
                      <w:rFonts w:ascii="Verdana" w:hAnsi="Verdana"/>
                      <w:sz w:val="14"/>
                      <w:szCs w:val="14"/>
                    </w:rPr>
                    <w:t xml:space="preserve">   23.379 </w:t>
                  </w:r>
                </w:p>
              </w:tc>
            </w:tr>
            <w:tr w:rsidRPr="002A1F9A" w:rsidR="00343185" w:rsidTr="0047315C" w14:paraId="41016F09" w14:textId="77777777">
              <w:trPr>
                <w:trHeight w:val="255"/>
              </w:trPr>
              <w:tc>
                <w:tcPr>
                  <w:tcW w:w="1080" w:type="dxa"/>
                  <w:noWrap/>
                  <w:hideMark/>
                </w:tcPr>
                <w:p w:rsidRPr="002A1F9A" w:rsidR="00343185" w:rsidP="00343185" w:rsidRDefault="00343185" w14:paraId="555F3A09" w14:textId="77777777">
                  <w:pPr>
                    <w:rPr>
                      <w:rFonts w:ascii="Verdana" w:hAnsi="Verdana"/>
                      <w:b/>
                      <w:bCs/>
                      <w:sz w:val="14"/>
                      <w:szCs w:val="14"/>
                    </w:rPr>
                  </w:pPr>
                  <w:r w:rsidRPr="002A1F9A">
                    <w:rPr>
                      <w:rFonts w:ascii="Verdana" w:hAnsi="Verdana"/>
                      <w:b/>
                      <w:bCs/>
                      <w:sz w:val="14"/>
                      <w:szCs w:val="14"/>
                    </w:rPr>
                    <w:t>2021</w:t>
                  </w:r>
                </w:p>
              </w:tc>
              <w:tc>
                <w:tcPr>
                  <w:tcW w:w="1080" w:type="dxa"/>
                  <w:noWrap/>
                  <w:hideMark/>
                </w:tcPr>
                <w:p w:rsidRPr="002A1F9A" w:rsidR="00343185" w:rsidP="00343185" w:rsidRDefault="00343185" w14:paraId="41424C87" w14:textId="77777777">
                  <w:pPr>
                    <w:rPr>
                      <w:rFonts w:ascii="Verdana" w:hAnsi="Verdana"/>
                      <w:sz w:val="14"/>
                      <w:szCs w:val="14"/>
                    </w:rPr>
                  </w:pPr>
                  <w:r w:rsidRPr="002A1F9A">
                    <w:rPr>
                      <w:rFonts w:ascii="Verdana" w:hAnsi="Verdana"/>
                      <w:sz w:val="14"/>
                      <w:szCs w:val="14"/>
                    </w:rPr>
                    <w:t xml:space="preserve">   10.793 </w:t>
                  </w:r>
                </w:p>
              </w:tc>
              <w:tc>
                <w:tcPr>
                  <w:tcW w:w="1080" w:type="dxa"/>
                  <w:noWrap/>
                  <w:hideMark/>
                </w:tcPr>
                <w:p w:rsidRPr="002A1F9A" w:rsidR="00343185" w:rsidP="00343185" w:rsidRDefault="00343185" w14:paraId="277EA80B" w14:textId="77777777">
                  <w:pPr>
                    <w:rPr>
                      <w:rFonts w:ascii="Verdana" w:hAnsi="Verdana"/>
                      <w:sz w:val="14"/>
                      <w:szCs w:val="14"/>
                    </w:rPr>
                  </w:pPr>
                  <w:r w:rsidRPr="002A1F9A">
                    <w:rPr>
                      <w:rFonts w:ascii="Verdana" w:hAnsi="Verdana"/>
                      <w:sz w:val="14"/>
                      <w:szCs w:val="14"/>
                    </w:rPr>
                    <w:t xml:space="preserve">   23.932 </w:t>
                  </w:r>
                </w:p>
              </w:tc>
            </w:tr>
            <w:tr w:rsidRPr="002A1F9A" w:rsidR="00343185" w:rsidTr="0047315C" w14:paraId="340A9717" w14:textId="77777777">
              <w:trPr>
                <w:trHeight w:val="255"/>
              </w:trPr>
              <w:tc>
                <w:tcPr>
                  <w:tcW w:w="1080" w:type="dxa"/>
                  <w:noWrap/>
                  <w:hideMark/>
                </w:tcPr>
                <w:p w:rsidRPr="002A1F9A" w:rsidR="00343185" w:rsidP="00343185" w:rsidRDefault="00343185" w14:paraId="6F0D7938" w14:textId="77777777">
                  <w:pPr>
                    <w:rPr>
                      <w:rFonts w:ascii="Verdana" w:hAnsi="Verdana"/>
                      <w:b/>
                      <w:bCs/>
                      <w:sz w:val="14"/>
                      <w:szCs w:val="14"/>
                    </w:rPr>
                  </w:pPr>
                  <w:r w:rsidRPr="002A1F9A">
                    <w:rPr>
                      <w:rFonts w:ascii="Verdana" w:hAnsi="Verdana"/>
                      <w:b/>
                      <w:bCs/>
                      <w:sz w:val="14"/>
                      <w:szCs w:val="14"/>
                    </w:rPr>
                    <w:t>2022</w:t>
                  </w:r>
                </w:p>
              </w:tc>
              <w:tc>
                <w:tcPr>
                  <w:tcW w:w="1080" w:type="dxa"/>
                  <w:noWrap/>
                  <w:hideMark/>
                </w:tcPr>
                <w:p w:rsidRPr="002A1F9A" w:rsidR="00343185" w:rsidP="00343185" w:rsidRDefault="00343185" w14:paraId="72F04816" w14:textId="77777777">
                  <w:pPr>
                    <w:rPr>
                      <w:rFonts w:ascii="Verdana" w:hAnsi="Verdana"/>
                      <w:sz w:val="14"/>
                      <w:szCs w:val="14"/>
                    </w:rPr>
                  </w:pPr>
                  <w:r w:rsidRPr="002A1F9A">
                    <w:rPr>
                      <w:rFonts w:ascii="Verdana" w:hAnsi="Verdana"/>
                      <w:sz w:val="14"/>
                      <w:szCs w:val="14"/>
                    </w:rPr>
                    <w:t xml:space="preserve">   11.285 </w:t>
                  </w:r>
                </w:p>
              </w:tc>
              <w:tc>
                <w:tcPr>
                  <w:tcW w:w="1080" w:type="dxa"/>
                  <w:noWrap/>
                  <w:hideMark/>
                </w:tcPr>
                <w:p w:rsidRPr="002A1F9A" w:rsidR="00343185" w:rsidP="00343185" w:rsidRDefault="00343185" w14:paraId="070A5FD1" w14:textId="77777777">
                  <w:pPr>
                    <w:rPr>
                      <w:rFonts w:ascii="Verdana" w:hAnsi="Verdana"/>
                      <w:sz w:val="14"/>
                      <w:szCs w:val="14"/>
                    </w:rPr>
                  </w:pPr>
                  <w:r w:rsidRPr="002A1F9A">
                    <w:rPr>
                      <w:rFonts w:ascii="Verdana" w:hAnsi="Verdana"/>
                      <w:sz w:val="14"/>
                      <w:szCs w:val="14"/>
                    </w:rPr>
                    <w:t xml:space="preserve">   24.194 </w:t>
                  </w:r>
                </w:p>
              </w:tc>
            </w:tr>
            <w:tr w:rsidRPr="002A1F9A" w:rsidR="00343185" w:rsidTr="0047315C" w14:paraId="5554001C" w14:textId="77777777">
              <w:trPr>
                <w:trHeight w:val="255"/>
              </w:trPr>
              <w:tc>
                <w:tcPr>
                  <w:tcW w:w="1080" w:type="dxa"/>
                  <w:noWrap/>
                  <w:hideMark/>
                </w:tcPr>
                <w:p w:rsidRPr="002A1F9A" w:rsidR="00343185" w:rsidP="00343185" w:rsidRDefault="00343185" w14:paraId="15530FBF" w14:textId="77777777">
                  <w:pPr>
                    <w:rPr>
                      <w:rFonts w:ascii="Verdana" w:hAnsi="Verdana"/>
                      <w:b/>
                      <w:bCs/>
                      <w:sz w:val="14"/>
                      <w:szCs w:val="14"/>
                    </w:rPr>
                  </w:pPr>
                  <w:r w:rsidRPr="002A1F9A">
                    <w:rPr>
                      <w:rFonts w:ascii="Verdana" w:hAnsi="Verdana"/>
                      <w:b/>
                      <w:bCs/>
                      <w:sz w:val="14"/>
                      <w:szCs w:val="14"/>
                    </w:rPr>
                    <w:t>2023</w:t>
                  </w:r>
                </w:p>
              </w:tc>
              <w:tc>
                <w:tcPr>
                  <w:tcW w:w="1080" w:type="dxa"/>
                  <w:noWrap/>
                  <w:hideMark/>
                </w:tcPr>
                <w:p w:rsidRPr="002A1F9A" w:rsidR="00343185" w:rsidP="00343185" w:rsidRDefault="00343185" w14:paraId="2E8FC351" w14:textId="77777777">
                  <w:pPr>
                    <w:rPr>
                      <w:rFonts w:ascii="Verdana" w:hAnsi="Verdana"/>
                      <w:sz w:val="14"/>
                      <w:szCs w:val="14"/>
                    </w:rPr>
                  </w:pPr>
                  <w:r w:rsidRPr="002A1F9A">
                    <w:rPr>
                      <w:rFonts w:ascii="Verdana" w:hAnsi="Verdana"/>
                      <w:sz w:val="14"/>
                      <w:szCs w:val="14"/>
                    </w:rPr>
                    <w:t xml:space="preserve">   10.695 </w:t>
                  </w:r>
                </w:p>
              </w:tc>
              <w:tc>
                <w:tcPr>
                  <w:tcW w:w="1080" w:type="dxa"/>
                  <w:noWrap/>
                  <w:hideMark/>
                </w:tcPr>
                <w:p w:rsidRPr="002A1F9A" w:rsidR="00343185" w:rsidP="00343185" w:rsidRDefault="00343185" w14:paraId="5C44C55A" w14:textId="77777777">
                  <w:pPr>
                    <w:rPr>
                      <w:rFonts w:ascii="Verdana" w:hAnsi="Verdana"/>
                      <w:sz w:val="14"/>
                      <w:szCs w:val="14"/>
                    </w:rPr>
                  </w:pPr>
                  <w:r w:rsidRPr="002A1F9A">
                    <w:rPr>
                      <w:rFonts w:ascii="Verdana" w:hAnsi="Verdana"/>
                      <w:sz w:val="14"/>
                      <w:szCs w:val="14"/>
                    </w:rPr>
                    <w:t xml:space="preserve">   24.514 </w:t>
                  </w:r>
                </w:p>
              </w:tc>
            </w:tr>
            <w:tr w:rsidRPr="002A1F9A" w:rsidR="00343185" w:rsidTr="0047315C" w14:paraId="17B06594" w14:textId="77777777">
              <w:trPr>
                <w:trHeight w:val="255"/>
              </w:trPr>
              <w:tc>
                <w:tcPr>
                  <w:tcW w:w="1080" w:type="dxa"/>
                  <w:noWrap/>
                  <w:hideMark/>
                </w:tcPr>
                <w:p w:rsidRPr="002A1F9A" w:rsidR="00343185" w:rsidP="00343185" w:rsidRDefault="00343185" w14:paraId="12951A07" w14:textId="77777777">
                  <w:pPr>
                    <w:rPr>
                      <w:rFonts w:ascii="Verdana" w:hAnsi="Verdana"/>
                      <w:b/>
                      <w:bCs/>
                      <w:sz w:val="14"/>
                      <w:szCs w:val="14"/>
                    </w:rPr>
                  </w:pPr>
                  <w:r w:rsidRPr="002A1F9A">
                    <w:rPr>
                      <w:rFonts w:ascii="Verdana" w:hAnsi="Verdana"/>
                      <w:b/>
                      <w:bCs/>
                      <w:sz w:val="14"/>
                      <w:szCs w:val="14"/>
                    </w:rPr>
                    <w:t>2024</w:t>
                  </w:r>
                </w:p>
              </w:tc>
              <w:tc>
                <w:tcPr>
                  <w:tcW w:w="1080" w:type="dxa"/>
                  <w:noWrap/>
                  <w:hideMark/>
                </w:tcPr>
                <w:p w:rsidRPr="002A1F9A" w:rsidR="00343185" w:rsidP="00343185" w:rsidRDefault="00343185" w14:paraId="7D142893" w14:textId="77777777">
                  <w:pPr>
                    <w:rPr>
                      <w:rFonts w:ascii="Verdana" w:hAnsi="Verdana"/>
                      <w:sz w:val="14"/>
                      <w:szCs w:val="14"/>
                    </w:rPr>
                  </w:pPr>
                  <w:r w:rsidRPr="002A1F9A">
                    <w:rPr>
                      <w:rFonts w:ascii="Verdana" w:hAnsi="Verdana"/>
                      <w:sz w:val="14"/>
                      <w:szCs w:val="14"/>
                    </w:rPr>
                    <w:t xml:space="preserve">   10.178 </w:t>
                  </w:r>
                </w:p>
              </w:tc>
              <w:tc>
                <w:tcPr>
                  <w:tcW w:w="1080" w:type="dxa"/>
                  <w:noWrap/>
                  <w:hideMark/>
                </w:tcPr>
                <w:p w:rsidRPr="002A1F9A" w:rsidR="00343185" w:rsidP="00343185" w:rsidRDefault="00343185" w14:paraId="09658BC9" w14:textId="77777777">
                  <w:pPr>
                    <w:rPr>
                      <w:rFonts w:ascii="Verdana" w:hAnsi="Verdana"/>
                      <w:sz w:val="14"/>
                      <w:szCs w:val="14"/>
                    </w:rPr>
                  </w:pPr>
                  <w:r w:rsidRPr="002A1F9A">
                    <w:rPr>
                      <w:rFonts w:ascii="Verdana" w:hAnsi="Verdana"/>
                      <w:sz w:val="14"/>
                      <w:szCs w:val="14"/>
                    </w:rPr>
                    <w:t xml:space="preserve">   23.454 </w:t>
                  </w:r>
                </w:p>
              </w:tc>
            </w:tr>
            <w:tr w:rsidRPr="002A1F9A" w:rsidR="00343185" w:rsidTr="0047315C" w14:paraId="2FD26746" w14:textId="77777777">
              <w:trPr>
                <w:trHeight w:val="255"/>
              </w:trPr>
              <w:tc>
                <w:tcPr>
                  <w:tcW w:w="1080" w:type="dxa"/>
                  <w:noWrap/>
                  <w:hideMark/>
                </w:tcPr>
                <w:p w:rsidRPr="002A1F9A" w:rsidR="00343185" w:rsidP="00343185" w:rsidRDefault="00343185" w14:paraId="6535A426" w14:textId="77777777">
                  <w:pPr>
                    <w:rPr>
                      <w:rFonts w:ascii="Verdana" w:hAnsi="Verdana"/>
                      <w:b/>
                      <w:bCs/>
                      <w:sz w:val="14"/>
                      <w:szCs w:val="14"/>
                    </w:rPr>
                  </w:pPr>
                  <w:r w:rsidRPr="002A1F9A">
                    <w:rPr>
                      <w:rFonts w:ascii="Verdana" w:hAnsi="Verdana"/>
                      <w:b/>
                      <w:bCs/>
                      <w:sz w:val="14"/>
                      <w:szCs w:val="14"/>
                    </w:rPr>
                    <w:t>2025</w:t>
                  </w:r>
                </w:p>
              </w:tc>
              <w:tc>
                <w:tcPr>
                  <w:tcW w:w="1080" w:type="dxa"/>
                  <w:noWrap/>
                  <w:hideMark/>
                </w:tcPr>
                <w:p w:rsidRPr="002A1F9A" w:rsidR="00343185" w:rsidP="00343185" w:rsidRDefault="00343185" w14:paraId="55E72749" w14:textId="77777777">
                  <w:pPr>
                    <w:rPr>
                      <w:rFonts w:ascii="Verdana" w:hAnsi="Verdana"/>
                      <w:sz w:val="14"/>
                      <w:szCs w:val="14"/>
                    </w:rPr>
                  </w:pPr>
                  <w:r w:rsidRPr="002A1F9A">
                    <w:rPr>
                      <w:rFonts w:ascii="Verdana" w:hAnsi="Verdana"/>
                      <w:sz w:val="14"/>
                      <w:szCs w:val="14"/>
                    </w:rPr>
                    <w:t xml:space="preserve">   10.294 </w:t>
                  </w:r>
                </w:p>
              </w:tc>
              <w:tc>
                <w:tcPr>
                  <w:tcW w:w="1080" w:type="dxa"/>
                  <w:noWrap/>
                  <w:hideMark/>
                </w:tcPr>
                <w:p w:rsidRPr="002A1F9A" w:rsidR="00343185" w:rsidP="00343185" w:rsidRDefault="00343185" w14:paraId="1FDB016D" w14:textId="77777777">
                  <w:pPr>
                    <w:rPr>
                      <w:rFonts w:ascii="Verdana" w:hAnsi="Verdana"/>
                      <w:sz w:val="14"/>
                      <w:szCs w:val="14"/>
                    </w:rPr>
                  </w:pPr>
                  <w:r w:rsidRPr="002A1F9A">
                    <w:rPr>
                      <w:rFonts w:ascii="Verdana" w:hAnsi="Verdana"/>
                      <w:sz w:val="14"/>
                      <w:szCs w:val="14"/>
                    </w:rPr>
                    <w:t xml:space="preserve">   23.695 </w:t>
                  </w:r>
                </w:p>
              </w:tc>
            </w:tr>
            <w:tr w:rsidRPr="002A1F9A" w:rsidR="00343185" w:rsidTr="0047315C" w14:paraId="5018BF1D" w14:textId="77777777">
              <w:trPr>
                <w:trHeight w:val="255"/>
              </w:trPr>
              <w:tc>
                <w:tcPr>
                  <w:tcW w:w="1080" w:type="dxa"/>
                  <w:noWrap/>
                  <w:hideMark/>
                </w:tcPr>
                <w:p w:rsidRPr="002A1F9A" w:rsidR="00343185" w:rsidP="00343185" w:rsidRDefault="00343185" w14:paraId="35D0B682" w14:textId="77777777">
                  <w:pPr>
                    <w:rPr>
                      <w:rFonts w:ascii="Verdana" w:hAnsi="Verdana"/>
                      <w:b/>
                      <w:bCs/>
                      <w:sz w:val="14"/>
                      <w:szCs w:val="14"/>
                    </w:rPr>
                  </w:pPr>
                  <w:r w:rsidRPr="002A1F9A">
                    <w:rPr>
                      <w:rFonts w:ascii="Verdana" w:hAnsi="Verdana"/>
                      <w:b/>
                      <w:bCs/>
                      <w:sz w:val="14"/>
                      <w:szCs w:val="14"/>
                    </w:rPr>
                    <w:t>2026</w:t>
                  </w:r>
                </w:p>
              </w:tc>
              <w:tc>
                <w:tcPr>
                  <w:tcW w:w="1080" w:type="dxa"/>
                  <w:noWrap/>
                  <w:hideMark/>
                </w:tcPr>
                <w:p w:rsidRPr="002A1F9A" w:rsidR="00343185" w:rsidP="00343185" w:rsidRDefault="00343185" w14:paraId="22F6570B" w14:textId="77777777">
                  <w:pPr>
                    <w:rPr>
                      <w:rFonts w:ascii="Verdana" w:hAnsi="Verdana"/>
                      <w:sz w:val="14"/>
                      <w:szCs w:val="14"/>
                    </w:rPr>
                  </w:pPr>
                  <w:r w:rsidRPr="002A1F9A">
                    <w:rPr>
                      <w:rFonts w:ascii="Verdana" w:hAnsi="Verdana"/>
                      <w:sz w:val="14"/>
                      <w:szCs w:val="14"/>
                    </w:rPr>
                    <w:t xml:space="preserve">   10.365 </w:t>
                  </w:r>
                </w:p>
              </w:tc>
              <w:tc>
                <w:tcPr>
                  <w:tcW w:w="1080" w:type="dxa"/>
                  <w:noWrap/>
                  <w:hideMark/>
                </w:tcPr>
                <w:p w:rsidRPr="002A1F9A" w:rsidR="00343185" w:rsidP="00343185" w:rsidRDefault="00343185" w14:paraId="5F761537" w14:textId="77777777">
                  <w:pPr>
                    <w:rPr>
                      <w:rFonts w:ascii="Verdana" w:hAnsi="Verdana"/>
                      <w:sz w:val="14"/>
                      <w:szCs w:val="14"/>
                    </w:rPr>
                  </w:pPr>
                  <w:r w:rsidRPr="002A1F9A">
                    <w:rPr>
                      <w:rFonts w:ascii="Verdana" w:hAnsi="Verdana"/>
                      <w:sz w:val="14"/>
                      <w:szCs w:val="14"/>
                    </w:rPr>
                    <w:t xml:space="preserve">   23.911 </w:t>
                  </w:r>
                </w:p>
              </w:tc>
            </w:tr>
            <w:tr w:rsidRPr="002A1F9A" w:rsidR="00343185" w:rsidTr="0047315C" w14:paraId="56E65B23" w14:textId="77777777">
              <w:trPr>
                <w:trHeight w:val="255"/>
              </w:trPr>
              <w:tc>
                <w:tcPr>
                  <w:tcW w:w="1080" w:type="dxa"/>
                  <w:noWrap/>
                  <w:hideMark/>
                </w:tcPr>
                <w:p w:rsidRPr="002A1F9A" w:rsidR="00343185" w:rsidP="00343185" w:rsidRDefault="00343185" w14:paraId="60689719" w14:textId="77777777">
                  <w:pPr>
                    <w:rPr>
                      <w:rFonts w:ascii="Verdana" w:hAnsi="Verdana"/>
                      <w:b/>
                      <w:bCs/>
                      <w:sz w:val="14"/>
                      <w:szCs w:val="14"/>
                    </w:rPr>
                  </w:pPr>
                  <w:r w:rsidRPr="002A1F9A">
                    <w:rPr>
                      <w:rFonts w:ascii="Verdana" w:hAnsi="Verdana"/>
                      <w:b/>
                      <w:bCs/>
                      <w:sz w:val="14"/>
                      <w:szCs w:val="14"/>
                    </w:rPr>
                    <w:t>2027</w:t>
                  </w:r>
                </w:p>
              </w:tc>
              <w:tc>
                <w:tcPr>
                  <w:tcW w:w="1080" w:type="dxa"/>
                  <w:noWrap/>
                  <w:hideMark/>
                </w:tcPr>
                <w:p w:rsidRPr="002A1F9A" w:rsidR="00343185" w:rsidP="00343185" w:rsidRDefault="00343185" w14:paraId="27797293" w14:textId="77777777">
                  <w:pPr>
                    <w:rPr>
                      <w:rFonts w:ascii="Verdana" w:hAnsi="Verdana"/>
                      <w:sz w:val="14"/>
                      <w:szCs w:val="14"/>
                    </w:rPr>
                  </w:pPr>
                  <w:r w:rsidRPr="002A1F9A">
                    <w:rPr>
                      <w:rFonts w:ascii="Verdana" w:hAnsi="Verdana"/>
                      <w:sz w:val="14"/>
                      <w:szCs w:val="14"/>
                    </w:rPr>
                    <w:t xml:space="preserve">   10.140 </w:t>
                  </w:r>
                </w:p>
              </w:tc>
              <w:tc>
                <w:tcPr>
                  <w:tcW w:w="1080" w:type="dxa"/>
                  <w:noWrap/>
                  <w:hideMark/>
                </w:tcPr>
                <w:p w:rsidRPr="002A1F9A" w:rsidR="00343185" w:rsidP="00343185" w:rsidRDefault="00343185" w14:paraId="792D38BB" w14:textId="77777777">
                  <w:pPr>
                    <w:rPr>
                      <w:rFonts w:ascii="Verdana" w:hAnsi="Verdana"/>
                      <w:sz w:val="14"/>
                      <w:szCs w:val="14"/>
                    </w:rPr>
                  </w:pPr>
                  <w:r w:rsidRPr="002A1F9A">
                    <w:rPr>
                      <w:rFonts w:ascii="Verdana" w:hAnsi="Verdana"/>
                      <w:sz w:val="14"/>
                      <w:szCs w:val="14"/>
                    </w:rPr>
                    <w:t xml:space="preserve">   24.035 </w:t>
                  </w:r>
                </w:p>
              </w:tc>
            </w:tr>
            <w:tr w:rsidRPr="002A1F9A" w:rsidR="00343185" w:rsidTr="0047315C" w14:paraId="5A51E7B7" w14:textId="77777777">
              <w:trPr>
                <w:trHeight w:val="255"/>
              </w:trPr>
              <w:tc>
                <w:tcPr>
                  <w:tcW w:w="1080" w:type="dxa"/>
                  <w:noWrap/>
                  <w:hideMark/>
                </w:tcPr>
                <w:p w:rsidRPr="002A1F9A" w:rsidR="00343185" w:rsidP="00343185" w:rsidRDefault="00343185" w14:paraId="5E433BA2" w14:textId="77777777">
                  <w:pPr>
                    <w:rPr>
                      <w:rFonts w:ascii="Verdana" w:hAnsi="Verdana"/>
                      <w:b/>
                      <w:bCs/>
                      <w:sz w:val="14"/>
                      <w:szCs w:val="14"/>
                    </w:rPr>
                  </w:pPr>
                  <w:r w:rsidRPr="002A1F9A">
                    <w:rPr>
                      <w:rFonts w:ascii="Verdana" w:hAnsi="Verdana"/>
                      <w:b/>
                      <w:bCs/>
                      <w:sz w:val="14"/>
                      <w:szCs w:val="14"/>
                    </w:rPr>
                    <w:t>2028</w:t>
                  </w:r>
                </w:p>
              </w:tc>
              <w:tc>
                <w:tcPr>
                  <w:tcW w:w="1080" w:type="dxa"/>
                  <w:noWrap/>
                  <w:hideMark/>
                </w:tcPr>
                <w:p w:rsidRPr="002A1F9A" w:rsidR="00343185" w:rsidP="00343185" w:rsidRDefault="00343185" w14:paraId="5453A199" w14:textId="77777777">
                  <w:pPr>
                    <w:rPr>
                      <w:rFonts w:ascii="Verdana" w:hAnsi="Verdana"/>
                      <w:sz w:val="14"/>
                      <w:szCs w:val="14"/>
                    </w:rPr>
                  </w:pPr>
                  <w:r w:rsidRPr="002A1F9A">
                    <w:rPr>
                      <w:rFonts w:ascii="Verdana" w:hAnsi="Verdana"/>
                      <w:sz w:val="14"/>
                      <w:szCs w:val="14"/>
                    </w:rPr>
                    <w:t xml:space="preserve">   10.100 </w:t>
                  </w:r>
                </w:p>
              </w:tc>
              <w:tc>
                <w:tcPr>
                  <w:tcW w:w="1080" w:type="dxa"/>
                  <w:noWrap/>
                  <w:hideMark/>
                </w:tcPr>
                <w:p w:rsidRPr="002A1F9A" w:rsidR="00343185" w:rsidP="00343185" w:rsidRDefault="00343185" w14:paraId="276B4C11" w14:textId="77777777">
                  <w:pPr>
                    <w:rPr>
                      <w:rFonts w:ascii="Verdana" w:hAnsi="Verdana"/>
                      <w:sz w:val="14"/>
                      <w:szCs w:val="14"/>
                    </w:rPr>
                  </w:pPr>
                  <w:r w:rsidRPr="002A1F9A">
                    <w:rPr>
                      <w:rFonts w:ascii="Verdana" w:hAnsi="Verdana"/>
                      <w:sz w:val="14"/>
                      <w:szCs w:val="14"/>
                    </w:rPr>
                    <w:t xml:space="preserve">   24.252 </w:t>
                  </w:r>
                </w:p>
              </w:tc>
            </w:tr>
            <w:tr w:rsidRPr="002A1F9A" w:rsidR="00343185" w:rsidTr="0047315C" w14:paraId="68104572" w14:textId="77777777">
              <w:trPr>
                <w:trHeight w:val="255"/>
              </w:trPr>
              <w:tc>
                <w:tcPr>
                  <w:tcW w:w="1080" w:type="dxa"/>
                  <w:noWrap/>
                  <w:hideMark/>
                </w:tcPr>
                <w:p w:rsidRPr="002A1F9A" w:rsidR="00343185" w:rsidP="00343185" w:rsidRDefault="00343185" w14:paraId="13333285" w14:textId="77777777">
                  <w:pPr>
                    <w:rPr>
                      <w:rFonts w:ascii="Verdana" w:hAnsi="Verdana"/>
                      <w:b/>
                      <w:bCs/>
                      <w:sz w:val="14"/>
                      <w:szCs w:val="14"/>
                    </w:rPr>
                  </w:pPr>
                  <w:r w:rsidRPr="002A1F9A">
                    <w:rPr>
                      <w:rFonts w:ascii="Verdana" w:hAnsi="Verdana"/>
                      <w:b/>
                      <w:bCs/>
                      <w:sz w:val="14"/>
                      <w:szCs w:val="14"/>
                    </w:rPr>
                    <w:t>2029</w:t>
                  </w:r>
                </w:p>
              </w:tc>
              <w:tc>
                <w:tcPr>
                  <w:tcW w:w="1080" w:type="dxa"/>
                  <w:noWrap/>
                  <w:hideMark/>
                </w:tcPr>
                <w:p w:rsidRPr="002A1F9A" w:rsidR="00343185" w:rsidP="00343185" w:rsidRDefault="00343185" w14:paraId="2E25E665" w14:textId="77777777">
                  <w:pPr>
                    <w:rPr>
                      <w:rFonts w:ascii="Verdana" w:hAnsi="Verdana"/>
                      <w:sz w:val="14"/>
                      <w:szCs w:val="14"/>
                    </w:rPr>
                  </w:pPr>
                  <w:r w:rsidRPr="002A1F9A">
                    <w:rPr>
                      <w:rFonts w:ascii="Verdana" w:hAnsi="Verdana"/>
                      <w:sz w:val="14"/>
                      <w:szCs w:val="14"/>
                    </w:rPr>
                    <w:t xml:space="preserve">   10.153 </w:t>
                  </w:r>
                </w:p>
              </w:tc>
              <w:tc>
                <w:tcPr>
                  <w:tcW w:w="1080" w:type="dxa"/>
                  <w:noWrap/>
                  <w:hideMark/>
                </w:tcPr>
                <w:p w:rsidRPr="002A1F9A" w:rsidR="00343185" w:rsidP="00343185" w:rsidRDefault="00343185" w14:paraId="7F046E81" w14:textId="77777777">
                  <w:pPr>
                    <w:rPr>
                      <w:rFonts w:ascii="Verdana" w:hAnsi="Verdana"/>
                      <w:sz w:val="14"/>
                      <w:szCs w:val="14"/>
                    </w:rPr>
                  </w:pPr>
                  <w:r w:rsidRPr="002A1F9A">
                    <w:rPr>
                      <w:rFonts w:ascii="Verdana" w:hAnsi="Verdana"/>
                      <w:sz w:val="14"/>
                      <w:szCs w:val="14"/>
                    </w:rPr>
                    <w:t xml:space="preserve">   24.399 </w:t>
                  </w:r>
                </w:p>
              </w:tc>
            </w:tr>
            <w:tr w:rsidRPr="002A1F9A" w:rsidR="00343185" w:rsidTr="0047315C" w14:paraId="355655E7" w14:textId="77777777">
              <w:trPr>
                <w:trHeight w:val="255"/>
              </w:trPr>
              <w:tc>
                <w:tcPr>
                  <w:tcW w:w="1080" w:type="dxa"/>
                  <w:noWrap/>
                  <w:hideMark/>
                </w:tcPr>
                <w:p w:rsidRPr="002A1F9A" w:rsidR="00343185" w:rsidP="00343185" w:rsidRDefault="00343185" w14:paraId="5345068C" w14:textId="77777777">
                  <w:pPr>
                    <w:rPr>
                      <w:rFonts w:ascii="Verdana" w:hAnsi="Verdana"/>
                      <w:b/>
                      <w:bCs/>
                      <w:sz w:val="14"/>
                      <w:szCs w:val="14"/>
                    </w:rPr>
                  </w:pPr>
                  <w:r w:rsidRPr="002A1F9A">
                    <w:rPr>
                      <w:rFonts w:ascii="Verdana" w:hAnsi="Verdana"/>
                      <w:b/>
                      <w:bCs/>
                      <w:sz w:val="14"/>
                      <w:szCs w:val="14"/>
                    </w:rPr>
                    <w:t>2030</w:t>
                  </w:r>
                </w:p>
              </w:tc>
              <w:tc>
                <w:tcPr>
                  <w:tcW w:w="1080" w:type="dxa"/>
                  <w:noWrap/>
                  <w:hideMark/>
                </w:tcPr>
                <w:p w:rsidRPr="002A1F9A" w:rsidR="00343185" w:rsidP="00343185" w:rsidRDefault="00343185" w14:paraId="1A19046D" w14:textId="77777777">
                  <w:pPr>
                    <w:rPr>
                      <w:rFonts w:ascii="Verdana" w:hAnsi="Verdana"/>
                      <w:sz w:val="14"/>
                      <w:szCs w:val="14"/>
                    </w:rPr>
                  </w:pPr>
                  <w:r w:rsidRPr="002A1F9A">
                    <w:rPr>
                      <w:rFonts w:ascii="Verdana" w:hAnsi="Verdana"/>
                      <w:sz w:val="14"/>
                      <w:szCs w:val="14"/>
                    </w:rPr>
                    <w:t xml:space="preserve">   10.170 </w:t>
                  </w:r>
                </w:p>
              </w:tc>
              <w:tc>
                <w:tcPr>
                  <w:tcW w:w="1080" w:type="dxa"/>
                  <w:noWrap/>
                  <w:hideMark/>
                </w:tcPr>
                <w:p w:rsidRPr="002A1F9A" w:rsidR="00343185" w:rsidP="00343185" w:rsidRDefault="00343185" w14:paraId="4CCB7BB9" w14:textId="77777777">
                  <w:pPr>
                    <w:rPr>
                      <w:rFonts w:ascii="Verdana" w:hAnsi="Verdana"/>
                      <w:sz w:val="14"/>
                      <w:szCs w:val="14"/>
                    </w:rPr>
                  </w:pPr>
                  <w:r w:rsidRPr="002A1F9A">
                    <w:rPr>
                      <w:rFonts w:ascii="Verdana" w:hAnsi="Verdana"/>
                      <w:sz w:val="14"/>
                      <w:szCs w:val="14"/>
                    </w:rPr>
                    <w:t xml:space="preserve">   24.605 </w:t>
                  </w:r>
                </w:p>
              </w:tc>
            </w:tr>
          </w:tbl>
          <w:p w:rsidRPr="002A1F9A" w:rsidR="00462742" w:rsidP="00343185" w:rsidRDefault="00462742" w14:paraId="11060D24" w14:textId="77777777">
            <w:pPr>
              <w:rPr>
                <w:rFonts w:ascii="Verdana" w:hAnsi="Verdana"/>
                <w:sz w:val="18"/>
                <w:szCs w:val="18"/>
              </w:rPr>
            </w:pPr>
          </w:p>
          <w:p w:rsidRPr="002A1F9A" w:rsidR="00343185" w:rsidP="00343185" w:rsidRDefault="00343185" w14:paraId="2B1F096B" w14:textId="77777777">
            <w:pPr>
              <w:rPr>
                <w:rFonts w:ascii="Verdana" w:hAnsi="Verdana"/>
                <w:sz w:val="18"/>
                <w:szCs w:val="18"/>
              </w:rPr>
            </w:pPr>
          </w:p>
          <w:p w:rsidRPr="002A1F9A" w:rsidR="00343185" w:rsidP="00343185" w:rsidRDefault="00343185" w14:paraId="3A662097" w14:textId="77777777">
            <w:pPr>
              <w:rPr>
                <w:rFonts w:ascii="Verdana" w:hAnsi="Verdana"/>
                <w:sz w:val="18"/>
                <w:szCs w:val="18"/>
              </w:rPr>
            </w:pPr>
          </w:p>
          <w:p w:rsidRPr="002A1F9A" w:rsidR="00343185" w:rsidP="00343185" w:rsidRDefault="00343185" w14:paraId="5C50E055" w14:textId="77777777">
            <w:pPr>
              <w:rPr>
                <w:rFonts w:ascii="Verdana" w:hAnsi="Verdana"/>
                <w:sz w:val="18"/>
                <w:szCs w:val="18"/>
              </w:rPr>
            </w:pPr>
          </w:p>
          <w:p w:rsidRPr="002A1F9A" w:rsidR="00343185" w:rsidP="00343185" w:rsidRDefault="00343185" w14:paraId="14BF52AB" w14:textId="77777777">
            <w:pPr>
              <w:rPr>
                <w:rFonts w:ascii="Verdana" w:hAnsi="Verdana"/>
                <w:sz w:val="18"/>
                <w:szCs w:val="18"/>
              </w:rPr>
            </w:pPr>
          </w:p>
          <w:p w:rsidRPr="002A1F9A" w:rsidR="00343185" w:rsidP="00343185" w:rsidRDefault="00343185" w14:paraId="6187B837" w14:textId="77777777">
            <w:pPr>
              <w:rPr>
                <w:rFonts w:ascii="Verdana" w:hAnsi="Verdana"/>
                <w:sz w:val="18"/>
                <w:szCs w:val="18"/>
              </w:rPr>
            </w:pPr>
          </w:p>
          <w:p w:rsidRPr="002A1F9A" w:rsidR="00343185" w:rsidP="00343185" w:rsidRDefault="00343185" w14:paraId="257E30BC" w14:textId="77777777">
            <w:pPr>
              <w:rPr>
                <w:rFonts w:ascii="Verdana" w:hAnsi="Verdana"/>
                <w:sz w:val="18"/>
                <w:szCs w:val="18"/>
              </w:rPr>
            </w:pPr>
          </w:p>
          <w:p w:rsidRPr="002A1F9A" w:rsidR="00343185" w:rsidP="00343185" w:rsidRDefault="00343185" w14:paraId="7511200B" w14:textId="77777777">
            <w:pPr>
              <w:rPr>
                <w:rFonts w:ascii="Verdana" w:hAnsi="Verdana"/>
                <w:sz w:val="18"/>
                <w:szCs w:val="18"/>
              </w:rPr>
            </w:pPr>
          </w:p>
          <w:p w:rsidRPr="002A1F9A" w:rsidR="00343185" w:rsidP="00343185" w:rsidRDefault="00343185" w14:paraId="0C81543E" w14:textId="77777777">
            <w:pPr>
              <w:rPr>
                <w:rFonts w:ascii="Verdana" w:hAnsi="Verdana"/>
                <w:sz w:val="18"/>
                <w:szCs w:val="18"/>
              </w:rPr>
            </w:pPr>
          </w:p>
          <w:p w:rsidRPr="002A1F9A" w:rsidR="00343185" w:rsidP="00343185" w:rsidRDefault="00343185" w14:paraId="2D6FB5A2" w14:textId="77777777">
            <w:pPr>
              <w:rPr>
                <w:rFonts w:ascii="Verdana" w:hAnsi="Verdana"/>
                <w:sz w:val="18"/>
                <w:szCs w:val="18"/>
              </w:rPr>
            </w:pPr>
          </w:p>
          <w:p w:rsidRPr="002A1F9A" w:rsidR="00343185" w:rsidP="00343185" w:rsidRDefault="00343185" w14:paraId="2678A5FD" w14:textId="77777777">
            <w:pPr>
              <w:rPr>
                <w:rFonts w:ascii="Verdana" w:hAnsi="Verdana"/>
                <w:sz w:val="18"/>
                <w:szCs w:val="18"/>
              </w:rPr>
            </w:pPr>
          </w:p>
          <w:p w:rsidRPr="002A1F9A" w:rsidR="00343185" w:rsidP="00343185" w:rsidRDefault="00343185" w14:paraId="655F2F35" w14:textId="77777777">
            <w:pPr>
              <w:rPr>
                <w:rFonts w:ascii="Verdana" w:hAnsi="Verdana"/>
                <w:sz w:val="18"/>
                <w:szCs w:val="18"/>
              </w:rPr>
            </w:pPr>
          </w:p>
          <w:p w:rsidRPr="002A1F9A" w:rsidR="00343185" w:rsidP="00343185" w:rsidRDefault="00343185" w14:paraId="78A1B432" w14:textId="77777777">
            <w:pPr>
              <w:rPr>
                <w:rFonts w:ascii="Verdana" w:hAnsi="Verdana"/>
                <w:sz w:val="18"/>
                <w:szCs w:val="18"/>
              </w:rPr>
            </w:pPr>
          </w:p>
          <w:p w:rsidRPr="002A1F9A" w:rsidR="00343185" w:rsidP="00343185" w:rsidRDefault="00343185" w14:paraId="5EA29E58" w14:textId="77777777">
            <w:pPr>
              <w:rPr>
                <w:rFonts w:ascii="Verdana" w:hAnsi="Verdana"/>
                <w:sz w:val="18"/>
                <w:szCs w:val="18"/>
              </w:rPr>
            </w:pPr>
          </w:p>
          <w:p w:rsidRPr="002A1F9A" w:rsidR="00343185" w:rsidP="00343185" w:rsidRDefault="00343185" w14:paraId="13EB7498" w14:textId="77777777">
            <w:pPr>
              <w:rPr>
                <w:rFonts w:ascii="Verdana" w:hAnsi="Verdana"/>
                <w:sz w:val="18"/>
                <w:szCs w:val="18"/>
              </w:rPr>
            </w:pPr>
          </w:p>
          <w:p w:rsidRPr="002A1F9A" w:rsidR="00343185" w:rsidP="00343185" w:rsidRDefault="00343185" w14:paraId="3E1C362F" w14:textId="77777777">
            <w:pPr>
              <w:rPr>
                <w:rFonts w:ascii="Verdana" w:hAnsi="Verdana"/>
                <w:sz w:val="18"/>
                <w:szCs w:val="18"/>
              </w:rPr>
            </w:pPr>
          </w:p>
          <w:p w:rsidRPr="002A1F9A" w:rsidR="00343185" w:rsidP="00343185" w:rsidRDefault="00343185" w14:paraId="46322918" w14:textId="77777777">
            <w:pPr>
              <w:rPr>
                <w:rFonts w:ascii="Verdana" w:hAnsi="Verdana"/>
                <w:sz w:val="18"/>
                <w:szCs w:val="18"/>
              </w:rPr>
            </w:pPr>
          </w:p>
          <w:p w:rsidRPr="002A1F9A" w:rsidR="00343185" w:rsidP="00343185" w:rsidRDefault="00343185" w14:paraId="1F6986B5" w14:textId="77777777">
            <w:pPr>
              <w:rPr>
                <w:rFonts w:ascii="Verdana" w:hAnsi="Verdana"/>
                <w:sz w:val="18"/>
                <w:szCs w:val="18"/>
              </w:rPr>
            </w:pPr>
          </w:p>
          <w:p w:rsidRPr="002A1F9A" w:rsidR="00343185" w:rsidP="00343185" w:rsidRDefault="00343185" w14:paraId="7036E89E" w14:textId="77777777">
            <w:pPr>
              <w:rPr>
                <w:rFonts w:ascii="Verdana" w:hAnsi="Verdana"/>
                <w:sz w:val="18"/>
                <w:szCs w:val="18"/>
              </w:rPr>
            </w:pPr>
          </w:p>
          <w:p w:rsidRPr="002A1F9A" w:rsidR="00343185" w:rsidP="00343185" w:rsidRDefault="00343185" w14:paraId="22A3480F" w14:textId="77777777">
            <w:pPr>
              <w:rPr>
                <w:rFonts w:ascii="Verdana" w:hAnsi="Verdana"/>
                <w:sz w:val="18"/>
                <w:szCs w:val="18"/>
              </w:rPr>
            </w:pPr>
          </w:p>
          <w:p w:rsidRPr="002A1F9A" w:rsidR="00343185" w:rsidP="00343185" w:rsidRDefault="00343185" w14:paraId="22FBED30" w14:textId="77777777">
            <w:pPr>
              <w:rPr>
                <w:rFonts w:ascii="Verdana" w:hAnsi="Verdana"/>
                <w:sz w:val="18"/>
                <w:szCs w:val="18"/>
              </w:rPr>
            </w:pPr>
          </w:p>
          <w:p w:rsidRPr="002A1F9A" w:rsidR="00343185" w:rsidP="00343185" w:rsidRDefault="00343185" w14:paraId="2FEAB5F4" w14:textId="77777777">
            <w:pPr>
              <w:rPr>
                <w:rFonts w:ascii="Verdana" w:hAnsi="Verdana"/>
                <w:sz w:val="18"/>
                <w:szCs w:val="18"/>
              </w:rPr>
            </w:pPr>
          </w:p>
          <w:p w:rsidRPr="002A1F9A" w:rsidR="00343185" w:rsidP="00343185" w:rsidRDefault="00343185" w14:paraId="4361A33C" w14:textId="77777777">
            <w:pPr>
              <w:rPr>
                <w:rFonts w:ascii="Verdana" w:hAnsi="Verdana"/>
                <w:sz w:val="18"/>
                <w:szCs w:val="18"/>
              </w:rPr>
            </w:pPr>
          </w:p>
          <w:p w:rsidRPr="002A1F9A" w:rsidR="00343185" w:rsidP="00343185" w:rsidRDefault="00343185" w14:paraId="4B34C6EB" w14:textId="77777777">
            <w:pPr>
              <w:rPr>
                <w:rFonts w:ascii="Verdana" w:hAnsi="Verdana"/>
                <w:sz w:val="18"/>
                <w:szCs w:val="18"/>
              </w:rPr>
            </w:pPr>
          </w:p>
          <w:p w:rsidRPr="002A1F9A" w:rsidR="00343185" w:rsidP="00343185" w:rsidRDefault="00343185" w14:paraId="5CE7B2AE" w14:textId="77777777">
            <w:pPr>
              <w:rPr>
                <w:rFonts w:ascii="Verdana" w:hAnsi="Verdana"/>
                <w:sz w:val="18"/>
                <w:szCs w:val="18"/>
              </w:rPr>
            </w:pPr>
          </w:p>
          <w:p w:rsidRPr="002A1F9A" w:rsidR="00343185" w:rsidP="00343185" w:rsidRDefault="00343185" w14:paraId="11D76FCE" w14:textId="77777777">
            <w:pPr>
              <w:rPr>
                <w:rFonts w:ascii="Verdana" w:hAnsi="Verdana"/>
                <w:sz w:val="18"/>
                <w:szCs w:val="18"/>
              </w:rPr>
            </w:pPr>
          </w:p>
          <w:p w:rsidRPr="002A1F9A" w:rsidR="00343185" w:rsidP="00343185" w:rsidRDefault="00343185" w14:paraId="5452A179" w14:textId="77777777">
            <w:pPr>
              <w:rPr>
                <w:rFonts w:ascii="Verdana" w:hAnsi="Verdana"/>
                <w:sz w:val="18"/>
                <w:szCs w:val="18"/>
              </w:rPr>
            </w:pPr>
          </w:p>
          <w:p w:rsidRPr="002A1F9A" w:rsidR="00343185" w:rsidP="00343185" w:rsidRDefault="00343185" w14:paraId="6291859C" w14:textId="77777777">
            <w:pPr>
              <w:rPr>
                <w:rFonts w:ascii="Verdana" w:hAnsi="Verdana"/>
                <w:sz w:val="18"/>
                <w:szCs w:val="18"/>
              </w:rPr>
            </w:pPr>
          </w:p>
          <w:p w:rsidRPr="002A1F9A" w:rsidR="00343185" w:rsidP="00343185" w:rsidRDefault="00343185" w14:paraId="673833A3" w14:textId="77777777">
            <w:pPr>
              <w:rPr>
                <w:rFonts w:ascii="Verdana" w:hAnsi="Verdana"/>
                <w:sz w:val="18"/>
                <w:szCs w:val="18"/>
              </w:rPr>
            </w:pPr>
          </w:p>
          <w:p w:rsidRPr="002A1F9A" w:rsidR="00343185" w:rsidP="00343185" w:rsidRDefault="00343185" w14:paraId="18380640" w14:textId="77777777">
            <w:pPr>
              <w:rPr>
                <w:rFonts w:ascii="Verdana" w:hAnsi="Verdana"/>
                <w:sz w:val="18"/>
                <w:szCs w:val="18"/>
              </w:rPr>
            </w:pPr>
          </w:p>
          <w:p w:rsidRPr="002A1F9A" w:rsidR="00343185" w:rsidP="00343185" w:rsidRDefault="00343185" w14:paraId="1B7A4B50" w14:textId="77777777">
            <w:pPr>
              <w:rPr>
                <w:rFonts w:ascii="Verdana" w:hAnsi="Verdana"/>
                <w:sz w:val="18"/>
                <w:szCs w:val="18"/>
              </w:rPr>
            </w:pPr>
          </w:p>
          <w:p w:rsidRPr="002A1F9A" w:rsidR="00343185" w:rsidP="00343185" w:rsidRDefault="00343185" w14:paraId="72ADE3FC" w14:textId="77777777">
            <w:pPr>
              <w:rPr>
                <w:rFonts w:ascii="Verdana" w:hAnsi="Verdana"/>
                <w:sz w:val="18"/>
                <w:szCs w:val="18"/>
              </w:rPr>
            </w:pPr>
          </w:p>
          <w:p w:rsidRPr="002A1F9A" w:rsidR="00343185" w:rsidP="00343185" w:rsidRDefault="00343185" w14:paraId="4E4022C5" w14:textId="77777777">
            <w:pPr>
              <w:rPr>
                <w:rFonts w:ascii="Verdana" w:hAnsi="Verdana"/>
                <w:sz w:val="18"/>
                <w:szCs w:val="18"/>
              </w:rPr>
            </w:pPr>
          </w:p>
          <w:p w:rsidRPr="002A1F9A" w:rsidR="00343185" w:rsidP="00343185" w:rsidRDefault="00343185" w14:paraId="6E6B15C8" w14:textId="77777777">
            <w:pPr>
              <w:rPr>
                <w:rFonts w:ascii="Verdana" w:hAnsi="Verdana"/>
                <w:sz w:val="18"/>
                <w:szCs w:val="18"/>
              </w:rPr>
            </w:pPr>
          </w:p>
          <w:p w:rsidRPr="002A1F9A" w:rsidR="00343185" w:rsidP="00343185" w:rsidRDefault="00343185" w14:paraId="125F0797" w14:textId="6A5D8B45">
            <w:pPr>
              <w:rPr>
                <w:rFonts w:ascii="Verdana" w:hAnsi="Verdana"/>
                <w:sz w:val="18"/>
                <w:szCs w:val="18"/>
              </w:rPr>
            </w:pPr>
          </w:p>
        </w:tc>
        <w:tc>
          <w:tcPr>
            <w:tcW w:w="850" w:type="dxa"/>
          </w:tcPr>
          <w:p w:rsidRPr="002A1F9A" w:rsidR="00850DFF" w:rsidP="00850DFF" w:rsidRDefault="00850DFF" w14:paraId="62B2DFA1" w14:textId="77777777">
            <w:pPr>
              <w:jc w:val="right"/>
              <w:rPr>
                <w:rFonts w:ascii="Verdana" w:hAnsi="Verdana"/>
                <w:sz w:val="18"/>
                <w:szCs w:val="18"/>
              </w:rPr>
            </w:pPr>
          </w:p>
        </w:tc>
        <w:tc>
          <w:tcPr>
            <w:tcW w:w="992" w:type="dxa"/>
          </w:tcPr>
          <w:p w:rsidRPr="002A1F9A" w:rsidR="00850DFF" w:rsidP="00850DFF" w:rsidRDefault="00850DFF" w14:paraId="033A110A" w14:textId="77777777">
            <w:pPr>
              <w:jc w:val="right"/>
              <w:rPr>
                <w:rFonts w:ascii="Verdana" w:hAnsi="Verdana"/>
                <w:sz w:val="18"/>
                <w:szCs w:val="18"/>
              </w:rPr>
            </w:pPr>
          </w:p>
        </w:tc>
        <w:tc>
          <w:tcPr>
            <w:tcW w:w="567" w:type="dxa"/>
            <w:tcBorders>
              <w:left w:val="nil"/>
            </w:tcBorders>
          </w:tcPr>
          <w:p w:rsidRPr="002A1F9A" w:rsidR="00850DFF" w:rsidP="00850DFF" w:rsidRDefault="00850DFF" w14:paraId="65AC4F2C"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7B88475B" w14:textId="77777777">
        <w:tc>
          <w:tcPr>
            <w:tcW w:w="567" w:type="dxa"/>
          </w:tcPr>
          <w:p w:rsidRPr="002A1F9A" w:rsidR="00850DFF" w:rsidP="00850DFF" w:rsidRDefault="00850DFF" w14:paraId="53DB4A92" w14:textId="77777777">
            <w:pPr>
              <w:rPr>
                <w:rFonts w:ascii="Verdana" w:hAnsi="Verdana"/>
                <w:sz w:val="18"/>
                <w:szCs w:val="18"/>
              </w:rPr>
            </w:pPr>
            <w:r w:rsidRPr="002A1F9A">
              <w:rPr>
                <w:rFonts w:ascii="Verdana" w:hAnsi="Verdana"/>
                <w:sz w:val="18"/>
                <w:szCs w:val="18"/>
              </w:rPr>
              <w:lastRenderedPageBreak/>
              <w:t>7</w:t>
            </w:r>
          </w:p>
        </w:tc>
        <w:tc>
          <w:tcPr>
            <w:tcW w:w="6521" w:type="dxa"/>
          </w:tcPr>
          <w:p w:rsidRPr="002A1F9A" w:rsidR="00850DFF" w:rsidP="00850DFF" w:rsidRDefault="00850DFF" w14:paraId="5DCF4676" w14:textId="77777777">
            <w:pPr>
              <w:rPr>
                <w:rFonts w:ascii="Verdana" w:hAnsi="Verdana"/>
                <w:sz w:val="18"/>
                <w:szCs w:val="18"/>
              </w:rPr>
            </w:pPr>
            <w:bookmarkStart w:name="_Hlk212541711" w:id="4"/>
            <w:r w:rsidRPr="002A1F9A">
              <w:rPr>
                <w:rFonts w:ascii="Verdana" w:hAnsi="Verdana"/>
                <w:sz w:val="18"/>
                <w:szCs w:val="18"/>
              </w:rPr>
              <w:t>Wat is de verwachte koopkrachtontwikkeling voor studenten de komende vijf jaar?</w:t>
            </w:r>
          </w:p>
          <w:bookmarkEnd w:id="4"/>
          <w:p w:rsidRPr="002A1F9A" w:rsidR="00343185" w:rsidP="00850DFF" w:rsidRDefault="00343185" w14:paraId="66E98344" w14:textId="77777777">
            <w:pPr>
              <w:rPr>
                <w:rFonts w:ascii="Verdana" w:hAnsi="Verdana"/>
                <w:sz w:val="18"/>
                <w:szCs w:val="18"/>
              </w:rPr>
            </w:pPr>
          </w:p>
          <w:p w:rsidRPr="002A1F9A" w:rsidR="00343185" w:rsidP="00850DFF" w:rsidRDefault="00343185" w14:paraId="1EC8A69F" w14:textId="5B589F37">
            <w:pPr>
              <w:rPr>
                <w:rFonts w:ascii="Verdana" w:hAnsi="Verdana"/>
                <w:sz w:val="18"/>
                <w:szCs w:val="18"/>
              </w:rPr>
            </w:pPr>
            <w:bookmarkStart w:name="_Hlk212541736" w:id="5"/>
            <w:r w:rsidRPr="002A1F9A">
              <w:rPr>
                <w:rFonts w:ascii="Verdana" w:hAnsi="Verdana"/>
                <w:sz w:val="18"/>
                <w:szCs w:val="18"/>
              </w:rPr>
              <w:t>Het kabinet en het Centraal Planbureau maken geen ramingen voor de koopkracht van studenten. Daarom kan het kabinet ook geen inzicht geven in de verwachte koopkrachtontwikkeling voor de komende vijf jaar. Wel heeft het Nibud de koopkrachtontwikkeling van verschillende typen studentenhuishoudens voor 2026 berekend. Studenten op kamers gaan er tussen 1,0% en 1,7% op vooruit. Studenten in een studio hebben te maken van een koopkrachtstijging van 18,8%, omdat zij vanaf 1 januari 2026 in aanmerking komen voor huurtoeslag.</w:t>
            </w:r>
            <w:bookmarkEnd w:id="5"/>
            <w:r w:rsidRPr="002A1F9A" w:rsidR="003B043F">
              <w:rPr>
                <w:rFonts w:ascii="Verdana" w:hAnsi="Verdana"/>
                <w:sz w:val="18"/>
                <w:szCs w:val="18"/>
              </w:rPr>
              <w:t xml:space="preserve"> Het Nibud brengt de koopkrachtonwikkeling van thuiswonende studenten niet in kaart. Zij maken deel uit van een huishouden, waarbij ouders veel van de uitgaven voor hun rekening nemen. Het is daarom niet mogelijk om de koopkrachtontwikkeling van individuele thuiswonende studenten in te schatten.</w:t>
            </w:r>
          </w:p>
        </w:tc>
        <w:tc>
          <w:tcPr>
            <w:tcW w:w="850" w:type="dxa"/>
          </w:tcPr>
          <w:p w:rsidRPr="002A1F9A" w:rsidR="00850DFF" w:rsidP="00850DFF" w:rsidRDefault="00850DFF" w14:paraId="12ACE49A" w14:textId="77777777">
            <w:pPr>
              <w:jc w:val="right"/>
              <w:rPr>
                <w:rFonts w:ascii="Verdana" w:hAnsi="Verdana"/>
                <w:sz w:val="18"/>
                <w:szCs w:val="18"/>
              </w:rPr>
            </w:pPr>
          </w:p>
        </w:tc>
        <w:tc>
          <w:tcPr>
            <w:tcW w:w="992" w:type="dxa"/>
          </w:tcPr>
          <w:p w:rsidRPr="002A1F9A" w:rsidR="00850DFF" w:rsidP="00850DFF" w:rsidRDefault="00850DFF" w14:paraId="0DCA9C53" w14:textId="77777777">
            <w:pPr>
              <w:jc w:val="right"/>
              <w:rPr>
                <w:rFonts w:ascii="Verdana" w:hAnsi="Verdana"/>
                <w:sz w:val="18"/>
                <w:szCs w:val="18"/>
              </w:rPr>
            </w:pPr>
          </w:p>
        </w:tc>
        <w:tc>
          <w:tcPr>
            <w:tcW w:w="567" w:type="dxa"/>
            <w:tcBorders>
              <w:left w:val="nil"/>
            </w:tcBorders>
          </w:tcPr>
          <w:p w:rsidRPr="002A1F9A" w:rsidR="00850DFF" w:rsidP="00850DFF" w:rsidRDefault="00850DFF" w14:paraId="30DBCE5B"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2B0D3CB4" w14:textId="77777777">
        <w:tc>
          <w:tcPr>
            <w:tcW w:w="567" w:type="dxa"/>
          </w:tcPr>
          <w:p w:rsidRPr="002A1F9A" w:rsidR="00850DFF" w:rsidP="00850DFF" w:rsidRDefault="00850DFF" w14:paraId="36266725" w14:textId="77777777">
            <w:pPr>
              <w:rPr>
                <w:rFonts w:ascii="Verdana" w:hAnsi="Verdana"/>
                <w:sz w:val="18"/>
                <w:szCs w:val="18"/>
              </w:rPr>
            </w:pPr>
            <w:r w:rsidRPr="002A1F9A">
              <w:rPr>
                <w:rFonts w:ascii="Verdana" w:hAnsi="Verdana"/>
                <w:sz w:val="18"/>
                <w:szCs w:val="18"/>
              </w:rPr>
              <w:t>8</w:t>
            </w:r>
          </w:p>
        </w:tc>
        <w:tc>
          <w:tcPr>
            <w:tcW w:w="6521" w:type="dxa"/>
          </w:tcPr>
          <w:p w:rsidRPr="002A1F9A" w:rsidR="00850DFF" w:rsidP="00850DFF" w:rsidRDefault="00850DFF" w14:paraId="3184473B" w14:textId="77777777">
            <w:pPr>
              <w:rPr>
                <w:rFonts w:ascii="Verdana" w:hAnsi="Verdana"/>
                <w:sz w:val="18"/>
                <w:szCs w:val="18"/>
              </w:rPr>
            </w:pPr>
            <w:bookmarkStart w:name="_Hlk212542001" w:id="6"/>
            <w:r w:rsidRPr="002A1F9A">
              <w:rPr>
                <w:rFonts w:ascii="Verdana" w:hAnsi="Verdana"/>
                <w:sz w:val="18"/>
                <w:szCs w:val="18"/>
              </w:rPr>
              <w:t>Kunt u een overzicht geven van alle doelgerichte subsidies die de afgelopen twintig jaar zijn opgegaan in het lumpsumbedrag van de rijksbijdrage aan scholen?</w:t>
            </w:r>
          </w:p>
          <w:bookmarkEnd w:id="6"/>
          <w:p w:rsidRPr="002A1F9A" w:rsidR="00850DFF" w:rsidP="00850DFF" w:rsidRDefault="00850DFF" w14:paraId="2AB68FED" w14:textId="77777777">
            <w:pPr>
              <w:rPr>
                <w:rFonts w:ascii="Verdana" w:hAnsi="Verdana"/>
                <w:sz w:val="18"/>
                <w:szCs w:val="18"/>
              </w:rPr>
            </w:pPr>
          </w:p>
          <w:p w:rsidRPr="002A1F9A" w:rsidR="00850DFF" w:rsidP="00850DFF" w:rsidRDefault="00850DFF" w14:paraId="38BC3570" w14:textId="3DF48AAF">
            <w:pPr>
              <w:rPr>
                <w:rFonts w:ascii="Verdana" w:hAnsi="Verdana"/>
                <w:sz w:val="18"/>
                <w:szCs w:val="18"/>
              </w:rPr>
            </w:pPr>
            <w:bookmarkStart w:name="_Hlk211594408" w:id="7"/>
            <w:bookmarkStart w:name="_Hlk212542054" w:id="8"/>
            <w:r w:rsidRPr="002A1F9A">
              <w:rPr>
                <w:rFonts w:ascii="Verdana" w:hAnsi="Verdana"/>
                <w:sz w:val="18"/>
                <w:szCs w:val="18"/>
              </w:rPr>
              <w:t>De afgelopen vijf jaar zijn</w:t>
            </w:r>
            <w:r w:rsidRPr="002A1F9A" w:rsidR="00FB0A8A">
              <w:rPr>
                <w:rFonts w:ascii="Verdana" w:hAnsi="Verdana"/>
                <w:sz w:val="18"/>
                <w:szCs w:val="18"/>
              </w:rPr>
              <w:t xml:space="preserve"> binnen het funderend onderwijs</w:t>
            </w:r>
            <w:r w:rsidRPr="002A1F9A">
              <w:rPr>
                <w:rFonts w:ascii="Verdana" w:hAnsi="Verdana"/>
                <w:sz w:val="18"/>
                <w:szCs w:val="18"/>
              </w:rPr>
              <w:t xml:space="preserve"> middelen vanuit een aantal subsidieregelingen aan de bekostiging toegevoegd. Zo zijn in 2025 middelen voor residentieel onderwijs aan de bekostiging </w:t>
            </w:r>
            <w:r w:rsidRPr="002A1F9A" w:rsidR="00F976F8">
              <w:rPr>
                <w:rFonts w:ascii="Verdana" w:hAnsi="Verdana"/>
                <w:sz w:val="18"/>
                <w:szCs w:val="18"/>
              </w:rPr>
              <w:t xml:space="preserve">van schoolbesturen en samenwerkingsverbanden </w:t>
            </w:r>
            <w:r w:rsidRPr="002A1F9A">
              <w:rPr>
                <w:rFonts w:ascii="Verdana" w:hAnsi="Verdana"/>
                <w:sz w:val="18"/>
                <w:szCs w:val="18"/>
              </w:rPr>
              <w:t xml:space="preserve">toegevoegd (€5 miljoen). Dit is tot en met 2028 en deze middelen houden verband met de afbouw van de van de gesloten jeugdhulp. </w:t>
            </w:r>
            <w:bookmarkEnd w:id="7"/>
            <w:r w:rsidRPr="002A1F9A">
              <w:rPr>
                <w:rFonts w:ascii="Verdana" w:hAnsi="Verdana"/>
                <w:sz w:val="18"/>
                <w:szCs w:val="18"/>
              </w:rPr>
              <w:t xml:space="preserve">Daarnaast zijn in het voortgezet onderwijs in 2024 de middelen voor ‘voorkomen onnodig zittenblijven’ (€ 5,9 miljoen) toegevoegd aan de basisbekostiging. In het sectorakkoord vo uit 2014 was afgesproken dat deze middelen aan de bekostiging zouden worden als er voldoende inspanningen gepleegd waren. Daarnaast zijn de middelen voor ‘professionalisering schoolleiders vo’ in 2024 aan de bekostiging toegevoegd (€ 10,6 miljoen). Dit omdat de VO-raad hier activiteiten voor uitvoert, die door schoolbesturen zelf worden bekostigd. Er is geen integraal overzicht dat verder teruggaat dan vijf jaar. </w:t>
            </w:r>
          </w:p>
          <w:p w:rsidRPr="002A1F9A" w:rsidR="00850DFF" w:rsidP="00850DFF" w:rsidRDefault="00850DFF" w14:paraId="275AE853" w14:textId="77777777">
            <w:pPr>
              <w:rPr>
                <w:rFonts w:ascii="Verdana" w:hAnsi="Verdana"/>
                <w:sz w:val="18"/>
                <w:szCs w:val="18"/>
              </w:rPr>
            </w:pPr>
          </w:p>
          <w:p w:rsidRPr="002A1F9A" w:rsidR="00850DFF" w:rsidP="00850DFF" w:rsidRDefault="00850DFF" w14:paraId="257F7131" w14:textId="22CE5C96">
            <w:pPr>
              <w:rPr>
                <w:rFonts w:ascii="Verdana" w:hAnsi="Verdana"/>
                <w:sz w:val="18"/>
                <w:szCs w:val="18"/>
              </w:rPr>
            </w:pPr>
            <w:r w:rsidRPr="002A1F9A">
              <w:rPr>
                <w:rFonts w:ascii="Verdana" w:hAnsi="Verdana"/>
                <w:sz w:val="18"/>
                <w:szCs w:val="18"/>
              </w:rPr>
              <w:t>De komende tijd zullen de middelen die vanuit subsidieregelingen worden toegevoegd aan de bekostiging aanzienlijk toenemen. Dit komt omdat er vanuit het Regeerakkoord van Rutte IV middelen zijn toegevoegd aan de OCW-begroting in 2021 die als subsidie zijn vertrekt aan scholen. In de brief over de herijking van de sturing in het funderend onderwijs (</w:t>
            </w:r>
            <w:hyperlink w:history="1" r:id="rId16">
              <w:r w:rsidRPr="002A1F9A">
                <w:rPr>
                  <w:rStyle w:val="Hyperlink"/>
                  <w:rFonts w:ascii="Verdana" w:hAnsi="Verdana" w:eastAsiaTheme="majorEastAsia"/>
                  <w:sz w:val="18"/>
                  <w:szCs w:val="18"/>
                </w:rPr>
                <w:t>31 293, nr. 727</w:t>
              </w:r>
            </w:hyperlink>
            <w:r w:rsidRPr="002A1F9A">
              <w:rPr>
                <w:rFonts w:ascii="Verdana" w:hAnsi="Verdana"/>
                <w:sz w:val="18"/>
                <w:szCs w:val="18"/>
              </w:rPr>
              <w:t>) is het voornemen en het belang om structurele taken voor structureel te bekostigen toegelicht. Dit voornemen is vervolgens opgenomen in het Regeerprogramma van het kabinet Schoof. Zo worden de middelen voor basisvaardigheden na ommekomst van het wetgevingstraject per 2027 als (gerichte) bekostiging verstrekt. Daarnaast wordt er gewerkt aan één aanvullende bekostigingsregeling voor huidige subsidieregelingen school en omgeving, brugfunctionaris en schoolmaaltijden. Dit zal per 2029 zijn (</w:t>
            </w:r>
            <w:hyperlink w:history="1" r:id="rId17">
              <w:r w:rsidRPr="002A1F9A">
                <w:rPr>
                  <w:rStyle w:val="Hyperlink"/>
                  <w:rFonts w:ascii="Verdana" w:hAnsi="Verdana" w:eastAsiaTheme="majorEastAsia"/>
                  <w:sz w:val="18"/>
                  <w:szCs w:val="18"/>
                </w:rPr>
                <w:t>31 293, nr. 828</w:t>
              </w:r>
            </w:hyperlink>
            <w:r w:rsidRPr="002A1F9A">
              <w:rPr>
                <w:rFonts w:ascii="Verdana" w:hAnsi="Verdana"/>
                <w:sz w:val="18"/>
                <w:szCs w:val="18"/>
              </w:rPr>
              <w:t>). Hiervoor is een wetswijziging in</w:t>
            </w:r>
            <w:r w:rsidRPr="002A1F9A" w:rsidR="00B01777">
              <w:rPr>
                <w:rFonts w:ascii="Verdana" w:hAnsi="Verdana"/>
                <w:sz w:val="18"/>
                <w:szCs w:val="18"/>
              </w:rPr>
              <w:t xml:space="preserve"> voorbereiding</w:t>
            </w:r>
            <w:r w:rsidRPr="002A1F9A">
              <w:rPr>
                <w:rFonts w:ascii="Verdana" w:hAnsi="Verdana"/>
                <w:sz w:val="18"/>
                <w:szCs w:val="18"/>
              </w:rPr>
              <w:t>.</w:t>
            </w:r>
          </w:p>
          <w:bookmarkEnd w:id="8"/>
          <w:p w:rsidRPr="002A1F9A" w:rsidR="00850DFF" w:rsidP="00850DFF" w:rsidRDefault="00850DFF" w14:paraId="7A4FBE4B" w14:textId="658F7B70">
            <w:pPr>
              <w:rPr>
                <w:rFonts w:ascii="Verdana" w:hAnsi="Verdana"/>
                <w:sz w:val="18"/>
                <w:szCs w:val="18"/>
              </w:rPr>
            </w:pPr>
          </w:p>
        </w:tc>
        <w:tc>
          <w:tcPr>
            <w:tcW w:w="850" w:type="dxa"/>
          </w:tcPr>
          <w:p w:rsidRPr="002A1F9A" w:rsidR="00850DFF" w:rsidP="00850DFF" w:rsidRDefault="00850DFF" w14:paraId="60444ADD" w14:textId="77777777">
            <w:pPr>
              <w:jc w:val="right"/>
              <w:rPr>
                <w:rFonts w:ascii="Verdana" w:hAnsi="Verdana"/>
                <w:sz w:val="18"/>
                <w:szCs w:val="18"/>
              </w:rPr>
            </w:pPr>
          </w:p>
        </w:tc>
        <w:tc>
          <w:tcPr>
            <w:tcW w:w="992" w:type="dxa"/>
          </w:tcPr>
          <w:p w:rsidRPr="002A1F9A" w:rsidR="00850DFF" w:rsidP="00850DFF" w:rsidRDefault="00850DFF" w14:paraId="36F8F7CC" w14:textId="77777777">
            <w:pPr>
              <w:jc w:val="right"/>
              <w:rPr>
                <w:rFonts w:ascii="Verdana" w:hAnsi="Verdana"/>
                <w:sz w:val="18"/>
                <w:szCs w:val="18"/>
              </w:rPr>
            </w:pPr>
          </w:p>
        </w:tc>
        <w:tc>
          <w:tcPr>
            <w:tcW w:w="567" w:type="dxa"/>
            <w:tcBorders>
              <w:left w:val="nil"/>
            </w:tcBorders>
          </w:tcPr>
          <w:p w:rsidRPr="002A1F9A" w:rsidR="00850DFF" w:rsidP="00850DFF" w:rsidRDefault="00850DFF" w14:paraId="08471C16"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5D6A6A7D" w14:textId="77777777">
        <w:tc>
          <w:tcPr>
            <w:tcW w:w="567" w:type="dxa"/>
          </w:tcPr>
          <w:p w:rsidRPr="002A1F9A" w:rsidR="00850DFF" w:rsidP="00850DFF" w:rsidRDefault="00850DFF" w14:paraId="35DE8E86" w14:textId="77777777">
            <w:pPr>
              <w:rPr>
                <w:rFonts w:ascii="Verdana" w:hAnsi="Verdana"/>
                <w:sz w:val="18"/>
                <w:szCs w:val="18"/>
              </w:rPr>
            </w:pPr>
            <w:r w:rsidRPr="002A1F9A">
              <w:rPr>
                <w:rFonts w:ascii="Verdana" w:hAnsi="Verdana"/>
                <w:sz w:val="18"/>
                <w:szCs w:val="18"/>
              </w:rPr>
              <w:t>9</w:t>
            </w:r>
          </w:p>
        </w:tc>
        <w:tc>
          <w:tcPr>
            <w:tcW w:w="6521" w:type="dxa"/>
          </w:tcPr>
          <w:p w:rsidRPr="002A1F9A" w:rsidR="00850DFF" w:rsidP="00850DFF" w:rsidRDefault="00850DFF" w14:paraId="313438F4" w14:textId="77777777">
            <w:pPr>
              <w:rPr>
                <w:rFonts w:ascii="Verdana" w:hAnsi="Verdana"/>
                <w:sz w:val="18"/>
                <w:szCs w:val="18"/>
              </w:rPr>
            </w:pPr>
            <w:r w:rsidRPr="002A1F9A">
              <w:rPr>
                <w:rFonts w:ascii="Verdana" w:hAnsi="Verdana"/>
                <w:sz w:val="18"/>
                <w:szCs w:val="18"/>
              </w:rPr>
              <w:t>Welk aandeel van de klassen in het primair onderwijs heeft dertig leerlingen of meer?</w:t>
            </w:r>
          </w:p>
          <w:p w:rsidRPr="002A1F9A" w:rsidR="00850DFF" w:rsidP="00850DFF" w:rsidRDefault="00850DFF" w14:paraId="49FB70C9" w14:textId="77777777">
            <w:pPr>
              <w:rPr>
                <w:rFonts w:ascii="Verdana" w:hAnsi="Verdana"/>
                <w:sz w:val="18"/>
                <w:szCs w:val="18"/>
              </w:rPr>
            </w:pPr>
          </w:p>
          <w:p w:rsidRPr="002A1F9A" w:rsidR="00850DFF" w:rsidP="00850DFF" w:rsidRDefault="00850DFF" w14:paraId="4E22AA5B" w14:textId="1844CBF5">
            <w:pPr>
              <w:rPr>
                <w:rFonts w:ascii="Verdana" w:hAnsi="Verdana"/>
                <w:sz w:val="18"/>
                <w:szCs w:val="18"/>
              </w:rPr>
            </w:pPr>
            <w:r w:rsidRPr="002A1F9A">
              <w:rPr>
                <w:rFonts w:ascii="Verdana" w:hAnsi="Verdana"/>
                <w:sz w:val="18"/>
                <w:szCs w:val="18"/>
              </w:rPr>
              <w:t xml:space="preserve">In 2024 had </w:t>
            </w:r>
            <w:r w:rsidRPr="002A1F9A" w:rsidR="00C8378F">
              <w:rPr>
                <w:rFonts w:ascii="Verdana" w:hAnsi="Verdana"/>
                <w:sz w:val="18"/>
                <w:szCs w:val="18"/>
              </w:rPr>
              <w:t>5,3</w:t>
            </w:r>
            <w:r w:rsidRPr="002A1F9A">
              <w:rPr>
                <w:rFonts w:ascii="Verdana" w:hAnsi="Verdana"/>
                <w:sz w:val="18"/>
                <w:szCs w:val="18"/>
              </w:rPr>
              <w:t>% van de groepen in het basisonderwijs dertig leerlingen of meer.</w:t>
            </w:r>
          </w:p>
          <w:p w:rsidRPr="002A1F9A" w:rsidR="00850DFF" w:rsidP="00850DFF" w:rsidRDefault="00850DFF" w14:paraId="360E68F2" w14:textId="2D1C39FA">
            <w:pPr>
              <w:rPr>
                <w:rFonts w:ascii="Verdana" w:hAnsi="Verdana"/>
                <w:sz w:val="18"/>
                <w:szCs w:val="18"/>
              </w:rPr>
            </w:pPr>
          </w:p>
        </w:tc>
        <w:tc>
          <w:tcPr>
            <w:tcW w:w="850" w:type="dxa"/>
          </w:tcPr>
          <w:p w:rsidRPr="002A1F9A" w:rsidR="00850DFF" w:rsidP="00850DFF" w:rsidRDefault="00850DFF" w14:paraId="61DCE394" w14:textId="77777777">
            <w:pPr>
              <w:jc w:val="right"/>
              <w:rPr>
                <w:rFonts w:ascii="Verdana" w:hAnsi="Verdana"/>
                <w:sz w:val="18"/>
                <w:szCs w:val="18"/>
              </w:rPr>
            </w:pPr>
          </w:p>
        </w:tc>
        <w:tc>
          <w:tcPr>
            <w:tcW w:w="992" w:type="dxa"/>
          </w:tcPr>
          <w:p w:rsidRPr="002A1F9A" w:rsidR="00850DFF" w:rsidP="00850DFF" w:rsidRDefault="00850DFF" w14:paraId="72139288" w14:textId="77777777">
            <w:pPr>
              <w:jc w:val="right"/>
              <w:rPr>
                <w:rFonts w:ascii="Verdana" w:hAnsi="Verdana"/>
                <w:sz w:val="18"/>
                <w:szCs w:val="18"/>
              </w:rPr>
            </w:pPr>
          </w:p>
        </w:tc>
        <w:tc>
          <w:tcPr>
            <w:tcW w:w="567" w:type="dxa"/>
            <w:tcBorders>
              <w:left w:val="nil"/>
            </w:tcBorders>
          </w:tcPr>
          <w:p w:rsidRPr="002A1F9A" w:rsidR="00850DFF" w:rsidP="00850DFF" w:rsidRDefault="00850DFF" w14:paraId="73E96F94" w14:textId="77777777">
            <w:pPr>
              <w:jc w:val="right"/>
              <w:rPr>
                <w:rFonts w:ascii="Verdana" w:hAnsi="Verdana"/>
                <w:sz w:val="18"/>
                <w:szCs w:val="18"/>
              </w:rPr>
            </w:pPr>
            <w:r w:rsidRPr="002A1F9A">
              <w:rPr>
                <w:rFonts w:ascii="Verdana" w:hAnsi="Verdana"/>
                <w:sz w:val="18"/>
                <w:szCs w:val="18"/>
              </w:rPr>
              <w:t xml:space="preserve"> </w:t>
            </w:r>
          </w:p>
        </w:tc>
      </w:tr>
      <w:tr w:rsidRPr="002A1F9A" w:rsidR="00850DFF" w:rsidTr="00E7153D" w14:paraId="00F0350A" w14:textId="77777777">
        <w:tc>
          <w:tcPr>
            <w:tcW w:w="567" w:type="dxa"/>
          </w:tcPr>
          <w:p w:rsidRPr="002A1F9A" w:rsidR="00850DFF" w:rsidP="00850DFF" w:rsidRDefault="00850DFF" w14:paraId="568422A3" w14:textId="77777777">
            <w:pPr>
              <w:rPr>
                <w:rFonts w:ascii="Verdana" w:hAnsi="Verdana"/>
                <w:sz w:val="18"/>
                <w:szCs w:val="18"/>
              </w:rPr>
            </w:pPr>
            <w:r w:rsidRPr="002A1F9A">
              <w:rPr>
                <w:rFonts w:ascii="Verdana" w:hAnsi="Verdana"/>
                <w:sz w:val="18"/>
                <w:szCs w:val="18"/>
              </w:rPr>
              <w:lastRenderedPageBreak/>
              <w:t>10</w:t>
            </w:r>
          </w:p>
        </w:tc>
        <w:tc>
          <w:tcPr>
            <w:tcW w:w="6521" w:type="dxa"/>
          </w:tcPr>
          <w:p w:rsidRPr="002A1F9A" w:rsidR="00850DFF" w:rsidP="00850DFF" w:rsidRDefault="00850DFF" w14:paraId="19F22C73" w14:textId="77777777">
            <w:pPr>
              <w:rPr>
                <w:rFonts w:ascii="Verdana" w:hAnsi="Verdana"/>
                <w:sz w:val="18"/>
                <w:szCs w:val="18"/>
              </w:rPr>
            </w:pPr>
            <w:r w:rsidRPr="002A1F9A">
              <w:rPr>
                <w:rFonts w:ascii="Verdana" w:hAnsi="Verdana"/>
                <w:sz w:val="18"/>
                <w:szCs w:val="18"/>
              </w:rPr>
              <w:t>Welk aandeel van de klassen in het primair onderwijs heeft 24 leerlingen of meer?</w:t>
            </w:r>
          </w:p>
          <w:p w:rsidRPr="002A1F9A" w:rsidR="00850DFF" w:rsidP="00850DFF" w:rsidRDefault="00850DFF" w14:paraId="6552DFCC" w14:textId="77777777">
            <w:pPr>
              <w:rPr>
                <w:rFonts w:ascii="Verdana" w:hAnsi="Verdana"/>
                <w:sz w:val="18"/>
                <w:szCs w:val="18"/>
              </w:rPr>
            </w:pPr>
          </w:p>
          <w:p w:rsidRPr="002A1F9A" w:rsidR="00850DFF" w:rsidP="00850DFF" w:rsidRDefault="00850DFF" w14:paraId="376093D0" w14:textId="2251280F">
            <w:pPr>
              <w:rPr>
                <w:rFonts w:ascii="Verdana" w:hAnsi="Verdana"/>
                <w:sz w:val="18"/>
                <w:szCs w:val="18"/>
              </w:rPr>
            </w:pPr>
            <w:r w:rsidRPr="002A1F9A">
              <w:rPr>
                <w:rFonts w:ascii="Verdana" w:hAnsi="Verdana"/>
                <w:sz w:val="18"/>
                <w:szCs w:val="18"/>
              </w:rPr>
              <w:t xml:space="preserve">In 2024 had </w:t>
            </w:r>
            <w:r w:rsidRPr="002A1F9A" w:rsidR="00C8378F">
              <w:rPr>
                <w:rFonts w:ascii="Verdana" w:hAnsi="Verdana"/>
                <w:sz w:val="18"/>
                <w:szCs w:val="18"/>
              </w:rPr>
              <w:t>43,7</w:t>
            </w:r>
            <w:r w:rsidRPr="002A1F9A">
              <w:rPr>
                <w:rFonts w:ascii="Verdana" w:hAnsi="Verdana"/>
                <w:sz w:val="18"/>
                <w:szCs w:val="18"/>
              </w:rPr>
              <w:t>% van de groepen in het basisonderwijs 24 leerlingen of meer.</w:t>
            </w:r>
          </w:p>
          <w:p w:rsidRPr="002A1F9A" w:rsidR="00850DFF" w:rsidP="00850DFF" w:rsidRDefault="00850DFF" w14:paraId="2631B044" w14:textId="77777777">
            <w:pPr>
              <w:rPr>
                <w:rFonts w:ascii="Verdana" w:hAnsi="Verdana"/>
                <w:sz w:val="18"/>
                <w:szCs w:val="18"/>
              </w:rPr>
            </w:pPr>
          </w:p>
        </w:tc>
        <w:tc>
          <w:tcPr>
            <w:tcW w:w="850" w:type="dxa"/>
          </w:tcPr>
          <w:p w:rsidRPr="002A1F9A" w:rsidR="00850DFF" w:rsidP="00850DFF" w:rsidRDefault="00850DFF" w14:paraId="5B43ED81" w14:textId="77777777">
            <w:pPr>
              <w:jc w:val="right"/>
              <w:rPr>
                <w:rFonts w:ascii="Verdana" w:hAnsi="Verdana"/>
                <w:sz w:val="18"/>
                <w:szCs w:val="18"/>
              </w:rPr>
            </w:pPr>
          </w:p>
        </w:tc>
        <w:tc>
          <w:tcPr>
            <w:tcW w:w="992" w:type="dxa"/>
          </w:tcPr>
          <w:p w:rsidRPr="002A1F9A" w:rsidR="00850DFF" w:rsidP="00850DFF" w:rsidRDefault="00850DFF" w14:paraId="57FB4EAB" w14:textId="77777777">
            <w:pPr>
              <w:jc w:val="right"/>
              <w:rPr>
                <w:rFonts w:ascii="Verdana" w:hAnsi="Verdana"/>
                <w:sz w:val="18"/>
                <w:szCs w:val="18"/>
              </w:rPr>
            </w:pPr>
          </w:p>
        </w:tc>
        <w:tc>
          <w:tcPr>
            <w:tcW w:w="567" w:type="dxa"/>
            <w:tcBorders>
              <w:left w:val="nil"/>
            </w:tcBorders>
          </w:tcPr>
          <w:p w:rsidRPr="002A1F9A" w:rsidR="00850DFF" w:rsidP="00850DFF" w:rsidRDefault="00850DFF" w14:paraId="5F05EA09" w14:textId="77777777">
            <w:pPr>
              <w:jc w:val="right"/>
              <w:rPr>
                <w:rFonts w:ascii="Verdana" w:hAnsi="Verdana"/>
                <w:sz w:val="18"/>
                <w:szCs w:val="18"/>
              </w:rPr>
            </w:pPr>
            <w:r w:rsidRPr="002A1F9A">
              <w:rPr>
                <w:rFonts w:ascii="Verdana" w:hAnsi="Verdana"/>
                <w:sz w:val="18"/>
                <w:szCs w:val="18"/>
              </w:rPr>
              <w:t xml:space="preserve"> </w:t>
            </w:r>
          </w:p>
        </w:tc>
      </w:tr>
    </w:tbl>
    <w:p w:rsidRPr="002A1F9A" w:rsidR="00B520A1" w:rsidRDefault="00B520A1" w14:paraId="3B4344CF" w14:textId="0DF2D5C6">
      <w:pPr>
        <w:rPr>
          <w:rFonts w:ascii="Verdana" w:hAnsi="Verdana"/>
          <w:sz w:val="18"/>
          <w:szCs w:val="18"/>
        </w:rPr>
      </w:pPr>
    </w:p>
    <w:tbl>
      <w:tblPr>
        <w:tblW w:w="9497" w:type="dxa"/>
        <w:tblLayout w:type="fixed"/>
        <w:tblCellMar>
          <w:left w:w="0" w:type="dxa"/>
          <w:right w:w="0" w:type="dxa"/>
        </w:tblCellMar>
        <w:tblLook w:val="0000" w:firstRow="0" w:lastRow="0" w:firstColumn="0" w:lastColumn="0" w:noHBand="0" w:noVBand="0"/>
      </w:tblPr>
      <w:tblGrid>
        <w:gridCol w:w="567"/>
        <w:gridCol w:w="369"/>
        <w:gridCol w:w="993"/>
        <w:gridCol w:w="1134"/>
        <w:gridCol w:w="1077"/>
        <w:gridCol w:w="1260"/>
        <w:gridCol w:w="1260"/>
        <w:gridCol w:w="428"/>
        <w:gridCol w:w="832"/>
        <w:gridCol w:w="18"/>
        <w:gridCol w:w="992"/>
        <w:gridCol w:w="567"/>
      </w:tblGrid>
      <w:tr w:rsidRPr="002A1F9A" w:rsidR="001256CA" w:rsidTr="00A347D5" w14:paraId="15284EFE" w14:textId="77777777">
        <w:tc>
          <w:tcPr>
            <w:tcW w:w="567" w:type="dxa"/>
          </w:tcPr>
          <w:p w:rsidRPr="002A1F9A" w:rsidR="001256CA" w:rsidRDefault="001856D0" w14:paraId="1A2F64FA" w14:textId="2EE8FD1E">
            <w:pPr>
              <w:rPr>
                <w:rFonts w:ascii="Verdana" w:hAnsi="Verdana"/>
                <w:sz w:val="18"/>
                <w:szCs w:val="18"/>
              </w:rPr>
            </w:pPr>
            <w:r w:rsidRPr="002A1F9A">
              <w:rPr>
                <w:rFonts w:ascii="Verdana" w:hAnsi="Verdana"/>
                <w:sz w:val="18"/>
                <w:szCs w:val="18"/>
              </w:rPr>
              <w:t>11</w:t>
            </w:r>
          </w:p>
        </w:tc>
        <w:tc>
          <w:tcPr>
            <w:tcW w:w="6521" w:type="dxa"/>
            <w:gridSpan w:val="7"/>
          </w:tcPr>
          <w:p w:rsidRPr="002A1F9A" w:rsidR="001256CA" w:rsidRDefault="001856D0" w14:paraId="16066097" w14:textId="77777777">
            <w:pPr>
              <w:rPr>
                <w:rFonts w:ascii="Verdana" w:hAnsi="Verdana"/>
                <w:sz w:val="18"/>
                <w:szCs w:val="18"/>
              </w:rPr>
            </w:pPr>
            <w:r w:rsidRPr="002A1F9A">
              <w:rPr>
                <w:rFonts w:ascii="Verdana" w:hAnsi="Verdana"/>
                <w:sz w:val="18"/>
                <w:szCs w:val="18"/>
              </w:rPr>
              <w:t>Kunt u een overzicht geven van de verhouding tussen de grootte van klassen in het primair onderwijs en de grootte van de scholen waar die klassen deel van uitmaken?</w:t>
            </w:r>
          </w:p>
          <w:p w:rsidRPr="002A1F9A" w:rsidR="00325C76" w:rsidRDefault="00325C76" w14:paraId="58EBC8A6" w14:textId="77777777">
            <w:pPr>
              <w:rPr>
                <w:rFonts w:ascii="Verdana" w:hAnsi="Verdana"/>
                <w:sz w:val="18"/>
                <w:szCs w:val="18"/>
              </w:rPr>
            </w:pPr>
          </w:p>
          <w:p w:rsidRPr="002A1F9A" w:rsidR="00325C76" w:rsidP="00325C76" w:rsidRDefault="00325C76" w14:paraId="6AA73C60" w14:textId="77777777">
            <w:pPr>
              <w:rPr>
                <w:rFonts w:ascii="Verdana" w:hAnsi="Verdana"/>
                <w:sz w:val="18"/>
                <w:szCs w:val="18"/>
              </w:rPr>
            </w:pPr>
            <w:r w:rsidRPr="002A1F9A">
              <w:rPr>
                <w:rFonts w:ascii="Verdana" w:hAnsi="Verdana"/>
                <w:sz w:val="18"/>
                <w:szCs w:val="18"/>
              </w:rPr>
              <w:t xml:space="preserve">Grote scholen hebben gemiddeld grotere groepen. In de tabel hieronder is een overzicht weergegeven van het gemiddeld aantal leerlingen per groep bij scholen van verschillende omvang. Dit is op basis van de gegevens van 2024 en gaat alleen over het regulier basisonderwijs. </w:t>
            </w:r>
          </w:p>
          <w:p w:rsidRPr="002A1F9A" w:rsidR="00325C76" w:rsidP="00325C76" w:rsidRDefault="00325C76" w14:paraId="2CC42437" w14:textId="77777777">
            <w:pPr>
              <w:rPr>
                <w:rFonts w:ascii="Verdana" w:hAnsi="Verdana"/>
                <w:sz w:val="18"/>
                <w:szCs w:val="18"/>
              </w:rPr>
            </w:pPr>
          </w:p>
          <w:tbl>
            <w:tblPr>
              <w:tblpPr w:leftFromText="141" w:rightFromText="141" w:vertAnchor="text"/>
              <w:tblW w:w="6184" w:type="dxa"/>
              <w:tblCellMar>
                <w:left w:w="0" w:type="dxa"/>
                <w:right w:w="0" w:type="dxa"/>
              </w:tblCellMar>
              <w:tblLook w:val="04A0" w:firstRow="1" w:lastRow="0" w:firstColumn="1" w:lastColumn="0" w:noHBand="0" w:noVBand="1"/>
            </w:tblPr>
            <w:tblGrid>
              <w:gridCol w:w="1445"/>
              <w:gridCol w:w="762"/>
              <w:gridCol w:w="762"/>
              <w:gridCol w:w="784"/>
              <w:gridCol w:w="784"/>
              <w:gridCol w:w="784"/>
              <w:gridCol w:w="863"/>
            </w:tblGrid>
            <w:tr w:rsidRPr="002A1F9A" w:rsidR="00325C76" w:rsidTr="00620CC3" w14:paraId="7F3A6081" w14:textId="77777777">
              <w:trPr>
                <w:trHeight w:val="246"/>
              </w:trPr>
              <w:tc>
                <w:tcPr>
                  <w:tcW w:w="1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7BAE16B0" w14:textId="77777777">
                  <w:pPr>
                    <w:rPr>
                      <w:rFonts w:ascii="Verdana" w:hAnsi="Verdana"/>
                      <w:b/>
                      <w:bCs/>
                      <w:sz w:val="16"/>
                      <w:szCs w:val="16"/>
                    </w:rPr>
                  </w:pPr>
                  <w:r w:rsidRPr="002A1F9A">
                    <w:rPr>
                      <w:rFonts w:ascii="Verdana" w:hAnsi="Verdana"/>
                      <w:b/>
                      <w:bCs/>
                      <w:sz w:val="16"/>
                      <w:szCs w:val="16"/>
                    </w:rPr>
                    <w:t xml:space="preserve">Aantal leerlingen op de school </w:t>
                  </w:r>
                </w:p>
              </w:tc>
              <w:tc>
                <w:tcPr>
                  <w:tcW w:w="7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60A94D6E" w14:textId="77777777">
                  <w:pPr>
                    <w:rPr>
                      <w:rFonts w:ascii="Verdana" w:hAnsi="Verdana"/>
                      <w:sz w:val="16"/>
                      <w:szCs w:val="16"/>
                      <w:lang w:val="en-US"/>
                    </w:rPr>
                  </w:pPr>
                  <w:r w:rsidRPr="002A1F9A">
                    <w:rPr>
                      <w:rFonts w:ascii="Verdana" w:hAnsi="Verdana"/>
                      <w:sz w:val="16"/>
                      <w:szCs w:val="16"/>
                      <w:lang w:val="en-US"/>
                    </w:rPr>
                    <w:t>0-</w:t>
                  </w:r>
                </w:p>
                <w:p w:rsidRPr="002A1F9A" w:rsidR="00325C76" w:rsidP="00325C76" w:rsidRDefault="00325C76" w14:paraId="5A0C5997" w14:textId="77777777">
                  <w:pPr>
                    <w:rPr>
                      <w:rFonts w:ascii="Verdana" w:hAnsi="Verdana"/>
                      <w:sz w:val="16"/>
                      <w:szCs w:val="16"/>
                      <w:lang w:val="en-US"/>
                    </w:rPr>
                  </w:pPr>
                  <w:r w:rsidRPr="002A1F9A">
                    <w:rPr>
                      <w:rFonts w:ascii="Verdana" w:hAnsi="Verdana"/>
                      <w:sz w:val="16"/>
                      <w:szCs w:val="16"/>
                      <w:lang w:val="en-US"/>
                    </w:rPr>
                    <w:t>50</w:t>
                  </w:r>
                </w:p>
              </w:tc>
              <w:tc>
                <w:tcPr>
                  <w:tcW w:w="7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26D5CD86" w14:textId="77777777">
                  <w:pPr>
                    <w:rPr>
                      <w:rFonts w:ascii="Verdana" w:hAnsi="Verdana"/>
                      <w:sz w:val="16"/>
                      <w:szCs w:val="16"/>
                      <w:lang w:val="en-US"/>
                    </w:rPr>
                  </w:pPr>
                  <w:r w:rsidRPr="002A1F9A">
                    <w:rPr>
                      <w:rFonts w:ascii="Verdana" w:hAnsi="Verdana"/>
                      <w:sz w:val="16"/>
                      <w:szCs w:val="16"/>
                      <w:lang w:val="en-US"/>
                    </w:rPr>
                    <w:t>51-100</w:t>
                  </w:r>
                </w:p>
              </w:tc>
              <w:tc>
                <w:tcPr>
                  <w:tcW w:w="7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733A5515" w14:textId="77777777">
                  <w:pPr>
                    <w:rPr>
                      <w:rFonts w:ascii="Verdana" w:hAnsi="Verdana"/>
                      <w:sz w:val="16"/>
                      <w:szCs w:val="16"/>
                      <w:lang w:val="en-US"/>
                    </w:rPr>
                  </w:pPr>
                  <w:r w:rsidRPr="002A1F9A">
                    <w:rPr>
                      <w:rFonts w:ascii="Verdana" w:hAnsi="Verdana"/>
                      <w:sz w:val="16"/>
                      <w:szCs w:val="16"/>
                      <w:lang w:val="en-US"/>
                    </w:rPr>
                    <w:t>101-150</w:t>
                  </w:r>
                </w:p>
              </w:tc>
              <w:tc>
                <w:tcPr>
                  <w:tcW w:w="7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1FDF0ACE" w14:textId="77777777">
                  <w:pPr>
                    <w:rPr>
                      <w:rFonts w:ascii="Verdana" w:hAnsi="Verdana"/>
                      <w:sz w:val="16"/>
                      <w:szCs w:val="16"/>
                      <w:lang w:val="en-US"/>
                    </w:rPr>
                  </w:pPr>
                  <w:r w:rsidRPr="002A1F9A">
                    <w:rPr>
                      <w:rFonts w:ascii="Verdana" w:hAnsi="Verdana"/>
                      <w:sz w:val="16"/>
                      <w:szCs w:val="16"/>
                      <w:lang w:val="en-US"/>
                    </w:rPr>
                    <w:t>151-200</w:t>
                  </w:r>
                </w:p>
              </w:tc>
              <w:tc>
                <w:tcPr>
                  <w:tcW w:w="7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4AAE4432" w14:textId="77777777">
                  <w:pPr>
                    <w:rPr>
                      <w:rFonts w:ascii="Verdana" w:hAnsi="Verdana"/>
                      <w:sz w:val="16"/>
                      <w:szCs w:val="16"/>
                      <w:lang w:val="en-US"/>
                    </w:rPr>
                  </w:pPr>
                  <w:r w:rsidRPr="002A1F9A">
                    <w:rPr>
                      <w:rFonts w:ascii="Verdana" w:hAnsi="Verdana"/>
                      <w:sz w:val="16"/>
                      <w:szCs w:val="16"/>
                      <w:lang w:val="en-US"/>
                    </w:rPr>
                    <w:t>201-400</w:t>
                  </w:r>
                </w:p>
              </w:tc>
              <w:tc>
                <w:tcPr>
                  <w:tcW w:w="8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1A7B1752" w14:textId="77777777">
                  <w:pPr>
                    <w:rPr>
                      <w:rFonts w:ascii="Verdana" w:hAnsi="Verdana"/>
                      <w:sz w:val="16"/>
                      <w:szCs w:val="16"/>
                      <w:lang w:val="en-US"/>
                    </w:rPr>
                  </w:pPr>
                  <w:r w:rsidRPr="002A1F9A">
                    <w:rPr>
                      <w:rFonts w:ascii="Verdana" w:hAnsi="Verdana"/>
                      <w:sz w:val="16"/>
                      <w:szCs w:val="16"/>
                      <w:lang w:val="en-US"/>
                    </w:rPr>
                    <w:t>401+</w:t>
                  </w:r>
                </w:p>
              </w:tc>
            </w:tr>
            <w:tr w:rsidRPr="002A1F9A" w:rsidR="00325C76" w:rsidTr="00620CC3" w14:paraId="582AA7EE" w14:textId="77777777">
              <w:trPr>
                <w:trHeight w:val="363"/>
              </w:trPr>
              <w:tc>
                <w:tcPr>
                  <w:tcW w:w="14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7D952C25" w14:textId="77777777">
                  <w:pPr>
                    <w:rPr>
                      <w:rFonts w:ascii="Verdana" w:hAnsi="Verdana"/>
                      <w:b/>
                      <w:bCs/>
                      <w:sz w:val="16"/>
                      <w:szCs w:val="16"/>
                    </w:rPr>
                  </w:pPr>
                  <w:r w:rsidRPr="002A1F9A">
                    <w:rPr>
                      <w:rFonts w:ascii="Verdana" w:hAnsi="Verdana"/>
                      <w:b/>
                      <w:bCs/>
                      <w:sz w:val="16"/>
                      <w:szCs w:val="16"/>
                    </w:rPr>
                    <w:t>Gemiddeld aantal leerlingen per groep</w:t>
                  </w:r>
                </w:p>
              </w:tc>
              <w:tc>
                <w:tcPr>
                  <w:tcW w:w="762"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5ECB8E3C" w14:textId="77777777">
                  <w:pPr>
                    <w:rPr>
                      <w:rFonts w:ascii="Verdana" w:hAnsi="Verdana"/>
                      <w:sz w:val="16"/>
                      <w:szCs w:val="16"/>
                    </w:rPr>
                  </w:pPr>
                  <w:r w:rsidRPr="002A1F9A">
                    <w:rPr>
                      <w:rFonts w:ascii="Verdana" w:hAnsi="Verdana"/>
                      <w:sz w:val="16"/>
                      <w:szCs w:val="16"/>
                    </w:rPr>
                    <w:t>15,4</w:t>
                  </w:r>
                </w:p>
              </w:tc>
              <w:tc>
                <w:tcPr>
                  <w:tcW w:w="762"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421C8B4F" w14:textId="77777777">
                  <w:pPr>
                    <w:rPr>
                      <w:rFonts w:ascii="Verdana" w:hAnsi="Verdana"/>
                      <w:sz w:val="16"/>
                      <w:szCs w:val="16"/>
                    </w:rPr>
                  </w:pPr>
                  <w:r w:rsidRPr="002A1F9A">
                    <w:rPr>
                      <w:rFonts w:ascii="Verdana" w:hAnsi="Verdana"/>
                      <w:sz w:val="16"/>
                      <w:szCs w:val="16"/>
                    </w:rPr>
                    <w:t>20,2</w:t>
                  </w:r>
                </w:p>
              </w:tc>
              <w:tc>
                <w:tcPr>
                  <w:tcW w:w="784"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5C1924AC" w14:textId="77777777">
                  <w:pPr>
                    <w:rPr>
                      <w:rFonts w:ascii="Verdana" w:hAnsi="Verdana"/>
                      <w:sz w:val="16"/>
                      <w:szCs w:val="16"/>
                    </w:rPr>
                  </w:pPr>
                  <w:r w:rsidRPr="002A1F9A">
                    <w:rPr>
                      <w:rFonts w:ascii="Verdana" w:hAnsi="Verdana"/>
                      <w:sz w:val="16"/>
                      <w:szCs w:val="16"/>
                    </w:rPr>
                    <w:t>21,0</w:t>
                  </w:r>
                </w:p>
              </w:tc>
              <w:tc>
                <w:tcPr>
                  <w:tcW w:w="784"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4BA0C58E" w14:textId="77777777">
                  <w:pPr>
                    <w:rPr>
                      <w:rFonts w:ascii="Verdana" w:hAnsi="Verdana"/>
                      <w:sz w:val="16"/>
                      <w:szCs w:val="16"/>
                    </w:rPr>
                  </w:pPr>
                  <w:r w:rsidRPr="002A1F9A">
                    <w:rPr>
                      <w:rFonts w:ascii="Verdana" w:hAnsi="Verdana"/>
                      <w:sz w:val="16"/>
                      <w:szCs w:val="16"/>
                    </w:rPr>
                    <w:t>22,6</w:t>
                  </w:r>
                </w:p>
              </w:tc>
              <w:tc>
                <w:tcPr>
                  <w:tcW w:w="784"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71C7C814" w14:textId="77777777">
                  <w:pPr>
                    <w:rPr>
                      <w:rFonts w:ascii="Verdana" w:hAnsi="Verdana"/>
                      <w:sz w:val="16"/>
                      <w:szCs w:val="16"/>
                    </w:rPr>
                  </w:pPr>
                  <w:r w:rsidRPr="002A1F9A">
                    <w:rPr>
                      <w:rFonts w:ascii="Verdana" w:hAnsi="Verdana"/>
                      <w:sz w:val="16"/>
                      <w:szCs w:val="16"/>
                    </w:rPr>
                    <w:t>24,0</w:t>
                  </w:r>
                </w:p>
              </w:tc>
              <w:tc>
                <w:tcPr>
                  <w:tcW w:w="863" w:type="dxa"/>
                  <w:tcBorders>
                    <w:top w:val="nil"/>
                    <w:left w:val="nil"/>
                    <w:bottom w:val="single" w:color="auto" w:sz="8" w:space="0"/>
                    <w:right w:val="single" w:color="auto" w:sz="8" w:space="0"/>
                  </w:tcBorders>
                  <w:tcMar>
                    <w:top w:w="0" w:type="dxa"/>
                    <w:left w:w="108" w:type="dxa"/>
                    <w:bottom w:w="0" w:type="dxa"/>
                    <w:right w:w="108" w:type="dxa"/>
                  </w:tcMar>
                  <w:hideMark/>
                </w:tcPr>
                <w:p w:rsidRPr="002A1F9A" w:rsidR="00325C76" w:rsidP="00325C76" w:rsidRDefault="00325C76" w14:paraId="18538BE6" w14:textId="77777777">
                  <w:pPr>
                    <w:rPr>
                      <w:rFonts w:ascii="Verdana" w:hAnsi="Verdana"/>
                      <w:sz w:val="16"/>
                      <w:szCs w:val="16"/>
                    </w:rPr>
                  </w:pPr>
                  <w:r w:rsidRPr="002A1F9A">
                    <w:rPr>
                      <w:rFonts w:ascii="Verdana" w:hAnsi="Verdana"/>
                      <w:sz w:val="16"/>
                      <w:szCs w:val="16"/>
                    </w:rPr>
                    <w:t>25,0</w:t>
                  </w:r>
                </w:p>
              </w:tc>
            </w:tr>
          </w:tbl>
          <w:p w:rsidRPr="002A1F9A" w:rsidR="00325C76" w:rsidRDefault="00325C76" w14:paraId="2BD18162" w14:textId="77777777">
            <w:pPr>
              <w:rPr>
                <w:rFonts w:ascii="Verdana" w:hAnsi="Verdana"/>
                <w:sz w:val="18"/>
                <w:szCs w:val="18"/>
              </w:rPr>
            </w:pPr>
          </w:p>
          <w:p w:rsidRPr="002A1F9A" w:rsidR="00325C76" w:rsidRDefault="00325C76" w14:paraId="274181F8" w14:textId="77777777">
            <w:pPr>
              <w:rPr>
                <w:rFonts w:ascii="Verdana" w:hAnsi="Verdana"/>
                <w:sz w:val="18"/>
                <w:szCs w:val="18"/>
              </w:rPr>
            </w:pPr>
          </w:p>
        </w:tc>
        <w:tc>
          <w:tcPr>
            <w:tcW w:w="850" w:type="dxa"/>
            <w:gridSpan w:val="2"/>
          </w:tcPr>
          <w:p w:rsidRPr="002A1F9A" w:rsidR="001256CA" w:rsidRDefault="001256CA" w14:paraId="1723E073" w14:textId="77777777">
            <w:pPr>
              <w:jc w:val="right"/>
              <w:rPr>
                <w:rFonts w:ascii="Verdana" w:hAnsi="Verdana"/>
                <w:sz w:val="18"/>
                <w:szCs w:val="18"/>
              </w:rPr>
            </w:pPr>
          </w:p>
        </w:tc>
        <w:tc>
          <w:tcPr>
            <w:tcW w:w="992" w:type="dxa"/>
          </w:tcPr>
          <w:p w:rsidRPr="002A1F9A" w:rsidR="001256CA" w:rsidRDefault="001256CA" w14:paraId="56665356" w14:textId="77777777">
            <w:pPr>
              <w:jc w:val="right"/>
              <w:rPr>
                <w:rFonts w:ascii="Verdana" w:hAnsi="Verdana"/>
                <w:sz w:val="18"/>
                <w:szCs w:val="18"/>
              </w:rPr>
            </w:pPr>
          </w:p>
        </w:tc>
        <w:tc>
          <w:tcPr>
            <w:tcW w:w="567" w:type="dxa"/>
            <w:tcBorders>
              <w:left w:val="nil"/>
            </w:tcBorders>
          </w:tcPr>
          <w:p w:rsidRPr="002A1F9A" w:rsidR="001256CA" w:rsidRDefault="001856D0" w14:paraId="2E97EB3D"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12BC06F" w14:textId="77777777">
        <w:tc>
          <w:tcPr>
            <w:tcW w:w="567" w:type="dxa"/>
          </w:tcPr>
          <w:p w:rsidRPr="002A1F9A" w:rsidR="001256CA" w:rsidRDefault="001856D0" w14:paraId="466B12DB" w14:textId="77777777">
            <w:pPr>
              <w:rPr>
                <w:rFonts w:ascii="Verdana" w:hAnsi="Verdana"/>
                <w:sz w:val="18"/>
                <w:szCs w:val="18"/>
              </w:rPr>
            </w:pPr>
            <w:r w:rsidRPr="002A1F9A">
              <w:rPr>
                <w:rFonts w:ascii="Verdana" w:hAnsi="Verdana"/>
                <w:sz w:val="18"/>
                <w:szCs w:val="18"/>
              </w:rPr>
              <w:t>12</w:t>
            </w:r>
          </w:p>
        </w:tc>
        <w:tc>
          <w:tcPr>
            <w:tcW w:w="6521" w:type="dxa"/>
            <w:gridSpan w:val="7"/>
          </w:tcPr>
          <w:p w:rsidRPr="002A1F9A" w:rsidR="001256CA" w:rsidRDefault="001856D0" w14:paraId="44C125F0" w14:textId="77777777">
            <w:pPr>
              <w:rPr>
                <w:rFonts w:ascii="Verdana" w:hAnsi="Verdana"/>
                <w:sz w:val="18"/>
                <w:szCs w:val="18"/>
              </w:rPr>
            </w:pPr>
            <w:r w:rsidRPr="002A1F9A">
              <w:rPr>
                <w:rFonts w:ascii="Verdana" w:hAnsi="Verdana"/>
                <w:sz w:val="18"/>
                <w:szCs w:val="18"/>
              </w:rPr>
              <w:t>Kunt u aangeven in hoeverre managementlagen zullen krimpen door de bezuinigingen op het onderwijs?</w:t>
            </w:r>
          </w:p>
          <w:p w:rsidRPr="002A1F9A" w:rsidR="00325C76" w:rsidRDefault="00325C76" w14:paraId="69E396EB" w14:textId="77777777">
            <w:pPr>
              <w:rPr>
                <w:rFonts w:ascii="Verdana" w:hAnsi="Verdana"/>
                <w:sz w:val="18"/>
                <w:szCs w:val="18"/>
              </w:rPr>
            </w:pPr>
          </w:p>
          <w:p w:rsidRPr="002A1F9A" w:rsidR="00325C76" w:rsidP="00325C76" w:rsidRDefault="00325C76" w14:paraId="5B21B246" w14:textId="3B200B7E">
            <w:pPr>
              <w:rPr>
                <w:rFonts w:ascii="Verdana" w:hAnsi="Verdana"/>
                <w:sz w:val="18"/>
                <w:szCs w:val="18"/>
              </w:rPr>
            </w:pPr>
            <w:bookmarkStart w:name="_Hlk212542132" w:id="9"/>
            <w:r w:rsidRPr="002A1F9A">
              <w:rPr>
                <w:rFonts w:ascii="Verdana" w:hAnsi="Verdana"/>
                <w:sz w:val="18"/>
                <w:szCs w:val="18"/>
              </w:rPr>
              <w:t xml:space="preserve">Instellingen bepalen zelf hoe zij bezuinigingen invullen. De effecten van een eventuele bezuiniging zullen daarom per instelling verschillen. Daarbij houdt </w:t>
            </w:r>
            <w:r w:rsidRPr="002A1F9A" w:rsidR="009A3C2E">
              <w:rPr>
                <w:rFonts w:ascii="Verdana" w:hAnsi="Verdana"/>
                <w:sz w:val="18"/>
                <w:szCs w:val="18"/>
              </w:rPr>
              <w:t xml:space="preserve">het ministerie van </w:t>
            </w:r>
            <w:r w:rsidRPr="002A1F9A">
              <w:rPr>
                <w:rFonts w:ascii="Verdana" w:hAnsi="Verdana"/>
                <w:sz w:val="18"/>
                <w:szCs w:val="18"/>
              </w:rPr>
              <w:t xml:space="preserve">OCW niet bij wat de omvang van een ‘managementlaag’ per instelling is. Op basis van de jaarrekeningen is wel te onderscheiden hoeveel procent van de totale lasten naar personeel, huisvesting en afschrijvingen en overige kosten gaat. Dit is gemiddeld respectievelijk 81%, 9% en 10%. </w:t>
            </w:r>
            <w:r w:rsidRPr="002A1F9A" w:rsidR="009A3C2E">
              <w:rPr>
                <w:rFonts w:ascii="Verdana" w:hAnsi="Verdana"/>
                <w:sz w:val="18"/>
                <w:szCs w:val="18"/>
              </w:rPr>
              <w:t xml:space="preserve">Het ministerie van </w:t>
            </w:r>
            <w:r w:rsidRPr="002A1F9A">
              <w:rPr>
                <w:rFonts w:ascii="Verdana" w:hAnsi="Verdana"/>
                <w:sz w:val="18"/>
                <w:szCs w:val="18"/>
              </w:rPr>
              <w:t xml:space="preserve">OCW werkt aan een norm voor overhead voor het funderend onderwijs, die inzichtelijk moet maken welk deel van de bekostiging besteed wordt aan het primaire proces. </w:t>
            </w:r>
            <w:r w:rsidRPr="002A1F9A" w:rsidR="009A3C2E">
              <w:rPr>
                <w:rFonts w:ascii="Verdana" w:hAnsi="Verdana"/>
                <w:sz w:val="18"/>
                <w:szCs w:val="18"/>
              </w:rPr>
              <w:t xml:space="preserve">Het ministerie van </w:t>
            </w:r>
            <w:r w:rsidRPr="002A1F9A">
              <w:rPr>
                <w:rFonts w:ascii="Verdana" w:hAnsi="Verdana"/>
                <w:sz w:val="18"/>
                <w:szCs w:val="18"/>
              </w:rPr>
              <w:t xml:space="preserve">OCW laat daarvoor onderzoek uitvoeren naar mogelijke definities voor overhead en zal met het onderwijsveld in gesprek gaan over de vormgeving van een uitvoerbare norm.  </w:t>
            </w:r>
          </w:p>
          <w:bookmarkEnd w:id="9"/>
          <w:p w:rsidRPr="002A1F9A" w:rsidR="00325C76" w:rsidRDefault="00325C76" w14:paraId="14BF3853" w14:textId="77777777">
            <w:pPr>
              <w:rPr>
                <w:rFonts w:ascii="Verdana" w:hAnsi="Verdana"/>
                <w:sz w:val="18"/>
                <w:szCs w:val="18"/>
              </w:rPr>
            </w:pPr>
          </w:p>
        </w:tc>
        <w:tc>
          <w:tcPr>
            <w:tcW w:w="850" w:type="dxa"/>
            <w:gridSpan w:val="2"/>
          </w:tcPr>
          <w:p w:rsidRPr="002A1F9A" w:rsidR="001256CA" w:rsidRDefault="001256CA" w14:paraId="06E076B0" w14:textId="77777777">
            <w:pPr>
              <w:jc w:val="right"/>
              <w:rPr>
                <w:rFonts w:ascii="Verdana" w:hAnsi="Verdana"/>
                <w:sz w:val="18"/>
                <w:szCs w:val="18"/>
              </w:rPr>
            </w:pPr>
          </w:p>
        </w:tc>
        <w:tc>
          <w:tcPr>
            <w:tcW w:w="992" w:type="dxa"/>
          </w:tcPr>
          <w:p w:rsidRPr="002A1F9A" w:rsidR="001256CA" w:rsidRDefault="001256CA" w14:paraId="6C35E9B1" w14:textId="77777777">
            <w:pPr>
              <w:jc w:val="right"/>
              <w:rPr>
                <w:rFonts w:ascii="Verdana" w:hAnsi="Verdana"/>
                <w:sz w:val="18"/>
                <w:szCs w:val="18"/>
              </w:rPr>
            </w:pPr>
          </w:p>
        </w:tc>
        <w:tc>
          <w:tcPr>
            <w:tcW w:w="567" w:type="dxa"/>
            <w:tcBorders>
              <w:left w:val="nil"/>
            </w:tcBorders>
          </w:tcPr>
          <w:p w:rsidRPr="002A1F9A" w:rsidR="001256CA" w:rsidRDefault="001856D0" w14:paraId="6B532E7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40414D36" w14:textId="77777777">
        <w:tc>
          <w:tcPr>
            <w:tcW w:w="567" w:type="dxa"/>
          </w:tcPr>
          <w:p w:rsidRPr="002A1F9A" w:rsidR="001256CA" w:rsidRDefault="001856D0" w14:paraId="36825DBB" w14:textId="77777777">
            <w:pPr>
              <w:rPr>
                <w:rFonts w:ascii="Verdana" w:hAnsi="Verdana"/>
                <w:sz w:val="18"/>
                <w:szCs w:val="18"/>
              </w:rPr>
            </w:pPr>
            <w:r w:rsidRPr="002A1F9A">
              <w:rPr>
                <w:rFonts w:ascii="Verdana" w:hAnsi="Verdana"/>
                <w:sz w:val="18"/>
                <w:szCs w:val="18"/>
              </w:rPr>
              <w:t>13</w:t>
            </w:r>
          </w:p>
        </w:tc>
        <w:tc>
          <w:tcPr>
            <w:tcW w:w="6521" w:type="dxa"/>
            <w:gridSpan w:val="7"/>
          </w:tcPr>
          <w:p w:rsidRPr="002A1F9A" w:rsidR="001256CA" w:rsidRDefault="001856D0" w14:paraId="0726C069" w14:textId="77777777">
            <w:pPr>
              <w:rPr>
                <w:rFonts w:ascii="Verdana" w:hAnsi="Verdana"/>
                <w:sz w:val="18"/>
                <w:szCs w:val="18"/>
              </w:rPr>
            </w:pPr>
            <w:bookmarkStart w:name="_Hlk212542174" w:id="10"/>
            <w:r w:rsidRPr="002A1F9A">
              <w:rPr>
                <w:rFonts w:ascii="Verdana" w:hAnsi="Verdana"/>
                <w:sz w:val="18"/>
                <w:szCs w:val="18"/>
              </w:rPr>
              <w:t xml:space="preserve">Hoeveel privéscholen zijn er de afgelopen </w:t>
            </w:r>
            <w:r w:rsidRPr="002A1F9A" w:rsidR="00B520A1">
              <w:rPr>
                <w:rFonts w:ascii="Verdana" w:hAnsi="Verdana"/>
                <w:sz w:val="18"/>
                <w:szCs w:val="18"/>
              </w:rPr>
              <w:t>tien</w:t>
            </w:r>
            <w:r w:rsidRPr="002A1F9A">
              <w:rPr>
                <w:rFonts w:ascii="Verdana" w:hAnsi="Verdana"/>
                <w:sz w:val="18"/>
                <w:szCs w:val="18"/>
              </w:rPr>
              <w:t xml:space="preserve"> jaar bijgekomen </w:t>
            </w:r>
            <w:r w:rsidRPr="002A1F9A" w:rsidR="009D19C6">
              <w:rPr>
                <w:rFonts w:ascii="Verdana" w:hAnsi="Verdana"/>
                <w:sz w:val="18"/>
                <w:szCs w:val="18"/>
              </w:rPr>
              <w:t xml:space="preserve">en </w:t>
            </w:r>
            <w:r w:rsidRPr="002A1F9A">
              <w:rPr>
                <w:rFonts w:ascii="Verdana" w:hAnsi="Verdana"/>
                <w:sz w:val="18"/>
                <w:szCs w:val="18"/>
              </w:rPr>
              <w:t>met hoeveel leerlingen?</w:t>
            </w:r>
          </w:p>
          <w:bookmarkEnd w:id="10"/>
          <w:p w:rsidRPr="002A1F9A" w:rsidR="00325C76" w:rsidRDefault="00325C76" w14:paraId="275BEA36" w14:textId="77777777">
            <w:pPr>
              <w:rPr>
                <w:rFonts w:ascii="Verdana" w:hAnsi="Verdana"/>
                <w:sz w:val="18"/>
                <w:szCs w:val="18"/>
              </w:rPr>
            </w:pPr>
          </w:p>
          <w:p w:rsidRPr="002A1F9A" w:rsidR="00325C76" w:rsidP="00325C76" w:rsidRDefault="00325C76" w14:paraId="0C34D3B1" w14:textId="77777777">
            <w:pPr>
              <w:rPr>
                <w:rFonts w:ascii="Verdana" w:hAnsi="Verdana"/>
                <w:sz w:val="18"/>
                <w:szCs w:val="18"/>
              </w:rPr>
            </w:pPr>
            <w:bookmarkStart w:name="_Hlk212542184" w:id="11"/>
            <w:r w:rsidRPr="002A1F9A">
              <w:rPr>
                <w:rFonts w:ascii="Verdana" w:hAnsi="Verdana"/>
                <w:sz w:val="18"/>
                <w:szCs w:val="18"/>
              </w:rPr>
              <w:t xml:space="preserve">In 2023 waren er 27 zelfstandige exameninstellingen, oftewel b2-scholen. Dit zijn particuliere scholen die bevoegd zijn om examens af te nemen, zoals het </w:t>
            </w:r>
            <w:proofErr w:type="spellStart"/>
            <w:r w:rsidRPr="002A1F9A">
              <w:rPr>
                <w:rFonts w:ascii="Verdana" w:hAnsi="Verdana"/>
                <w:sz w:val="18"/>
                <w:szCs w:val="18"/>
              </w:rPr>
              <w:t>Luzac</w:t>
            </w:r>
            <w:proofErr w:type="spellEnd"/>
            <w:r w:rsidRPr="002A1F9A">
              <w:rPr>
                <w:rFonts w:ascii="Verdana" w:hAnsi="Verdana"/>
                <w:sz w:val="18"/>
                <w:szCs w:val="18"/>
              </w:rPr>
              <w:t xml:space="preserve"> Lyceum of het </w:t>
            </w:r>
            <w:proofErr w:type="spellStart"/>
            <w:r w:rsidRPr="002A1F9A">
              <w:rPr>
                <w:rFonts w:ascii="Verdana" w:hAnsi="Verdana"/>
                <w:sz w:val="18"/>
                <w:szCs w:val="18"/>
              </w:rPr>
              <w:t>Winford</w:t>
            </w:r>
            <w:proofErr w:type="spellEnd"/>
            <w:r w:rsidRPr="002A1F9A">
              <w:rPr>
                <w:rFonts w:ascii="Verdana" w:hAnsi="Verdana"/>
                <w:sz w:val="18"/>
                <w:szCs w:val="18"/>
              </w:rPr>
              <w:t xml:space="preserve"> College. Dit aantal is al lang stabiel. Het leerlingaantal is ook al lang stabiel rond de 900 leerlingen.</w:t>
            </w:r>
          </w:p>
          <w:p w:rsidRPr="002A1F9A" w:rsidR="00325C76" w:rsidP="00325C76" w:rsidRDefault="00325C76" w14:paraId="61A9D802" w14:textId="77777777">
            <w:pPr>
              <w:spacing w:line="240" w:lineRule="atLeast"/>
              <w:contextualSpacing/>
              <w:rPr>
                <w:rFonts w:ascii="Verdana" w:hAnsi="Verdana"/>
                <w:sz w:val="18"/>
                <w:szCs w:val="18"/>
              </w:rPr>
            </w:pPr>
            <w:r w:rsidRPr="002A1F9A">
              <w:rPr>
                <w:rFonts w:ascii="Verdana" w:hAnsi="Verdana"/>
                <w:sz w:val="18"/>
                <w:szCs w:val="18"/>
              </w:rPr>
              <w:t xml:space="preserve">Het aantal Nederlandse particuliere scholen zonder examenbevoegdheid (oftewel b3-scholen, zowel po als vo) is sinds 2015 gegroeid van 44 naar 132 (waarvan één school op Bonaire). Er gaan op dit moment ongeveer 3000 leerlingen naar b3-scholen. </w:t>
            </w:r>
          </w:p>
          <w:p w:rsidRPr="002A1F9A" w:rsidR="00325C76" w:rsidP="00325C76" w:rsidRDefault="00325C76" w14:paraId="4BD0B318" w14:textId="77777777">
            <w:pPr>
              <w:spacing w:line="240" w:lineRule="atLeast"/>
              <w:contextualSpacing/>
              <w:rPr>
                <w:rFonts w:ascii="Verdana" w:hAnsi="Verdana"/>
                <w:sz w:val="18"/>
                <w:szCs w:val="18"/>
              </w:rPr>
            </w:pPr>
            <w:r w:rsidRPr="002A1F9A">
              <w:rPr>
                <w:rFonts w:ascii="Verdana" w:hAnsi="Verdana"/>
                <w:sz w:val="18"/>
                <w:szCs w:val="18"/>
              </w:rPr>
              <w:lastRenderedPageBreak/>
              <w:t xml:space="preserve">Er zijn sinds 2015 12 nieuwe internationale particuliere scholen (b4-scholen) bijgekomen. 9 daarvan bestaan uit zowel een po als een vo afdeling. Het gaat dus, wanneer de po- en vo tak los geteld worden, om 21 instellingen.   </w:t>
            </w:r>
          </w:p>
          <w:p w:rsidRPr="002A1F9A" w:rsidR="00325C76" w:rsidP="00325C76" w:rsidRDefault="00325C76" w14:paraId="20738EEA" w14:textId="58961279">
            <w:pPr>
              <w:spacing w:line="240" w:lineRule="atLeast"/>
              <w:contextualSpacing/>
              <w:rPr>
                <w:rFonts w:ascii="Verdana" w:hAnsi="Verdana"/>
                <w:sz w:val="18"/>
                <w:szCs w:val="18"/>
              </w:rPr>
            </w:pPr>
            <w:r w:rsidRPr="002A1F9A">
              <w:rPr>
                <w:rFonts w:ascii="Verdana" w:hAnsi="Verdana"/>
                <w:sz w:val="18"/>
                <w:szCs w:val="18"/>
              </w:rPr>
              <w:t xml:space="preserve">In oktober 2025 zijn er in totaal 48 internationale particuliere scholen bij </w:t>
            </w:r>
            <w:r w:rsidRPr="002A1F9A" w:rsidR="009A3C2E">
              <w:rPr>
                <w:rFonts w:ascii="Verdana" w:hAnsi="Verdana"/>
                <w:sz w:val="18"/>
                <w:szCs w:val="18"/>
              </w:rPr>
              <w:t xml:space="preserve">het ministerie van </w:t>
            </w:r>
            <w:r w:rsidRPr="002A1F9A">
              <w:rPr>
                <w:rFonts w:ascii="Verdana" w:hAnsi="Verdana"/>
                <w:sz w:val="18"/>
                <w:szCs w:val="18"/>
              </w:rPr>
              <w:t xml:space="preserve">OCW bekend (zowel po als vo). Deze scholen worden bezocht door ongeveer 8000 leerlingen. Hoeveel leerlingen het precies betreft, is niet met zekerheid vast te stellen omdat niet elke b4-school de gegevens correct aanlevert. De </w:t>
            </w:r>
            <w:r w:rsidRPr="002A1F9A" w:rsidR="00514931">
              <w:rPr>
                <w:rFonts w:ascii="Verdana" w:hAnsi="Verdana"/>
                <w:sz w:val="18"/>
                <w:szCs w:val="18"/>
              </w:rPr>
              <w:t>I</w:t>
            </w:r>
            <w:r w:rsidRPr="002A1F9A">
              <w:rPr>
                <w:rFonts w:ascii="Verdana" w:hAnsi="Verdana"/>
                <w:sz w:val="18"/>
                <w:szCs w:val="18"/>
              </w:rPr>
              <w:t xml:space="preserve">nspectie van het </w:t>
            </w:r>
            <w:r w:rsidRPr="002A1F9A" w:rsidR="00514931">
              <w:rPr>
                <w:rFonts w:ascii="Verdana" w:hAnsi="Verdana"/>
                <w:sz w:val="18"/>
                <w:szCs w:val="18"/>
              </w:rPr>
              <w:t>O</w:t>
            </w:r>
            <w:r w:rsidRPr="002A1F9A">
              <w:rPr>
                <w:rFonts w:ascii="Verdana" w:hAnsi="Verdana"/>
                <w:sz w:val="18"/>
                <w:szCs w:val="18"/>
              </w:rPr>
              <w:t>nderwijs houdt enkel toezicht op de Nederlandse les die b4-scholen verplicht zijn aan te bieden aan leerlingen met de Nederlandse nationaliteit</w:t>
            </w:r>
            <w:r w:rsidRPr="002A1F9A" w:rsidR="008C76D3">
              <w:rPr>
                <w:rFonts w:ascii="Verdana" w:hAnsi="Verdana"/>
                <w:sz w:val="18"/>
                <w:szCs w:val="18"/>
              </w:rPr>
              <w:t xml:space="preserve"> (dit in tegenstelling tot b2- en b3-scholen waar de </w:t>
            </w:r>
            <w:r w:rsidRPr="002A1F9A" w:rsidR="00514931">
              <w:rPr>
                <w:rFonts w:ascii="Verdana" w:hAnsi="Verdana"/>
                <w:sz w:val="18"/>
                <w:szCs w:val="18"/>
              </w:rPr>
              <w:t>I</w:t>
            </w:r>
            <w:r w:rsidRPr="002A1F9A" w:rsidR="008C76D3">
              <w:rPr>
                <w:rFonts w:ascii="Verdana" w:hAnsi="Verdana"/>
                <w:sz w:val="18"/>
                <w:szCs w:val="18"/>
              </w:rPr>
              <w:t xml:space="preserve">nspectie </w:t>
            </w:r>
            <w:r w:rsidRPr="002A1F9A" w:rsidR="00514931">
              <w:rPr>
                <w:rFonts w:ascii="Verdana" w:hAnsi="Verdana"/>
                <w:sz w:val="18"/>
                <w:szCs w:val="18"/>
              </w:rPr>
              <w:t xml:space="preserve">van het Onderwijs </w:t>
            </w:r>
            <w:r w:rsidRPr="002A1F9A" w:rsidR="008C76D3">
              <w:rPr>
                <w:rFonts w:ascii="Verdana" w:hAnsi="Verdana"/>
                <w:sz w:val="18"/>
                <w:szCs w:val="18"/>
              </w:rPr>
              <w:t xml:space="preserve">wel volledig toezicht op houdt, zij het middels een ander, beknopter kader dan voor bekostigde scholen). </w:t>
            </w:r>
            <w:r w:rsidRPr="002A1F9A">
              <w:rPr>
                <w:rFonts w:ascii="Verdana" w:hAnsi="Verdana"/>
                <w:sz w:val="18"/>
                <w:szCs w:val="18"/>
              </w:rPr>
              <w:t xml:space="preserve">Dit betreft dus niet iedere b4-school. Het toezicht is verder volledig in handen van buitenlandse autoriteiten (zoals de Franse of Duitse onderwijsinspectie) of een erkende accreditatieorganisatie (zoals International </w:t>
            </w:r>
            <w:proofErr w:type="spellStart"/>
            <w:r w:rsidRPr="002A1F9A">
              <w:rPr>
                <w:rFonts w:ascii="Verdana" w:hAnsi="Verdana"/>
                <w:sz w:val="18"/>
                <w:szCs w:val="18"/>
              </w:rPr>
              <w:t>Baccalaureate</w:t>
            </w:r>
            <w:proofErr w:type="spellEnd"/>
            <w:r w:rsidRPr="002A1F9A">
              <w:rPr>
                <w:rFonts w:ascii="Verdana" w:hAnsi="Verdana"/>
                <w:sz w:val="18"/>
                <w:szCs w:val="18"/>
              </w:rPr>
              <w:t xml:space="preserve"> of </w:t>
            </w:r>
            <w:proofErr w:type="spellStart"/>
            <w:r w:rsidRPr="002A1F9A">
              <w:rPr>
                <w:rFonts w:ascii="Verdana" w:hAnsi="Verdana"/>
                <w:sz w:val="18"/>
                <w:szCs w:val="18"/>
              </w:rPr>
              <w:t>Cognia</w:t>
            </w:r>
            <w:proofErr w:type="spellEnd"/>
            <w:r w:rsidRPr="002A1F9A">
              <w:rPr>
                <w:rFonts w:ascii="Verdana" w:hAnsi="Verdana"/>
                <w:sz w:val="18"/>
                <w:szCs w:val="18"/>
              </w:rPr>
              <w:t xml:space="preserve">). </w:t>
            </w:r>
          </w:p>
          <w:bookmarkEnd w:id="11"/>
          <w:p w:rsidRPr="002A1F9A" w:rsidR="00325C76" w:rsidRDefault="00325C76" w14:paraId="4252AF11" w14:textId="6A4DC335">
            <w:pPr>
              <w:rPr>
                <w:rFonts w:ascii="Verdana" w:hAnsi="Verdana"/>
                <w:sz w:val="18"/>
                <w:szCs w:val="18"/>
              </w:rPr>
            </w:pPr>
          </w:p>
        </w:tc>
        <w:tc>
          <w:tcPr>
            <w:tcW w:w="850" w:type="dxa"/>
            <w:gridSpan w:val="2"/>
          </w:tcPr>
          <w:p w:rsidRPr="002A1F9A" w:rsidR="001256CA" w:rsidRDefault="001256CA" w14:paraId="7912FABC" w14:textId="77777777">
            <w:pPr>
              <w:jc w:val="right"/>
              <w:rPr>
                <w:rFonts w:ascii="Verdana" w:hAnsi="Verdana"/>
                <w:sz w:val="18"/>
                <w:szCs w:val="18"/>
              </w:rPr>
            </w:pPr>
          </w:p>
        </w:tc>
        <w:tc>
          <w:tcPr>
            <w:tcW w:w="992" w:type="dxa"/>
          </w:tcPr>
          <w:p w:rsidRPr="002A1F9A" w:rsidR="001256CA" w:rsidRDefault="001256CA" w14:paraId="6829FD26" w14:textId="77777777">
            <w:pPr>
              <w:jc w:val="right"/>
              <w:rPr>
                <w:rFonts w:ascii="Verdana" w:hAnsi="Verdana"/>
                <w:sz w:val="18"/>
                <w:szCs w:val="18"/>
              </w:rPr>
            </w:pPr>
          </w:p>
        </w:tc>
        <w:tc>
          <w:tcPr>
            <w:tcW w:w="567" w:type="dxa"/>
            <w:tcBorders>
              <w:left w:val="nil"/>
            </w:tcBorders>
          </w:tcPr>
          <w:p w:rsidRPr="002A1F9A" w:rsidR="001256CA" w:rsidRDefault="001856D0" w14:paraId="2DE1889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E37577C" w14:textId="77777777">
        <w:tc>
          <w:tcPr>
            <w:tcW w:w="567" w:type="dxa"/>
          </w:tcPr>
          <w:p w:rsidRPr="002A1F9A" w:rsidR="001256CA" w:rsidRDefault="001856D0" w14:paraId="243BFA58" w14:textId="77777777">
            <w:pPr>
              <w:rPr>
                <w:rFonts w:ascii="Verdana" w:hAnsi="Verdana"/>
                <w:sz w:val="18"/>
                <w:szCs w:val="18"/>
              </w:rPr>
            </w:pPr>
            <w:r w:rsidRPr="002A1F9A">
              <w:rPr>
                <w:rFonts w:ascii="Verdana" w:hAnsi="Verdana"/>
                <w:sz w:val="18"/>
                <w:szCs w:val="18"/>
              </w:rPr>
              <w:t>14</w:t>
            </w:r>
          </w:p>
        </w:tc>
        <w:tc>
          <w:tcPr>
            <w:tcW w:w="6521" w:type="dxa"/>
            <w:gridSpan w:val="7"/>
          </w:tcPr>
          <w:p w:rsidRPr="002A1F9A" w:rsidR="009B10B0" w:rsidRDefault="001856D0" w14:paraId="3322D5CC" w14:textId="77777777">
            <w:pPr>
              <w:rPr>
                <w:rFonts w:ascii="Verdana" w:hAnsi="Verdana"/>
                <w:sz w:val="18"/>
                <w:szCs w:val="18"/>
              </w:rPr>
            </w:pPr>
            <w:bookmarkStart w:name="_Hlk212542236" w:id="12"/>
            <w:r w:rsidRPr="002A1F9A">
              <w:rPr>
                <w:rFonts w:ascii="Verdana" w:hAnsi="Verdana"/>
                <w:sz w:val="18"/>
                <w:szCs w:val="18"/>
              </w:rPr>
              <w:t>Hoeveel geld is er structureel beschikbaar voor gastlessen in het funderend onderwijs gericht op tegengaan van antisemitisme?</w:t>
            </w:r>
          </w:p>
          <w:p w:rsidRPr="002A1F9A" w:rsidR="00325C76" w:rsidRDefault="00325C76" w14:paraId="3337262D" w14:textId="77777777">
            <w:pPr>
              <w:rPr>
                <w:rFonts w:ascii="Verdana" w:hAnsi="Verdana"/>
                <w:sz w:val="18"/>
                <w:szCs w:val="18"/>
              </w:rPr>
            </w:pPr>
          </w:p>
          <w:p w:rsidRPr="002A1F9A" w:rsidR="00C8378F" w:rsidP="00C8378F" w:rsidRDefault="00C8378F" w14:paraId="32D1E03B" w14:textId="77777777">
            <w:pPr>
              <w:rPr>
                <w:rFonts w:ascii="Verdana" w:hAnsi="Verdana"/>
                <w:sz w:val="18"/>
                <w:szCs w:val="18"/>
              </w:rPr>
            </w:pPr>
            <w:r w:rsidRPr="002A1F9A">
              <w:rPr>
                <w:rFonts w:ascii="Verdana" w:hAnsi="Verdana"/>
                <w:sz w:val="18"/>
                <w:szCs w:val="18"/>
              </w:rPr>
              <w:t xml:space="preserve">Vanaf 2026 is vanuit de kabinetsbrede Strategie Bestrijding Antisemitisme structureel € 1 miljoen per jaar beschikbaar voor extra curriculaire activiteiten over de Holocaust. Dat bedrag wordt onder meer besteed aan scholierenbezoek aan musea en authentieke locaties, gastlessen en workshops. Daarmee wordt tevens aangesloten bij de </w:t>
            </w:r>
            <w:hyperlink w:history="1" r:id="rId18">
              <w:r w:rsidRPr="002A1F9A">
                <w:rPr>
                  <w:rStyle w:val="Hyperlink"/>
                  <w:rFonts w:ascii="Verdana" w:hAnsi="Verdana" w:eastAsiaTheme="majorEastAsia"/>
                  <w:sz w:val="18"/>
                  <w:szCs w:val="18"/>
                </w:rPr>
                <w:t>motie Bikker c.s.,</w:t>
              </w:r>
            </w:hyperlink>
            <w:r w:rsidRPr="002A1F9A">
              <w:rPr>
                <w:rFonts w:ascii="Verdana" w:hAnsi="Verdana"/>
                <w:sz w:val="18"/>
                <w:szCs w:val="18"/>
              </w:rPr>
              <w:t xml:space="preserve"> die verzoekt om Nederlandse jongeren via scholierenbezoeken meer kennis te laten opdoen over de Holocaust.</w:t>
            </w:r>
          </w:p>
          <w:p w:rsidRPr="002A1F9A" w:rsidR="00C8378F" w:rsidP="00C8378F" w:rsidRDefault="00C8378F" w14:paraId="38940D14" w14:textId="77777777">
            <w:pPr>
              <w:rPr>
                <w:rFonts w:ascii="Verdana" w:hAnsi="Verdana"/>
                <w:sz w:val="18"/>
                <w:szCs w:val="18"/>
              </w:rPr>
            </w:pPr>
          </w:p>
          <w:p w:rsidRPr="002A1F9A" w:rsidR="00325C76" w:rsidP="00C8378F" w:rsidRDefault="00C8378F" w14:paraId="2BFFC0C3" w14:textId="22C68359">
            <w:pPr>
              <w:rPr>
                <w:rFonts w:ascii="Verdana" w:hAnsi="Verdana"/>
                <w:sz w:val="18"/>
                <w:szCs w:val="18"/>
              </w:rPr>
            </w:pPr>
            <w:r w:rsidRPr="002A1F9A">
              <w:rPr>
                <w:rFonts w:ascii="Verdana" w:hAnsi="Verdana"/>
                <w:sz w:val="18"/>
                <w:szCs w:val="18"/>
              </w:rPr>
              <w:t xml:space="preserve">Het Landelijk Steunpunt Gastsprekers WOII-Heden ontvangt structurele bekostiging vanuit het ministerie van Volksgezondheid, Welzijn en Sport voor het geven van gastlessen over de Tweede Wereldoorlog of recente conflicten en vredemissies. Daarnaast kan er uit de reguliere bekostiging geput worden voor dit soort activiteiten. </w:t>
            </w:r>
            <w:bookmarkEnd w:id="12"/>
          </w:p>
        </w:tc>
        <w:tc>
          <w:tcPr>
            <w:tcW w:w="850" w:type="dxa"/>
            <w:gridSpan w:val="2"/>
          </w:tcPr>
          <w:p w:rsidRPr="002A1F9A" w:rsidR="001256CA" w:rsidRDefault="001256CA" w14:paraId="0D92B490" w14:textId="77777777">
            <w:pPr>
              <w:jc w:val="right"/>
              <w:rPr>
                <w:rFonts w:ascii="Verdana" w:hAnsi="Verdana"/>
                <w:sz w:val="18"/>
                <w:szCs w:val="18"/>
              </w:rPr>
            </w:pPr>
          </w:p>
        </w:tc>
        <w:tc>
          <w:tcPr>
            <w:tcW w:w="992" w:type="dxa"/>
          </w:tcPr>
          <w:p w:rsidRPr="002A1F9A" w:rsidR="001256CA" w:rsidRDefault="001256CA" w14:paraId="5025A2DF" w14:textId="77777777">
            <w:pPr>
              <w:jc w:val="right"/>
              <w:rPr>
                <w:rFonts w:ascii="Verdana" w:hAnsi="Verdana"/>
                <w:sz w:val="18"/>
                <w:szCs w:val="18"/>
              </w:rPr>
            </w:pPr>
          </w:p>
        </w:tc>
        <w:tc>
          <w:tcPr>
            <w:tcW w:w="567" w:type="dxa"/>
            <w:tcBorders>
              <w:left w:val="nil"/>
            </w:tcBorders>
          </w:tcPr>
          <w:p w:rsidRPr="002A1F9A" w:rsidR="001256CA" w:rsidRDefault="001856D0" w14:paraId="4EE62572"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15A43E5" w14:textId="77777777">
        <w:tc>
          <w:tcPr>
            <w:tcW w:w="567" w:type="dxa"/>
          </w:tcPr>
          <w:p w:rsidRPr="002A1F9A" w:rsidR="001256CA" w:rsidRDefault="001856D0" w14:paraId="5C241E6A" w14:textId="77777777">
            <w:pPr>
              <w:rPr>
                <w:rFonts w:ascii="Verdana" w:hAnsi="Verdana"/>
                <w:sz w:val="18"/>
                <w:szCs w:val="18"/>
              </w:rPr>
            </w:pPr>
            <w:r w:rsidRPr="002A1F9A">
              <w:rPr>
                <w:rFonts w:ascii="Verdana" w:hAnsi="Verdana"/>
                <w:sz w:val="18"/>
                <w:szCs w:val="18"/>
              </w:rPr>
              <w:t>15</w:t>
            </w:r>
          </w:p>
        </w:tc>
        <w:tc>
          <w:tcPr>
            <w:tcW w:w="6521" w:type="dxa"/>
            <w:gridSpan w:val="7"/>
          </w:tcPr>
          <w:p w:rsidRPr="002A1F9A" w:rsidR="001256CA" w:rsidRDefault="001856D0" w14:paraId="7D0566B2" w14:textId="77777777">
            <w:pPr>
              <w:rPr>
                <w:rFonts w:ascii="Verdana" w:hAnsi="Verdana"/>
                <w:sz w:val="18"/>
                <w:szCs w:val="18"/>
              </w:rPr>
            </w:pPr>
            <w:r w:rsidRPr="002A1F9A">
              <w:rPr>
                <w:rFonts w:ascii="Verdana" w:hAnsi="Verdana"/>
                <w:sz w:val="18"/>
                <w:szCs w:val="18"/>
              </w:rPr>
              <w:t>Voor welke subsidieregelingen zijn er afgelopen jaar meer aanvragen gedaan dan dat er middelen beschikbaar waren?</w:t>
            </w:r>
          </w:p>
          <w:p w:rsidRPr="002A1F9A" w:rsidR="00850DFF" w:rsidP="00850DFF" w:rsidRDefault="00850DFF" w14:paraId="6D3A7EEC" w14:textId="77777777">
            <w:pPr>
              <w:rPr>
                <w:rFonts w:ascii="Verdana" w:hAnsi="Verdana"/>
                <w:sz w:val="18"/>
                <w:szCs w:val="18"/>
              </w:rPr>
            </w:pPr>
          </w:p>
          <w:p w:rsidRPr="002A1F9A" w:rsidR="00E62F48" w:rsidP="00E62F48" w:rsidRDefault="00E62F48" w14:paraId="1CC3C1D9" w14:textId="77777777">
            <w:pPr>
              <w:rPr>
                <w:rFonts w:ascii="Verdana" w:hAnsi="Verdana"/>
                <w:sz w:val="18"/>
                <w:szCs w:val="18"/>
              </w:rPr>
            </w:pPr>
            <w:r w:rsidRPr="002A1F9A">
              <w:rPr>
                <w:rFonts w:ascii="Verdana" w:hAnsi="Verdana"/>
                <w:sz w:val="18"/>
                <w:szCs w:val="18"/>
              </w:rPr>
              <w:t>Voor 2025 is deze informatie nog niet beschikbaar. In 2024 zijn er voor de volgende subsidieregelingen meer aanvragen gedaan dan dat er middelen beschikbaar waren:</w:t>
            </w:r>
          </w:p>
          <w:p w:rsidRPr="002A1F9A" w:rsidR="00E62F48" w:rsidP="00E62F48" w:rsidRDefault="00E62F48" w14:paraId="1CF06AE4" w14:textId="77777777">
            <w:pPr>
              <w:numPr>
                <w:ilvl w:val="0"/>
                <w:numId w:val="7"/>
              </w:numPr>
              <w:rPr>
                <w:rFonts w:ascii="Verdana" w:hAnsi="Verdana"/>
                <w:sz w:val="18"/>
                <w:szCs w:val="18"/>
                <w:lang w:val="en-US"/>
              </w:rPr>
            </w:pPr>
            <w:proofErr w:type="spellStart"/>
            <w:r w:rsidRPr="002A1F9A">
              <w:rPr>
                <w:rFonts w:ascii="Verdana" w:hAnsi="Verdana"/>
                <w:sz w:val="18"/>
                <w:szCs w:val="18"/>
                <w:lang w:val="en-US"/>
              </w:rPr>
              <w:t>Basisvaardigheden</w:t>
            </w:r>
            <w:proofErr w:type="spellEnd"/>
            <w:r w:rsidRPr="002A1F9A">
              <w:rPr>
                <w:rFonts w:ascii="Verdana" w:hAnsi="Verdana"/>
                <w:sz w:val="18"/>
                <w:szCs w:val="18"/>
                <w:lang w:val="en-US"/>
              </w:rPr>
              <w:t xml:space="preserve"> </w:t>
            </w:r>
          </w:p>
          <w:p w:rsidRPr="002A1F9A" w:rsidR="00E62F48" w:rsidP="00E62F48" w:rsidRDefault="00E62F48" w14:paraId="4E416420" w14:textId="77777777">
            <w:pPr>
              <w:numPr>
                <w:ilvl w:val="0"/>
                <w:numId w:val="7"/>
              </w:numPr>
              <w:rPr>
                <w:rFonts w:ascii="Verdana" w:hAnsi="Verdana"/>
                <w:sz w:val="18"/>
                <w:szCs w:val="18"/>
                <w:lang w:val="en-US"/>
              </w:rPr>
            </w:pPr>
            <w:proofErr w:type="spellStart"/>
            <w:r w:rsidRPr="002A1F9A">
              <w:rPr>
                <w:rFonts w:ascii="Verdana" w:hAnsi="Verdana"/>
                <w:sz w:val="18"/>
                <w:szCs w:val="18"/>
                <w:lang w:val="en-US"/>
              </w:rPr>
              <w:t>Brugfunctionaris</w:t>
            </w:r>
            <w:proofErr w:type="spellEnd"/>
          </w:p>
          <w:p w:rsidRPr="002A1F9A" w:rsidR="00E62F48" w:rsidP="00E62F48" w:rsidRDefault="00E62F48" w14:paraId="3DAAFB6A" w14:textId="77777777">
            <w:pPr>
              <w:numPr>
                <w:ilvl w:val="0"/>
                <w:numId w:val="7"/>
              </w:numPr>
              <w:rPr>
                <w:rFonts w:ascii="Verdana" w:hAnsi="Verdana"/>
                <w:sz w:val="18"/>
                <w:szCs w:val="18"/>
                <w:lang w:val="en-US"/>
              </w:rPr>
            </w:pPr>
            <w:proofErr w:type="spellStart"/>
            <w:r w:rsidRPr="002A1F9A">
              <w:rPr>
                <w:rFonts w:ascii="Verdana" w:hAnsi="Verdana"/>
                <w:sz w:val="18"/>
                <w:szCs w:val="18"/>
                <w:lang w:val="en-US"/>
              </w:rPr>
              <w:t>Verbinding</w:t>
            </w:r>
            <w:proofErr w:type="spellEnd"/>
            <w:r w:rsidRPr="002A1F9A">
              <w:rPr>
                <w:rFonts w:ascii="Verdana" w:hAnsi="Verdana"/>
                <w:sz w:val="18"/>
                <w:szCs w:val="18"/>
                <w:lang w:val="en-US"/>
              </w:rPr>
              <w:t xml:space="preserve"> PO-VO</w:t>
            </w:r>
          </w:p>
          <w:p w:rsidRPr="002A1F9A" w:rsidR="00E62F48" w:rsidP="00E62F48" w:rsidRDefault="00E62F48" w14:paraId="637BD88A" w14:textId="77777777">
            <w:pPr>
              <w:numPr>
                <w:ilvl w:val="0"/>
                <w:numId w:val="7"/>
              </w:numPr>
              <w:rPr>
                <w:rFonts w:ascii="Verdana" w:hAnsi="Verdana"/>
                <w:sz w:val="18"/>
                <w:szCs w:val="18"/>
                <w:lang w:val="en-US"/>
              </w:rPr>
            </w:pPr>
            <w:proofErr w:type="spellStart"/>
            <w:r w:rsidRPr="002A1F9A">
              <w:rPr>
                <w:rFonts w:ascii="Verdana" w:hAnsi="Verdana"/>
                <w:sz w:val="18"/>
                <w:szCs w:val="18"/>
                <w:lang w:val="en-US"/>
              </w:rPr>
              <w:t>Maatschappelijke</w:t>
            </w:r>
            <w:proofErr w:type="spellEnd"/>
            <w:r w:rsidRPr="002A1F9A">
              <w:rPr>
                <w:rFonts w:ascii="Verdana" w:hAnsi="Verdana"/>
                <w:sz w:val="18"/>
                <w:szCs w:val="18"/>
                <w:lang w:val="en-US"/>
              </w:rPr>
              <w:t xml:space="preserve"> </w:t>
            </w:r>
            <w:proofErr w:type="spellStart"/>
            <w:r w:rsidRPr="002A1F9A">
              <w:rPr>
                <w:rFonts w:ascii="Verdana" w:hAnsi="Verdana"/>
                <w:sz w:val="18"/>
                <w:szCs w:val="18"/>
                <w:lang w:val="en-US"/>
              </w:rPr>
              <w:t>diensttijd</w:t>
            </w:r>
            <w:proofErr w:type="spellEnd"/>
          </w:p>
          <w:p w:rsidRPr="002A1F9A" w:rsidR="00E62F48" w:rsidP="00E62F48" w:rsidRDefault="00E62F48" w14:paraId="212F0778" w14:textId="77777777">
            <w:pPr>
              <w:numPr>
                <w:ilvl w:val="0"/>
                <w:numId w:val="7"/>
              </w:numPr>
              <w:rPr>
                <w:rFonts w:ascii="Verdana" w:hAnsi="Verdana"/>
                <w:sz w:val="18"/>
                <w:szCs w:val="18"/>
                <w:lang w:val="en-US"/>
              </w:rPr>
            </w:pPr>
            <w:r w:rsidRPr="002A1F9A">
              <w:rPr>
                <w:rFonts w:ascii="Verdana" w:hAnsi="Verdana"/>
                <w:sz w:val="18"/>
                <w:szCs w:val="18"/>
                <w:lang w:val="en-US"/>
              </w:rPr>
              <w:t>LLO-</w:t>
            </w:r>
            <w:proofErr w:type="spellStart"/>
            <w:r w:rsidRPr="002A1F9A">
              <w:rPr>
                <w:rFonts w:ascii="Verdana" w:hAnsi="Verdana"/>
                <w:sz w:val="18"/>
                <w:szCs w:val="18"/>
                <w:lang w:val="en-US"/>
              </w:rPr>
              <w:t>Katalysator</w:t>
            </w:r>
            <w:proofErr w:type="spellEnd"/>
            <w:r w:rsidRPr="002A1F9A">
              <w:rPr>
                <w:rFonts w:ascii="Verdana" w:hAnsi="Verdana"/>
                <w:sz w:val="18"/>
                <w:szCs w:val="18"/>
                <w:lang w:val="en-US"/>
              </w:rPr>
              <w:t xml:space="preserve"> </w:t>
            </w:r>
          </w:p>
          <w:p w:rsidRPr="002A1F9A" w:rsidR="00E62F48" w:rsidP="00E62F48" w:rsidRDefault="00E62F48" w14:paraId="243E3833" w14:textId="77777777">
            <w:pPr>
              <w:numPr>
                <w:ilvl w:val="0"/>
                <w:numId w:val="7"/>
              </w:numPr>
              <w:rPr>
                <w:rFonts w:ascii="Verdana" w:hAnsi="Verdana"/>
                <w:sz w:val="18"/>
                <w:szCs w:val="18"/>
              </w:rPr>
            </w:pPr>
            <w:r w:rsidRPr="002A1F9A">
              <w:rPr>
                <w:rFonts w:ascii="Verdana" w:hAnsi="Verdana"/>
                <w:sz w:val="18"/>
                <w:szCs w:val="18"/>
              </w:rPr>
              <w:t>De subsidieregeling instandhouding monumenten (sim).</w:t>
            </w:r>
          </w:p>
          <w:p w:rsidRPr="002A1F9A" w:rsidR="00E62F48" w:rsidP="00E62F48" w:rsidRDefault="00E62F48" w14:paraId="01FEB973" w14:textId="77777777">
            <w:pPr>
              <w:rPr>
                <w:rFonts w:ascii="Verdana" w:hAnsi="Verdana"/>
                <w:sz w:val="18"/>
                <w:szCs w:val="18"/>
              </w:rPr>
            </w:pPr>
          </w:p>
          <w:p w:rsidRPr="002A1F9A" w:rsidR="00E62F48" w:rsidP="00E62F48" w:rsidRDefault="00E62F48" w14:paraId="241D17BE" w14:textId="77777777">
            <w:pPr>
              <w:rPr>
                <w:rFonts w:ascii="Verdana" w:hAnsi="Verdana"/>
                <w:sz w:val="18"/>
                <w:szCs w:val="18"/>
              </w:rPr>
            </w:pPr>
            <w:r w:rsidRPr="002A1F9A">
              <w:rPr>
                <w:rFonts w:ascii="Verdana" w:hAnsi="Verdana"/>
                <w:sz w:val="18"/>
                <w:szCs w:val="18"/>
              </w:rPr>
              <w:t>Daarnaast zijn er een aantal subsidieregelingen die op een andere manier vormgegeven zijn wanneer er meer aanvragen zijn dan er middelen beschikbaar zijn:</w:t>
            </w:r>
          </w:p>
          <w:p w:rsidRPr="002A1F9A" w:rsidR="00E62F48" w:rsidP="00E62F48" w:rsidRDefault="00E62F48" w14:paraId="0B2498E3" w14:textId="77777777">
            <w:pPr>
              <w:numPr>
                <w:ilvl w:val="0"/>
                <w:numId w:val="7"/>
              </w:numPr>
              <w:rPr>
                <w:rFonts w:ascii="Verdana" w:hAnsi="Verdana"/>
                <w:sz w:val="18"/>
                <w:szCs w:val="18"/>
              </w:rPr>
            </w:pPr>
            <w:r w:rsidRPr="002A1F9A">
              <w:rPr>
                <w:rFonts w:ascii="Verdana" w:hAnsi="Verdana"/>
                <w:sz w:val="18"/>
                <w:szCs w:val="18"/>
              </w:rPr>
              <w:t xml:space="preserve">Zo is in 2024 voor de Regeling Praktijkleren voor een aantal sectoren de maximale subsidie van € 2700 per leerwerkplek niet volledig uitgekeerd omdat meer aanvragen gedaan zijn dan er beschikbaar budget was, dit in verband met een </w:t>
            </w:r>
            <w:r w:rsidRPr="002A1F9A">
              <w:rPr>
                <w:rFonts w:ascii="Verdana" w:hAnsi="Verdana"/>
                <w:sz w:val="18"/>
                <w:szCs w:val="18"/>
              </w:rPr>
              <w:lastRenderedPageBreak/>
              <w:t>subsidieplafond. Het totale budget in deze sectoren is verdeeld over het totaal aantal binnengekomen aanvragen.</w:t>
            </w:r>
          </w:p>
          <w:p w:rsidRPr="002A1F9A" w:rsidR="00E62F48" w:rsidP="00E62F48" w:rsidRDefault="00E62F48" w14:paraId="160A042D" w14:textId="77777777">
            <w:pPr>
              <w:numPr>
                <w:ilvl w:val="0"/>
                <w:numId w:val="7"/>
              </w:numPr>
              <w:rPr>
                <w:rFonts w:ascii="Verdana" w:hAnsi="Verdana"/>
                <w:sz w:val="18"/>
                <w:szCs w:val="18"/>
              </w:rPr>
            </w:pPr>
            <w:r w:rsidRPr="002A1F9A">
              <w:rPr>
                <w:rFonts w:ascii="Verdana" w:hAnsi="Verdana"/>
                <w:sz w:val="18"/>
                <w:szCs w:val="18"/>
              </w:rPr>
              <w:t xml:space="preserve">Voor het groeifondsprojecten </w:t>
            </w:r>
            <w:proofErr w:type="spellStart"/>
            <w:r w:rsidRPr="002A1F9A">
              <w:rPr>
                <w:rFonts w:ascii="Verdana" w:hAnsi="Verdana"/>
                <w:sz w:val="18"/>
                <w:szCs w:val="18"/>
              </w:rPr>
              <w:t>Biotech</w:t>
            </w:r>
            <w:proofErr w:type="spellEnd"/>
            <w:r w:rsidRPr="002A1F9A">
              <w:rPr>
                <w:rFonts w:ascii="Verdana" w:hAnsi="Verdana"/>
                <w:sz w:val="18"/>
                <w:szCs w:val="18"/>
              </w:rPr>
              <w:t xml:space="preserve"> Booster zat in 2024 de gehele portefeuille vol. Deze regeling is zo vormgegeven dat als de portefeuille vol zit, het consortium geen ideeën meer in behandeling neemt en er geen formele subsidieaanvragen meer kunnen worden ingediend. Bij het consortium was daardoor wel een wachtlijst aan projecten. </w:t>
            </w:r>
          </w:p>
          <w:p w:rsidRPr="002A1F9A" w:rsidR="00850DFF" w:rsidRDefault="00850DFF" w14:paraId="70AFB7C6" w14:textId="77777777">
            <w:pPr>
              <w:rPr>
                <w:rFonts w:ascii="Verdana" w:hAnsi="Verdana"/>
                <w:sz w:val="18"/>
                <w:szCs w:val="18"/>
              </w:rPr>
            </w:pPr>
          </w:p>
        </w:tc>
        <w:tc>
          <w:tcPr>
            <w:tcW w:w="850" w:type="dxa"/>
            <w:gridSpan w:val="2"/>
          </w:tcPr>
          <w:p w:rsidRPr="002A1F9A" w:rsidR="001256CA" w:rsidRDefault="001256CA" w14:paraId="202A1D05" w14:textId="77777777">
            <w:pPr>
              <w:jc w:val="right"/>
              <w:rPr>
                <w:rFonts w:ascii="Verdana" w:hAnsi="Verdana"/>
                <w:sz w:val="18"/>
                <w:szCs w:val="18"/>
              </w:rPr>
            </w:pPr>
          </w:p>
        </w:tc>
        <w:tc>
          <w:tcPr>
            <w:tcW w:w="992" w:type="dxa"/>
          </w:tcPr>
          <w:p w:rsidRPr="002A1F9A" w:rsidR="001256CA" w:rsidRDefault="001256CA" w14:paraId="0AA8067C" w14:textId="77777777">
            <w:pPr>
              <w:jc w:val="right"/>
              <w:rPr>
                <w:rFonts w:ascii="Verdana" w:hAnsi="Verdana"/>
                <w:sz w:val="18"/>
                <w:szCs w:val="18"/>
              </w:rPr>
            </w:pPr>
          </w:p>
        </w:tc>
        <w:tc>
          <w:tcPr>
            <w:tcW w:w="567" w:type="dxa"/>
            <w:tcBorders>
              <w:left w:val="nil"/>
            </w:tcBorders>
          </w:tcPr>
          <w:p w:rsidRPr="002A1F9A" w:rsidR="001256CA" w:rsidRDefault="001856D0" w14:paraId="6B0D8954"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5F4B653B" w14:textId="77777777">
        <w:tc>
          <w:tcPr>
            <w:tcW w:w="567" w:type="dxa"/>
          </w:tcPr>
          <w:p w:rsidRPr="002A1F9A" w:rsidR="001256CA" w:rsidRDefault="001856D0" w14:paraId="7EEB5CB6" w14:textId="77777777">
            <w:pPr>
              <w:rPr>
                <w:rFonts w:ascii="Verdana" w:hAnsi="Verdana"/>
                <w:sz w:val="18"/>
                <w:szCs w:val="18"/>
              </w:rPr>
            </w:pPr>
            <w:r w:rsidRPr="002A1F9A">
              <w:rPr>
                <w:rFonts w:ascii="Verdana" w:hAnsi="Verdana"/>
                <w:sz w:val="18"/>
                <w:szCs w:val="18"/>
              </w:rPr>
              <w:t>16</w:t>
            </w:r>
          </w:p>
        </w:tc>
        <w:tc>
          <w:tcPr>
            <w:tcW w:w="6521" w:type="dxa"/>
            <w:gridSpan w:val="7"/>
          </w:tcPr>
          <w:p w:rsidRPr="002A1F9A" w:rsidR="001256CA" w:rsidRDefault="001856D0" w14:paraId="586B06FD" w14:textId="77777777">
            <w:pPr>
              <w:rPr>
                <w:rFonts w:ascii="Verdana" w:hAnsi="Verdana"/>
                <w:sz w:val="18"/>
                <w:szCs w:val="18"/>
              </w:rPr>
            </w:pPr>
            <w:r w:rsidRPr="002A1F9A">
              <w:rPr>
                <w:rFonts w:ascii="Verdana" w:hAnsi="Verdana"/>
                <w:sz w:val="18"/>
                <w:szCs w:val="18"/>
              </w:rPr>
              <w:t>Kunt u een overzicht geven van het moment waarop in andere Europese landen in het onderwijs selectie plaatsvindt?</w:t>
            </w:r>
          </w:p>
          <w:p w:rsidRPr="002A1F9A" w:rsidR="00325C76" w:rsidRDefault="00325C76" w14:paraId="71580985" w14:textId="77777777">
            <w:pPr>
              <w:rPr>
                <w:rFonts w:ascii="Verdana" w:hAnsi="Verdana"/>
                <w:sz w:val="18"/>
                <w:szCs w:val="18"/>
              </w:rPr>
            </w:pPr>
          </w:p>
          <w:p w:rsidRPr="002A1F9A" w:rsidR="00325C76" w:rsidP="00325C76" w:rsidRDefault="00325C76" w14:paraId="597225E1" w14:textId="77777777">
            <w:pPr>
              <w:rPr>
                <w:rFonts w:ascii="Verdana" w:hAnsi="Verdana"/>
                <w:sz w:val="18"/>
                <w:szCs w:val="18"/>
              </w:rPr>
            </w:pPr>
            <w:r w:rsidRPr="002A1F9A">
              <w:rPr>
                <w:rFonts w:ascii="Verdana" w:hAnsi="Verdana"/>
                <w:sz w:val="18"/>
                <w:szCs w:val="18"/>
              </w:rPr>
              <w:t xml:space="preserve">Uit vergelijkend </w:t>
            </w:r>
            <w:hyperlink w:history="1" r:id="rId19">
              <w:r w:rsidRPr="002A1F9A">
                <w:rPr>
                  <w:rStyle w:val="Hyperlink"/>
                  <w:rFonts w:ascii="Verdana" w:hAnsi="Verdana"/>
                  <w:sz w:val="18"/>
                  <w:szCs w:val="18"/>
                </w:rPr>
                <w:t>onderzoek van GION (</w:t>
              </w:r>
              <w:r w:rsidRPr="002A1F9A">
                <w:rPr>
                  <w:rStyle w:val="Hyperlink"/>
                  <w:rFonts w:ascii="Verdana" w:hAnsi="Verdana"/>
                  <w:i/>
                  <w:iCs/>
                  <w:sz w:val="18"/>
                  <w:szCs w:val="18"/>
                </w:rPr>
                <w:t>De overgang van primair naar voortgezet onderwijs in internationaal perspectief</w:t>
              </w:r>
              <w:r w:rsidRPr="002A1F9A">
                <w:rPr>
                  <w:rStyle w:val="Hyperlink"/>
                  <w:rFonts w:ascii="Verdana" w:hAnsi="Verdana"/>
                  <w:sz w:val="18"/>
                  <w:szCs w:val="18"/>
                </w:rPr>
                <w:t>)</w:t>
              </w:r>
            </w:hyperlink>
            <w:r w:rsidRPr="002A1F9A">
              <w:rPr>
                <w:rFonts w:ascii="Verdana" w:hAnsi="Verdana"/>
                <w:sz w:val="18"/>
                <w:szCs w:val="18"/>
              </w:rPr>
              <w:t xml:space="preserve"> tussen (een aantal) Europese landen komen grofweg drie soorten onderwijsstelsels naar voren. In een aantal landen wordt gewerkt met ‘gedifferentieerde onderwijsstelsels’ (o.a. Nederland, Oostenrijk), waarin onderwijs op verschillende niveaus wordt gegeven en leerlingen op 10/11/12-jarige leeftijd worden geselecteerd. In ‘common </w:t>
            </w:r>
            <w:proofErr w:type="spellStart"/>
            <w:r w:rsidRPr="002A1F9A">
              <w:rPr>
                <w:rFonts w:ascii="Verdana" w:hAnsi="Verdana"/>
                <w:sz w:val="18"/>
                <w:szCs w:val="18"/>
              </w:rPr>
              <w:t>core</w:t>
            </w:r>
            <w:proofErr w:type="spellEnd"/>
            <w:r w:rsidRPr="002A1F9A">
              <w:rPr>
                <w:rFonts w:ascii="Verdana" w:hAnsi="Verdana"/>
                <w:sz w:val="18"/>
                <w:szCs w:val="18"/>
              </w:rPr>
              <w:t xml:space="preserve"> curriculum’-stelsels (o.a. Engeland, Frankrijk, België) gaan leerlingen op dezelfde leeftijd naar het vo, maar volgen leerlingen in de eerste jaren van het vo een aantal jaren hetzelfde gemeenschappelijke curriculum en wordt pas later gedifferentieerd. Het laatste stelsel is het ‘single </w:t>
            </w:r>
            <w:proofErr w:type="spellStart"/>
            <w:r w:rsidRPr="002A1F9A">
              <w:rPr>
                <w:rFonts w:ascii="Verdana" w:hAnsi="Verdana"/>
                <w:sz w:val="18"/>
                <w:szCs w:val="18"/>
              </w:rPr>
              <w:t>structure</w:t>
            </w:r>
            <w:proofErr w:type="spellEnd"/>
            <w:r w:rsidRPr="002A1F9A">
              <w:rPr>
                <w:rFonts w:ascii="Verdana" w:hAnsi="Verdana"/>
                <w:sz w:val="18"/>
                <w:szCs w:val="18"/>
              </w:rPr>
              <w:t>’-stelsel (o.a. Denemarken, Zweden, Finland), waarin leerlingen één periode po en vo in zijn geheel volgen op dezelfde school en in hetzelfde onderwijsprogramma. In dit stelsel vindt geen overgang van het po naar vo plaats. Het selectiemoment ligt in deze stelsels bij leerlingen op vijftien- of zestienjarige leeftijd.</w:t>
            </w:r>
          </w:p>
          <w:p w:rsidRPr="002A1F9A" w:rsidR="00325C76" w:rsidRDefault="00325C76" w14:paraId="2650BEFC" w14:textId="77777777">
            <w:pPr>
              <w:rPr>
                <w:rFonts w:ascii="Verdana" w:hAnsi="Verdana"/>
                <w:sz w:val="18"/>
                <w:szCs w:val="18"/>
              </w:rPr>
            </w:pPr>
          </w:p>
        </w:tc>
        <w:tc>
          <w:tcPr>
            <w:tcW w:w="850" w:type="dxa"/>
            <w:gridSpan w:val="2"/>
          </w:tcPr>
          <w:p w:rsidRPr="002A1F9A" w:rsidR="001256CA" w:rsidRDefault="001256CA" w14:paraId="02BB9B26" w14:textId="77777777">
            <w:pPr>
              <w:jc w:val="right"/>
              <w:rPr>
                <w:rFonts w:ascii="Verdana" w:hAnsi="Verdana"/>
                <w:sz w:val="18"/>
                <w:szCs w:val="18"/>
              </w:rPr>
            </w:pPr>
          </w:p>
        </w:tc>
        <w:tc>
          <w:tcPr>
            <w:tcW w:w="992" w:type="dxa"/>
          </w:tcPr>
          <w:p w:rsidRPr="002A1F9A" w:rsidR="001256CA" w:rsidRDefault="001256CA" w14:paraId="723BACDC" w14:textId="77777777">
            <w:pPr>
              <w:jc w:val="right"/>
              <w:rPr>
                <w:rFonts w:ascii="Verdana" w:hAnsi="Verdana"/>
                <w:sz w:val="18"/>
                <w:szCs w:val="18"/>
              </w:rPr>
            </w:pPr>
          </w:p>
        </w:tc>
        <w:tc>
          <w:tcPr>
            <w:tcW w:w="567" w:type="dxa"/>
            <w:tcBorders>
              <w:left w:val="nil"/>
            </w:tcBorders>
          </w:tcPr>
          <w:p w:rsidRPr="002A1F9A" w:rsidR="001256CA" w:rsidRDefault="001856D0" w14:paraId="76636CA1"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117BA0D" w14:textId="77777777">
        <w:tc>
          <w:tcPr>
            <w:tcW w:w="567" w:type="dxa"/>
          </w:tcPr>
          <w:p w:rsidRPr="002A1F9A" w:rsidR="001256CA" w:rsidRDefault="001856D0" w14:paraId="6A77754D" w14:textId="77777777">
            <w:pPr>
              <w:rPr>
                <w:rFonts w:ascii="Verdana" w:hAnsi="Verdana"/>
                <w:sz w:val="18"/>
                <w:szCs w:val="18"/>
              </w:rPr>
            </w:pPr>
            <w:r w:rsidRPr="002A1F9A">
              <w:rPr>
                <w:rFonts w:ascii="Verdana" w:hAnsi="Verdana"/>
                <w:sz w:val="18"/>
                <w:szCs w:val="18"/>
              </w:rPr>
              <w:t>17</w:t>
            </w:r>
          </w:p>
        </w:tc>
        <w:tc>
          <w:tcPr>
            <w:tcW w:w="6521" w:type="dxa"/>
            <w:gridSpan w:val="7"/>
          </w:tcPr>
          <w:p w:rsidRPr="002A1F9A" w:rsidR="001256CA" w:rsidRDefault="001856D0" w14:paraId="5BF0D626" w14:textId="77777777">
            <w:pPr>
              <w:rPr>
                <w:rFonts w:ascii="Verdana" w:hAnsi="Verdana"/>
                <w:sz w:val="18"/>
                <w:szCs w:val="18"/>
              </w:rPr>
            </w:pPr>
            <w:r w:rsidRPr="002A1F9A">
              <w:rPr>
                <w:rFonts w:ascii="Verdana" w:hAnsi="Verdana"/>
                <w:sz w:val="18"/>
                <w:szCs w:val="18"/>
              </w:rPr>
              <w:t xml:space="preserve">Op welke subsidieregelingen lijkt er sprake te zijn van </w:t>
            </w:r>
            <w:proofErr w:type="spellStart"/>
            <w:r w:rsidRPr="002A1F9A">
              <w:rPr>
                <w:rFonts w:ascii="Verdana" w:hAnsi="Verdana"/>
                <w:sz w:val="18"/>
                <w:szCs w:val="18"/>
              </w:rPr>
              <w:t>onderuitputting</w:t>
            </w:r>
            <w:proofErr w:type="spellEnd"/>
            <w:r w:rsidRPr="002A1F9A">
              <w:rPr>
                <w:rFonts w:ascii="Verdana" w:hAnsi="Verdana"/>
                <w:sz w:val="18"/>
                <w:szCs w:val="18"/>
              </w:rPr>
              <w:t>?</w:t>
            </w:r>
          </w:p>
          <w:p w:rsidRPr="002A1F9A" w:rsidR="00850DFF" w:rsidRDefault="00850DFF" w14:paraId="6471D8F9" w14:textId="77777777">
            <w:pPr>
              <w:rPr>
                <w:rFonts w:ascii="Verdana" w:hAnsi="Verdana"/>
                <w:sz w:val="18"/>
                <w:szCs w:val="18"/>
              </w:rPr>
            </w:pPr>
          </w:p>
          <w:p w:rsidRPr="002A1F9A" w:rsidR="00E62F48" w:rsidP="00E62F48" w:rsidRDefault="00E62F48" w14:paraId="12A63091" w14:textId="77777777">
            <w:pPr>
              <w:rPr>
                <w:rFonts w:ascii="Verdana" w:hAnsi="Verdana"/>
                <w:sz w:val="18"/>
                <w:szCs w:val="18"/>
              </w:rPr>
            </w:pPr>
            <w:r w:rsidRPr="002A1F9A">
              <w:rPr>
                <w:rFonts w:ascii="Verdana" w:hAnsi="Verdana"/>
                <w:sz w:val="18"/>
                <w:szCs w:val="18"/>
              </w:rPr>
              <w:t xml:space="preserve">Voor 2025 wordt dit pas bekend bij najaarsnota en </w:t>
            </w:r>
            <w:proofErr w:type="spellStart"/>
            <w:r w:rsidRPr="002A1F9A">
              <w:rPr>
                <w:rFonts w:ascii="Verdana" w:hAnsi="Verdana"/>
                <w:sz w:val="18"/>
                <w:szCs w:val="18"/>
              </w:rPr>
              <w:t>slotwet</w:t>
            </w:r>
            <w:proofErr w:type="spellEnd"/>
            <w:r w:rsidRPr="002A1F9A">
              <w:rPr>
                <w:rFonts w:ascii="Verdana" w:hAnsi="Verdana"/>
                <w:sz w:val="18"/>
                <w:szCs w:val="18"/>
              </w:rPr>
              <w:t xml:space="preserve">. In 2024 was op de volgende subsidieregelingen sprake van </w:t>
            </w:r>
            <w:proofErr w:type="spellStart"/>
            <w:r w:rsidRPr="002A1F9A">
              <w:rPr>
                <w:rFonts w:ascii="Verdana" w:hAnsi="Verdana"/>
                <w:sz w:val="18"/>
                <w:szCs w:val="18"/>
              </w:rPr>
              <w:t>onderuitputting</w:t>
            </w:r>
            <w:proofErr w:type="spellEnd"/>
            <w:r w:rsidRPr="002A1F9A">
              <w:rPr>
                <w:rFonts w:ascii="Verdana" w:hAnsi="Verdana"/>
                <w:sz w:val="18"/>
                <w:szCs w:val="18"/>
              </w:rPr>
              <w:t xml:space="preserve">. </w:t>
            </w:r>
          </w:p>
          <w:p w:rsidRPr="002A1F9A" w:rsidR="00E62F48" w:rsidP="00E62F48" w:rsidRDefault="00E62F48" w14:paraId="0CA1DC5B" w14:textId="77777777">
            <w:pPr>
              <w:numPr>
                <w:ilvl w:val="0"/>
                <w:numId w:val="8"/>
              </w:numPr>
              <w:rPr>
                <w:rFonts w:ascii="Verdana" w:hAnsi="Verdana"/>
                <w:sz w:val="18"/>
                <w:szCs w:val="18"/>
              </w:rPr>
            </w:pPr>
            <w:r w:rsidRPr="002A1F9A">
              <w:rPr>
                <w:rFonts w:ascii="Verdana" w:hAnsi="Verdana"/>
                <w:b/>
                <w:bCs/>
                <w:sz w:val="18"/>
                <w:szCs w:val="18"/>
              </w:rPr>
              <w:t>School en Omgeving 2023-2025.</w:t>
            </w:r>
            <w:r w:rsidRPr="002A1F9A">
              <w:rPr>
                <w:rFonts w:ascii="Verdana" w:hAnsi="Verdana"/>
                <w:sz w:val="18"/>
                <w:szCs w:val="18"/>
              </w:rPr>
              <w:t xml:space="preserve"> De </w:t>
            </w:r>
            <w:proofErr w:type="spellStart"/>
            <w:r w:rsidRPr="002A1F9A">
              <w:rPr>
                <w:rFonts w:ascii="Verdana" w:hAnsi="Verdana"/>
                <w:sz w:val="18"/>
                <w:szCs w:val="18"/>
              </w:rPr>
              <w:t>onderuitputting</w:t>
            </w:r>
            <w:proofErr w:type="spellEnd"/>
            <w:r w:rsidRPr="002A1F9A">
              <w:rPr>
                <w:rFonts w:ascii="Verdana" w:hAnsi="Verdana"/>
                <w:sz w:val="18"/>
                <w:szCs w:val="18"/>
              </w:rPr>
              <w:t xml:space="preserve"> op de subsidieregeling school en omgeving werd met name veroorzaakt door minder aanvragen dan voorzien vanwege o.a. de complexiteit van de regeling op dat moment, hoge verantwoordingslasten en de beperkte doelgroep waarvoor de regeling werd opengesteld. Daarnaast is ook een deel van de betalingen voor 2024 al in 2023 gedaan wat heeft geleid tot hogere </w:t>
            </w:r>
            <w:proofErr w:type="spellStart"/>
            <w:r w:rsidRPr="002A1F9A">
              <w:rPr>
                <w:rFonts w:ascii="Verdana" w:hAnsi="Verdana"/>
                <w:sz w:val="18"/>
                <w:szCs w:val="18"/>
              </w:rPr>
              <w:t>onderuitputting</w:t>
            </w:r>
            <w:proofErr w:type="spellEnd"/>
            <w:r w:rsidRPr="002A1F9A">
              <w:rPr>
                <w:rFonts w:ascii="Verdana" w:hAnsi="Verdana"/>
                <w:sz w:val="18"/>
                <w:szCs w:val="18"/>
              </w:rPr>
              <w:t xml:space="preserve"> in 2024. Inmiddels is de regeling herzien en vereenvoudigd. De subsidieregeling School en Omgeving 2025-2028 is overvraagd. </w:t>
            </w:r>
          </w:p>
          <w:p w:rsidRPr="002A1F9A" w:rsidR="00E62F48" w:rsidP="00E62F48" w:rsidRDefault="00E62F48" w14:paraId="388F52F2" w14:textId="77777777">
            <w:pPr>
              <w:numPr>
                <w:ilvl w:val="0"/>
                <w:numId w:val="8"/>
              </w:numPr>
              <w:rPr>
                <w:rFonts w:ascii="Verdana" w:hAnsi="Verdana"/>
                <w:sz w:val="18"/>
                <w:szCs w:val="18"/>
              </w:rPr>
            </w:pPr>
            <w:r w:rsidRPr="002A1F9A">
              <w:rPr>
                <w:rFonts w:ascii="Verdana" w:hAnsi="Verdana"/>
                <w:b/>
                <w:bCs/>
                <w:sz w:val="18"/>
                <w:szCs w:val="18"/>
              </w:rPr>
              <w:t xml:space="preserve">Schoolmaaltijden. </w:t>
            </w:r>
            <w:r w:rsidRPr="002A1F9A">
              <w:rPr>
                <w:rFonts w:ascii="Verdana" w:hAnsi="Verdana"/>
                <w:sz w:val="18"/>
                <w:szCs w:val="18"/>
              </w:rPr>
              <w:t>Op het budget voor de subsidieregeling schoolmaaltijden waren er minder scholen die subsidie hebben aangevraagd. Daarnaast is door de scholen die deelnamen aan het programma Schoolmaaltijden in 2024 minder budget per leerling aangevraagd dan maximaal beschikbaar was.</w:t>
            </w:r>
          </w:p>
          <w:p w:rsidRPr="002A1F9A" w:rsidR="00E62F48" w:rsidP="00E62F48" w:rsidRDefault="00E62F48" w14:paraId="6D6DD71E" w14:textId="77777777">
            <w:pPr>
              <w:numPr>
                <w:ilvl w:val="0"/>
                <w:numId w:val="8"/>
              </w:numPr>
              <w:rPr>
                <w:rFonts w:ascii="Verdana" w:hAnsi="Verdana"/>
                <w:sz w:val="18"/>
                <w:szCs w:val="18"/>
              </w:rPr>
            </w:pPr>
            <w:proofErr w:type="spellStart"/>
            <w:r w:rsidRPr="002A1F9A">
              <w:rPr>
                <w:rFonts w:ascii="Verdana" w:hAnsi="Verdana"/>
                <w:b/>
                <w:bCs/>
                <w:sz w:val="18"/>
                <w:szCs w:val="18"/>
              </w:rPr>
              <w:t>Bewegingsonderwĳs</w:t>
            </w:r>
            <w:proofErr w:type="spellEnd"/>
            <w:r w:rsidRPr="002A1F9A">
              <w:rPr>
                <w:rFonts w:ascii="Verdana" w:hAnsi="Verdana"/>
                <w:b/>
                <w:bCs/>
                <w:sz w:val="18"/>
                <w:szCs w:val="18"/>
              </w:rPr>
              <w:t xml:space="preserve">. </w:t>
            </w:r>
            <w:r w:rsidRPr="002A1F9A">
              <w:rPr>
                <w:rFonts w:ascii="Verdana" w:hAnsi="Verdana"/>
                <w:sz w:val="18"/>
                <w:szCs w:val="18"/>
              </w:rPr>
              <w:t xml:space="preserve">De subsidieregeling voor het verbeteren van het bewegingsonderwijs po was bedoeld ter stimulering van de verzorging van twee uur bewegingsonderwijs per week. Dit in opmaat naar de wettelijke verplichting hiervoor vanaf 2023. In 2024 is ervoor gekozen om de subsidieregeling niet voort te zetten, aangezien de twee lesuren inmiddels verplicht zijn. Dit leidde tot een </w:t>
            </w:r>
            <w:proofErr w:type="spellStart"/>
            <w:r w:rsidRPr="002A1F9A">
              <w:rPr>
                <w:rFonts w:ascii="Verdana" w:hAnsi="Verdana"/>
                <w:sz w:val="18"/>
                <w:szCs w:val="18"/>
              </w:rPr>
              <w:t>onderuitputting</w:t>
            </w:r>
            <w:proofErr w:type="spellEnd"/>
            <w:r w:rsidRPr="002A1F9A">
              <w:rPr>
                <w:rFonts w:ascii="Verdana" w:hAnsi="Verdana"/>
                <w:sz w:val="18"/>
                <w:szCs w:val="18"/>
              </w:rPr>
              <w:t xml:space="preserve"> in 2024. De middelen die structureel beschikbaar waren zijn ingezet voor de subsidietaakstelling.</w:t>
            </w:r>
          </w:p>
          <w:p w:rsidRPr="002A1F9A" w:rsidR="00E62F48" w:rsidP="00E62F48" w:rsidRDefault="00E62F48" w14:paraId="29E2857F" w14:textId="77777777">
            <w:pPr>
              <w:numPr>
                <w:ilvl w:val="0"/>
                <w:numId w:val="8"/>
              </w:numPr>
              <w:rPr>
                <w:rFonts w:ascii="Verdana" w:hAnsi="Verdana"/>
                <w:sz w:val="18"/>
                <w:szCs w:val="18"/>
              </w:rPr>
            </w:pPr>
            <w:r w:rsidRPr="002A1F9A">
              <w:rPr>
                <w:rFonts w:ascii="Verdana" w:hAnsi="Verdana"/>
                <w:b/>
                <w:bCs/>
                <w:sz w:val="18"/>
                <w:szCs w:val="18"/>
              </w:rPr>
              <w:t xml:space="preserve">Lerarenbeurs. </w:t>
            </w:r>
            <w:r w:rsidRPr="002A1F9A">
              <w:rPr>
                <w:rFonts w:ascii="Verdana" w:hAnsi="Verdana"/>
                <w:sz w:val="18"/>
                <w:szCs w:val="18"/>
              </w:rPr>
              <w:t>Er waren minder aanvragen ingediend dan vooraf begroot.</w:t>
            </w:r>
            <w:r w:rsidRPr="002A1F9A">
              <w:rPr>
                <w:rFonts w:ascii="Verdana" w:hAnsi="Verdana"/>
                <w:b/>
                <w:bCs/>
                <w:sz w:val="18"/>
                <w:szCs w:val="18"/>
              </w:rPr>
              <w:t xml:space="preserve"> </w:t>
            </w:r>
          </w:p>
          <w:p w:rsidRPr="002A1F9A" w:rsidR="00E62F48" w:rsidP="00E62F48" w:rsidRDefault="00E62F48" w14:paraId="72282CAE" w14:textId="77777777">
            <w:pPr>
              <w:numPr>
                <w:ilvl w:val="0"/>
                <w:numId w:val="8"/>
              </w:numPr>
              <w:rPr>
                <w:rFonts w:ascii="Verdana" w:hAnsi="Verdana"/>
                <w:sz w:val="18"/>
                <w:szCs w:val="18"/>
              </w:rPr>
            </w:pPr>
            <w:proofErr w:type="spellStart"/>
            <w:r w:rsidRPr="002A1F9A">
              <w:rPr>
                <w:rFonts w:ascii="Verdana" w:hAnsi="Verdana"/>
                <w:b/>
                <w:bCs/>
                <w:sz w:val="18"/>
                <w:szCs w:val="18"/>
              </w:rPr>
              <w:lastRenderedPageBreak/>
              <w:t>Zij-instroom</w:t>
            </w:r>
            <w:proofErr w:type="spellEnd"/>
            <w:r w:rsidRPr="002A1F9A">
              <w:rPr>
                <w:rFonts w:ascii="Verdana" w:hAnsi="Verdana"/>
                <w:b/>
                <w:bCs/>
                <w:sz w:val="18"/>
                <w:szCs w:val="18"/>
              </w:rPr>
              <w:t xml:space="preserve">. </w:t>
            </w:r>
            <w:r w:rsidRPr="002A1F9A">
              <w:rPr>
                <w:rFonts w:ascii="Verdana" w:hAnsi="Verdana"/>
                <w:sz w:val="18"/>
                <w:szCs w:val="18"/>
              </w:rPr>
              <w:t xml:space="preserve">Er waren minder aanvragen ingediend dan vooraf begroot. </w:t>
            </w:r>
          </w:p>
          <w:p w:rsidRPr="002A1F9A" w:rsidR="00E62F48" w:rsidP="00E62F48" w:rsidRDefault="00E62F48" w14:paraId="0A46FD5C" w14:textId="77777777">
            <w:pPr>
              <w:numPr>
                <w:ilvl w:val="0"/>
                <w:numId w:val="8"/>
              </w:numPr>
              <w:rPr>
                <w:rFonts w:ascii="Verdana" w:hAnsi="Verdana"/>
                <w:sz w:val="18"/>
                <w:szCs w:val="18"/>
              </w:rPr>
            </w:pPr>
            <w:r w:rsidRPr="002A1F9A">
              <w:rPr>
                <w:rFonts w:ascii="Verdana" w:hAnsi="Verdana"/>
                <w:b/>
                <w:bCs/>
                <w:sz w:val="18"/>
                <w:szCs w:val="18"/>
              </w:rPr>
              <w:t xml:space="preserve">Instructeursbeurs mbo. </w:t>
            </w:r>
            <w:r w:rsidRPr="002A1F9A">
              <w:rPr>
                <w:rFonts w:ascii="Verdana" w:hAnsi="Verdana"/>
                <w:sz w:val="18"/>
                <w:szCs w:val="18"/>
              </w:rPr>
              <w:t xml:space="preserve">Er waren minder aanvragen ingediend dan vooraf begroot. Vanaf 2026 wordt deze regeling gebundeld in de regeling ‘Subsidieregeling onderwijspersoneel opleiding tot leraar’.  </w:t>
            </w:r>
          </w:p>
          <w:p w:rsidRPr="002A1F9A" w:rsidR="00E62F48" w:rsidP="00E62F48" w:rsidRDefault="00E62F48" w14:paraId="6072667F" w14:textId="77777777">
            <w:pPr>
              <w:numPr>
                <w:ilvl w:val="0"/>
                <w:numId w:val="8"/>
              </w:numPr>
              <w:rPr>
                <w:rFonts w:ascii="Verdana" w:hAnsi="Verdana"/>
                <w:sz w:val="18"/>
                <w:szCs w:val="18"/>
                <w:lang w:val="en-US"/>
              </w:rPr>
            </w:pPr>
            <w:r w:rsidRPr="002A1F9A">
              <w:rPr>
                <w:rFonts w:ascii="Verdana" w:hAnsi="Verdana"/>
                <w:b/>
                <w:bCs/>
                <w:sz w:val="18"/>
                <w:szCs w:val="18"/>
              </w:rPr>
              <w:t xml:space="preserve">Instroom Schoolleiders van buiten PO. </w:t>
            </w:r>
            <w:r w:rsidRPr="002A1F9A">
              <w:rPr>
                <w:rFonts w:ascii="Verdana" w:hAnsi="Verdana"/>
                <w:sz w:val="18"/>
                <w:szCs w:val="18"/>
              </w:rPr>
              <w:t xml:space="preserve">Er waren minder aanvragen ingediend dan vooraf begroot. </w:t>
            </w:r>
            <w:proofErr w:type="spellStart"/>
            <w:r w:rsidRPr="002A1F9A">
              <w:rPr>
                <w:rFonts w:ascii="Verdana" w:hAnsi="Verdana"/>
                <w:sz w:val="18"/>
                <w:szCs w:val="18"/>
                <w:lang w:val="en-US"/>
              </w:rPr>
              <w:t>Vanaf</w:t>
            </w:r>
            <w:proofErr w:type="spellEnd"/>
            <w:r w:rsidRPr="002A1F9A">
              <w:rPr>
                <w:rFonts w:ascii="Verdana" w:hAnsi="Verdana"/>
                <w:sz w:val="18"/>
                <w:szCs w:val="18"/>
                <w:lang w:val="en-US"/>
              </w:rPr>
              <w:t xml:space="preserve"> 2026 </w:t>
            </w:r>
            <w:proofErr w:type="spellStart"/>
            <w:r w:rsidRPr="002A1F9A">
              <w:rPr>
                <w:rFonts w:ascii="Verdana" w:hAnsi="Verdana"/>
                <w:sz w:val="18"/>
                <w:szCs w:val="18"/>
                <w:lang w:val="en-US"/>
              </w:rPr>
              <w:t>gaat</w:t>
            </w:r>
            <w:proofErr w:type="spellEnd"/>
            <w:r w:rsidRPr="002A1F9A">
              <w:rPr>
                <w:rFonts w:ascii="Verdana" w:hAnsi="Verdana"/>
                <w:sz w:val="18"/>
                <w:szCs w:val="18"/>
                <w:lang w:val="en-US"/>
              </w:rPr>
              <w:t xml:space="preserve"> </w:t>
            </w:r>
            <w:proofErr w:type="spellStart"/>
            <w:r w:rsidRPr="002A1F9A">
              <w:rPr>
                <w:rFonts w:ascii="Verdana" w:hAnsi="Verdana"/>
                <w:sz w:val="18"/>
                <w:szCs w:val="18"/>
                <w:lang w:val="en-US"/>
              </w:rPr>
              <w:t>deze</w:t>
            </w:r>
            <w:proofErr w:type="spellEnd"/>
            <w:r w:rsidRPr="002A1F9A">
              <w:rPr>
                <w:rFonts w:ascii="Verdana" w:hAnsi="Verdana"/>
                <w:sz w:val="18"/>
                <w:szCs w:val="18"/>
                <w:lang w:val="en-US"/>
              </w:rPr>
              <w:t xml:space="preserve"> </w:t>
            </w:r>
            <w:proofErr w:type="spellStart"/>
            <w:r w:rsidRPr="002A1F9A">
              <w:rPr>
                <w:rFonts w:ascii="Verdana" w:hAnsi="Verdana"/>
                <w:sz w:val="18"/>
                <w:szCs w:val="18"/>
                <w:lang w:val="en-US"/>
              </w:rPr>
              <w:t>regeling</w:t>
            </w:r>
            <w:proofErr w:type="spellEnd"/>
            <w:r w:rsidRPr="002A1F9A">
              <w:rPr>
                <w:rFonts w:ascii="Verdana" w:hAnsi="Verdana"/>
                <w:sz w:val="18"/>
                <w:szCs w:val="18"/>
                <w:lang w:val="en-US"/>
              </w:rPr>
              <w:t xml:space="preserve"> op in de </w:t>
            </w:r>
            <w:proofErr w:type="spellStart"/>
            <w:r w:rsidRPr="002A1F9A">
              <w:rPr>
                <w:rFonts w:ascii="Verdana" w:hAnsi="Verdana"/>
                <w:sz w:val="18"/>
                <w:szCs w:val="18"/>
                <w:lang w:val="en-US"/>
              </w:rPr>
              <w:t>Onderwijsregio’s</w:t>
            </w:r>
            <w:proofErr w:type="spellEnd"/>
            <w:r w:rsidRPr="002A1F9A">
              <w:rPr>
                <w:rFonts w:ascii="Verdana" w:hAnsi="Verdana"/>
                <w:sz w:val="18"/>
                <w:szCs w:val="18"/>
                <w:lang w:val="en-US"/>
              </w:rPr>
              <w:t xml:space="preserve">. </w:t>
            </w:r>
          </w:p>
          <w:p w:rsidRPr="002A1F9A" w:rsidR="00E62F48" w:rsidP="00E62F48" w:rsidRDefault="00E62F48" w14:paraId="1FD2F932" w14:textId="77777777">
            <w:pPr>
              <w:numPr>
                <w:ilvl w:val="0"/>
                <w:numId w:val="8"/>
              </w:numPr>
              <w:rPr>
                <w:rFonts w:ascii="Verdana" w:hAnsi="Verdana"/>
                <w:sz w:val="18"/>
                <w:szCs w:val="18"/>
              </w:rPr>
            </w:pPr>
            <w:r w:rsidRPr="002A1F9A">
              <w:rPr>
                <w:rFonts w:ascii="Verdana" w:hAnsi="Verdana"/>
                <w:b/>
                <w:bCs/>
                <w:sz w:val="18"/>
                <w:szCs w:val="18"/>
              </w:rPr>
              <w:t xml:space="preserve">Nationaal Groeifonds (NGF) Ontwikkelkracht. </w:t>
            </w:r>
            <w:r w:rsidRPr="002A1F9A">
              <w:rPr>
                <w:rFonts w:ascii="Verdana" w:hAnsi="Verdana"/>
                <w:sz w:val="18"/>
                <w:szCs w:val="18"/>
              </w:rPr>
              <w:t xml:space="preserve">Op het budget voor de subsidieregeling Ontwikkelkracht 2024/2025 ontstond </w:t>
            </w:r>
            <w:proofErr w:type="spellStart"/>
            <w:r w:rsidRPr="002A1F9A">
              <w:rPr>
                <w:rFonts w:ascii="Verdana" w:hAnsi="Verdana"/>
                <w:sz w:val="18"/>
                <w:szCs w:val="18"/>
              </w:rPr>
              <w:t>onderuitputting</w:t>
            </w:r>
            <w:proofErr w:type="spellEnd"/>
            <w:r w:rsidRPr="002A1F9A">
              <w:rPr>
                <w:rFonts w:ascii="Verdana" w:hAnsi="Verdana"/>
                <w:sz w:val="18"/>
                <w:szCs w:val="18"/>
              </w:rPr>
              <w:t xml:space="preserve"> doordat minder scholen hadden aangevraagd dan er budget voor was. Met name in het voortgezet onderwijs waren er minder scholen die deelnamen dan dat er ruimte voor was.</w:t>
            </w:r>
          </w:p>
          <w:p w:rsidRPr="002A1F9A" w:rsidR="00E62F48" w:rsidP="00E62F48" w:rsidRDefault="00E62F48" w14:paraId="7BAEAB95" w14:textId="77777777">
            <w:pPr>
              <w:numPr>
                <w:ilvl w:val="0"/>
                <w:numId w:val="8"/>
              </w:numPr>
              <w:rPr>
                <w:rFonts w:ascii="Verdana" w:hAnsi="Verdana"/>
                <w:sz w:val="18"/>
                <w:szCs w:val="18"/>
              </w:rPr>
            </w:pPr>
            <w:r w:rsidRPr="002A1F9A">
              <w:rPr>
                <w:rFonts w:ascii="Verdana" w:hAnsi="Verdana"/>
                <w:b/>
                <w:bCs/>
                <w:sz w:val="18"/>
                <w:szCs w:val="18"/>
              </w:rPr>
              <w:t>Versterking aansluiting beroepsonderwijskolom vmbo/mbo/hbo (VABOK)</w:t>
            </w:r>
            <w:r w:rsidRPr="002A1F9A">
              <w:rPr>
                <w:rFonts w:ascii="Verdana" w:hAnsi="Verdana"/>
                <w:sz w:val="18"/>
                <w:szCs w:val="18"/>
              </w:rPr>
              <w:t xml:space="preserve">. Er waren minder aanvragen ingediend dan vooraf begroot. Vervolgens is besloten om deze regeling deels structureel te korten met de generieke subsidietaakstelling uit het Hoofdlijnenakkoord en om hiervan een deel van de intensivering in basisvaardigheden in het mbo van te dekken. </w:t>
            </w:r>
          </w:p>
          <w:p w:rsidRPr="002A1F9A" w:rsidR="00E62F48" w:rsidP="00E62F48" w:rsidRDefault="00E62F48" w14:paraId="76F96AB6" w14:textId="77777777">
            <w:pPr>
              <w:numPr>
                <w:ilvl w:val="0"/>
                <w:numId w:val="8"/>
              </w:numPr>
              <w:rPr>
                <w:rFonts w:ascii="Verdana" w:hAnsi="Verdana"/>
                <w:sz w:val="18"/>
                <w:szCs w:val="18"/>
                <w:lang w:val="en-US"/>
              </w:rPr>
            </w:pPr>
            <w:r w:rsidRPr="002A1F9A">
              <w:rPr>
                <w:rFonts w:ascii="Verdana" w:hAnsi="Verdana"/>
                <w:b/>
                <w:bCs/>
                <w:sz w:val="18"/>
                <w:szCs w:val="18"/>
              </w:rPr>
              <w:t>Regionaal Investeringsfonds mbo (RIF)</w:t>
            </w:r>
            <w:r w:rsidRPr="002A1F9A">
              <w:rPr>
                <w:rFonts w:ascii="Verdana" w:hAnsi="Verdana"/>
                <w:sz w:val="18"/>
                <w:szCs w:val="18"/>
              </w:rPr>
              <w:t xml:space="preserve">. Er waren minder aanvragen ingediend dan vooraf begroot. Vervolgens is besloten om deze regeling deels structureel te korten met de generieke subsidietaakstelling uit het Hoofdlijnenakkoord en om hiervan een deel van de intensivering in basisvaardigheden in het mbo van te dekken. </w:t>
            </w:r>
            <w:r w:rsidRPr="002A1F9A">
              <w:rPr>
                <w:rFonts w:ascii="Verdana" w:hAnsi="Verdana"/>
                <w:sz w:val="18"/>
                <w:szCs w:val="18"/>
                <w:lang w:val="en-US"/>
              </w:rPr>
              <w:t xml:space="preserve">Het RIF </w:t>
            </w:r>
            <w:proofErr w:type="spellStart"/>
            <w:r w:rsidRPr="002A1F9A">
              <w:rPr>
                <w:rFonts w:ascii="Verdana" w:hAnsi="Verdana"/>
                <w:sz w:val="18"/>
                <w:szCs w:val="18"/>
                <w:lang w:val="en-US"/>
              </w:rPr>
              <w:t>stopt</w:t>
            </w:r>
            <w:proofErr w:type="spellEnd"/>
            <w:r w:rsidRPr="002A1F9A">
              <w:rPr>
                <w:rFonts w:ascii="Verdana" w:hAnsi="Verdana"/>
                <w:sz w:val="18"/>
                <w:szCs w:val="18"/>
                <w:lang w:val="en-US"/>
              </w:rPr>
              <w:t xml:space="preserve"> </w:t>
            </w:r>
            <w:proofErr w:type="spellStart"/>
            <w:r w:rsidRPr="002A1F9A">
              <w:rPr>
                <w:rFonts w:ascii="Verdana" w:hAnsi="Verdana"/>
                <w:sz w:val="18"/>
                <w:szCs w:val="18"/>
                <w:lang w:val="en-US"/>
              </w:rPr>
              <w:t>vanaf</w:t>
            </w:r>
            <w:proofErr w:type="spellEnd"/>
            <w:r w:rsidRPr="002A1F9A">
              <w:rPr>
                <w:rFonts w:ascii="Verdana" w:hAnsi="Verdana"/>
                <w:sz w:val="18"/>
                <w:szCs w:val="18"/>
                <w:lang w:val="en-US"/>
              </w:rPr>
              <w:t xml:space="preserve"> 2028 </w:t>
            </w:r>
            <w:proofErr w:type="spellStart"/>
            <w:r w:rsidRPr="002A1F9A">
              <w:rPr>
                <w:rFonts w:ascii="Verdana" w:hAnsi="Verdana"/>
                <w:sz w:val="18"/>
                <w:szCs w:val="18"/>
                <w:lang w:val="en-US"/>
              </w:rPr>
              <w:t>volledig</w:t>
            </w:r>
            <w:proofErr w:type="spellEnd"/>
            <w:r w:rsidRPr="002A1F9A">
              <w:rPr>
                <w:rFonts w:ascii="Verdana" w:hAnsi="Verdana"/>
                <w:sz w:val="18"/>
                <w:szCs w:val="18"/>
                <w:lang w:val="en-US"/>
              </w:rPr>
              <w:t>.</w:t>
            </w:r>
          </w:p>
          <w:p w:rsidRPr="002A1F9A" w:rsidR="00E62F48" w:rsidP="00E62F48" w:rsidRDefault="00E62F48" w14:paraId="597FC46C" w14:textId="77777777">
            <w:pPr>
              <w:numPr>
                <w:ilvl w:val="0"/>
                <w:numId w:val="8"/>
              </w:numPr>
              <w:rPr>
                <w:rFonts w:ascii="Verdana" w:hAnsi="Verdana"/>
                <w:sz w:val="18"/>
                <w:szCs w:val="18"/>
              </w:rPr>
            </w:pPr>
            <w:r w:rsidRPr="002A1F9A">
              <w:rPr>
                <w:rFonts w:ascii="Verdana" w:hAnsi="Verdana"/>
                <w:b/>
                <w:bCs/>
                <w:sz w:val="18"/>
                <w:szCs w:val="18"/>
              </w:rPr>
              <w:t>Subsidieregeling tegemoetkoming tweede lerarenopleiding</w:t>
            </w:r>
            <w:r w:rsidRPr="002A1F9A">
              <w:rPr>
                <w:rFonts w:ascii="Verdana" w:hAnsi="Verdana"/>
                <w:sz w:val="18"/>
                <w:szCs w:val="18"/>
              </w:rPr>
              <w:t>. Deze regeling zit in de afrondingsfase en 2026 is het laatste jaar dat hier geld voor gereserveerd staat.</w:t>
            </w:r>
          </w:p>
          <w:p w:rsidRPr="002A1F9A" w:rsidR="00E62F48" w:rsidP="00E62F48" w:rsidRDefault="00E62F48" w14:paraId="159F4A44" w14:textId="77777777">
            <w:pPr>
              <w:numPr>
                <w:ilvl w:val="0"/>
                <w:numId w:val="8"/>
              </w:numPr>
              <w:rPr>
                <w:rFonts w:ascii="Verdana" w:hAnsi="Verdana"/>
                <w:sz w:val="18"/>
                <w:szCs w:val="18"/>
              </w:rPr>
            </w:pPr>
            <w:r w:rsidRPr="002A1F9A">
              <w:rPr>
                <w:rFonts w:ascii="Verdana" w:hAnsi="Verdana"/>
                <w:sz w:val="18"/>
                <w:szCs w:val="18"/>
              </w:rPr>
              <w:t xml:space="preserve">Bij de </w:t>
            </w:r>
            <w:r w:rsidRPr="002A1F9A">
              <w:rPr>
                <w:rFonts w:ascii="Verdana" w:hAnsi="Verdana"/>
                <w:b/>
                <w:bCs/>
                <w:sz w:val="18"/>
                <w:szCs w:val="18"/>
              </w:rPr>
              <w:t>Woonhuisregeling</w:t>
            </w:r>
            <w:r w:rsidRPr="002A1F9A">
              <w:rPr>
                <w:rFonts w:ascii="Verdana" w:hAnsi="Verdana"/>
                <w:sz w:val="18"/>
                <w:szCs w:val="18"/>
              </w:rPr>
              <w:t xml:space="preserve"> was in 2024 de subsidievraag lager dan het beschikbare budget. Het resterende budget wordt dan eerst gebruikt voor bezwaar en beroep. Conform de regeling blijft het daarna resterende bedrag beschikbaar voor volgende aanvraagrondes, aangezien de omvang van de subsidievraag sterk fluctueert over de jaren. </w:t>
            </w:r>
          </w:p>
          <w:p w:rsidRPr="002A1F9A" w:rsidR="00850DFF" w:rsidRDefault="00850DFF" w14:paraId="03DC0842" w14:textId="77777777">
            <w:pPr>
              <w:rPr>
                <w:rFonts w:ascii="Verdana" w:hAnsi="Verdana"/>
                <w:sz w:val="18"/>
                <w:szCs w:val="18"/>
              </w:rPr>
            </w:pPr>
          </w:p>
        </w:tc>
        <w:tc>
          <w:tcPr>
            <w:tcW w:w="850" w:type="dxa"/>
            <w:gridSpan w:val="2"/>
          </w:tcPr>
          <w:p w:rsidRPr="002A1F9A" w:rsidR="001256CA" w:rsidRDefault="001256CA" w14:paraId="2B357411" w14:textId="77777777">
            <w:pPr>
              <w:jc w:val="right"/>
              <w:rPr>
                <w:rFonts w:ascii="Verdana" w:hAnsi="Verdana"/>
                <w:sz w:val="18"/>
                <w:szCs w:val="18"/>
              </w:rPr>
            </w:pPr>
          </w:p>
        </w:tc>
        <w:tc>
          <w:tcPr>
            <w:tcW w:w="992" w:type="dxa"/>
          </w:tcPr>
          <w:p w:rsidRPr="002A1F9A" w:rsidR="001256CA" w:rsidRDefault="001256CA" w14:paraId="3CB26A78" w14:textId="77777777">
            <w:pPr>
              <w:jc w:val="right"/>
              <w:rPr>
                <w:rFonts w:ascii="Verdana" w:hAnsi="Verdana"/>
                <w:sz w:val="18"/>
                <w:szCs w:val="18"/>
              </w:rPr>
            </w:pPr>
          </w:p>
        </w:tc>
        <w:tc>
          <w:tcPr>
            <w:tcW w:w="567" w:type="dxa"/>
            <w:tcBorders>
              <w:left w:val="nil"/>
            </w:tcBorders>
          </w:tcPr>
          <w:p w:rsidRPr="002A1F9A" w:rsidR="001256CA" w:rsidRDefault="001856D0" w14:paraId="23AB639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19EE1B00" w14:textId="77777777">
        <w:tc>
          <w:tcPr>
            <w:tcW w:w="567" w:type="dxa"/>
          </w:tcPr>
          <w:p w:rsidRPr="002A1F9A" w:rsidR="001256CA" w:rsidRDefault="001856D0" w14:paraId="06492851" w14:textId="77777777">
            <w:pPr>
              <w:rPr>
                <w:rFonts w:ascii="Verdana" w:hAnsi="Verdana"/>
                <w:sz w:val="18"/>
                <w:szCs w:val="18"/>
              </w:rPr>
            </w:pPr>
            <w:r w:rsidRPr="002A1F9A">
              <w:rPr>
                <w:rFonts w:ascii="Verdana" w:hAnsi="Verdana"/>
                <w:sz w:val="18"/>
                <w:szCs w:val="18"/>
              </w:rPr>
              <w:t>18</w:t>
            </w:r>
          </w:p>
        </w:tc>
        <w:tc>
          <w:tcPr>
            <w:tcW w:w="6521" w:type="dxa"/>
            <w:gridSpan w:val="7"/>
          </w:tcPr>
          <w:p w:rsidRPr="002A1F9A" w:rsidR="001256CA" w:rsidRDefault="001856D0" w14:paraId="5C8CEA25" w14:textId="77777777">
            <w:pPr>
              <w:rPr>
                <w:rFonts w:ascii="Verdana" w:hAnsi="Verdana"/>
                <w:sz w:val="18"/>
                <w:szCs w:val="18"/>
              </w:rPr>
            </w:pPr>
            <w:r w:rsidRPr="002A1F9A">
              <w:rPr>
                <w:rFonts w:ascii="Verdana" w:hAnsi="Verdana"/>
                <w:sz w:val="18"/>
                <w:szCs w:val="18"/>
              </w:rPr>
              <w:t>Hoeveel procent van de leraren werkzaam in het primair onderwijs zijn man?</w:t>
            </w:r>
          </w:p>
          <w:p w:rsidRPr="002A1F9A" w:rsidR="00325C76" w:rsidRDefault="00325C76" w14:paraId="75244715" w14:textId="77777777">
            <w:pPr>
              <w:rPr>
                <w:rFonts w:ascii="Verdana" w:hAnsi="Verdana"/>
                <w:sz w:val="18"/>
                <w:szCs w:val="18"/>
              </w:rPr>
            </w:pPr>
          </w:p>
          <w:p w:rsidRPr="002A1F9A" w:rsidR="00325C76" w:rsidP="00325C76" w:rsidRDefault="00325C76" w14:paraId="0BC7F8A1" w14:textId="7D0DB309">
            <w:pPr>
              <w:rPr>
                <w:rFonts w:ascii="Verdana" w:hAnsi="Verdana"/>
                <w:sz w:val="18"/>
                <w:szCs w:val="18"/>
              </w:rPr>
            </w:pPr>
            <w:r w:rsidRPr="002A1F9A">
              <w:rPr>
                <w:rFonts w:ascii="Verdana" w:hAnsi="Verdana"/>
                <w:sz w:val="18"/>
                <w:szCs w:val="18"/>
              </w:rPr>
              <w:t xml:space="preserve">Het aandeel van mannelijke leraren in het primair onderwijs bedroeg in 2024 13% op basis van het aantal personen. Op FTE-niveau is het 16%, oftewel 16% van de uren worden door mannen gewerkt. Deze percentages zijn de afgelopen </w:t>
            </w:r>
            <w:r w:rsidRPr="002A1F9A" w:rsidR="00E252F0">
              <w:rPr>
                <w:rFonts w:ascii="Verdana" w:hAnsi="Verdana"/>
                <w:sz w:val="18"/>
                <w:szCs w:val="18"/>
              </w:rPr>
              <w:t>tien</w:t>
            </w:r>
            <w:r w:rsidRPr="002A1F9A">
              <w:rPr>
                <w:rFonts w:ascii="Verdana" w:hAnsi="Verdana"/>
                <w:sz w:val="18"/>
                <w:szCs w:val="18"/>
              </w:rPr>
              <w:t xml:space="preserve"> jaar op een vergelijkbaar niveau gebleven. </w:t>
            </w:r>
          </w:p>
          <w:p w:rsidRPr="002A1F9A" w:rsidR="00325C76" w:rsidRDefault="00325C76" w14:paraId="3F9C699E" w14:textId="77777777">
            <w:pPr>
              <w:rPr>
                <w:rFonts w:ascii="Verdana" w:hAnsi="Verdana"/>
                <w:sz w:val="18"/>
                <w:szCs w:val="18"/>
              </w:rPr>
            </w:pPr>
          </w:p>
        </w:tc>
        <w:tc>
          <w:tcPr>
            <w:tcW w:w="850" w:type="dxa"/>
            <w:gridSpan w:val="2"/>
          </w:tcPr>
          <w:p w:rsidRPr="002A1F9A" w:rsidR="001256CA" w:rsidRDefault="001256CA" w14:paraId="6E8CAE97" w14:textId="77777777">
            <w:pPr>
              <w:jc w:val="right"/>
              <w:rPr>
                <w:rFonts w:ascii="Verdana" w:hAnsi="Verdana"/>
                <w:sz w:val="18"/>
                <w:szCs w:val="18"/>
              </w:rPr>
            </w:pPr>
          </w:p>
        </w:tc>
        <w:tc>
          <w:tcPr>
            <w:tcW w:w="992" w:type="dxa"/>
          </w:tcPr>
          <w:p w:rsidRPr="002A1F9A" w:rsidR="001256CA" w:rsidRDefault="001256CA" w14:paraId="2612CFCB" w14:textId="77777777">
            <w:pPr>
              <w:jc w:val="right"/>
              <w:rPr>
                <w:rFonts w:ascii="Verdana" w:hAnsi="Verdana"/>
                <w:sz w:val="18"/>
                <w:szCs w:val="18"/>
              </w:rPr>
            </w:pPr>
          </w:p>
        </w:tc>
        <w:tc>
          <w:tcPr>
            <w:tcW w:w="567" w:type="dxa"/>
            <w:tcBorders>
              <w:left w:val="nil"/>
            </w:tcBorders>
          </w:tcPr>
          <w:p w:rsidRPr="002A1F9A" w:rsidR="001256CA" w:rsidRDefault="001856D0" w14:paraId="3ABA58D1"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57BF451" w14:textId="77777777">
        <w:tc>
          <w:tcPr>
            <w:tcW w:w="567" w:type="dxa"/>
          </w:tcPr>
          <w:p w:rsidRPr="002A1F9A" w:rsidR="001256CA" w:rsidRDefault="001856D0" w14:paraId="5E8E9701" w14:textId="77777777">
            <w:pPr>
              <w:rPr>
                <w:rFonts w:ascii="Verdana" w:hAnsi="Verdana"/>
                <w:sz w:val="18"/>
                <w:szCs w:val="18"/>
              </w:rPr>
            </w:pPr>
            <w:r w:rsidRPr="002A1F9A">
              <w:rPr>
                <w:rFonts w:ascii="Verdana" w:hAnsi="Verdana"/>
                <w:sz w:val="18"/>
                <w:szCs w:val="18"/>
              </w:rPr>
              <w:t>19</w:t>
            </w:r>
          </w:p>
        </w:tc>
        <w:tc>
          <w:tcPr>
            <w:tcW w:w="6521" w:type="dxa"/>
            <w:gridSpan w:val="7"/>
          </w:tcPr>
          <w:p w:rsidRPr="002A1F9A" w:rsidR="001256CA" w:rsidRDefault="001856D0" w14:paraId="10A236BD" w14:textId="77777777">
            <w:pPr>
              <w:rPr>
                <w:rFonts w:ascii="Verdana" w:hAnsi="Verdana"/>
                <w:sz w:val="18"/>
                <w:szCs w:val="18"/>
              </w:rPr>
            </w:pPr>
            <w:bookmarkStart w:name="_Hlk212541805" w:id="13"/>
            <w:r w:rsidRPr="002A1F9A">
              <w:rPr>
                <w:rFonts w:ascii="Verdana" w:hAnsi="Verdana"/>
                <w:sz w:val="18"/>
                <w:szCs w:val="18"/>
              </w:rPr>
              <w:t>Hoe ontwikkelt de financiële positie van studenten zich in de afgelopen vijf jaar en in hoeverre wordt de achteruitgang van 6,6 procent over 2024 gecompenseerd?</w:t>
            </w:r>
          </w:p>
          <w:bookmarkEnd w:id="13"/>
          <w:p w:rsidRPr="002A1F9A" w:rsidR="00343185" w:rsidRDefault="00343185" w14:paraId="2BB5BD46" w14:textId="77777777">
            <w:pPr>
              <w:rPr>
                <w:rFonts w:ascii="Verdana" w:hAnsi="Verdana"/>
                <w:sz w:val="18"/>
                <w:szCs w:val="18"/>
              </w:rPr>
            </w:pPr>
          </w:p>
          <w:p w:rsidRPr="002A1F9A" w:rsidR="00343185" w:rsidRDefault="00343185" w14:paraId="1920C55E" w14:textId="6AA30CEE">
            <w:pPr>
              <w:rPr>
                <w:rFonts w:ascii="Verdana" w:hAnsi="Verdana"/>
                <w:sz w:val="18"/>
                <w:szCs w:val="18"/>
              </w:rPr>
            </w:pPr>
            <w:bookmarkStart w:name="_Hlk212541860" w:id="14"/>
            <w:r w:rsidRPr="002A1F9A">
              <w:rPr>
                <w:rFonts w:ascii="Verdana" w:hAnsi="Verdana"/>
                <w:sz w:val="18"/>
                <w:szCs w:val="18"/>
              </w:rPr>
              <w:t xml:space="preserve">Wat betreft de ontwikkeling van de koopkracht van studenten is deze vraag maar deels te beantwoorden. Het Nibud maakt namelijk pas sinds vorig jaar weer koopkrachtberekeningen van studentenhuishoudens. Dat komt doordat dit volgens Nibud tijdens het leenstelsel onvoldoende mogelijk was. In 2024 berekende Nibud dat de koopkracht van verschillende typen studentenhuishoudens in 2025 zou dalen met 6,2% tot 6,6%. Deze daling was het gevolg van het aflopen van de tijdelijke koopkrachtmaatregel die gold in het studiejaar </w:t>
            </w:r>
            <w:r w:rsidRPr="002A1F9A">
              <w:rPr>
                <w:rFonts w:ascii="Verdana" w:hAnsi="Verdana"/>
                <w:sz w:val="18"/>
                <w:szCs w:val="18"/>
              </w:rPr>
              <w:lastRenderedPageBreak/>
              <w:t>2023/2024 om studenten tegemoet te komen voor de tijdelijk hoge energieprijzen. De toenmalige minister van Onderwijs, Cultuur en Wetenschap heeft in de kamerbrief over de financiële positie van studenten (</w:t>
            </w:r>
            <w:hyperlink w:history="1" r:id="rId20">
              <w:r w:rsidRPr="002A1F9A" w:rsidR="003B043F">
                <w:rPr>
                  <w:rStyle w:val="Hyperlink"/>
                  <w:rFonts w:ascii="Verdana" w:hAnsi="Verdana"/>
                  <w:sz w:val="18"/>
                  <w:szCs w:val="18"/>
                </w:rPr>
                <w:t>Kamerstuk 31 288 nr. 1161</w:t>
              </w:r>
            </w:hyperlink>
            <w:r w:rsidRPr="002A1F9A">
              <w:rPr>
                <w:rFonts w:ascii="Verdana" w:hAnsi="Verdana"/>
                <w:sz w:val="18"/>
                <w:szCs w:val="18"/>
              </w:rPr>
              <w:t xml:space="preserve">) al aangegeven dat dit een uitzonderlijke maatregel was in een tijd met uitzonderlijk hoge inflatie. De energieprijzen zijn inmiddels gedaald en de jaarlijkse indexatie van de studiefinanciering is bedoeld om aan de reguliere inflatie het hoofd te bieden. </w:t>
            </w:r>
            <w:r w:rsidRPr="002A1F9A" w:rsidR="003B043F">
              <w:rPr>
                <w:rFonts w:ascii="Verdana" w:hAnsi="Verdana"/>
                <w:sz w:val="18"/>
                <w:szCs w:val="18"/>
              </w:rPr>
              <w:t>De indexatie</w:t>
            </w:r>
            <w:r w:rsidRPr="002A1F9A">
              <w:rPr>
                <w:rFonts w:ascii="Verdana" w:hAnsi="Verdana"/>
                <w:sz w:val="18"/>
                <w:szCs w:val="18"/>
              </w:rPr>
              <w:t xml:space="preserve"> was in 2024 zelfs 10%. In het Nibud Studentenonderzoek uit 2024 gaf bovendien ongeveer 90% van de studenten aan (gemakkelijk) rond te kunnen komen. Het Nibud constateerde toen ook dat de herinvoering van de basisbeurs in 2023 de financiële positie van studenten had verbeterd. Het kabinet zal daarom geen aanvullende maatregelen nemen wat betreft de financiële positie van studenten.  </w:t>
            </w:r>
          </w:p>
          <w:bookmarkEnd w:id="14"/>
          <w:p w:rsidRPr="002A1F9A" w:rsidR="00343185" w:rsidRDefault="00343185" w14:paraId="1F43F08F" w14:textId="762B0356">
            <w:pPr>
              <w:rPr>
                <w:rFonts w:ascii="Verdana" w:hAnsi="Verdana"/>
                <w:sz w:val="18"/>
                <w:szCs w:val="18"/>
              </w:rPr>
            </w:pPr>
          </w:p>
        </w:tc>
        <w:tc>
          <w:tcPr>
            <w:tcW w:w="850" w:type="dxa"/>
            <w:gridSpan w:val="2"/>
          </w:tcPr>
          <w:p w:rsidRPr="002A1F9A" w:rsidR="001256CA" w:rsidRDefault="001856D0" w14:paraId="0C7066B5"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256CA" w14:paraId="4F20EF8A" w14:textId="77777777">
            <w:pPr>
              <w:jc w:val="right"/>
              <w:rPr>
                <w:rFonts w:ascii="Verdana" w:hAnsi="Verdana"/>
                <w:sz w:val="18"/>
                <w:szCs w:val="18"/>
              </w:rPr>
            </w:pPr>
          </w:p>
        </w:tc>
        <w:tc>
          <w:tcPr>
            <w:tcW w:w="567" w:type="dxa"/>
            <w:tcBorders>
              <w:left w:val="nil"/>
            </w:tcBorders>
          </w:tcPr>
          <w:p w:rsidRPr="002A1F9A" w:rsidR="001256CA" w:rsidRDefault="001856D0" w14:paraId="3D926D68"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162D4666" w14:textId="77777777">
        <w:tc>
          <w:tcPr>
            <w:tcW w:w="567" w:type="dxa"/>
          </w:tcPr>
          <w:p w:rsidRPr="002A1F9A" w:rsidR="001256CA" w:rsidRDefault="001856D0" w14:paraId="6F58907A" w14:textId="77777777">
            <w:pPr>
              <w:rPr>
                <w:rFonts w:ascii="Verdana" w:hAnsi="Verdana"/>
                <w:sz w:val="18"/>
                <w:szCs w:val="18"/>
              </w:rPr>
            </w:pPr>
            <w:r w:rsidRPr="002A1F9A">
              <w:rPr>
                <w:rFonts w:ascii="Verdana" w:hAnsi="Verdana"/>
                <w:sz w:val="18"/>
                <w:szCs w:val="18"/>
              </w:rPr>
              <w:t>20</w:t>
            </w:r>
          </w:p>
        </w:tc>
        <w:tc>
          <w:tcPr>
            <w:tcW w:w="6521" w:type="dxa"/>
            <w:gridSpan w:val="7"/>
          </w:tcPr>
          <w:p w:rsidRPr="002A1F9A" w:rsidR="001256CA" w:rsidRDefault="001856D0" w14:paraId="5A37316E" w14:textId="77777777">
            <w:pPr>
              <w:rPr>
                <w:rFonts w:ascii="Verdana" w:hAnsi="Verdana"/>
                <w:sz w:val="18"/>
                <w:szCs w:val="18"/>
              </w:rPr>
            </w:pPr>
            <w:r w:rsidRPr="002A1F9A">
              <w:rPr>
                <w:rFonts w:ascii="Verdana" w:hAnsi="Verdana"/>
                <w:sz w:val="18"/>
                <w:szCs w:val="18"/>
              </w:rPr>
              <w:t>Op welke afspraken of beleidsdoelstellingen is het meenemen van masterstudenten gebaseerd, gezien het feit dat in het Hoofdlijnenakkoord</w:t>
            </w:r>
            <w:r w:rsidRPr="002A1F9A" w:rsidR="00B520A1">
              <w:rPr>
                <w:rStyle w:val="Voetnootmarkering"/>
                <w:rFonts w:ascii="Verdana" w:hAnsi="Verdana"/>
                <w:sz w:val="18"/>
                <w:szCs w:val="18"/>
              </w:rPr>
              <w:footnoteReference w:id="4"/>
            </w:r>
            <w:r w:rsidRPr="002A1F9A">
              <w:rPr>
                <w:rFonts w:ascii="Verdana" w:hAnsi="Verdana"/>
                <w:sz w:val="18"/>
                <w:szCs w:val="18"/>
              </w:rPr>
              <w:t xml:space="preserve"> enkel over </w:t>
            </w:r>
            <w:proofErr w:type="spellStart"/>
            <w:r w:rsidRPr="002A1F9A">
              <w:rPr>
                <w:rFonts w:ascii="Verdana" w:hAnsi="Verdana"/>
                <w:sz w:val="18"/>
                <w:szCs w:val="18"/>
              </w:rPr>
              <w:t>bachelorstudenten</w:t>
            </w:r>
            <w:proofErr w:type="spellEnd"/>
            <w:r w:rsidRPr="002A1F9A">
              <w:rPr>
                <w:rFonts w:ascii="Verdana" w:hAnsi="Verdana"/>
                <w:sz w:val="18"/>
                <w:szCs w:val="18"/>
              </w:rPr>
              <w:t xml:space="preserve"> wordt gesproken?</w:t>
            </w:r>
          </w:p>
          <w:p w:rsidRPr="002A1F9A" w:rsidR="00343185" w:rsidRDefault="00343185" w14:paraId="731C2255" w14:textId="77777777">
            <w:pPr>
              <w:rPr>
                <w:rFonts w:ascii="Verdana" w:hAnsi="Verdana"/>
                <w:sz w:val="18"/>
                <w:szCs w:val="18"/>
              </w:rPr>
            </w:pPr>
          </w:p>
          <w:p w:rsidRPr="002A1F9A" w:rsidR="00343185" w:rsidP="00343185" w:rsidRDefault="00343185" w14:paraId="195E034E" w14:textId="77777777">
            <w:pPr>
              <w:rPr>
                <w:rFonts w:ascii="Verdana" w:hAnsi="Verdana"/>
                <w:sz w:val="18"/>
                <w:szCs w:val="18"/>
              </w:rPr>
            </w:pPr>
            <w:r w:rsidRPr="002A1F9A">
              <w:rPr>
                <w:rFonts w:ascii="Verdana" w:hAnsi="Verdana"/>
                <w:sz w:val="18"/>
                <w:szCs w:val="18"/>
              </w:rPr>
              <w:t>Op basis van verschillen tussen de actuele referentieraming en de voorgaande referentieraming wordt het macrobudget voor het hbo en wo jaarlijks bijgesteld. Bij de budgettaire verwerking van de referentieraming is de daling van het totaal aantal EER-studenten, zowel ad-, bachelor- als masterstudenten, ingezet om de financiële taakstelling te realiseren. De verdeling van de bezuinigingsopgave, zoals opgenomen in de ontwerpbegroting 2026, is hiermee in overeenstemming.</w:t>
            </w:r>
          </w:p>
          <w:p w:rsidRPr="002A1F9A" w:rsidR="00343185" w:rsidP="00343185" w:rsidRDefault="00343185" w14:paraId="46B17485" w14:textId="77777777">
            <w:pPr>
              <w:rPr>
                <w:rFonts w:ascii="Verdana" w:hAnsi="Verdana"/>
                <w:sz w:val="18"/>
                <w:szCs w:val="18"/>
              </w:rPr>
            </w:pPr>
            <w:r w:rsidRPr="002A1F9A">
              <w:rPr>
                <w:rFonts w:ascii="Verdana" w:hAnsi="Verdana"/>
                <w:sz w:val="18"/>
                <w:szCs w:val="18"/>
              </w:rPr>
              <w:t xml:space="preserve">Dit verandert overigens niks in de afspraken over taalbeleid uit het wetsvoorstel Wet internationalisering in balans: deze blijven zien op ad- en bacheloropleidingen. </w:t>
            </w:r>
          </w:p>
          <w:p w:rsidRPr="002A1F9A" w:rsidR="00343185" w:rsidRDefault="00343185" w14:paraId="33AB9C58" w14:textId="240CE6F6">
            <w:pPr>
              <w:rPr>
                <w:rFonts w:ascii="Verdana" w:hAnsi="Verdana"/>
                <w:sz w:val="18"/>
                <w:szCs w:val="18"/>
              </w:rPr>
            </w:pPr>
          </w:p>
        </w:tc>
        <w:tc>
          <w:tcPr>
            <w:tcW w:w="850" w:type="dxa"/>
            <w:gridSpan w:val="2"/>
          </w:tcPr>
          <w:p w:rsidRPr="002A1F9A" w:rsidR="001256CA" w:rsidRDefault="001856D0" w14:paraId="5999B7E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7931143F" w14:textId="77777777">
            <w:pPr>
              <w:jc w:val="right"/>
              <w:rPr>
                <w:rFonts w:ascii="Verdana" w:hAnsi="Verdana"/>
                <w:sz w:val="18"/>
                <w:szCs w:val="18"/>
              </w:rPr>
            </w:pPr>
          </w:p>
        </w:tc>
        <w:tc>
          <w:tcPr>
            <w:tcW w:w="567" w:type="dxa"/>
            <w:tcBorders>
              <w:left w:val="nil"/>
            </w:tcBorders>
          </w:tcPr>
          <w:p w:rsidRPr="002A1F9A" w:rsidR="001256CA" w:rsidRDefault="001856D0" w14:paraId="6AE2B45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23C96333" w14:textId="77777777">
        <w:tc>
          <w:tcPr>
            <w:tcW w:w="567" w:type="dxa"/>
          </w:tcPr>
          <w:p w:rsidRPr="002A1F9A" w:rsidR="001256CA" w:rsidRDefault="001856D0" w14:paraId="61F273F8" w14:textId="77777777">
            <w:pPr>
              <w:rPr>
                <w:rFonts w:ascii="Verdana" w:hAnsi="Verdana"/>
                <w:sz w:val="18"/>
                <w:szCs w:val="18"/>
              </w:rPr>
            </w:pPr>
            <w:r w:rsidRPr="002A1F9A">
              <w:rPr>
                <w:rFonts w:ascii="Verdana" w:hAnsi="Verdana"/>
                <w:sz w:val="18"/>
                <w:szCs w:val="18"/>
              </w:rPr>
              <w:t>21</w:t>
            </w:r>
          </w:p>
        </w:tc>
        <w:tc>
          <w:tcPr>
            <w:tcW w:w="6521" w:type="dxa"/>
            <w:gridSpan w:val="7"/>
          </w:tcPr>
          <w:p w:rsidRPr="002A1F9A" w:rsidR="001256CA" w:rsidRDefault="001856D0" w14:paraId="605D787F" w14:textId="77777777">
            <w:pPr>
              <w:rPr>
                <w:rFonts w:ascii="Verdana" w:hAnsi="Verdana"/>
                <w:sz w:val="18"/>
                <w:szCs w:val="18"/>
              </w:rPr>
            </w:pPr>
            <w:r w:rsidRPr="002A1F9A">
              <w:rPr>
                <w:rFonts w:ascii="Verdana" w:hAnsi="Verdana"/>
                <w:sz w:val="18"/>
                <w:szCs w:val="18"/>
              </w:rPr>
              <w:t>Waarom zijn bij de uiteindelijke verdeling in de Rijksbijdragebrief 2026 naast internationale EER</w:t>
            </w:r>
            <w:r w:rsidRPr="002A1F9A" w:rsidR="00B520A1">
              <w:rPr>
                <w:rStyle w:val="Voetnootmarkering"/>
                <w:rFonts w:ascii="Verdana" w:hAnsi="Verdana"/>
                <w:sz w:val="18"/>
                <w:szCs w:val="18"/>
              </w:rPr>
              <w:footnoteReference w:id="5"/>
            </w:r>
            <w:r w:rsidRPr="002A1F9A">
              <w:rPr>
                <w:rFonts w:ascii="Verdana" w:hAnsi="Verdana"/>
                <w:sz w:val="18"/>
                <w:szCs w:val="18"/>
              </w:rPr>
              <w:t>-</w:t>
            </w:r>
            <w:proofErr w:type="spellStart"/>
            <w:r w:rsidRPr="002A1F9A">
              <w:rPr>
                <w:rFonts w:ascii="Verdana" w:hAnsi="Verdana"/>
                <w:sz w:val="18"/>
                <w:szCs w:val="18"/>
              </w:rPr>
              <w:t>bachelorstudenten</w:t>
            </w:r>
            <w:proofErr w:type="spellEnd"/>
            <w:r w:rsidRPr="002A1F9A">
              <w:rPr>
                <w:rFonts w:ascii="Verdana" w:hAnsi="Verdana"/>
                <w:sz w:val="18"/>
                <w:szCs w:val="18"/>
              </w:rPr>
              <w:t xml:space="preserve"> ook internationale EER-masterstudenten meegenomen?</w:t>
            </w:r>
          </w:p>
          <w:p w:rsidRPr="002A1F9A" w:rsidR="00C20DA7" w:rsidRDefault="00C20DA7" w14:paraId="69190496" w14:textId="77777777">
            <w:pPr>
              <w:rPr>
                <w:rFonts w:ascii="Verdana" w:hAnsi="Verdana"/>
                <w:sz w:val="18"/>
                <w:szCs w:val="18"/>
              </w:rPr>
            </w:pPr>
          </w:p>
          <w:p w:rsidRPr="002A1F9A" w:rsidR="00C20DA7" w:rsidRDefault="00C20DA7" w14:paraId="17544A6B" w14:textId="77777777">
            <w:pPr>
              <w:rPr>
                <w:rFonts w:ascii="Verdana" w:hAnsi="Verdana"/>
                <w:sz w:val="18"/>
                <w:szCs w:val="18"/>
              </w:rPr>
            </w:pPr>
            <w:r w:rsidRPr="002A1F9A">
              <w:rPr>
                <w:rFonts w:ascii="Verdana" w:hAnsi="Verdana"/>
                <w:sz w:val="18"/>
                <w:szCs w:val="18"/>
              </w:rPr>
              <w:t>Zie het antwoord op vraag 20.</w:t>
            </w:r>
          </w:p>
          <w:p w:rsidRPr="002A1F9A" w:rsidR="00C20DA7" w:rsidRDefault="00C20DA7" w14:paraId="2D57E4C9" w14:textId="7FD1E433">
            <w:pPr>
              <w:rPr>
                <w:rFonts w:ascii="Verdana" w:hAnsi="Verdana"/>
                <w:sz w:val="18"/>
                <w:szCs w:val="18"/>
              </w:rPr>
            </w:pPr>
          </w:p>
        </w:tc>
        <w:tc>
          <w:tcPr>
            <w:tcW w:w="850" w:type="dxa"/>
            <w:gridSpan w:val="2"/>
          </w:tcPr>
          <w:p w:rsidRPr="002A1F9A" w:rsidR="001256CA" w:rsidRDefault="001856D0" w14:paraId="1FF0B7E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70CB09CD" w14:textId="77777777">
            <w:pPr>
              <w:jc w:val="right"/>
              <w:rPr>
                <w:rFonts w:ascii="Verdana" w:hAnsi="Verdana"/>
                <w:sz w:val="18"/>
                <w:szCs w:val="18"/>
              </w:rPr>
            </w:pPr>
          </w:p>
        </w:tc>
        <w:tc>
          <w:tcPr>
            <w:tcW w:w="567" w:type="dxa"/>
            <w:tcBorders>
              <w:left w:val="nil"/>
            </w:tcBorders>
          </w:tcPr>
          <w:p w:rsidRPr="002A1F9A" w:rsidR="001256CA" w:rsidRDefault="001856D0" w14:paraId="3844003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4C26756" w14:textId="77777777">
        <w:tc>
          <w:tcPr>
            <w:tcW w:w="567" w:type="dxa"/>
          </w:tcPr>
          <w:p w:rsidRPr="002A1F9A" w:rsidR="001256CA" w:rsidRDefault="001856D0" w14:paraId="7FEF62DB" w14:textId="77777777">
            <w:pPr>
              <w:rPr>
                <w:rFonts w:ascii="Verdana" w:hAnsi="Verdana"/>
                <w:sz w:val="18"/>
                <w:szCs w:val="18"/>
              </w:rPr>
            </w:pPr>
            <w:r w:rsidRPr="002A1F9A">
              <w:rPr>
                <w:rFonts w:ascii="Verdana" w:hAnsi="Verdana"/>
                <w:sz w:val="18"/>
                <w:szCs w:val="18"/>
              </w:rPr>
              <w:t>22</w:t>
            </w:r>
          </w:p>
        </w:tc>
        <w:tc>
          <w:tcPr>
            <w:tcW w:w="6521" w:type="dxa"/>
            <w:gridSpan w:val="7"/>
          </w:tcPr>
          <w:p w:rsidRPr="002A1F9A" w:rsidR="001256CA" w:rsidRDefault="001856D0" w14:paraId="0BF57879" w14:textId="77777777">
            <w:pPr>
              <w:rPr>
                <w:rFonts w:ascii="Verdana" w:hAnsi="Verdana"/>
                <w:sz w:val="18"/>
                <w:szCs w:val="18"/>
              </w:rPr>
            </w:pPr>
            <w:bookmarkStart w:name="_Hlk212542338" w:id="15"/>
            <w:r w:rsidRPr="002A1F9A">
              <w:rPr>
                <w:rFonts w:ascii="Verdana" w:hAnsi="Verdana"/>
                <w:sz w:val="18"/>
                <w:szCs w:val="18"/>
              </w:rPr>
              <w:t>Hoeveel financiële ruimte zou het opleveren als er in het primair onderwijs gebruik wordt gemaakt van één doorstroomtoets?</w:t>
            </w:r>
          </w:p>
          <w:p w:rsidRPr="002A1F9A" w:rsidR="00325C76" w:rsidRDefault="00325C76" w14:paraId="316F8866" w14:textId="77777777">
            <w:pPr>
              <w:rPr>
                <w:rFonts w:ascii="Verdana" w:hAnsi="Verdana"/>
                <w:sz w:val="18"/>
                <w:szCs w:val="18"/>
              </w:rPr>
            </w:pPr>
          </w:p>
          <w:p w:rsidRPr="002A1F9A" w:rsidR="00BA1B12" w:rsidP="00BA1B12" w:rsidRDefault="00A60F50" w14:paraId="0D6EC205" w14:textId="1ABAC2AA">
            <w:pPr>
              <w:rPr>
                <w:rFonts w:ascii="Verdana" w:hAnsi="Verdana"/>
                <w:sz w:val="18"/>
                <w:szCs w:val="18"/>
              </w:rPr>
            </w:pPr>
            <w:r>
              <w:rPr>
                <w:rFonts w:ascii="Verdana" w:hAnsi="Verdana"/>
                <w:sz w:val="18"/>
                <w:szCs w:val="18"/>
              </w:rPr>
              <w:t xml:space="preserve">Vrije </w:t>
            </w:r>
            <w:proofErr w:type="spellStart"/>
            <w:r>
              <w:rPr>
                <w:rFonts w:ascii="Verdana" w:hAnsi="Verdana"/>
                <w:sz w:val="18"/>
                <w:szCs w:val="18"/>
              </w:rPr>
              <w:t>toetskeuze</w:t>
            </w:r>
            <w:proofErr w:type="spellEnd"/>
            <w:r>
              <w:rPr>
                <w:rFonts w:ascii="Verdana" w:hAnsi="Verdana"/>
                <w:sz w:val="18"/>
                <w:szCs w:val="18"/>
              </w:rPr>
              <w:t xml:space="preserve"> is bij wet geregeld en voor het gebruik maken van één doorstroomtoets is een wijziging in wet- en regelgeving nodig. </w:t>
            </w:r>
            <w:r w:rsidR="00D13EC2">
              <w:rPr>
                <w:rFonts w:ascii="Verdana" w:hAnsi="Verdana"/>
                <w:sz w:val="18"/>
                <w:szCs w:val="18"/>
              </w:rPr>
              <w:t xml:space="preserve">Hoeveel </w:t>
            </w:r>
            <w:r w:rsidR="009E6BCE">
              <w:rPr>
                <w:rFonts w:ascii="Verdana" w:hAnsi="Verdana"/>
                <w:sz w:val="18"/>
                <w:szCs w:val="18"/>
              </w:rPr>
              <w:t>financiële</w:t>
            </w:r>
            <w:r w:rsidR="00D13EC2">
              <w:rPr>
                <w:rFonts w:ascii="Verdana" w:hAnsi="Verdana"/>
                <w:sz w:val="18"/>
                <w:szCs w:val="18"/>
              </w:rPr>
              <w:t xml:space="preserve"> ruimte </w:t>
            </w:r>
            <w:r>
              <w:rPr>
                <w:rFonts w:ascii="Verdana" w:hAnsi="Verdana"/>
                <w:sz w:val="18"/>
                <w:szCs w:val="18"/>
              </w:rPr>
              <w:t>deze wijziging</w:t>
            </w:r>
            <w:r w:rsidR="00D13EC2">
              <w:rPr>
                <w:rFonts w:ascii="Verdana" w:hAnsi="Verdana"/>
                <w:sz w:val="18"/>
                <w:szCs w:val="18"/>
              </w:rPr>
              <w:t xml:space="preserve"> oplevert is afhankelijk van de uitwerking die aan de nieuwe doorstroomtoets wordt gesteld.</w:t>
            </w:r>
            <w:r w:rsidR="00BA1B12">
              <w:rPr>
                <w:rFonts w:ascii="Verdana" w:hAnsi="Verdana"/>
                <w:sz w:val="18"/>
                <w:szCs w:val="18"/>
              </w:rPr>
              <w:t xml:space="preserve"> </w:t>
            </w:r>
            <w:r w:rsidRPr="00204CC9" w:rsidR="00BA1B12">
              <w:rPr>
                <w:rFonts w:ascii="Verdana" w:hAnsi="Verdana"/>
                <w:sz w:val="18"/>
                <w:szCs w:val="18"/>
              </w:rPr>
              <w:t xml:space="preserve">Indien </w:t>
            </w:r>
            <w:r w:rsidRPr="00E0469F" w:rsidR="00BA1B12">
              <w:rPr>
                <w:rFonts w:ascii="Verdana" w:hAnsi="Verdana"/>
                <w:sz w:val="18"/>
                <w:szCs w:val="18"/>
              </w:rPr>
              <w:t>wordt overgegaan tot één doorstroomtoets, dan zijn de ontwikkelkosten voor de verschillende toetsen niet meer nodig. Dit levert een besparing op van € 3 miljoen per jaar vanaf 2028</w:t>
            </w:r>
            <w:r>
              <w:rPr>
                <w:rFonts w:ascii="Verdana" w:hAnsi="Verdana"/>
                <w:sz w:val="18"/>
                <w:szCs w:val="18"/>
              </w:rPr>
              <w:t>, onder de aanname dat de kosten voor de toetsontwikkeling gelijk blijven</w:t>
            </w:r>
            <w:r w:rsidRPr="00E0469F" w:rsidR="00BA1B12">
              <w:rPr>
                <w:rFonts w:ascii="Verdana" w:hAnsi="Verdana"/>
                <w:sz w:val="18"/>
                <w:szCs w:val="18"/>
              </w:rPr>
              <w:t>. De uitvoeringskosten voor het aanbieden van de doorstroomtoets (de kosten per leerling) zullen nog steeds gemaakt worden.</w:t>
            </w:r>
            <w:r w:rsidR="00BA1B12">
              <w:rPr>
                <w:rFonts w:ascii="Verdana" w:hAnsi="Verdana"/>
                <w:sz w:val="18"/>
                <w:szCs w:val="18"/>
              </w:rPr>
              <w:t xml:space="preserve"> </w:t>
            </w:r>
          </w:p>
          <w:p w:rsidRPr="002A1F9A" w:rsidR="00325C76" w:rsidP="00BA1B12" w:rsidRDefault="00D13EC2" w14:paraId="1DB068C4" w14:textId="0761FA6D">
            <w:pPr>
              <w:rPr>
                <w:rFonts w:ascii="Verdana" w:hAnsi="Verdana"/>
                <w:sz w:val="18"/>
                <w:szCs w:val="18"/>
              </w:rPr>
            </w:pPr>
            <w:r>
              <w:rPr>
                <w:rFonts w:ascii="Verdana" w:hAnsi="Verdana"/>
                <w:sz w:val="18"/>
                <w:szCs w:val="18"/>
              </w:rPr>
              <w:t xml:space="preserve"> </w:t>
            </w:r>
            <w:bookmarkEnd w:id="15"/>
          </w:p>
        </w:tc>
        <w:tc>
          <w:tcPr>
            <w:tcW w:w="850" w:type="dxa"/>
            <w:gridSpan w:val="2"/>
          </w:tcPr>
          <w:p w:rsidRPr="002A1F9A" w:rsidR="001256CA" w:rsidRDefault="001856D0" w14:paraId="13AFEEC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5F677439" w14:textId="77777777">
            <w:pPr>
              <w:jc w:val="right"/>
              <w:rPr>
                <w:rFonts w:ascii="Verdana" w:hAnsi="Verdana"/>
                <w:sz w:val="18"/>
                <w:szCs w:val="18"/>
              </w:rPr>
            </w:pPr>
          </w:p>
        </w:tc>
        <w:tc>
          <w:tcPr>
            <w:tcW w:w="567" w:type="dxa"/>
            <w:tcBorders>
              <w:left w:val="nil"/>
            </w:tcBorders>
          </w:tcPr>
          <w:p w:rsidRPr="002A1F9A" w:rsidR="001256CA" w:rsidRDefault="001856D0" w14:paraId="1EE29031"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B88526A" w14:textId="77777777">
        <w:tc>
          <w:tcPr>
            <w:tcW w:w="567" w:type="dxa"/>
          </w:tcPr>
          <w:p w:rsidRPr="002A1F9A" w:rsidR="001256CA" w:rsidRDefault="001856D0" w14:paraId="61034FA4" w14:textId="77777777">
            <w:pPr>
              <w:rPr>
                <w:rFonts w:ascii="Verdana" w:hAnsi="Verdana"/>
                <w:sz w:val="18"/>
                <w:szCs w:val="18"/>
              </w:rPr>
            </w:pPr>
            <w:r w:rsidRPr="002A1F9A">
              <w:rPr>
                <w:rFonts w:ascii="Verdana" w:hAnsi="Verdana"/>
                <w:sz w:val="18"/>
                <w:szCs w:val="18"/>
              </w:rPr>
              <w:t>23</w:t>
            </w:r>
          </w:p>
        </w:tc>
        <w:tc>
          <w:tcPr>
            <w:tcW w:w="6521" w:type="dxa"/>
            <w:gridSpan w:val="7"/>
          </w:tcPr>
          <w:p w:rsidRPr="002A1F9A" w:rsidR="001256CA" w:rsidRDefault="001856D0" w14:paraId="1CC3F4CB" w14:textId="77777777">
            <w:pPr>
              <w:rPr>
                <w:rFonts w:ascii="Verdana" w:hAnsi="Verdana"/>
                <w:sz w:val="18"/>
                <w:szCs w:val="18"/>
              </w:rPr>
            </w:pPr>
            <w:r w:rsidRPr="002A1F9A">
              <w:rPr>
                <w:rFonts w:ascii="Verdana" w:hAnsi="Verdana"/>
                <w:sz w:val="18"/>
                <w:szCs w:val="18"/>
              </w:rPr>
              <w:t>Hoeveel geld zou het opleveren als commerciële onderwijsinstituten omzetbelasting gaan betalen?</w:t>
            </w:r>
          </w:p>
          <w:p w:rsidRPr="002A1F9A" w:rsidR="00325C76" w:rsidRDefault="00325C76" w14:paraId="2D2D1552" w14:textId="77777777">
            <w:pPr>
              <w:rPr>
                <w:rFonts w:ascii="Verdana" w:hAnsi="Verdana"/>
                <w:sz w:val="18"/>
                <w:szCs w:val="18"/>
              </w:rPr>
            </w:pPr>
          </w:p>
          <w:p w:rsidRPr="002A1F9A" w:rsidR="00325C76" w:rsidP="00325C76" w:rsidRDefault="00325C76" w14:paraId="3597B545" w14:textId="77777777">
            <w:pPr>
              <w:rPr>
                <w:rFonts w:ascii="Verdana" w:hAnsi="Verdana"/>
                <w:sz w:val="18"/>
                <w:szCs w:val="18"/>
              </w:rPr>
            </w:pPr>
            <w:r w:rsidRPr="002A1F9A">
              <w:rPr>
                <w:rFonts w:ascii="Verdana" w:hAnsi="Verdana"/>
                <w:sz w:val="18"/>
                <w:szCs w:val="18"/>
              </w:rPr>
              <w:lastRenderedPageBreak/>
              <w:t>Er is over de grootte en omvang van de vrijgestelde omzet van commerciële aanbieders geen exacte data bekend.</w:t>
            </w:r>
          </w:p>
          <w:p w:rsidRPr="002A1F9A" w:rsidR="00325C76" w:rsidRDefault="00325C76" w14:paraId="57133B17" w14:textId="77777777">
            <w:pPr>
              <w:rPr>
                <w:rFonts w:ascii="Verdana" w:hAnsi="Verdana"/>
                <w:sz w:val="18"/>
                <w:szCs w:val="18"/>
              </w:rPr>
            </w:pPr>
          </w:p>
        </w:tc>
        <w:tc>
          <w:tcPr>
            <w:tcW w:w="850" w:type="dxa"/>
            <w:gridSpan w:val="2"/>
          </w:tcPr>
          <w:p w:rsidRPr="002A1F9A" w:rsidR="001256CA" w:rsidRDefault="001856D0" w14:paraId="17CECC81"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256CA" w14:paraId="738840F5" w14:textId="77777777">
            <w:pPr>
              <w:jc w:val="right"/>
              <w:rPr>
                <w:rFonts w:ascii="Verdana" w:hAnsi="Verdana"/>
                <w:sz w:val="18"/>
                <w:szCs w:val="18"/>
              </w:rPr>
            </w:pPr>
          </w:p>
        </w:tc>
        <w:tc>
          <w:tcPr>
            <w:tcW w:w="567" w:type="dxa"/>
            <w:tcBorders>
              <w:left w:val="nil"/>
            </w:tcBorders>
          </w:tcPr>
          <w:p w:rsidRPr="002A1F9A" w:rsidR="001256CA" w:rsidRDefault="001856D0" w14:paraId="4D30FDE0"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4FF706D" w14:textId="77777777">
        <w:tc>
          <w:tcPr>
            <w:tcW w:w="567" w:type="dxa"/>
          </w:tcPr>
          <w:p w:rsidRPr="002A1F9A" w:rsidR="001256CA" w:rsidRDefault="001856D0" w14:paraId="67CE96C1" w14:textId="77777777">
            <w:pPr>
              <w:rPr>
                <w:rFonts w:ascii="Verdana" w:hAnsi="Verdana"/>
                <w:sz w:val="18"/>
                <w:szCs w:val="18"/>
              </w:rPr>
            </w:pPr>
            <w:r w:rsidRPr="002A1F9A">
              <w:rPr>
                <w:rFonts w:ascii="Verdana" w:hAnsi="Verdana"/>
                <w:sz w:val="18"/>
                <w:szCs w:val="18"/>
              </w:rPr>
              <w:t>24</w:t>
            </w:r>
          </w:p>
        </w:tc>
        <w:tc>
          <w:tcPr>
            <w:tcW w:w="6521" w:type="dxa"/>
            <w:gridSpan w:val="7"/>
          </w:tcPr>
          <w:p w:rsidRPr="002A1F9A" w:rsidR="001256CA" w:rsidRDefault="001856D0" w14:paraId="09AD4BFB" w14:textId="77777777">
            <w:pPr>
              <w:rPr>
                <w:rFonts w:ascii="Verdana" w:hAnsi="Verdana"/>
                <w:sz w:val="18"/>
                <w:szCs w:val="18"/>
              </w:rPr>
            </w:pPr>
            <w:r w:rsidRPr="002A1F9A">
              <w:rPr>
                <w:rFonts w:ascii="Verdana" w:hAnsi="Verdana"/>
                <w:sz w:val="18"/>
                <w:szCs w:val="18"/>
              </w:rPr>
              <w:t>Met hoeveel zou de lumpsum moeten worden verhoogd als de vrijwillige ouderbijdrage wordt afgeschaft en scholen worden gecompenseerd voor gederfde inkomsten?</w:t>
            </w:r>
          </w:p>
          <w:p w:rsidRPr="002A1F9A" w:rsidR="00325C76" w:rsidRDefault="00325C76" w14:paraId="75513A52" w14:textId="77777777">
            <w:pPr>
              <w:rPr>
                <w:rFonts w:ascii="Verdana" w:hAnsi="Verdana"/>
                <w:sz w:val="18"/>
                <w:szCs w:val="18"/>
              </w:rPr>
            </w:pPr>
          </w:p>
          <w:p w:rsidRPr="002A1F9A" w:rsidR="00325C76" w:rsidP="00325C76" w:rsidRDefault="00325C76" w14:paraId="4837406B" w14:textId="77777777">
            <w:pPr>
              <w:rPr>
                <w:rFonts w:ascii="Verdana" w:hAnsi="Verdana"/>
                <w:sz w:val="18"/>
                <w:szCs w:val="18"/>
              </w:rPr>
            </w:pPr>
            <w:r w:rsidRPr="002A1F9A">
              <w:rPr>
                <w:rFonts w:ascii="Verdana" w:hAnsi="Verdana"/>
                <w:sz w:val="18"/>
                <w:szCs w:val="18"/>
              </w:rPr>
              <w:t>Rekening houdend met de meest recent gemeten gemiddelden van de vrijwillige ouderbijdrage uit de schoolkostenmonitor 2022-2023 in het primair- en voortgezet onderwijs en het huidige aantal leerlingen komt een jaarlijkse ophoging van de bekostiging – ter compensatie van het afschaffen van de ouderbijdrage – in het po uit op een bedrag van circa € 75 miljoen en in het vo circa € 170 miljoen (de bedragen zijn gebaseerd op de meest recente leerlingenaantallen in het po en vo). Hierbij moet worden opgemerkt dat het niet uitvoerbaar is om scholen exact te compenseren voor hun gederfde inkomsten, er kan alleen uitgegaan worden van de landelijke gemiddelde ouderbijdrage.</w:t>
            </w:r>
          </w:p>
          <w:p w:rsidRPr="002A1F9A" w:rsidR="00325C76" w:rsidRDefault="00325C76" w14:paraId="7B7A59D4" w14:textId="77777777">
            <w:pPr>
              <w:rPr>
                <w:rFonts w:ascii="Verdana" w:hAnsi="Verdana"/>
                <w:sz w:val="18"/>
                <w:szCs w:val="18"/>
              </w:rPr>
            </w:pPr>
          </w:p>
        </w:tc>
        <w:tc>
          <w:tcPr>
            <w:tcW w:w="850" w:type="dxa"/>
            <w:gridSpan w:val="2"/>
          </w:tcPr>
          <w:p w:rsidRPr="002A1F9A" w:rsidR="001256CA" w:rsidRDefault="001856D0" w14:paraId="1FD5138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4C5BD3AD" w14:textId="77777777">
            <w:pPr>
              <w:jc w:val="right"/>
              <w:rPr>
                <w:rFonts w:ascii="Verdana" w:hAnsi="Verdana"/>
                <w:sz w:val="18"/>
                <w:szCs w:val="18"/>
              </w:rPr>
            </w:pPr>
          </w:p>
        </w:tc>
        <w:tc>
          <w:tcPr>
            <w:tcW w:w="567" w:type="dxa"/>
            <w:tcBorders>
              <w:left w:val="nil"/>
            </w:tcBorders>
          </w:tcPr>
          <w:p w:rsidRPr="002A1F9A" w:rsidR="001256CA" w:rsidRDefault="001856D0" w14:paraId="79D46A50"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4DB5A37" w14:textId="77777777">
        <w:tc>
          <w:tcPr>
            <w:tcW w:w="567" w:type="dxa"/>
          </w:tcPr>
          <w:p w:rsidRPr="002A1F9A" w:rsidR="001256CA" w:rsidRDefault="001856D0" w14:paraId="3688FF0F" w14:textId="77777777">
            <w:pPr>
              <w:rPr>
                <w:rFonts w:ascii="Verdana" w:hAnsi="Verdana"/>
                <w:sz w:val="18"/>
                <w:szCs w:val="18"/>
              </w:rPr>
            </w:pPr>
            <w:r w:rsidRPr="002A1F9A">
              <w:rPr>
                <w:rFonts w:ascii="Verdana" w:hAnsi="Verdana"/>
                <w:sz w:val="18"/>
                <w:szCs w:val="18"/>
              </w:rPr>
              <w:t>25</w:t>
            </w:r>
          </w:p>
        </w:tc>
        <w:tc>
          <w:tcPr>
            <w:tcW w:w="6521" w:type="dxa"/>
            <w:gridSpan w:val="7"/>
          </w:tcPr>
          <w:p w:rsidRPr="002A1F9A" w:rsidR="001256CA" w:rsidRDefault="001856D0" w14:paraId="254E4CF6" w14:textId="77777777">
            <w:pPr>
              <w:rPr>
                <w:rFonts w:ascii="Verdana" w:hAnsi="Verdana"/>
                <w:sz w:val="18"/>
                <w:szCs w:val="18"/>
              </w:rPr>
            </w:pPr>
            <w:r w:rsidRPr="002A1F9A">
              <w:rPr>
                <w:rFonts w:ascii="Verdana" w:hAnsi="Verdana"/>
                <w:sz w:val="18"/>
                <w:szCs w:val="18"/>
              </w:rPr>
              <w:t>Kunt u aangeven hoe het percentage vaste contracten voor leraren de afgelopen vijf jaar is ontwikkeld, uitgesplitst naar primair en voortgezet onderwijs?</w:t>
            </w:r>
          </w:p>
          <w:p w:rsidRPr="002A1F9A" w:rsidR="0015763C" w:rsidRDefault="0015763C" w14:paraId="243E0AFB" w14:textId="77777777">
            <w:pPr>
              <w:rPr>
                <w:rFonts w:ascii="Verdana" w:hAnsi="Verdana"/>
                <w:sz w:val="18"/>
                <w:szCs w:val="18"/>
              </w:rPr>
            </w:pPr>
          </w:p>
          <w:p w:rsidRPr="002A1F9A" w:rsidR="0015763C" w:rsidP="0015763C" w:rsidRDefault="0015763C" w14:paraId="7B37F37B" w14:textId="77777777">
            <w:pPr>
              <w:rPr>
                <w:rFonts w:ascii="Verdana" w:hAnsi="Verdana"/>
                <w:sz w:val="18"/>
                <w:szCs w:val="18"/>
              </w:rPr>
            </w:pPr>
            <w:r w:rsidRPr="002A1F9A">
              <w:rPr>
                <w:rFonts w:ascii="Verdana" w:hAnsi="Verdana"/>
                <w:sz w:val="18"/>
                <w:szCs w:val="18"/>
              </w:rPr>
              <w:t xml:space="preserve">De tabel hieronder geeft het percentage vaste contracten voor leraren met een dienstverband bij een schoolbestuur in het primair en voortgezet onderwijs weer in de afgelopen vijf jaar.  </w:t>
            </w:r>
          </w:p>
          <w:p w:rsidRPr="002A1F9A" w:rsidR="0015763C" w:rsidP="0015763C" w:rsidRDefault="0015763C" w14:paraId="2C84ADA5" w14:textId="77777777">
            <w:pPr>
              <w:rPr>
                <w:rFonts w:ascii="Verdana" w:hAnsi="Verdana"/>
                <w:sz w:val="18"/>
                <w:szCs w:val="18"/>
              </w:rPr>
            </w:pPr>
          </w:p>
          <w:p w:rsidRPr="002A1F9A" w:rsidR="0015763C" w:rsidRDefault="0015763C" w14:paraId="040C98F9" w14:textId="77777777">
            <w:pPr>
              <w:rPr>
                <w:rFonts w:ascii="Verdana" w:hAnsi="Verdana"/>
                <w:sz w:val="18"/>
                <w:szCs w:val="18"/>
              </w:rPr>
            </w:pPr>
            <w:r w:rsidRPr="002A1F9A">
              <w:rPr>
                <w:rFonts w:ascii="Verdana" w:hAnsi="Verdana"/>
                <w:sz w:val="18"/>
                <w:szCs w:val="18"/>
              </w:rPr>
              <w:t>Op de website www.ocwincijfers.nl worden deze percentages jaarlijks gepubliceerd.</w:t>
            </w:r>
          </w:p>
          <w:p w:rsidRPr="002A1F9A" w:rsidR="008040A7" w:rsidRDefault="008040A7" w14:paraId="254CD828" w14:textId="77777777">
            <w:pPr>
              <w:rPr>
                <w:rFonts w:ascii="Verdana" w:hAnsi="Verdana"/>
                <w:sz w:val="18"/>
                <w:szCs w:val="18"/>
              </w:rPr>
            </w:pPr>
          </w:p>
          <w:p w:rsidRPr="002A1F9A" w:rsidR="008040A7" w:rsidRDefault="008040A7" w14:paraId="6E60C743" w14:textId="77777777">
            <w:pPr>
              <w:rPr>
                <w:rFonts w:ascii="Verdana" w:hAnsi="Verdana"/>
                <w:sz w:val="18"/>
                <w:szCs w:val="18"/>
              </w:rPr>
            </w:pPr>
          </w:p>
          <w:tbl>
            <w:tblPr>
              <w:tblStyle w:val="Tabelraster"/>
              <w:tblpPr w:leftFromText="141" w:rightFromText="141" w:vertAnchor="page" w:horzAnchor="margin" w:tblpY="1829"/>
              <w:tblOverlap w:val="never"/>
              <w:tblW w:w="6521" w:type="dxa"/>
              <w:tblLook w:val="04A0" w:firstRow="1" w:lastRow="0" w:firstColumn="1" w:lastColumn="0" w:noHBand="0" w:noVBand="1"/>
            </w:tblPr>
            <w:tblGrid>
              <w:gridCol w:w="1008"/>
              <w:gridCol w:w="1145"/>
              <w:gridCol w:w="1146"/>
              <w:gridCol w:w="1146"/>
              <w:gridCol w:w="1146"/>
              <w:gridCol w:w="930"/>
            </w:tblGrid>
            <w:tr w:rsidRPr="002A1F9A" w:rsidR="008040A7" w:rsidTr="008040A7" w14:paraId="7E983A3D" w14:textId="77777777">
              <w:tc>
                <w:tcPr>
                  <w:tcW w:w="1008" w:type="dxa"/>
                </w:tcPr>
                <w:p w:rsidRPr="002A1F9A" w:rsidR="008040A7" w:rsidP="008040A7" w:rsidRDefault="008040A7" w14:paraId="1652B10B" w14:textId="77777777">
                  <w:pPr>
                    <w:autoSpaceDE w:val="0"/>
                    <w:autoSpaceDN w:val="0"/>
                    <w:adjustRightInd w:val="0"/>
                    <w:rPr>
                      <w:rFonts w:ascii="Verdana" w:hAnsi="Verdana"/>
                      <w:sz w:val="18"/>
                      <w:szCs w:val="18"/>
                    </w:rPr>
                  </w:pPr>
                  <w:r w:rsidRPr="002A1F9A">
                    <w:rPr>
                      <w:rFonts w:ascii="Verdana" w:hAnsi="Verdana"/>
                      <w:sz w:val="18"/>
                      <w:szCs w:val="18"/>
                    </w:rPr>
                    <w:t>In %</w:t>
                  </w:r>
                </w:p>
              </w:tc>
              <w:tc>
                <w:tcPr>
                  <w:tcW w:w="1145" w:type="dxa"/>
                </w:tcPr>
                <w:p w:rsidRPr="002A1F9A" w:rsidR="008040A7" w:rsidP="008040A7" w:rsidRDefault="008040A7" w14:paraId="7D5EB24F" w14:textId="77777777">
                  <w:pPr>
                    <w:autoSpaceDE w:val="0"/>
                    <w:autoSpaceDN w:val="0"/>
                    <w:adjustRightInd w:val="0"/>
                    <w:rPr>
                      <w:rFonts w:ascii="Verdana" w:hAnsi="Verdana"/>
                      <w:b/>
                      <w:bCs/>
                      <w:sz w:val="18"/>
                      <w:szCs w:val="18"/>
                    </w:rPr>
                  </w:pPr>
                  <w:r w:rsidRPr="002A1F9A">
                    <w:rPr>
                      <w:rFonts w:ascii="Verdana" w:hAnsi="Verdana"/>
                      <w:b/>
                      <w:bCs/>
                      <w:sz w:val="18"/>
                      <w:szCs w:val="18"/>
                    </w:rPr>
                    <w:t>2020</w:t>
                  </w:r>
                </w:p>
              </w:tc>
              <w:tc>
                <w:tcPr>
                  <w:tcW w:w="1146" w:type="dxa"/>
                </w:tcPr>
                <w:p w:rsidRPr="002A1F9A" w:rsidR="008040A7" w:rsidP="008040A7" w:rsidRDefault="008040A7" w14:paraId="34EB6D32" w14:textId="77777777">
                  <w:pPr>
                    <w:autoSpaceDE w:val="0"/>
                    <w:autoSpaceDN w:val="0"/>
                    <w:adjustRightInd w:val="0"/>
                    <w:rPr>
                      <w:rFonts w:ascii="Verdana" w:hAnsi="Verdana"/>
                      <w:b/>
                      <w:bCs/>
                      <w:sz w:val="18"/>
                      <w:szCs w:val="18"/>
                    </w:rPr>
                  </w:pPr>
                  <w:r w:rsidRPr="002A1F9A">
                    <w:rPr>
                      <w:rFonts w:ascii="Verdana" w:hAnsi="Verdana"/>
                      <w:b/>
                      <w:bCs/>
                      <w:sz w:val="18"/>
                      <w:szCs w:val="18"/>
                    </w:rPr>
                    <w:t>2021</w:t>
                  </w:r>
                </w:p>
              </w:tc>
              <w:tc>
                <w:tcPr>
                  <w:tcW w:w="1146" w:type="dxa"/>
                </w:tcPr>
                <w:p w:rsidRPr="002A1F9A" w:rsidR="008040A7" w:rsidP="008040A7" w:rsidRDefault="008040A7" w14:paraId="46C8F19A" w14:textId="77777777">
                  <w:pPr>
                    <w:autoSpaceDE w:val="0"/>
                    <w:autoSpaceDN w:val="0"/>
                    <w:adjustRightInd w:val="0"/>
                    <w:rPr>
                      <w:rFonts w:ascii="Verdana" w:hAnsi="Verdana"/>
                      <w:b/>
                      <w:bCs/>
                      <w:sz w:val="18"/>
                      <w:szCs w:val="18"/>
                    </w:rPr>
                  </w:pPr>
                  <w:r w:rsidRPr="002A1F9A">
                    <w:rPr>
                      <w:rFonts w:ascii="Verdana" w:hAnsi="Verdana"/>
                      <w:b/>
                      <w:bCs/>
                      <w:sz w:val="18"/>
                      <w:szCs w:val="18"/>
                    </w:rPr>
                    <w:t>2022</w:t>
                  </w:r>
                </w:p>
              </w:tc>
              <w:tc>
                <w:tcPr>
                  <w:tcW w:w="1146" w:type="dxa"/>
                </w:tcPr>
                <w:p w:rsidRPr="002A1F9A" w:rsidR="008040A7" w:rsidP="008040A7" w:rsidRDefault="008040A7" w14:paraId="25E98401" w14:textId="77777777">
                  <w:pPr>
                    <w:autoSpaceDE w:val="0"/>
                    <w:autoSpaceDN w:val="0"/>
                    <w:adjustRightInd w:val="0"/>
                    <w:rPr>
                      <w:rFonts w:ascii="Verdana" w:hAnsi="Verdana"/>
                      <w:b/>
                      <w:bCs/>
                      <w:sz w:val="18"/>
                      <w:szCs w:val="18"/>
                    </w:rPr>
                  </w:pPr>
                  <w:r w:rsidRPr="002A1F9A">
                    <w:rPr>
                      <w:rFonts w:ascii="Verdana" w:hAnsi="Verdana"/>
                      <w:b/>
                      <w:bCs/>
                      <w:sz w:val="18"/>
                      <w:szCs w:val="18"/>
                    </w:rPr>
                    <w:t>2023</w:t>
                  </w:r>
                </w:p>
              </w:tc>
              <w:tc>
                <w:tcPr>
                  <w:tcW w:w="930" w:type="dxa"/>
                </w:tcPr>
                <w:p w:rsidRPr="002A1F9A" w:rsidR="008040A7" w:rsidP="008040A7" w:rsidRDefault="008040A7" w14:paraId="0A79D2CA" w14:textId="77777777">
                  <w:pPr>
                    <w:autoSpaceDE w:val="0"/>
                    <w:autoSpaceDN w:val="0"/>
                    <w:adjustRightInd w:val="0"/>
                    <w:rPr>
                      <w:rFonts w:ascii="Verdana" w:hAnsi="Verdana"/>
                      <w:b/>
                      <w:bCs/>
                      <w:sz w:val="18"/>
                      <w:szCs w:val="18"/>
                    </w:rPr>
                  </w:pPr>
                  <w:r w:rsidRPr="002A1F9A">
                    <w:rPr>
                      <w:rFonts w:ascii="Verdana" w:hAnsi="Verdana"/>
                      <w:b/>
                      <w:bCs/>
                      <w:sz w:val="18"/>
                      <w:szCs w:val="18"/>
                    </w:rPr>
                    <w:t>2024</w:t>
                  </w:r>
                </w:p>
              </w:tc>
            </w:tr>
            <w:tr w:rsidRPr="002A1F9A" w:rsidR="008040A7" w:rsidTr="008040A7" w14:paraId="736B2233" w14:textId="77777777">
              <w:tc>
                <w:tcPr>
                  <w:tcW w:w="1008" w:type="dxa"/>
                </w:tcPr>
                <w:p w:rsidRPr="002A1F9A" w:rsidR="008040A7" w:rsidP="008040A7" w:rsidRDefault="008040A7" w14:paraId="30FF3278" w14:textId="77777777">
                  <w:pPr>
                    <w:autoSpaceDE w:val="0"/>
                    <w:autoSpaceDN w:val="0"/>
                    <w:adjustRightInd w:val="0"/>
                    <w:rPr>
                      <w:rFonts w:ascii="Verdana" w:hAnsi="Verdana"/>
                      <w:b/>
                      <w:bCs/>
                      <w:sz w:val="18"/>
                      <w:szCs w:val="18"/>
                    </w:rPr>
                  </w:pPr>
                  <w:r w:rsidRPr="002A1F9A">
                    <w:rPr>
                      <w:rFonts w:ascii="Verdana" w:hAnsi="Verdana"/>
                      <w:b/>
                      <w:bCs/>
                      <w:sz w:val="18"/>
                      <w:szCs w:val="18"/>
                    </w:rPr>
                    <w:t>PO</w:t>
                  </w:r>
                </w:p>
              </w:tc>
              <w:tc>
                <w:tcPr>
                  <w:tcW w:w="1145" w:type="dxa"/>
                </w:tcPr>
                <w:p w:rsidRPr="002A1F9A" w:rsidR="008040A7" w:rsidP="008040A7" w:rsidRDefault="008040A7" w14:paraId="493FE642" w14:textId="77777777">
                  <w:pPr>
                    <w:autoSpaceDE w:val="0"/>
                    <w:autoSpaceDN w:val="0"/>
                    <w:adjustRightInd w:val="0"/>
                    <w:rPr>
                      <w:rFonts w:ascii="Verdana" w:hAnsi="Verdana"/>
                      <w:sz w:val="18"/>
                      <w:szCs w:val="18"/>
                    </w:rPr>
                  </w:pPr>
                  <w:r w:rsidRPr="002A1F9A">
                    <w:rPr>
                      <w:rFonts w:ascii="Verdana" w:hAnsi="Verdana"/>
                      <w:sz w:val="18"/>
                      <w:szCs w:val="18"/>
                    </w:rPr>
                    <w:t>89,3</w:t>
                  </w:r>
                </w:p>
              </w:tc>
              <w:tc>
                <w:tcPr>
                  <w:tcW w:w="1146" w:type="dxa"/>
                </w:tcPr>
                <w:p w:rsidRPr="002A1F9A" w:rsidR="008040A7" w:rsidP="008040A7" w:rsidRDefault="008040A7" w14:paraId="33714273" w14:textId="77777777">
                  <w:pPr>
                    <w:autoSpaceDE w:val="0"/>
                    <w:autoSpaceDN w:val="0"/>
                    <w:adjustRightInd w:val="0"/>
                    <w:rPr>
                      <w:rFonts w:ascii="Verdana" w:hAnsi="Verdana"/>
                      <w:sz w:val="18"/>
                      <w:szCs w:val="18"/>
                    </w:rPr>
                  </w:pPr>
                  <w:r w:rsidRPr="002A1F9A">
                    <w:rPr>
                      <w:rFonts w:ascii="Verdana" w:hAnsi="Verdana"/>
                      <w:sz w:val="18"/>
                      <w:szCs w:val="18"/>
                    </w:rPr>
                    <w:t>88,5</w:t>
                  </w:r>
                </w:p>
              </w:tc>
              <w:tc>
                <w:tcPr>
                  <w:tcW w:w="1146" w:type="dxa"/>
                </w:tcPr>
                <w:p w:rsidRPr="002A1F9A" w:rsidR="008040A7" w:rsidP="008040A7" w:rsidRDefault="008040A7" w14:paraId="1B0F12C4" w14:textId="77777777">
                  <w:pPr>
                    <w:autoSpaceDE w:val="0"/>
                    <w:autoSpaceDN w:val="0"/>
                    <w:adjustRightInd w:val="0"/>
                    <w:rPr>
                      <w:rFonts w:ascii="Verdana" w:hAnsi="Verdana"/>
                      <w:sz w:val="18"/>
                      <w:szCs w:val="18"/>
                    </w:rPr>
                  </w:pPr>
                  <w:r w:rsidRPr="002A1F9A">
                    <w:rPr>
                      <w:rFonts w:ascii="Verdana" w:hAnsi="Verdana"/>
                      <w:sz w:val="18"/>
                      <w:szCs w:val="18"/>
                    </w:rPr>
                    <w:t>88,5</w:t>
                  </w:r>
                </w:p>
              </w:tc>
              <w:tc>
                <w:tcPr>
                  <w:tcW w:w="1146" w:type="dxa"/>
                </w:tcPr>
                <w:p w:rsidRPr="002A1F9A" w:rsidR="008040A7" w:rsidP="008040A7" w:rsidRDefault="008040A7" w14:paraId="2C4FACA4" w14:textId="77777777">
                  <w:pPr>
                    <w:autoSpaceDE w:val="0"/>
                    <w:autoSpaceDN w:val="0"/>
                    <w:adjustRightInd w:val="0"/>
                    <w:rPr>
                      <w:rFonts w:ascii="Verdana" w:hAnsi="Verdana"/>
                      <w:sz w:val="18"/>
                      <w:szCs w:val="18"/>
                    </w:rPr>
                  </w:pPr>
                  <w:r w:rsidRPr="002A1F9A">
                    <w:rPr>
                      <w:rFonts w:ascii="Verdana" w:hAnsi="Verdana"/>
                      <w:sz w:val="18"/>
                      <w:szCs w:val="18"/>
                    </w:rPr>
                    <w:t>88,8</w:t>
                  </w:r>
                </w:p>
              </w:tc>
              <w:tc>
                <w:tcPr>
                  <w:tcW w:w="930" w:type="dxa"/>
                </w:tcPr>
                <w:p w:rsidRPr="002A1F9A" w:rsidR="008040A7" w:rsidP="008040A7" w:rsidRDefault="008040A7" w14:paraId="079ED557" w14:textId="77777777">
                  <w:pPr>
                    <w:autoSpaceDE w:val="0"/>
                    <w:autoSpaceDN w:val="0"/>
                    <w:adjustRightInd w:val="0"/>
                    <w:rPr>
                      <w:rFonts w:ascii="Verdana" w:hAnsi="Verdana"/>
                      <w:sz w:val="18"/>
                      <w:szCs w:val="18"/>
                    </w:rPr>
                  </w:pPr>
                  <w:r w:rsidRPr="002A1F9A">
                    <w:rPr>
                      <w:rFonts w:ascii="Verdana" w:hAnsi="Verdana"/>
                      <w:sz w:val="18"/>
                      <w:szCs w:val="18"/>
                    </w:rPr>
                    <w:t>89,6</w:t>
                  </w:r>
                </w:p>
              </w:tc>
            </w:tr>
            <w:tr w:rsidRPr="002A1F9A" w:rsidR="008040A7" w:rsidTr="008040A7" w14:paraId="36E7612D" w14:textId="77777777">
              <w:tc>
                <w:tcPr>
                  <w:tcW w:w="1008" w:type="dxa"/>
                </w:tcPr>
                <w:p w:rsidRPr="002A1F9A" w:rsidR="008040A7" w:rsidP="008040A7" w:rsidRDefault="008040A7" w14:paraId="700BF62F" w14:textId="77777777">
                  <w:pPr>
                    <w:autoSpaceDE w:val="0"/>
                    <w:autoSpaceDN w:val="0"/>
                    <w:adjustRightInd w:val="0"/>
                    <w:rPr>
                      <w:rFonts w:ascii="Verdana" w:hAnsi="Verdana"/>
                      <w:b/>
                      <w:bCs/>
                      <w:sz w:val="18"/>
                      <w:szCs w:val="18"/>
                    </w:rPr>
                  </w:pPr>
                  <w:r w:rsidRPr="002A1F9A">
                    <w:rPr>
                      <w:rFonts w:ascii="Verdana" w:hAnsi="Verdana"/>
                      <w:b/>
                      <w:bCs/>
                      <w:sz w:val="18"/>
                      <w:szCs w:val="18"/>
                    </w:rPr>
                    <w:t>VO</w:t>
                  </w:r>
                </w:p>
              </w:tc>
              <w:tc>
                <w:tcPr>
                  <w:tcW w:w="1145" w:type="dxa"/>
                </w:tcPr>
                <w:p w:rsidRPr="002A1F9A" w:rsidR="008040A7" w:rsidP="008040A7" w:rsidRDefault="008040A7" w14:paraId="15F06C6D" w14:textId="77777777">
                  <w:pPr>
                    <w:autoSpaceDE w:val="0"/>
                    <w:autoSpaceDN w:val="0"/>
                    <w:adjustRightInd w:val="0"/>
                    <w:rPr>
                      <w:rFonts w:ascii="Verdana" w:hAnsi="Verdana"/>
                      <w:sz w:val="18"/>
                      <w:szCs w:val="18"/>
                    </w:rPr>
                  </w:pPr>
                  <w:r w:rsidRPr="002A1F9A">
                    <w:rPr>
                      <w:rFonts w:ascii="Verdana" w:hAnsi="Verdana"/>
                      <w:sz w:val="18"/>
                      <w:szCs w:val="18"/>
                    </w:rPr>
                    <w:t>81,8</w:t>
                  </w:r>
                </w:p>
              </w:tc>
              <w:tc>
                <w:tcPr>
                  <w:tcW w:w="1146" w:type="dxa"/>
                </w:tcPr>
                <w:p w:rsidRPr="002A1F9A" w:rsidR="008040A7" w:rsidP="008040A7" w:rsidRDefault="008040A7" w14:paraId="437C551C" w14:textId="77777777">
                  <w:pPr>
                    <w:autoSpaceDE w:val="0"/>
                    <w:autoSpaceDN w:val="0"/>
                    <w:adjustRightInd w:val="0"/>
                    <w:rPr>
                      <w:rFonts w:ascii="Verdana" w:hAnsi="Verdana"/>
                      <w:sz w:val="18"/>
                      <w:szCs w:val="18"/>
                    </w:rPr>
                  </w:pPr>
                  <w:r w:rsidRPr="002A1F9A">
                    <w:rPr>
                      <w:rFonts w:ascii="Verdana" w:hAnsi="Verdana"/>
                      <w:sz w:val="18"/>
                      <w:szCs w:val="18"/>
                    </w:rPr>
                    <w:t>80,2</w:t>
                  </w:r>
                </w:p>
              </w:tc>
              <w:tc>
                <w:tcPr>
                  <w:tcW w:w="1146" w:type="dxa"/>
                </w:tcPr>
                <w:p w:rsidRPr="002A1F9A" w:rsidR="008040A7" w:rsidP="008040A7" w:rsidRDefault="008040A7" w14:paraId="13D9DFE7" w14:textId="77777777">
                  <w:pPr>
                    <w:autoSpaceDE w:val="0"/>
                    <w:autoSpaceDN w:val="0"/>
                    <w:adjustRightInd w:val="0"/>
                    <w:rPr>
                      <w:rFonts w:ascii="Verdana" w:hAnsi="Verdana"/>
                      <w:sz w:val="18"/>
                      <w:szCs w:val="18"/>
                    </w:rPr>
                  </w:pPr>
                  <w:r w:rsidRPr="002A1F9A">
                    <w:rPr>
                      <w:rFonts w:ascii="Verdana" w:hAnsi="Verdana"/>
                      <w:sz w:val="18"/>
                      <w:szCs w:val="18"/>
                    </w:rPr>
                    <w:t>78,3</w:t>
                  </w:r>
                </w:p>
              </w:tc>
              <w:tc>
                <w:tcPr>
                  <w:tcW w:w="1146" w:type="dxa"/>
                </w:tcPr>
                <w:p w:rsidRPr="002A1F9A" w:rsidR="008040A7" w:rsidP="008040A7" w:rsidRDefault="008040A7" w14:paraId="286F5465" w14:textId="77777777">
                  <w:pPr>
                    <w:autoSpaceDE w:val="0"/>
                    <w:autoSpaceDN w:val="0"/>
                    <w:adjustRightInd w:val="0"/>
                    <w:rPr>
                      <w:rFonts w:ascii="Verdana" w:hAnsi="Verdana"/>
                      <w:sz w:val="18"/>
                      <w:szCs w:val="18"/>
                    </w:rPr>
                  </w:pPr>
                  <w:r w:rsidRPr="002A1F9A">
                    <w:rPr>
                      <w:rFonts w:ascii="Verdana" w:hAnsi="Verdana"/>
                      <w:sz w:val="18"/>
                      <w:szCs w:val="18"/>
                    </w:rPr>
                    <w:t>77,2</w:t>
                  </w:r>
                </w:p>
              </w:tc>
              <w:tc>
                <w:tcPr>
                  <w:tcW w:w="930" w:type="dxa"/>
                </w:tcPr>
                <w:p w:rsidRPr="002A1F9A" w:rsidR="008040A7" w:rsidP="008040A7" w:rsidRDefault="008040A7" w14:paraId="5205785D" w14:textId="77777777">
                  <w:pPr>
                    <w:autoSpaceDE w:val="0"/>
                    <w:autoSpaceDN w:val="0"/>
                    <w:adjustRightInd w:val="0"/>
                    <w:rPr>
                      <w:rFonts w:ascii="Verdana" w:hAnsi="Verdana"/>
                      <w:sz w:val="18"/>
                      <w:szCs w:val="18"/>
                    </w:rPr>
                  </w:pPr>
                  <w:r w:rsidRPr="002A1F9A">
                    <w:rPr>
                      <w:rFonts w:ascii="Verdana" w:hAnsi="Verdana"/>
                      <w:sz w:val="18"/>
                      <w:szCs w:val="18"/>
                    </w:rPr>
                    <w:t>79,2</w:t>
                  </w:r>
                </w:p>
              </w:tc>
            </w:tr>
          </w:tbl>
          <w:p w:rsidRPr="002A1F9A" w:rsidR="0015763C" w:rsidRDefault="0015763C" w14:paraId="40ADA6C9" w14:textId="2EE94A55">
            <w:pPr>
              <w:rPr>
                <w:rFonts w:ascii="Verdana" w:hAnsi="Verdana"/>
                <w:sz w:val="18"/>
                <w:szCs w:val="18"/>
              </w:rPr>
            </w:pPr>
          </w:p>
        </w:tc>
        <w:tc>
          <w:tcPr>
            <w:tcW w:w="850" w:type="dxa"/>
            <w:gridSpan w:val="2"/>
          </w:tcPr>
          <w:p w:rsidRPr="002A1F9A" w:rsidR="001256CA" w:rsidRDefault="001856D0" w14:paraId="60E439A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2E854E5B" w14:textId="77777777">
            <w:pPr>
              <w:jc w:val="right"/>
              <w:rPr>
                <w:rFonts w:ascii="Verdana" w:hAnsi="Verdana"/>
                <w:sz w:val="18"/>
                <w:szCs w:val="18"/>
              </w:rPr>
            </w:pPr>
          </w:p>
        </w:tc>
        <w:tc>
          <w:tcPr>
            <w:tcW w:w="567" w:type="dxa"/>
            <w:tcBorders>
              <w:left w:val="nil"/>
            </w:tcBorders>
          </w:tcPr>
          <w:p w:rsidRPr="002A1F9A" w:rsidR="001256CA" w:rsidRDefault="001856D0" w14:paraId="4B1BCEDA"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1DE04BA" w14:textId="77777777">
        <w:tc>
          <w:tcPr>
            <w:tcW w:w="567" w:type="dxa"/>
          </w:tcPr>
          <w:p w:rsidRPr="002A1F9A" w:rsidR="001256CA" w:rsidRDefault="001856D0" w14:paraId="6E209B5D" w14:textId="77777777">
            <w:pPr>
              <w:rPr>
                <w:rFonts w:ascii="Verdana" w:hAnsi="Verdana"/>
                <w:sz w:val="18"/>
                <w:szCs w:val="18"/>
              </w:rPr>
            </w:pPr>
            <w:r w:rsidRPr="002A1F9A">
              <w:rPr>
                <w:rFonts w:ascii="Verdana" w:hAnsi="Verdana"/>
                <w:sz w:val="18"/>
                <w:szCs w:val="18"/>
              </w:rPr>
              <w:t>26</w:t>
            </w:r>
          </w:p>
        </w:tc>
        <w:tc>
          <w:tcPr>
            <w:tcW w:w="6521" w:type="dxa"/>
            <w:gridSpan w:val="7"/>
          </w:tcPr>
          <w:p w:rsidRPr="002A1F9A" w:rsidR="001256CA" w:rsidRDefault="001856D0" w14:paraId="5C3B416A" w14:textId="77777777">
            <w:pPr>
              <w:rPr>
                <w:rFonts w:ascii="Verdana" w:hAnsi="Verdana"/>
                <w:sz w:val="18"/>
                <w:szCs w:val="18"/>
              </w:rPr>
            </w:pPr>
            <w:r w:rsidRPr="002A1F9A">
              <w:rPr>
                <w:rFonts w:ascii="Verdana" w:hAnsi="Verdana"/>
                <w:sz w:val="18"/>
                <w:szCs w:val="18"/>
              </w:rPr>
              <w:t>Hoeveel werd er vorig schooljaar uitgegeven aan externe inhuur van docenten, uitgesplitst naar het primair en voortgezet onderwijs?</w:t>
            </w:r>
          </w:p>
          <w:p w:rsidRPr="002A1F9A" w:rsidR="0015763C" w:rsidRDefault="0015763C" w14:paraId="650BCDED" w14:textId="77777777">
            <w:pPr>
              <w:rPr>
                <w:rFonts w:ascii="Verdana" w:hAnsi="Verdana"/>
                <w:sz w:val="18"/>
                <w:szCs w:val="18"/>
              </w:rPr>
            </w:pPr>
          </w:p>
          <w:p w:rsidRPr="002A1F9A" w:rsidR="0015763C" w:rsidP="0015763C" w:rsidRDefault="0015763C" w14:paraId="10E7F8F5" w14:textId="77777777">
            <w:pPr>
              <w:rPr>
                <w:rFonts w:ascii="Verdana" w:hAnsi="Verdana"/>
                <w:sz w:val="18"/>
                <w:szCs w:val="18"/>
              </w:rPr>
            </w:pPr>
            <w:r w:rsidRPr="002A1F9A">
              <w:rPr>
                <w:rFonts w:ascii="Verdana" w:hAnsi="Verdana"/>
                <w:sz w:val="18"/>
                <w:szCs w:val="18"/>
              </w:rPr>
              <w:t xml:space="preserve">Op basis van de financiële jaarverslagen van schoolbesturen is bekend welk bedrag er totaal aan personeel niet in loondienst (PNIL) wordt uitgegeven. In het po ging het in 2023 om 4,9% PNIL-uitgaven ten opzichte van de totale personeelslasten. In het vo ging het om 4,7%. Het gaat hierbij om al het onderwijspersoneel. </w:t>
            </w:r>
          </w:p>
          <w:p w:rsidRPr="002A1F9A" w:rsidR="0015763C" w:rsidP="0015763C" w:rsidRDefault="0015763C" w14:paraId="2E468C26" w14:textId="77777777">
            <w:pPr>
              <w:rPr>
                <w:rFonts w:ascii="Verdana" w:hAnsi="Verdana"/>
                <w:sz w:val="18"/>
                <w:szCs w:val="18"/>
              </w:rPr>
            </w:pPr>
            <w:r w:rsidRPr="002A1F9A">
              <w:rPr>
                <w:rFonts w:ascii="Verdana" w:hAnsi="Verdana"/>
                <w:sz w:val="18"/>
                <w:szCs w:val="18"/>
              </w:rPr>
              <w:t xml:space="preserve">Uit een nadere uitvraag bij schoolbesturen is gekomen dat in 2023 grofweg ongeveer 50% van de PNIL-kosten in het po en vo is uitgegeven aan ingehuurde leraren. Er is ook gekeken naar het onderscheid tussen commerciële en niet-commerciële inhuur, bijvoorbeeld een gezamenlijke invalpool. Een globale schatting is dat circa € 245 miljoen (2%) in het po en € 205 miljoen (2,3%) in het vo van de totale personeelslasten wordt uitgegeven aan commerciële inhuur van leraren. </w:t>
            </w:r>
          </w:p>
          <w:p w:rsidRPr="002A1F9A" w:rsidR="0015763C" w:rsidP="0015763C" w:rsidRDefault="0015763C" w14:paraId="2B62F994" w14:textId="6C26D50B">
            <w:pPr>
              <w:rPr>
                <w:rFonts w:ascii="Verdana" w:hAnsi="Verdana"/>
                <w:sz w:val="18"/>
                <w:szCs w:val="18"/>
              </w:rPr>
            </w:pPr>
            <w:r w:rsidRPr="002A1F9A">
              <w:rPr>
                <w:rFonts w:ascii="Verdana" w:hAnsi="Verdana"/>
                <w:sz w:val="18"/>
                <w:szCs w:val="18"/>
              </w:rPr>
              <w:t xml:space="preserve">De cijfers over het kalenderjaar 2024 worden opgenomen in de trendrapportage die bij de lerarenbrief in december 2025 naar </w:t>
            </w:r>
            <w:r w:rsidRPr="002A1F9A" w:rsidR="00514931">
              <w:rPr>
                <w:rFonts w:ascii="Verdana" w:hAnsi="Verdana"/>
                <w:sz w:val="18"/>
                <w:szCs w:val="18"/>
              </w:rPr>
              <w:t>uw</w:t>
            </w:r>
            <w:r w:rsidRPr="002A1F9A">
              <w:rPr>
                <w:rFonts w:ascii="Verdana" w:hAnsi="Verdana"/>
                <w:sz w:val="18"/>
                <w:szCs w:val="18"/>
              </w:rPr>
              <w:t xml:space="preserve"> Kamer wordt verzonden.</w:t>
            </w:r>
          </w:p>
          <w:p w:rsidRPr="002A1F9A" w:rsidR="0015763C" w:rsidP="0015763C" w:rsidRDefault="0015763C" w14:paraId="73F51F24" w14:textId="637B49AC">
            <w:pPr>
              <w:rPr>
                <w:rFonts w:ascii="Verdana" w:hAnsi="Verdana"/>
                <w:sz w:val="18"/>
                <w:szCs w:val="18"/>
              </w:rPr>
            </w:pPr>
          </w:p>
        </w:tc>
        <w:tc>
          <w:tcPr>
            <w:tcW w:w="850" w:type="dxa"/>
            <w:gridSpan w:val="2"/>
          </w:tcPr>
          <w:p w:rsidRPr="002A1F9A" w:rsidR="001256CA" w:rsidRDefault="001856D0" w14:paraId="1DB898B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4DC6BECD" w14:textId="77777777">
            <w:pPr>
              <w:jc w:val="right"/>
              <w:rPr>
                <w:rFonts w:ascii="Verdana" w:hAnsi="Verdana"/>
                <w:sz w:val="18"/>
                <w:szCs w:val="18"/>
              </w:rPr>
            </w:pPr>
          </w:p>
        </w:tc>
        <w:tc>
          <w:tcPr>
            <w:tcW w:w="567" w:type="dxa"/>
            <w:tcBorders>
              <w:left w:val="nil"/>
            </w:tcBorders>
          </w:tcPr>
          <w:p w:rsidRPr="002A1F9A" w:rsidR="001256CA" w:rsidRDefault="001856D0" w14:paraId="5C92AC04"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8963112" w14:textId="77777777">
        <w:tc>
          <w:tcPr>
            <w:tcW w:w="567" w:type="dxa"/>
          </w:tcPr>
          <w:p w:rsidRPr="002A1F9A" w:rsidR="001256CA" w:rsidRDefault="001856D0" w14:paraId="3D67FCEE" w14:textId="77777777">
            <w:pPr>
              <w:rPr>
                <w:rFonts w:ascii="Verdana" w:hAnsi="Verdana"/>
                <w:sz w:val="18"/>
                <w:szCs w:val="18"/>
              </w:rPr>
            </w:pPr>
            <w:r w:rsidRPr="002A1F9A">
              <w:rPr>
                <w:rFonts w:ascii="Verdana" w:hAnsi="Verdana"/>
                <w:sz w:val="18"/>
                <w:szCs w:val="18"/>
              </w:rPr>
              <w:t>27</w:t>
            </w:r>
          </w:p>
        </w:tc>
        <w:tc>
          <w:tcPr>
            <w:tcW w:w="6521" w:type="dxa"/>
            <w:gridSpan w:val="7"/>
          </w:tcPr>
          <w:p w:rsidRPr="002A1F9A" w:rsidR="001256CA" w:rsidRDefault="001856D0" w14:paraId="61A24666" w14:textId="77777777">
            <w:pPr>
              <w:rPr>
                <w:rFonts w:ascii="Verdana" w:hAnsi="Verdana"/>
                <w:sz w:val="18"/>
                <w:szCs w:val="18"/>
              </w:rPr>
            </w:pPr>
            <w:r w:rsidRPr="002A1F9A">
              <w:rPr>
                <w:rFonts w:ascii="Verdana" w:hAnsi="Verdana"/>
                <w:sz w:val="18"/>
                <w:szCs w:val="18"/>
              </w:rPr>
              <w:t xml:space="preserve">Hoeveel zou het kosten als </w:t>
            </w:r>
            <w:proofErr w:type="spellStart"/>
            <w:r w:rsidRPr="002A1F9A">
              <w:rPr>
                <w:rFonts w:ascii="Verdana" w:hAnsi="Verdana"/>
                <w:sz w:val="18"/>
                <w:szCs w:val="18"/>
              </w:rPr>
              <w:t>devices</w:t>
            </w:r>
            <w:proofErr w:type="spellEnd"/>
            <w:r w:rsidRPr="002A1F9A">
              <w:rPr>
                <w:rFonts w:ascii="Verdana" w:hAnsi="Verdana"/>
                <w:sz w:val="18"/>
                <w:szCs w:val="18"/>
              </w:rPr>
              <w:t xml:space="preserve"> ook onder de </w:t>
            </w:r>
            <w:r w:rsidRPr="002A1F9A" w:rsidR="00F70553">
              <w:rPr>
                <w:rFonts w:ascii="Verdana" w:hAnsi="Verdana"/>
                <w:sz w:val="18"/>
                <w:szCs w:val="18"/>
              </w:rPr>
              <w:t>w</w:t>
            </w:r>
            <w:r w:rsidRPr="002A1F9A">
              <w:rPr>
                <w:rFonts w:ascii="Verdana" w:hAnsi="Verdana"/>
                <w:sz w:val="18"/>
                <w:szCs w:val="18"/>
              </w:rPr>
              <w:t>et Gratis Schoolboeken zouden vallen?</w:t>
            </w:r>
          </w:p>
          <w:p w:rsidRPr="002A1F9A" w:rsidR="00325C76" w:rsidRDefault="00325C76" w14:paraId="54649203" w14:textId="77777777">
            <w:pPr>
              <w:rPr>
                <w:rFonts w:ascii="Verdana" w:hAnsi="Verdana"/>
                <w:sz w:val="18"/>
                <w:szCs w:val="18"/>
              </w:rPr>
            </w:pPr>
          </w:p>
          <w:p w:rsidRPr="002A1F9A" w:rsidR="00325C76" w:rsidP="00325C76" w:rsidRDefault="00325C76" w14:paraId="314271E7" w14:textId="77777777">
            <w:pPr>
              <w:rPr>
                <w:rFonts w:ascii="Verdana" w:hAnsi="Verdana"/>
                <w:sz w:val="18"/>
                <w:szCs w:val="18"/>
              </w:rPr>
            </w:pPr>
            <w:r w:rsidRPr="002A1F9A">
              <w:rPr>
                <w:rFonts w:ascii="Verdana" w:hAnsi="Verdana"/>
                <w:sz w:val="18"/>
                <w:szCs w:val="18"/>
              </w:rPr>
              <w:t>De kosten voor alle leerlingen in het voortgezet onderwijs zijn structureel € 215 miljoen voor aanschaf en beheer, uitgaande van de prijzen van 2025.</w:t>
            </w:r>
          </w:p>
          <w:p w:rsidRPr="002A1F9A" w:rsidR="00325C76" w:rsidRDefault="00325C76" w14:paraId="595F1A7E" w14:textId="704DCDEF">
            <w:pPr>
              <w:rPr>
                <w:rFonts w:ascii="Verdana" w:hAnsi="Verdana"/>
                <w:sz w:val="18"/>
                <w:szCs w:val="18"/>
              </w:rPr>
            </w:pPr>
          </w:p>
        </w:tc>
        <w:tc>
          <w:tcPr>
            <w:tcW w:w="850" w:type="dxa"/>
            <w:gridSpan w:val="2"/>
          </w:tcPr>
          <w:p w:rsidRPr="002A1F9A" w:rsidR="001256CA" w:rsidRDefault="001856D0" w14:paraId="3088310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256CA" w14:paraId="73CEEBC1" w14:textId="77777777">
            <w:pPr>
              <w:jc w:val="right"/>
              <w:rPr>
                <w:rFonts w:ascii="Verdana" w:hAnsi="Verdana"/>
                <w:sz w:val="18"/>
                <w:szCs w:val="18"/>
              </w:rPr>
            </w:pPr>
          </w:p>
        </w:tc>
        <w:tc>
          <w:tcPr>
            <w:tcW w:w="567" w:type="dxa"/>
            <w:tcBorders>
              <w:left w:val="nil"/>
            </w:tcBorders>
          </w:tcPr>
          <w:p w:rsidRPr="002A1F9A" w:rsidR="001256CA" w:rsidRDefault="001856D0" w14:paraId="64374D1D"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4C10A090" w14:textId="77777777">
        <w:tc>
          <w:tcPr>
            <w:tcW w:w="567" w:type="dxa"/>
          </w:tcPr>
          <w:p w:rsidRPr="002A1F9A" w:rsidR="001256CA" w:rsidRDefault="001856D0" w14:paraId="74E549B7" w14:textId="77777777">
            <w:pPr>
              <w:rPr>
                <w:rFonts w:ascii="Verdana" w:hAnsi="Verdana"/>
                <w:sz w:val="18"/>
                <w:szCs w:val="18"/>
              </w:rPr>
            </w:pPr>
            <w:r w:rsidRPr="002A1F9A">
              <w:rPr>
                <w:rFonts w:ascii="Verdana" w:hAnsi="Verdana"/>
                <w:sz w:val="18"/>
                <w:szCs w:val="18"/>
              </w:rPr>
              <w:t>28</w:t>
            </w:r>
          </w:p>
        </w:tc>
        <w:tc>
          <w:tcPr>
            <w:tcW w:w="6521" w:type="dxa"/>
            <w:gridSpan w:val="7"/>
          </w:tcPr>
          <w:p w:rsidRPr="002A1F9A" w:rsidR="001256CA" w:rsidRDefault="001856D0" w14:paraId="007EE2FC" w14:textId="77777777">
            <w:pPr>
              <w:rPr>
                <w:rFonts w:ascii="Verdana" w:hAnsi="Verdana"/>
                <w:sz w:val="18"/>
                <w:szCs w:val="18"/>
              </w:rPr>
            </w:pPr>
            <w:r w:rsidRPr="002A1F9A">
              <w:rPr>
                <w:rFonts w:ascii="Verdana" w:hAnsi="Verdana"/>
                <w:sz w:val="18"/>
                <w:szCs w:val="18"/>
              </w:rPr>
              <w:t>Wat zijn de meest recente cijfers op het gebied van onveiligheid</w:t>
            </w:r>
            <w:r w:rsidRPr="002A1F9A">
              <w:rPr>
                <w:rFonts w:ascii="Verdana" w:hAnsi="Verdana"/>
                <w:sz w:val="18"/>
                <w:szCs w:val="18"/>
              </w:rPr>
              <w:br/>
              <w:t>van Joodse studenten op onze onderwijsinstellingen?</w:t>
            </w:r>
          </w:p>
          <w:p w:rsidRPr="002A1F9A" w:rsidR="00C20DA7" w:rsidRDefault="00C20DA7" w14:paraId="283028BC" w14:textId="77777777">
            <w:pPr>
              <w:rPr>
                <w:rFonts w:ascii="Verdana" w:hAnsi="Verdana"/>
                <w:sz w:val="18"/>
                <w:szCs w:val="18"/>
              </w:rPr>
            </w:pPr>
          </w:p>
          <w:p w:rsidRPr="002A1F9A" w:rsidR="00C20DA7" w:rsidP="00C20DA7" w:rsidRDefault="00C20DA7" w14:paraId="5A977B5D" w14:textId="38F4342E">
            <w:pPr>
              <w:rPr>
                <w:rFonts w:ascii="Verdana" w:hAnsi="Verdana"/>
                <w:sz w:val="18"/>
                <w:szCs w:val="18"/>
              </w:rPr>
            </w:pPr>
            <w:r w:rsidRPr="002A1F9A">
              <w:rPr>
                <w:rFonts w:ascii="Verdana" w:hAnsi="Verdana"/>
                <w:sz w:val="18"/>
                <w:szCs w:val="18"/>
              </w:rPr>
              <w:t xml:space="preserve">Zoals eerder aangegeven in reactie op vragen vanuit de Kamer, zie bijvoorbeeld </w:t>
            </w:r>
            <w:hyperlink w:history="1" r:id="rId21">
              <w:r w:rsidRPr="002A1F9A">
                <w:rPr>
                  <w:rStyle w:val="Hyperlink"/>
                  <w:rFonts w:ascii="Verdana" w:hAnsi="Verdana"/>
                  <w:sz w:val="18"/>
                  <w:szCs w:val="18"/>
                </w:rPr>
                <w:t>de beantwoording van Kamervragen met kenmerk 2025Z14661</w:t>
              </w:r>
            </w:hyperlink>
            <w:r w:rsidRPr="002A1F9A">
              <w:rPr>
                <w:rFonts w:ascii="Verdana" w:hAnsi="Verdana"/>
                <w:sz w:val="18"/>
                <w:szCs w:val="18"/>
              </w:rPr>
              <w:t xml:space="preserve"> en </w:t>
            </w:r>
            <w:hyperlink w:history="1" r:id="rId22">
              <w:r w:rsidRPr="002A1F9A">
                <w:rPr>
                  <w:rStyle w:val="Hyperlink"/>
                  <w:rFonts w:ascii="Verdana" w:hAnsi="Verdana"/>
                  <w:sz w:val="18"/>
                  <w:szCs w:val="18"/>
                </w:rPr>
                <w:t xml:space="preserve">de bijlage met kenmerk </w:t>
              </w:r>
              <w:hyperlink w:history="1" r:id="rId23">
                <w:r w:rsidRPr="002A1F9A">
                  <w:rPr>
                    <w:rStyle w:val="Hyperlink"/>
                    <w:rFonts w:ascii="Verdana" w:hAnsi="Verdana"/>
                    <w:sz w:val="18"/>
                    <w:szCs w:val="18"/>
                  </w:rPr>
                  <w:t>1206445</w:t>
                </w:r>
              </w:hyperlink>
              <w:r w:rsidRPr="002A1F9A">
                <w:t xml:space="preserve"> </w:t>
              </w:r>
              <w:r w:rsidRPr="002A1F9A">
                <w:rPr>
                  <w:rStyle w:val="Hyperlink"/>
                  <w:rFonts w:ascii="Verdana" w:hAnsi="Verdana"/>
                  <w:sz w:val="18"/>
                  <w:szCs w:val="18"/>
                </w:rPr>
                <w:t>bij de brief ‘Veiligheid op Universiteiten en hogescholen’</w:t>
              </w:r>
            </w:hyperlink>
            <w:r w:rsidRPr="002A1F9A">
              <w:rPr>
                <w:rFonts w:ascii="Verdana" w:hAnsi="Verdana"/>
                <w:sz w:val="18"/>
                <w:szCs w:val="18"/>
              </w:rPr>
              <w:t xml:space="preserve">, hebben noch het kabinet, noch de instellingen cijfers op het gebied van onveiligheid onder Joodse studenten op onderwijsinstellingen. </w:t>
            </w:r>
          </w:p>
          <w:p w:rsidRPr="002A1F9A" w:rsidR="00C20DA7" w:rsidP="00C20DA7" w:rsidRDefault="00C20DA7" w14:paraId="203C1C2B" w14:textId="77777777">
            <w:pPr>
              <w:rPr>
                <w:rFonts w:ascii="Verdana" w:hAnsi="Verdana"/>
                <w:sz w:val="18"/>
                <w:szCs w:val="18"/>
              </w:rPr>
            </w:pPr>
            <w:r w:rsidRPr="002A1F9A">
              <w:rPr>
                <w:rFonts w:ascii="Verdana" w:hAnsi="Verdana"/>
                <w:sz w:val="18"/>
                <w:szCs w:val="18"/>
              </w:rPr>
              <w:t>Vanuit overwegingen omtrent vertrouwelijkheid en privacywetgeving worden religieuze of levensbeschouwelijke overtuigingen van studenten niet geregistreerd.</w:t>
            </w:r>
          </w:p>
          <w:p w:rsidRPr="002A1F9A" w:rsidR="00C20DA7" w:rsidP="00C20DA7" w:rsidRDefault="00C20DA7" w14:paraId="1B49EAF1" w14:textId="006496C9">
            <w:pPr>
              <w:rPr>
                <w:rFonts w:ascii="Verdana" w:hAnsi="Verdana"/>
                <w:sz w:val="18"/>
                <w:szCs w:val="18"/>
              </w:rPr>
            </w:pPr>
          </w:p>
        </w:tc>
        <w:tc>
          <w:tcPr>
            <w:tcW w:w="850" w:type="dxa"/>
            <w:gridSpan w:val="2"/>
          </w:tcPr>
          <w:p w:rsidRPr="002A1F9A" w:rsidR="001256CA" w:rsidRDefault="001856D0" w14:paraId="7DC6E3F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522427FD" w14:textId="77777777">
            <w:pPr>
              <w:jc w:val="right"/>
              <w:rPr>
                <w:rFonts w:ascii="Verdana" w:hAnsi="Verdana"/>
                <w:sz w:val="18"/>
                <w:szCs w:val="18"/>
              </w:rPr>
            </w:pPr>
          </w:p>
        </w:tc>
        <w:tc>
          <w:tcPr>
            <w:tcW w:w="567" w:type="dxa"/>
            <w:tcBorders>
              <w:left w:val="nil"/>
            </w:tcBorders>
          </w:tcPr>
          <w:p w:rsidRPr="002A1F9A" w:rsidR="001256CA" w:rsidRDefault="001856D0" w14:paraId="501EE3A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215D7494" w14:textId="77777777">
        <w:tc>
          <w:tcPr>
            <w:tcW w:w="567" w:type="dxa"/>
          </w:tcPr>
          <w:p w:rsidRPr="002A1F9A" w:rsidR="001256CA" w:rsidRDefault="001856D0" w14:paraId="34EC89CF" w14:textId="77777777">
            <w:pPr>
              <w:rPr>
                <w:rFonts w:ascii="Verdana" w:hAnsi="Verdana"/>
                <w:sz w:val="18"/>
                <w:szCs w:val="18"/>
              </w:rPr>
            </w:pPr>
            <w:r w:rsidRPr="002A1F9A">
              <w:rPr>
                <w:rFonts w:ascii="Verdana" w:hAnsi="Verdana"/>
                <w:sz w:val="18"/>
                <w:szCs w:val="18"/>
              </w:rPr>
              <w:t>29</w:t>
            </w:r>
          </w:p>
        </w:tc>
        <w:tc>
          <w:tcPr>
            <w:tcW w:w="6521" w:type="dxa"/>
            <w:gridSpan w:val="7"/>
          </w:tcPr>
          <w:p w:rsidRPr="002A1F9A" w:rsidR="001256CA" w:rsidRDefault="001856D0" w14:paraId="5667F134" w14:textId="77777777">
            <w:pPr>
              <w:rPr>
                <w:rFonts w:ascii="Verdana" w:hAnsi="Verdana"/>
                <w:sz w:val="18"/>
                <w:szCs w:val="18"/>
              </w:rPr>
            </w:pPr>
            <w:r w:rsidRPr="002A1F9A">
              <w:rPr>
                <w:rFonts w:ascii="Verdana" w:hAnsi="Verdana"/>
                <w:sz w:val="18"/>
                <w:szCs w:val="18"/>
              </w:rPr>
              <w:t xml:space="preserve">Hoeveel opleidingen en onderwijsinstellingen maken op dit moment gebruik van een </w:t>
            </w:r>
            <w:proofErr w:type="spellStart"/>
            <w:r w:rsidRPr="002A1F9A" w:rsidR="00B520A1">
              <w:rPr>
                <w:rFonts w:ascii="Verdana" w:hAnsi="Verdana"/>
                <w:sz w:val="18"/>
                <w:szCs w:val="18"/>
              </w:rPr>
              <w:t>bsa</w:t>
            </w:r>
            <w:proofErr w:type="spellEnd"/>
            <w:r w:rsidRPr="002A1F9A" w:rsidR="00B520A1">
              <w:rPr>
                <w:rStyle w:val="Voetnootmarkering"/>
                <w:rFonts w:ascii="Verdana" w:hAnsi="Verdana"/>
                <w:sz w:val="18"/>
                <w:szCs w:val="18"/>
              </w:rPr>
              <w:footnoteReference w:id="6"/>
            </w:r>
            <w:r w:rsidRPr="002A1F9A">
              <w:rPr>
                <w:rFonts w:ascii="Verdana" w:hAnsi="Verdana"/>
                <w:sz w:val="18"/>
                <w:szCs w:val="18"/>
              </w:rPr>
              <w:t>?</w:t>
            </w:r>
          </w:p>
          <w:p w:rsidRPr="002A1F9A" w:rsidR="008040A7" w:rsidRDefault="008040A7" w14:paraId="684FA4A9" w14:textId="77777777">
            <w:pPr>
              <w:rPr>
                <w:rFonts w:ascii="Verdana" w:hAnsi="Verdana"/>
                <w:sz w:val="18"/>
                <w:szCs w:val="18"/>
              </w:rPr>
            </w:pPr>
          </w:p>
          <w:p w:rsidRPr="002A1F9A" w:rsidR="008040A7" w:rsidP="008040A7" w:rsidRDefault="008040A7" w14:paraId="526CD2C4" w14:textId="77777777">
            <w:pPr>
              <w:rPr>
                <w:rFonts w:ascii="Verdana" w:hAnsi="Verdana"/>
                <w:sz w:val="18"/>
                <w:szCs w:val="18"/>
              </w:rPr>
            </w:pPr>
            <w:r w:rsidRPr="002A1F9A">
              <w:rPr>
                <w:rFonts w:ascii="Verdana" w:hAnsi="Verdana"/>
                <w:sz w:val="18"/>
                <w:szCs w:val="18"/>
              </w:rPr>
              <w:t>Er wordt niet centraal bijgehouden hoeveel opleidingen een bindend studieadvies (</w:t>
            </w:r>
            <w:proofErr w:type="spellStart"/>
            <w:r w:rsidRPr="002A1F9A">
              <w:rPr>
                <w:rFonts w:ascii="Verdana" w:hAnsi="Verdana"/>
                <w:sz w:val="18"/>
                <w:szCs w:val="18"/>
              </w:rPr>
              <w:t>bsa</w:t>
            </w:r>
            <w:proofErr w:type="spellEnd"/>
            <w:r w:rsidRPr="002A1F9A">
              <w:rPr>
                <w:rFonts w:ascii="Verdana" w:hAnsi="Verdana"/>
                <w:sz w:val="18"/>
                <w:szCs w:val="18"/>
              </w:rPr>
              <w:t xml:space="preserve">) hanteren. Koepelorganisatie Universiteiten van Nederland (UNL) heeft in 2023 een </w:t>
            </w:r>
            <w:hyperlink w:history="1" r:id="rId24">
              <w:proofErr w:type="spellStart"/>
              <w:r w:rsidRPr="002A1F9A">
                <w:rPr>
                  <w:rStyle w:val="Hyperlink"/>
                  <w:rFonts w:ascii="Verdana" w:hAnsi="Verdana"/>
                  <w:sz w:val="18"/>
                  <w:szCs w:val="18"/>
                </w:rPr>
                <w:t>factsheet</w:t>
              </w:r>
              <w:proofErr w:type="spellEnd"/>
            </w:hyperlink>
            <w:r w:rsidRPr="002A1F9A">
              <w:rPr>
                <w:rFonts w:ascii="Verdana" w:hAnsi="Verdana"/>
                <w:sz w:val="18"/>
                <w:szCs w:val="18"/>
              </w:rPr>
              <w:t xml:space="preserve"> over het </w:t>
            </w:r>
            <w:proofErr w:type="spellStart"/>
            <w:r w:rsidRPr="002A1F9A">
              <w:rPr>
                <w:rFonts w:ascii="Verdana" w:hAnsi="Verdana"/>
                <w:sz w:val="18"/>
                <w:szCs w:val="18"/>
              </w:rPr>
              <w:t>bsa</w:t>
            </w:r>
            <w:proofErr w:type="spellEnd"/>
            <w:r w:rsidRPr="002A1F9A">
              <w:rPr>
                <w:rFonts w:ascii="Verdana" w:hAnsi="Verdana"/>
                <w:sz w:val="18"/>
                <w:szCs w:val="18"/>
              </w:rPr>
              <w:t xml:space="preserve"> opgesteld, met daarin een overzicht van de gehanteerde </w:t>
            </w:r>
            <w:proofErr w:type="spellStart"/>
            <w:r w:rsidRPr="002A1F9A">
              <w:rPr>
                <w:rFonts w:ascii="Verdana" w:hAnsi="Verdana"/>
                <w:sz w:val="18"/>
                <w:szCs w:val="18"/>
              </w:rPr>
              <w:t>bsa</w:t>
            </w:r>
            <w:proofErr w:type="spellEnd"/>
            <w:r w:rsidRPr="002A1F9A">
              <w:rPr>
                <w:rFonts w:ascii="Verdana" w:hAnsi="Verdana"/>
                <w:sz w:val="18"/>
                <w:szCs w:val="18"/>
              </w:rPr>
              <w:t xml:space="preserve">-normen binnen universiteiten. Uit dit overzicht blijkt dat, met uitzonderingen van enkele opleidingen bij de universiteit Maastricht, alle universiteiten een </w:t>
            </w:r>
            <w:proofErr w:type="spellStart"/>
            <w:r w:rsidRPr="002A1F9A">
              <w:rPr>
                <w:rFonts w:ascii="Verdana" w:hAnsi="Verdana"/>
                <w:sz w:val="18"/>
                <w:szCs w:val="18"/>
              </w:rPr>
              <w:t>bsa</w:t>
            </w:r>
            <w:proofErr w:type="spellEnd"/>
            <w:r w:rsidRPr="002A1F9A">
              <w:rPr>
                <w:rFonts w:ascii="Verdana" w:hAnsi="Verdana"/>
                <w:sz w:val="18"/>
                <w:szCs w:val="18"/>
              </w:rPr>
              <w:t xml:space="preserve"> hanteren. Voor hogescholen is een dergelijk overzicht niet beschikbaar.</w:t>
            </w:r>
          </w:p>
          <w:p w:rsidRPr="002A1F9A" w:rsidR="008040A7" w:rsidRDefault="008040A7" w14:paraId="716F8757" w14:textId="61084A84">
            <w:pPr>
              <w:rPr>
                <w:rFonts w:ascii="Verdana" w:hAnsi="Verdana"/>
                <w:sz w:val="18"/>
                <w:szCs w:val="18"/>
              </w:rPr>
            </w:pPr>
          </w:p>
        </w:tc>
        <w:tc>
          <w:tcPr>
            <w:tcW w:w="850" w:type="dxa"/>
            <w:gridSpan w:val="2"/>
          </w:tcPr>
          <w:p w:rsidRPr="002A1F9A" w:rsidR="001256CA" w:rsidRDefault="001856D0" w14:paraId="5EA7F6D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6CB54EAD" w14:textId="77777777">
            <w:pPr>
              <w:jc w:val="right"/>
              <w:rPr>
                <w:rFonts w:ascii="Verdana" w:hAnsi="Verdana"/>
                <w:sz w:val="18"/>
                <w:szCs w:val="18"/>
              </w:rPr>
            </w:pPr>
          </w:p>
        </w:tc>
        <w:tc>
          <w:tcPr>
            <w:tcW w:w="567" w:type="dxa"/>
            <w:tcBorders>
              <w:left w:val="nil"/>
            </w:tcBorders>
          </w:tcPr>
          <w:p w:rsidRPr="002A1F9A" w:rsidR="001256CA" w:rsidRDefault="001856D0" w14:paraId="0298220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43A993F9" w14:textId="77777777">
        <w:tc>
          <w:tcPr>
            <w:tcW w:w="567" w:type="dxa"/>
          </w:tcPr>
          <w:p w:rsidRPr="002A1F9A" w:rsidR="001256CA" w:rsidRDefault="001856D0" w14:paraId="194E210B" w14:textId="77777777">
            <w:pPr>
              <w:rPr>
                <w:rFonts w:ascii="Verdana" w:hAnsi="Verdana"/>
                <w:sz w:val="18"/>
                <w:szCs w:val="18"/>
              </w:rPr>
            </w:pPr>
            <w:r w:rsidRPr="002A1F9A">
              <w:rPr>
                <w:rFonts w:ascii="Verdana" w:hAnsi="Verdana"/>
                <w:sz w:val="18"/>
                <w:szCs w:val="18"/>
              </w:rPr>
              <w:t>30</w:t>
            </w:r>
          </w:p>
        </w:tc>
        <w:tc>
          <w:tcPr>
            <w:tcW w:w="6521" w:type="dxa"/>
            <w:gridSpan w:val="7"/>
          </w:tcPr>
          <w:p w:rsidRPr="002A1F9A" w:rsidR="001256CA" w:rsidRDefault="001856D0" w14:paraId="1CBFC362" w14:textId="77777777">
            <w:pPr>
              <w:rPr>
                <w:rFonts w:ascii="Verdana" w:hAnsi="Verdana"/>
                <w:sz w:val="18"/>
                <w:szCs w:val="18"/>
              </w:rPr>
            </w:pPr>
            <w:r w:rsidRPr="002A1F9A">
              <w:rPr>
                <w:rFonts w:ascii="Verdana" w:hAnsi="Verdana"/>
                <w:sz w:val="18"/>
                <w:szCs w:val="18"/>
              </w:rPr>
              <w:t>Welke onderwijsinstellingen en/of opleidingen zijn voornemens de</w:t>
            </w:r>
            <w:r w:rsidRPr="002A1F9A">
              <w:rPr>
                <w:rFonts w:ascii="Verdana" w:hAnsi="Verdana"/>
                <w:sz w:val="18"/>
                <w:szCs w:val="18"/>
              </w:rPr>
              <w:br/>
              <w:t>mogelijkheid af te schaffen om cum laude af te studeren?</w:t>
            </w:r>
          </w:p>
          <w:p w:rsidRPr="002A1F9A" w:rsidR="00C621AC" w:rsidRDefault="00C621AC" w14:paraId="284FD686" w14:textId="77777777">
            <w:pPr>
              <w:rPr>
                <w:rFonts w:ascii="Verdana" w:hAnsi="Verdana"/>
                <w:sz w:val="18"/>
                <w:szCs w:val="18"/>
              </w:rPr>
            </w:pPr>
          </w:p>
          <w:p w:rsidRPr="002A1F9A" w:rsidR="00C621AC" w:rsidRDefault="00C621AC" w14:paraId="4BB6E49A" w14:textId="58B2536A">
            <w:pPr>
              <w:rPr>
                <w:rFonts w:ascii="Verdana" w:hAnsi="Verdana"/>
                <w:sz w:val="18"/>
                <w:szCs w:val="18"/>
              </w:rPr>
            </w:pPr>
            <w:r w:rsidRPr="002A1F9A">
              <w:rPr>
                <w:rFonts w:ascii="Verdana" w:hAnsi="Verdana"/>
                <w:sz w:val="18"/>
                <w:szCs w:val="18"/>
              </w:rPr>
              <w:t xml:space="preserve">Er is geen overzicht van onderwijsinstellingen of opleidingen die voornemens zijn de mogelijkheid af te schaffen om cum laude af te studeren. Sinds </w:t>
            </w:r>
            <w:hyperlink w:history="1" r:id="rId25">
              <w:r w:rsidRPr="002A1F9A">
                <w:rPr>
                  <w:rStyle w:val="Hyperlink"/>
                  <w:rFonts w:ascii="Verdana" w:hAnsi="Verdana"/>
                  <w:sz w:val="18"/>
                  <w:szCs w:val="18"/>
                </w:rPr>
                <w:t>deze vraag</w:t>
              </w:r>
            </w:hyperlink>
            <w:r w:rsidRPr="002A1F9A">
              <w:rPr>
                <w:rFonts w:ascii="Verdana" w:hAnsi="Verdana"/>
                <w:sz w:val="18"/>
                <w:szCs w:val="18"/>
              </w:rPr>
              <w:t xml:space="preserve"> reeds eerder gesteld werd tijdens de vaststelling van de begroting </w:t>
            </w:r>
            <w:r w:rsidRPr="002A1F9A" w:rsidR="006D4387">
              <w:rPr>
                <w:rFonts w:ascii="Verdana" w:hAnsi="Verdana"/>
                <w:sz w:val="18"/>
                <w:szCs w:val="18"/>
              </w:rPr>
              <w:t xml:space="preserve">2025 </w:t>
            </w:r>
            <w:r w:rsidRPr="002A1F9A">
              <w:rPr>
                <w:rFonts w:ascii="Verdana" w:hAnsi="Verdana"/>
                <w:sz w:val="18"/>
                <w:szCs w:val="18"/>
              </w:rPr>
              <w:t xml:space="preserve">van het </w:t>
            </w:r>
            <w:r w:rsidRPr="002A1F9A" w:rsidR="009A3C2E">
              <w:rPr>
                <w:rFonts w:ascii="Verdana" w:hAnsi="Verdana"/>
                <w:sz w:val="18"/>
                <w:szCs w:val="18"/>
              </w:rPr>
              <w:t>m</w:t>
            </w:r>
            <w:r w:rsidRPr="002A1F9A">
              <w:rPr>
                <w:rFonts w:ascii="Verdana" w:hAnsi="Verdana"/>
                <w:sz w:val="18"/>
                <w:szCs w:val="18"/>
              </w:rPr>
              <w:t>inisterie van OCW eind vorig jaar, zijn bij mij ook geen (nieuwe) signalen bekend. Instellingen nemen de eisen om de aantekening cum laude te ontvangen op in de onderwijs- en examenregeling (OER) of de Regels en Richtlijnen van de examencommissie.</w:t>
            </w:r>
          </w:p>
          <w:p w:rsidRPr="002A1F9A" w:rsidR="00C621AC" w:rsidRDefault="00C621AC" w14:paraId="65567437" w14:textId="19E5A015">
            <w:pPr>
              <w:rPr>
                <w:rFonts w:ascii="Verdana" w:hAnsi="Verdana"/>
                <w:sz w:val="18"/>
                <w:szCs w:val="18"/>
              </w:rPr>
            </w:pPr>
          </w:p>
        </w:tc>
        <w:tc>
          <w:tcPr>
            <w:tcW w:w="850" w:type="dxa"/>
            <w:gridSpan w:val="2"/>
          </w:tcPr>
          <w:p w:rsidRPr="002A1F9A" w:rsidR="001256CA" w:rsidRDefault="001856D0" w14:paraId="40B55E49"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08EEFD7A" w14:textId="77777777">
            <w:pPr>
              <w:jc w:val="right"/>
              <w:rPr>
                <w:rFonts w:ascii="Verdana" w:hAnsi="Verdana"/>
                <w:sz w:val="18"/>
                <w:szCs w:val="18"/>
              </w:rPr>
            </w:pPr>
          </w:p>
        </w:tc>
        <w:tc>
          <w:tcPr>
            <w:tcW w:w="567" w:type="dxa"/>
            <w:tcBorders>
              <w:left w:val="nil"/>
            </w:tcBorders>
          </w:tcPr>
          <w:p w:rsidRPr="002A1F9A" w:rsidR="001256CA" w:rsidRDefault="001856D0" w14:paraId="537ED47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0E10ECB" w14:textId="77777777">
        <w:tc>
          <w:tcPr>
            <w:tcW w:w="567" w:type="dxa"/>
          </w:tcPr>
          <w:p w:rsidRPr="002A1F9A" w:rsidR="001256CA" w:rsidRDefault="001856D0" w14:paraId="5B9EA0E1" w14:textId="77777777">
            <w:pPr>
              <w:rPr>
                <w:rFonts w:ascii="Verdana" w:hAnsi="Verdana"/>
                <w:sz w:val="18"/>
                <w:szCs w:val="18"/>
              </w:rPr>
            </w:pPr>
            <w:r w:rsidRPr="002A1F9A">
              <w:rPr>
                <w:rFonts w:ascii="Verdana" w:hAnsi="Verdana"/>
                <w:sz w:val="18"/>
                <w:szCs w:val="18"/>
              </w:rPr>
              <w:t>31</w:t>
            </w:r>
          </w:p>
        </w:tc>
        <w:tc>
          <w:tcPr>
            <w:tcW w:w="6521" w:type="dxa"/>
            <w:gridSpan w:val="7"/>
          </w:tcPr>
          <w:p w:rsidRPr="002A1F9A" w:rsidR="001256CA" w:rsidRDefault="001856D0" w14:paraId="144D7306" w14:textId="77777777">
            <w:pPr>
              <w:rPr>
                <w:rFonts w:ascii="Verdana" w:hAnsi="Verdana"/>
                <w:sz w:val="18"/>
                <w:szCs w:val="18"/>
              </w:rPr>
            </w:pPr>
            <w:bookmarkStart w:name="_Hlk212548410" w:id="16"/>
            <w:r w:rsidRPr="002A1F9A">
              <w:rPr>
                <w:rFonts w:ascii="Verdana" w:hAnsi="Verdana"/>
                <w:sz w:val="18"/>
                <w:szCs w:val="18"/>
              </w:rPr>
              <w:t>Vanuit welke sectoren komen zij-instromers veelal?</w:t>
            </w:r>
          </w:p>
          <w:p w:rsidRPr="002A1F9A" w:rsidR="00325C76" w:rsidRDefault="00325C76" w14:paraId="5F0A2422" w14:textId="77777777">
            <w:pPr>
              <w:rPr>
                <w:rFonts w:ascii="Verdana" w:hAnsi="Verdana"/>
                <w:sz w:val="18"/>
                <w:szCs w:val="18"/>
              </w:rPr>
            </w:pPr>
          </w:p>
          <w:p w:rsidRPr="002A1F9A" w:rsidR="00325C76" w:rsidP="00325C76" w:rsidRDefault="00325C76" w14:paraId="23191960" w14:textId="303724A7">
            <w:pPr>
              <w:rPr>
                <w:rFonts w:ascii="Verdana" w:hAnsi="Verdana"/>
                <w:sz w:val="18"/>
                <w:szCs w:val="18"/>
              </w:rPr>
            </w:pPr>
            <w:r w:rsidRPr="002A1F9A">
              <w:rPr>
                <w:rFonts w:ascii="Verdana" w:hAnsi="Verdana"/>
                <w:sz w:val="18"/>
                <w:szCs w:val="18"/>
              </w:rPr>
              <w:t xml:space="preserve">Op basis van DUO-gegevens over subsidieaanvragen voor zij-instromers in beroep voor 2025 blijkt dat zij-instromers veelal uit de branches </w:t>
            </w:r>
            <w:r w:rsidRPr="002A1F9A" w:rsidR="00DB2693">
              <w:rPr>
                <w:rFonts w:ascii="Verdana" w:hAnsi="Verdana"/>
                <w:sz w:val="18"/>
                <w:szCs w:val="18"/>
              </w:rPr>
              <w:t xml:space="preserve">Informatie en communicatie (4%), </w:t>
            </w:r>
            <w:r w:rsidRPr="002A1F9A">
              <w:rPr>
                <w:rFonts w:ascii="Verdana" w:hAnsi="Verdana"/>
                <w:sz w:val="18"/>
                <w:szCs w:val="18"/>
              </w:rPr>
              <w:t>Gezondheids- en Welzijnszorg (16</w:t>
            </w:r>
            <w:r w:rsidRPr="002A1F9A" w:rsidR="00DB2693">
              <w:rPr>
                <w:rFonts w:ascii="Verdana" w:hAnsi="Verdana"/>
                <w:sz w:val="18"/>
                <w:szCs w:val="18"/>
              </w:rPr>
              <w:t>%)</w:t>
            </w:r>
            <w:r w:rsidRPr="002A1F9A">
              <w:rPr>
                <w:rFonts w:ascii="Verdana" w:hAnsi="Verdana"/>
                <w:sz w:val="18"/>
                <w:szCs w:val="18"/>
              </w:rPr>
              <w:t>, Onderwijs (24%) en Overige dienstverlening (32%) komen.</w:t>
            </w:r>
          </w:p>
          <w:bookmarkEnd w:id="16"/>
          <w:p w:rsidRPr="002A1F9A" w:rsidR="00325C76" w:rsidRDefault="00325C76" w14:paraId="6F8EC761" w14:textId="77777777">
            <w:pPr>
              <w:rPr>
                <w:rFonts w:ascii="Verdana" w:hAnsi="Verdana"/>
                <w:sz w:val="18"/>
                <w:szCs w:val="18"/>
              </w:rPr>
            </w:pPr>
          </w:p>
        </w:tc>
        <w:tc>
          <w:tcPr>
            <w:tcW w:w="850" w:type="dxa"/>
            <w:gridSpan w:val="2"/>
          </w:tcPr>
          <w:p w:rsidRPr="002A1F9A" w:rsidR="001256CA" w:rsidRDefault="001856D0" w14:paraId="5383C6C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016E9C57" w14:textId="77777777">
            <w:pPr>
              <w:jc w:val="right"/>
              <w:rPr>
                <w:rFonts w:ascii="Verdana" w:hAnsi="Verdana"/>
                <w:sz w:val="18"/>
                <w:szCs w:val="18"/>
              </w:rPr>
            </w:pPr>
          </w:p>
        </w:tc>
        <w:tc>
          <w:tcPr>
            <w:tcW w:w="567" w:type="dxa"/>
            <w:tcBorders>
              <w:left w:val="nil"/>
            </w:tcBorders>
          </w:tcPr>
          <w:p w:rsidRPr="002A1F9A" w:rsidR="001256CA" w:rsidRDefault="001856D0" w14:paraId="0B705E5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0F638F2" w14:textId="77777777">
        <w:tc>
          <w:tcPr>
            <w:tcW w:w="567" w:type="dxa"/>
          </w:tcPr>
          <w:p w:rsidRPr="002A1F9A" w:rsidR="001256CA" w:rsidRDefault="001856D0" w14:paraId="05017481" w14:textId="77777777">
            <w:pPr>
              <w:rPr>
                <w:rFonts w:ascii="Verdana" w:hAnsi="Verdana"/>
                <w:sz w:val="18"/>
                <w:szCs w:val="18"/>
              </w:rPr>
            </w:pPr>
            <w:r w:rsidRPr="002A1F9A">
              <w:rPr>
                <w:rFonts w:ascii="Verdana" w:hAnsi="Verdana"/>
                <w:sz w:val="18"/>
                <w:szCs w:val="18"/>
              </w:rPr>
              <w:t>32</w:t>
            </w:r>
          </w:p>
        </w:tc>
        <w:tc>
          <w:tcPr>
            <w:tcW w:w="6521" w:type="dxa"/>
            <w:gridSpan w:val="7"/>
          </w:tcPr>
          <w:p w:rsidRPr="002A1F9A" w:rsidR="001256CA" w:rsidRDefault="001856D0" w14:paraId="676BE2F1" w14:textId="77777777">
            <w:pPr>
              <w:rPr>
                <w:rFonts w:ascii="Verdana" w:hAnsi="Verdana"/>
                <w:sz w:val="18"/>
                <w:szCs w:val="18"/>
              </w:rPr>
            </w:pPr>
            <w:r w:rsidRPr="002A1F9A">
              <w:rPr>
                <w:rFonts w:ascii="Verdana" w:hAnsi="Verdana"/>
                <w:sz w:val="18"/>
                <w:szCs w:val="18"/>
              </w:rPr>
              <w:t xml:space="preserve">Hoeveel </w:t>
            </w:r>
            <w:proofErr w:type="spellStart"/>
            <w:r w:rsidRPr="002A1F9A">
              <w:rPr>
                <w:rFonts w:ascii="Verdana" w:hAnsi="Verdana"/>
                <w:sz w:val="18"/>
                <w:szCs w:val="18"/>
              </w:rPr>
              <w:t>langstudeerders</w:t>
            </w:r>
            <w:proofErr w:type="spellEnd"/>
            <w:r w:rsidRPr="002A1F9A">
              <w:rPr>
                <w:rFonts w:ascii="Verdana" w:hAnsi="Verdana"/>
                <w:sz w:val="18"/>
                <w:szCs w:val="18"/>
              </w:rPr>
              <w:t xml:space="preserve"> zijn er in het hbo en in het wo? Hoe wordt</w:t>
            </w:r>
            <w:r w:rsidRPr="002A1F9A">
              <w:rPr>
                <w:rFonts w:ascii="Verdana" w:hAnsi="Verdana"/>
                <w:sz w:val="18"/>
                <w:szCs w:val="18"/>
              </w:rPr>
              <w:br/>
              <w:t>deze berekening gemaakt?</w:t>
            </w:r>
          </w:p>
          <w:p w:rsidRPr="002A1F9A" w:rsidR="00C621AC" w:rsidRDefault="00C621AC" w14:paraId="39404DF0" w14:textId="77777777">
            <w:pPr>
              <w:rPr>
                <w:rFonts w:ascii="Verdana" w:hAnsi="Verdana"/>
                <w:sz w:val="18"/>
                <w:szCs w:val="18"/>
              </w:rPr>
            </w:pPr>
          </w:p>
          <w:p w:rsidRPr="002A1F9A" w:rsidR="00C621AC" w:rsidP="00C621AC" w:rsidRDefault="00C621AC" w14:paraId="72FACF58" w14:textId="77777777">
            <w:pPr>
              <w:rPr>
                <w:rFonts w:ascii="Verdana" w:hAnsi="Verdana"/>
                <w:sz w:val="18"/>
                <w:szCs w:val="18"/>
              </w:rPr>
            </w:pPr>
            <w:r w:rsidRPr="002A1F9A">
              <w:rPr>
                <w:rFonts w:ascii="Verdana" w:hAnsi="Verdana"/>
                <w:sz w:val="18"/>
                <w:szCs w:val="18"/>
              </w:rPr>
              <w:lastRenderedPageBreak/>
              <w:t xml:space="preserve">Om inzicht te geven in het aantal </w:t>
            </w:r>
            <w:proofErr w:type="spellStart"/>
            <w:r w:rsidRPr="002A1F9A">
              <w:rPr>
                <w:rFonts w:ascii="Verdana" w:hAnsi="Verdana"/>
                <w:sz w:val="18"/>
                <w:szCs w:val="18"/>
              </w:rPr>
              <w:t>langstudeerders</w:t>
            </w:r>
            <w:proofErr w:type="spellEnd"/>
            <w:r w:rsidRPr="002A1F9A">
              <w:rPr>
                <w:rFonts w:ascii="Verdana" w:hAnsi="Verdana"/>
                <w:sz w:val="18"/>
                <w:szCs w:val="18"/>
              </w:rPr>
              <w:t xml:space="preserve"> in het hbo en wo is hier gekozen om cijfers te geven van het aantal voltijdsstudenten in studiejaar 2023-2024 dat minstens één jaar na afloop van de nominale studieduur nog steeds staat ingeschreven, maar nog niet beschikt over het diploma van de desbetreffende hbo- of wo-opleiding. In de berekening is nagegaan hoeveel studenten op de specifieke peildatum van 1-10-2023 langer dan de nominale studieduur+1 uitloopjaar ingeschreven stonden, zonder te beschikken over het diploma van de desbetreffende ho opleiding. De aantallen </w:t>
            </w:r>
            <w:proofErr w:type="spellStart"/>
            <w:r w:rsidRPr="002A1F9A">
              <w:rPr>
                <w:rFonts w:ascii="Verdana" w:hAnsi="Verdana"/>
                <w:sz w:val="18"/>
                <w:szCs w:val="18"/>
              </w:rPr>
              <w:t>langstudeerders</w:t>
            </w:r>
            <w:proofErr w:type="spellEnd"/>
            <w:r w:rsidRPr="002A1F9A">
              <w:rPr>
                <w:rFonts w:ascii="Verdana" w:hAnsi="Verdana"/>
                <w:sz w:val="18"/>
                <w:szCs w:val="18"/>
              </w:rPr>
              <w:t xml:space="preserve"> in studiejaar 2023-2024 zijn daarmee als volgt: </w:t>
            </w:r>
          </w:p>
          <w:p w:rsidRPr="002A1F9A" w:rsidR="00C621AC" w:rsidP="00C621AC" w:rsidRDefault="00C621AC" w14:paraId="1AF15709" w14:textId="77777777">
            <w:pPr>
              <w:pStyle w:val="Lijstalinea"/>
              <w:numPr>
                <w:ilvl w:val="0"/>
                <w:numId w:val="5"/>
              </w:numPr>
              <w:spacing w:before="60" w:after="60" w:line="240" w:lineRule="auto"/>
              <w:rPr>
                <w:szCs w:val="18"/>
              </w:rPr>
            </w:pPr>
            <w:r w:rsidRPr="002A1F9A">
              <w:rPr>
                <w:szCs w:val="18"/>
              </w:rPr>
              <w:t>HBO ad: 1.026 (4,3%)</w:t>
            </w:r>
          </w:p>
          <w:p w:rsidRPr="002A1F9A" w:rsidR="00C621AC" w:rsidP="00C621AC" w:rsidRDefault="00C621AC" w14:paraId="37A4B5AF" w14:textId="77777777">
            <w:pPr>
              <w:pStyle w:val="Lijstalinea"/>
              <w:numPr>
                <w:ilvl w:val="0"/>
                <w:numId w:val="5"/>
              </w:numPr>
              <w:spacing w:before="60" w:after="60" w:line="240" w:lineRule="auto"/>
              <w:rPr>
                <w:szCs w:val="18"/>
              </w:rPr>
            </w:pPr>
            <w:r w:rsidRPr="002A1F9A">
              <w:rPr>
                <w:szCs w:val="18"/>
              </w:rPr>
              <w:t>HBO bachelor: 48.904 (11,6%)</w:t>
            </w:r>
          </w:p>
          <w:p w:rsidRPr="002A1F9A" w:rsidR="00C621AC" w:rsidP="00C621AC" w:rsidRDefault="00C621AC" w14:paraId="44DAC401" w14:textId="77777777">
            <w:pPr>
              <w:pStyle w:val="Lijstalinea"/>
              <w:numPr>
                <w:ilvl w:val="0"/>
                <w:numId w:val="5"/>
              </w:numPr>
              <w:spacing w:before="60" w:after="60" w:line="240" w:lineRule="auto"/>
              <w:rPr>
                <w:szCs w:val="18"/>
              </w:rPr>
            </w:pPr>
            <w:r w:rsidRPr="002A1F9A">
              <w:rPr>
                <w:szCs w:val="18"/>
              </w:rPr>
              <w:t>HBO master: 295 (2%)</w:t>
            </w:r>
          </w:p>
          <w:p w:rsidRPr="002A1F9A" w:rsidR="00C621AC" w:rsidP="00C621AC" w:rsidRDefault="00C621AC" w14:paraId="179E3481" w14:textId="77777777">
            <w:pPr>
              <w:pStyle w:val="Lijstalinea"/>
              <w:numPr>
                <w:ilvl w:val="0"/>
                <w:numId w:val="5"/>
              </w:numPr>
              <w:spacing w:before="60" w:after="60" w:line="240" w:lineRule="auto"/>
              <w:rPr>
                <w:szCs w:val="18"/>
              </w:rPr>
            </w:pPr>
            <w:r w:rsidRPr="002A1F9A">
              <w:rPr>
                <w:szCs w:val="18"/>
              </w:rPr>
              <w:t>WO bachelor: 28.601 (13%)</w:t>
            </w:r>
          </w:p>
          <w:p w:rsidRPr="002A1F9A" w:rsidR="00C621AC" w:rsidP="00C621AC" w:rsidRDefault="00C621AC" w14:paraId="2B51000C" w14:textId="77777777">
            <w:pPr>
              <w:pStyle w:val="Lijstalinea"/>
              <w:numPr>
                <w:ilvl w:val="0"/>
                <w:numId w:val="5"/>
              </w:numPr>
              <w:spacing w:before="60" w:after="60" w:line="240" w:lineRule="auto"/>
              <w:rPr>
                <w:szCs w:val="18"/>
              </w:rPr>
            </w:pPr>
            <w:r w:rsidRPr="002A1F9A">
              <w:rPr>
                <w:szCs w:val="18"/>
              </w:rPr>
              <w:t>WO master: 14.125 (11,7%)</w:t>
            </w:r>
          </w:p>
          <w:p w:rsidRPr="002A1F9A" w:rsidR="00C621AC" w:rsidP="00C621AC" w:rsidRDefault="00C621AC" w14:paraId="77DCB524" w14:textId="0B0C69DB">
            <w:pPr>
              <w:pStyle w:val="Lijstalinea"/>
              <w:numPr>
                <w:ilvl w:val="0"/>
                <w:numId w:val="5"/>
              </w:numPr>
              <w:rPr>
                <w:szCs w:val="18"/>
              </w:rPr>
            </w:pPr>
            <w:r w:rsidRPr="002A1F9A">
              <w:rPr>
                <w:szCs w:val="18"/>
              </w:rPr>
              <w:t>WO post master: 207 (17,2%)</w:t>
            </w:r>
          </w:p>
          <w:p w:rsidRPr="002A1F9A" w:rsidR="00C621AC" w:rsidP="00C621AC" w:rsidRDefault="00C621AC" w14:paraId="23DF2034" w14:textId="5D7B9543">
            <w:pPr>
              <w:rPr>
                <w:rFonts w:ascii="Verdana" w:hAnsi="Verdana"/>
                <w:sz w:val="18"/>
                <w:szCs w:val="18"/>
              </w:rPr>
            </w:pPr>
          </w:p>
        </w:tc>
        <w:tc>
          <w:tcPr>
            <w:tcW w:w="850" w:type="dxa"/>
            <w:gridSpan w:val="2"/>
          </w:tcPr>
          <w:p w:rsidRPr="002A1F9A" w:rsidR="001256CA" w:rsidRDefault="001856D0" w14:paraId="41E32C3A"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256CA" w14:paraId="432495E5" w14:textId="77777777">
            <w:pPr>
              <w:jc w:val="right"/>
              <w:rPr>
                <w:rFonts w:ascii="Verdana" w:hAnsi="Verdana"/>
                <w:sz w:val="18"/>
                <w:szCs w:val="18"/>
              </w:rPr>
            </w:pPr>
          </w:p>
        </w:tc>
        <w:tc>
          <w:tcPr>
            <w:tcW w:w="567" w:type="dxa"/>
            <w:tcBorders>
              <w:left w:val="nil"/>
            </w:tcBorders>
          </w:tcPr>
          <w:p w:rsidRPr="002A1F9A" w:rsidR="001256CA" w:rsidRDefault="001856D0" w14:paraId="6D97507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57196952" w14:textId="77777777">
        <w:tc>
          <w:tcPr>
            <w:tcW w:w="567" w:type="dxa"/>
          </w:tcPr>
          <w:p w:rsidRPr="002A1F9A" w:rsidR="001256CA" w:rsidRDefault="001856D0" w14:paraId="60F38EC7" w14:textId="77777777">
            <w:pPr>
              <w:rPr>
                <w:rFonts w:ascii="Verdana" w:hAnsi="Verdana"/>
                <w:sz w:val="18"/>
                <w:szCs w:val="18"/>
              </w:rPr>
            </w:pPr>
            <w:bookmarkStart w:name="_Hlk212564075" w:id="17"/>
            <w:r w:rsidRPr="002A1F9A">
              <w:rPr>
                <w:rFonts w:ascii="Verdana" w:hAnsi="Verdana"/>
                <w:sz w:val="18"/>
                <w:szCs w:val="18"/>
              </w:rPr>
              <w:t>33</w:t>
            </w:r>
          </w:p>
        </w:tc>
        <w:tc>
          <w:tcPr>
            <w:tcW w:w="6521" w:type="dxa"/>
            <w:gridSpan w:val="7"/>
          </w:tcPr>
          <w:p w:rsidRPr="002A1F9A" w:rsidR="001256CA" w:rsidRDefault="001856D0" w14:paraId="0327EBDD" w14:textId="77777777">
            <w:pPr>
              <w:rPr>
                <w:rFonts w:ascii="Verdana" w:hAnsi="Verdana"/>
                <w:sz w:val="18"/>
                <w:szCs w:val="18"/>
              </w:rPr>
            </w:pPr>
            <w:r w:rsidRPr="002A1F9A">
              <w:rPr>
                <w:rFonts w:ascii="Verdana" w:hAnsi="Verdana"/>
                <w:sz w:val="18"/>
                <w:szCs w:val="18"/>
              </w:rPr>
              <w:t>Hoeveel procent van de studenten studeert nominaal af?</w:t>
            </w:r>
          </w:p>
          <w:p w:rsidRPr="002A1F9A" w:rsidR="00C621AC" w:rsidRDefault="00C621AC" w14:paraId="11FB9FE0" w14:textId="77777777">
            <w:pPr>
              <w:rPr>
                <w:rFonts w:ascii="Verdana" w:hAnsi="Verdana"/>
                <w:sz w:val="18"/>
                <w:szCs w:val="18"/>
              </w:rPr>
            </w:pPr>
          </w:p>
          <w:p w:rsidRPr="002A1F9A" w:rsidR="002909F8" w:rsidP="002909F8" w:rsidRDefault="00C621AC" w14:paraId="0FD8E2F9" w14:textId="03985AE9">
            <w:pPr>
              <w:rPr>
                <w:rFonts w:ascii="Verdana" w:hAnsi="Verdana"/>
                <w:sz w:val="18"/>
                <w:szCs w:val="18"/>
              </w:rPr>
            </w:pPr>
            <w:r w:rsidRPr="002A1F9A">
              <w:rPr>
                <w:rFonts w:ascii="Verdana" w:hAnsi="Verdana"/>
                <w:sz w:val="18"/>
                <w:szCs w:val="18"/>
              </w:rPr>
              <w:t>O</w:t>
            </w:r>
            <w:r w:rsidRPr="002A1F9A" w:rsidR="002909F8">
              <w:rPr>
                <w:rFonts w:ascii="Verdana" w:hAnsi="Verdana"/>
                <w:sz w:val="18"/>
                <w:szCs w:val="18"/>
              </w:rPr>
              <w:t xml:space="preserve"> Om het percentage te berekenen van studenten die binnen de nominale studieduur afstuderen, is uitgegaan van instroomcohort 2016-2017. </w:t>
            </w:r>
          </w:p>
          <w:p w:rsidRPr="002A1F9A" w:rsidR="002909F8" w:rsidP="002909F8" w:rsidRDefault="002909F8" w14:paraId="0E881B8A" w14:textId="77777777">
            <w:pPr>
              <w:rPr>
                <w:rFonts w:ascii="Verdana" w:hAnsi="Verdana"/>
                <w:sz w:val="18"/>
                <w:szCs w:val="18"/>
              </w:rPr>
            </w:pPr>
            <w:r w:rsidRPr="002A1F9A">
              <w:rPr>
                <w:rFonts w:ascii="Verdana" w:hAnsi="Verdana"/>
                <w:sz w:val="18"/>
                <w:szCs w:val="18"/>
              </w:rPr>
              <w:t>Alle (binnen de nominale studieduur van de opleiding waarin men is ingestroomd) behaalde hbo- en wo-diploma’s (ongeacht soort/ type onderwijs, en ongeacht de opleiding waarin men is ingestroomd) tellen mee in de berekening van de percentages.</w:t>
            </w:r>
          </w:p>
          <w:p w:rsidRPr="002A1F9A" w:rsidR="002909F8" w:rsidP="002909F8" w:rsidRDefault="002909F8" w14:paraId="16952FA3" w14:textId="77777777">
            <w:pPr>
              <w:rPr>
                <w:rFonts w:ascii="Verdana" w:hAnsi="Verdana"/>
                <w:sz w:val="18"/>
                <w:szCs w:val="18"/>
              </w:rPr>
            </w:pPr>
            <w:r w:rsidRPr="002A1F9A">
              <w:rPr>
                <w:rFonts w:ascii="Verdana" w:hAnsi="Verdana"/>
                <w:sz w:val="18"/>
                <w:szCs w:val="18"/>
              </w:rPr>
              <w:t>Studenten die tegelijkertijd stonden ingeschreven in meerdere types onderwijs (</w:t>
            </w:r>
            <w:proofErr w:type="spellStart"/>
            <w:r w:rsidRPr="002A1F9A">
              <w:rPr>
                <w:rFonts w:ascii="Verdana" w:hAnsi="Verdana"/>
                <w:sz w:val="18"/>
                <w:szCs w:val="18"/>
              </w:rPr>
              <w:t>associate</w:t>
            </w:r>
            <w:proofErr w:type="spellEnd"/>
            <w:r w:rsidRPr="002A1F9A">
              <w:rPr>
                <w:rFonts w:ascii="Verdana" w:hAnsi="Verdana"/>
                <w:sz w:val="18"/>
                <w:szCs w:val="18"/>
              </w:rPr>
              <w:t xml:space="preserve"> </w:t>
            </w:r>
            <w:proofErr w:type="spellStart"/>
            <w:r w:rsidRPr="002A1F9A">
              <w:rPr>
                <w:rFonts w:ascii="Verdana" w:hAnsi="Verdana"/>
                <w:sz w:val="18"/>
                <w:szCs w:val="18"/>
              </w:rPr>
              <w:t>degree</w:t>
            </w:r>
            <w:proofErr w:type="spellEnd"/>
            <w:r w:rsidRPr="002A1F9A">
              <w:rPr>
                <w:rFonts w:ascii="Verdana" w:hAnsi="Verdana"/>
                <w:sz w:val="18"/>
                <w:szCs w:val="18"/>
              </w:rPr>
              <w:t xml:space="preserve">, bachelor, (post)master) tellen niet mee in deze berekening. Alleen voltijd opleidingen tellen mee in deze berekening. </w:t>
            </w:r>
          </w:p>
          <w:p w:rsidRPr="002A1F9A" w:rsidR="002909F8" w:rsidP="002909F8" w:rsidRDefault="002909F8" w14:paraId="74514406" w14:textId="77777777">
            <w:pPr>
              <w:rPr>
                <w:rFonts w:ascii="Verdana" w:hAnsi="Verdana"/>
                <w:sz w:val="18"/>
                <w:szCs w:val="18"/>
              </w:rPr>
            </w:pPr>
            <w:r w:rsidRPr="002A1F9A">
              <w:rPr>
                <w:rFonts w:ascii="Verdana" w:hAnsi="Verdana"/>
                <w:sz w:val="18"/>
                <w:szCs w:val="18"/>
              </w:rPr>
              <w:t>De percentages per soort/ type onderwijs staan vermeld in onderstaande tabel (de kolom “Diploma binnen nominaal”), evenals de percentages die corresponderen met een extra studiejaar uitloop (de kolom “Diploma binnen nominaal + 1 jaar”).</w:t>
            </w:r>
            <w:r w:rsidRPr="002A1F9A">
              <w:rPr>
                <w:rFonts w:ascii="Verdana" w:hAnsi="Verdana"/>
                <w:sz w:val="18"/>
                <w:szCs w:val="18"/>
              </w:rPr>
              <w:br/>
            </w:r>
          </w:p>
          <w:tbl>
            <w:tblPr>
              <w:tblStyle w:val="Tabelraster"/>
              <w:tblW w:w="6478" w:type="dxa"/>
              <w:tblLook w:val="04A0" w:firstRow="1" w:lastRow="0" w:firstColumn="1" w:lastColumn="0" w:noHBand="0" w:noVBand="1"/>
            </w:tblPr>
            <w:tblGrid>
              <w:gridCol w:w="1410"/>
              <w:gridCol w:w="1701"/>
              <w:gridCol w:w="1701"/>
              <w:gridCol w:w="1666"/>
            </w:tblGrid>
            <w:tr w:rsidRPr="002A1F9A" w:rsidR="002909F8" w:rsidTr="002909F8" w14:paraId="57282F5D" w14:textId="77777777">
              <w:trPr>
                <w:trHeight w:val="258"/>
              </w:trPr>
              <w:tc>
                <w:tcPr>
                  <w:tcW w:w="1410" w:type="dxa"/>
                </w:tcPr>
                <w:p w:rsidRPr="002A1F9A" w:rsidR="002909F8" w:rsidP="002909F8" w:rsidRDefault="002909F8" w14:paraId="6CAB82C7" w14:textId="77777777">
                  <w:pPr>
                    <w:rPr>
                      <w:rFonts w:ascii="Verdana" w:hAnsi="Verdana"/>
                      <w:b/>
                      <w:sz w:val="16"/>
                      <w:szCs w:val="16"/>
                    </w:rPr>
                  </w:pPr>
                  <w:r w:rsidRPr="002A1F9A">
                    <w:rPr>
                      <w:rFonts w:ascii="Verdana" w:hAnsi="Verdana"/>
                      <w:b/>
                      <w:sz w:val="16"/>
                      <w:szCs w:val="16"/>
                    </w:rPr>
                    <w:t>Soort onderwijs</w:t>
                  </w:r>
                </w:p>
              </w:tc>
              <w:tc>
                <w:tcPr>
                  <w:tcW w:w="1701" w:type="dxa"/>
                </w:tcPr>
                <w:p w:rsidRPr="002A1F9A" w:rsidR="002909F8" w:rsidP="002909F8" w:rsidRDefault="002909F8" w14:paraId="0AC4FC04" w14:textId="77777777">
                  <w:pPr>
                    <w:rPr>
                      <w:rFonts w:ascii="Verdana" w:hAnsi="Verdana"/>
                      <w:b/>
                      <w:sz w:val="16"/>
                      <w:szCs w:val="16"/>
                    </w:rPr>
                  </w:pPr>
                  <w:r w:rsidRPr="002A1F9A">
                    <w:rPr>
                      <w:rFonts w:ascii="Verdana" w:hAnsi="Verdana"/>
                      <w:b/>
                      <w:sz w:val="16"/>
                      <w:szCs w:val="16"/>
                    </w:rPr>
                    <w:t>Type onderwijs</w:t>
                  </w:r>
                </w:p>
              </w:tc>
              <w:tc>
                <w:tcPr>
                  <w:tcW w:w="1701" w:type="dxa"/>
                </w:tcPr>
                <w:p w:rsidRPr="002A1F9A" w:rsidR="002909F8" w:rsidP="002909F8" w:rsidRDefault="002909F8" w14:paraId="4204D256" w14:textId="77777777">
                  <w:pPr>
                    <w:rPr>
                      <w:rFonts w:ascii="Verdana" w:hAnsi="Verdana"/>
                      <w:b/>
                      <w:sz w:val="16"/>
                      <w:szCs w:val="16"/>
                    </w:rPr>
                  </w:pPr>
                  <w:r w:rsidRPr="002A1F9A">
                    <w:rPr>
                      <w:rFonts w:ascii="Verdana" w:hAnsi="Verdana"/>
                      <w:b/>
                      <w:sz w:val="16"/>
                      <w:szCs w:val="16"/>
                    </w:rPr>
                    <w:t>Diploma binnen nominaal</w:t>
                  </w:r>
                </w:p>
              </w:tc>
              <w:tc>
                <w:tcPr>
                  <w:tcW w:w="1666" w:type="dxa"/>
                </w:tcPr>
                <w:p w:rsidRPr="002A1F9A" w:rsidR="002909F8" w:rsidP="002909F8" w:rsidRDefault="002909F8" w14:paraId="4E05FF83" w14:textId="77777777">
                  <w:pPr>
                    <w:rPr>
                      <w:rFonts w:ascii="Verdana" w:hAnsi="Verdana"/>
                      <w:b/>
                      <w:sz w:val="16"/>
                      <w:szCs w:val="16"/>
                    </w:rPr>
                  </w:pPr>
                  <w:r w:rsidRPr="002A1F9A">
                    <w:rPr>
                      <w:rFonts w:ascii="Verdana" w:hAnsi="Verdana"/>
                      <w:b/>
                      <w:sz w:val="16"/>
                      <w:szCs w:val="16"/>
                    </w:rPr>
                    <w:t>Diploma binnen nominaal + 1 jaar</w:t>
                  </w:r>
                </w:p>
              </w:tc>
            </w:tr>
            <w:tr w:rsidRPr="002A1F9A" w:rsidR="002909F8" w:rsidTr="002909F8" w14:paraId="0AE3F9B3" w14:textId="77777777">
              <w:trPr>
                <w:trHeight w:val="258"/>
              </w:trPr>
              <w:tc>
                <w:tcPr>
                  <w:tcW w:w="1410" w:type="dxa"/>
                </w:tcPr>
                <w:p w:rsidRPr="002A1F9A" w:rsidR="002909F8" w:rsidP="002909F8" w:rsidRDefault="002909F8" w14:paraId="3BADD668" w14:textId="77777777">
                  <w:pPr>
                    <w:rPr>
                      <w:rFonts w:ascii="Verdana" w:hAnsi="Verdana"/>
                      <w:b/>
                      <w:sz w:val="16"/>
                      <w:szCs w:val="16"/>
                    </w:rPr>
                  </w:pPr>
                  <w:r w:rsidRPr="002A1F9A">
                    <w:rPr>
                      <w:rFonts w:ascii="Verdana" w:hAnsi="Verdana"/>
                      <w:b/>
                      <w:sz w:val="16"/>
                      <w:szCs w:val="16"/>
                    </w:rPr>
                    <w:t>hbo</w:t>
                  </w:r>
                </w:p>
              </w:tc>
              <w:tc>
                <w:tcPr>
                  <w:tcW w:w="1701" w:type="dxa"/>
                </w:tcPr>
                <w:p w:rsidRPr="002A1F9A" w:rsidR="002909F8" w:rsidP="002909F8" w:rsidRDefault="002909F8" w14:paraId="17072289" w14:textId="77777777">
                  <w:pPr>
                    <w:rPr>
                      <w:rFonts w:ascii="Verdana" w:hAnsi="Verdana"/>
                      <w:sz w:val="16"/>
                      <w:szCs w:val="16"/>
                    </w:rPr>
                  </w:pPr>
                  <w:proofErr w:type="spellStart"/>
                  <w:r w:rsidRPr="002A1F9A">
                    <w:rPr>
                      <w:rFonts w:ascii="Verdana" w:hAnsi="Verdana"/>
                      <w:sz w:val="16"/>
                      <w:szCs w:val="16"/>
                    </w:rPr>
                    <w:t>Associate</w:t>
                  </w:r>
                  <w:proofErr w:type="spellEnd"/>
                  <w:r w:rsidRPr="002A1F9A">
                    <w:rPr>
                      <w:rFonts w:ascii="Verdana" w:hAnsi="Verdana"/>
                      <w:sz w:val="16"/>
                      <w:szCs w:val="16"/>
                    </w:rPr>
                    <w:t xml:space="preserve"> </w:t>
                  </w:r>
                  <w:proofErr w:type="spellStart"/>
                  <w:r w:rsidRPr="002A1F9A">
                    <w:rPr>
                      <w:rFonts w:ascii="Verdana" w:hAnsi="Verdana"/>
                      <w:sz w:val="16"/>
                      <w:szCs w:val="16"/>
                    </w:rPr>
                    <w:t>degree</w:t>
                  </w:r>
                  <w:proofErr w:type="spellEnd"/>
                </w:p>
              </w:tc>
              <w:tc>
                <w:tcPr>
                  <w:tcW w:w="1701" w:type="dxa"/>
                </w:tcPr>
                <w:p w:rsidRPr="002A1F9A" w:rsidR="002909F8" w:rsidP="002909F8" w:rsidRDefault="002909F8" w14:paraId="07C49194" w14:textId="77777777">
                  <w:pPr>
                    <w:rPr>
                      <w:rFonts w:ascii="Verdana" w:hAnsi="Verdana"/>
                      <w:sz w:val="16"/>
                      <w:szCs w:val="16"/>
                    </w:rPr>
                  </w:pPr>
                  <w:r w:rsidRPr="002A1F9A">
                    <w:rPr>
                      <w:rFonts w:ascii="Verdana" w:hAnsi="Verdana"/>
                      <w:sz w:val="16"/>
                      <w:szCs w:val="16"/>
                    </w:rPr>
                    <w:t>34%</w:t>
                  </w:r>
                </w:p>
              </w:tc>
              <w:tc>
                <w:tcPr>
                  <w:tcW w:w="1666" w:type="dxa"/>
                </w:tcPr>
                <w:p w:rsidRPr="002A1F9A" w:rsidR="002909F8" w:rsidP="002909F8" w:rsidRDefault="002909F8" w14:paraId="1B1189E6" w14:textId="77777777">
                  <w:pPr>
                    <w:rPr>
                      <w:rFonts w:ascii="Verdana" w:hAnsi="Verdana"/>
                      <w:sz w:val="16"/>
                      <w:szCs w:val="16"/>
                    </w:rPr>
                  </w:pPr>
                  <w:r w:rsidRPr="002A1F9A">
                    <w:rPr>
                      <w:rFonts w:ascii="Verdana" w:hAnsi="Verdana"/>
                      <w:sz w:val="16"/>
                      <w:szCs w:val="16"/>
                    </w:rPr>
                    <w:t>46%</w:t>
                  </w:r>
                </w:p>
              </w:tc>
            </w:tr>
            <w:tr w:rsidRPr="002A1F9A" w:rsidR="002909F8" w:rsidTr="002909F8" w14:paraId="7FA1A336" w14:textId="77777777">
              <w:trPr>
                <w:trHeight w:val="258"/>
              </w:trPr>
              <w:tc>
                <w:tcPr>
                  <w:tcW w:w="1410" w:type="dxa"/>
                </w:tcPr>
                <w:p w:rsidRPr="002A1F9A" w:rsidR="002909F8" w:rsidP="002909F8" w:rsidRDefault="002909F8" w14:paraId="66EF03E5" w14:textId="77777777">
                  <w:pPr>
                    <w:rPr>
                      <w:rFonts w:ascii="Verdana" w:hAnsi="Verdana"/>
                      <w:b/>
                      <w:sz w:val="16"/>
                      <w:szCs w:val="16"/>
                    </w:rPr>
                  </w:pPr>
                  <w:r w:rsidRPr="002A1F9A">
                    <w:rPr>
                      <w:rFonts w:ascii="Verdana" w:hAnsi="Verdana"/>
                      <w:b/>
                      <w:sz w:val="16"/>
                      <w:szCs w:val="16"/>
                    </w:rPr>
                    <w:t>hbo</w:t>
                  </w:r>
                </w:p>
              </w:tc>
              <w:tc>
                <w:tcPr>
                  <w:tcW w:w="1701" w:type="dxa"/>
                </w:tcPr>
                <w:p w:rsidRPr="002A1F9A" w:rsidR="002909F8" w:rsidP="002909F8" w:rsidRDefault="002909F8" w14:paraId="7A75470C" w14:textId="77777777">
                  <w:pPr>
                    <w:rPr>
                      <w:rFonts w:ascii="Verdana" w:hAnsi="Verdana"/>
                      <w:sz w:val="16"/>
                      <w:szCs w:val="16"/>
                    </w:rPr>
                  </w:pPr>
                  <w:r w:rsidRPr="002A1F9A">
                    <w:rPr>
                      <w:rFonts w:ascii="Verdana" w:hAnsi="Verdana"/>
                      <w:sz w:val="16"/>
                      <w:szCs w:val="16"/>
                    </w:rPr>
                    <w:t>Bachelor</w:t>
                  </w:r>
                </w:p>
              </w:tc>
              <w:tc>
                <w:tcPr>
                  <w:tcW w:w="1701" w:type="dxa"/>
                </w:tcPr>
                <w:p w:rsidRPr="002A1F9A" w:rsidR="002909F8" w:rsidP="002909F8" w:rsidRDefault="002909F8" w14:paraId="003395EB" w14:textId="77777777">
                  <w:pPr>
                    <w:rPr>
                      <w:rFonts w:ascii="Verdana" w:hAnsi="Verdana"/>
                      <w:sz w:val="16"/>
                      <w:szCs w:val="16"/>
                    </w:rPr>
                  </w:pPr>
                  <w:r w:rsidRPr="002A1F9A">
                    <w:rPr>
                      <w:rFonts w:ascii="Verdana" w:hAnsi="Verdana"/>
                      <w:sz w:val="16"/>
                      <w:szCs w:val="16"/>
                    </w:rPr>
                    <w:t>32%</w:t>
                  </w:r>
                </w:p>
              </w:tc>
              <w:tc>
                <w:tcPr>
                  <w:tcW w:w="1666" w:type="dxa"/>
                </w:tcPr>
                <w:p w:rsidRPr="002A1F9A" w:rsidR="002909F8" w:rsidP="002909F8" w:rsidRDefault="002909F8" w14:paraId="560B03E7" w14:textId="77777777">
                  <w:pPr>
                    <w:rPr>
                      <w:rFonts w:ascii="Verdana" w:hAnsi="Verdana"/>
                      <w:sz w:val="16"/>
                      <w:szCs w:val="16"/>
                    </w:rPr>
                  </w:pPr>
                  <w:r w:rsidRPr="002A1F9A">
                    <w:rPr>
                      <w:rFonts w:ascii="Verdana" w:hAnsi="Verdana"/>
                      <w:sz w:val="16"/>
                      <w:szCs w:val="16"/>
                    </w:rPr>
                    <w:t>52%</w:t>
                  </w:r>
                </w:p>
              </w:tc>
            </w:tr>
            <w:tr w:rsidRPr="002A1F9A" w:rsidR="002909F8" w:rsidTr="002909F8" w14:paraId="13E13102" w14:textId="77777777">
              <w:trPr>
                <w:trHeight w:val="258"/>
              </w:trPr>
              <w:tc>
                <w:tcPr>
                  <w:tcW w:w="1410" w:type="dxa"/>
                </w:tcPr>
                <w:p w:rsidRPr="002A1F9A" w:rsidR="002909F8" w:rsidP="002909F8" w:rsidRDefault="002909F8" w14:paraId="76FF453A" w14:textId="77777777">
                  <w:pPr>
                    <w:rPr>
                      <w:rFonts w:ascii="Verdana" w:hAnsi="Verdana"/>
                      <w:b/>
                      <w:sz w:val="16"/>
                      <w:szCs w:val="16"/>
                    </w:rPr>
                  </w:pPr>
                  <w:r w:rsidRPr="002A1F9A">
                    <w:rPr>
                      <w:rFonts w:ascii="Verdana" w:hAnsi="Verdana"/>
                      <w:b/>
                      <w:sz w:val="16"/>
                      <w:szCs w:val="16"/>
                    </w:rPr>
                    <w:t>hbo</w:t>
                  </w:r>
                </w:p>
              </w:tc>
              <w:tc>
                <w:tcPr>
                  <w:tcW w:w="1701" w:type="dxa"/>
                </w:tcPr>
                <w:p w:rsidRPr="002A1F9A" w:rsidR="002909F8" w:rsidP="002909F8" w:rsidRDefault="002909F8" w14:paraId="3A0FB097" w14:textId="77777777">
                  <w:pPr>
                    <w:rPr>
                      <w:rFonts w:ascii="Verdana" w:hAnsi="Verdana"/>
                      <w:sz w:val="16"/>
                      <w:szCs w:val="16"/>
                    </w:rPr>
                  </w:pPr>
                  <w:r w:rsidRPr="002A1F9A">
                    <w:rPr>
                      <w:rFonts w:ascii="Verdana" w:hAnsi="Verdana"/>
                      <w:sz w:val="16"/>
                      <w:szCs w:val="16"/>
                    </w:rPr>
                    <w:t>Master</w:t>
                  </w:r>
                </w:p>
              </w:tc>
              <w:tc>
                <w:tcPr>
                  <w:tcW w:w="1701" w:type="dxa"/>
                </w:tcPr>
                <w:p w:rsidRPr="002A1F9A" w:rsidR="002909F8" w:rsidP="002909F8" w:rsidRDefault="002909F8" w14:paraId="06F667B3" w14:textId="77777777">
                  <w:pPr>
                    <w:rPr>
                      <w:rFonts w:ascii="Verdana" w:hAnsi="Verdana"/>
                      <w:sz w:val="16"/>
                      <w:szCs w:val="16"/>
                    </w:rPr>
                  </w:pPr>
                  <w:r w:rsidRPr="002A1F9A">
                    <w:rPr>
                      <w:rFonts w:ascii="Verdana" w:hAnsi="Verdana"/>
                      <w:sz w:val="16"/>
                      <w:szCs w:val="16"/>
                    </w:rPr>
                    <w:t>67%</w:t>
                  </w:r>
                </w:p>
              </w:tc>
              <w:tc>
                <w:tcPr>
                  <w:tcW w:w="1666" w:type="dxa"/>
                </w:tcPr>
                <w:p w:rsidRPr="002A1F9A" w:rsidR="002909F8" w:rsidP="002909F8" w:rsidRDefault="002909F8" w14:paraId="35F50583" w14:textId="77777777">
                  <w:pPr>
                    <w:rPr>
                      <w:rFonts w:ascii="Verdana" w:hAnsi="Verdana"/>
                      <w:sz w:val="16"/>
                      <w:szCs w:val="16"/>
                    </w:rPr>
                  </w:pPr>
                  <w:r w:rsidRPr="002A1F9A">
                    <w:rPr>
                      <w:rFonts w:ascii="Verdana" w:hAnsi="Verdana"/>
                      <w:sz w:val="16"/>
                      <w:szCs w:val="16"/>
                    </w:rPr>
                    <w:t>81%</w:t>
                  </w:r>
                </w:p>
              </w:tc>
            </w:tr>
            <w:tr w:rsidRPr="002A1F9A" w:rsidR="002909F8" w:rsidTr="002909F8" w14:paraId="17A0D716" w14:textId="77777777">
              <w:trPr>
                <w:trHeight w:val="258"/>
              </w:trPr>
              <w:tc>
                <w:tcPr>
                  <w:tcW w:w="1410" w:type="dxa"/>
                </w:tcPr>
                <w:p w:rsidRPr="002A1F9A" w:rsidR="002909F8" w:rsidP="002909F8" w:rsidRDefault="002909F8" w14:paraId="4121D8F7" w14:textId="77777777">
                  <w:pPr>
                    <w:rPr>
                      <w:rFonts w:ascii="Verdana" w:hAnsi="Verdana"/>
                      <w:b/>
                      <w:sz w:val="16"/>
                      <w:szCs w:val="16"/>
                    </w:rPr>
                  </w:pPr>
                  <w:r w:rsidRPr="002A1F9A">
                    <w:rPr>
                      <w:rFonts w:ascii="Verdana" w:hAnsi="Verdana"/>
                      <w:b/>
                      <w:sz w:val="16"/>
                      <w:szCs w:val="16"/>
                    </w:rPr>
                    <w:t>wo</w:t>
                  </w:r>
                </w:p>
              </w:tc>
              <w:tc>
                <w:tcPr>
                  <w:tcW w:w="1701" w:type="dxa"/>
                </w:tcPr>
                <w:p w:rsidRPr="002A1F9A" w:rsidR="002909F8" w:rsidP="002909F8" w:rsidRDefault="002909F8" w14:paraId="4A8D6142" w14:textId="77777777">
                  <w:pPr>
                    <w:rPr>
                      <w:rFonts w:ascii="Verdana" w:hAnsi="Verdana"/>
                      <w:sz w:val="16"/>
                      <w:szCs w:val="16"/>
                    </w:rPr>
                  </w:pPr>
                  <w:r w:rsidRPr="002A1F9A">
                    <w:rPr>
                      <w:rFonts w:ascii="Verdana" w:hAnsi="Verdana"/>
                      <w:sz w:val="16"/>
                      <w:szCs w:val="16"/>
                    </w:rPr>
                    <w:t>Bachelor</w:t>
                  </w:r>
                </w:p>
              </w:tc>
              <w:tc>
                <w:tcPr>
                  <w:tcW w:w="1701" w:type="dxa"/>
                </w:tcPr>
                <w:p w:rsidRPr="002A1F9A" w:rsidR="002909F8" w:rsidP="002909F8" w:rsidRDefault="002909F8" w14:paraId="2CD8FF8A" w14:textId="77777777">
                  <w:pPr>
                    <w:rPr>
                      <w:rFonts w:ascii="Verdana" w:hAnsi="Verdana"/>
                      <w:sz w:val="16"/>
                      <w:szCs w:val="16"/>
                    </w:rPr>
                  </w:pPr>
                  <w:r w:rsidRPr="002A1F9A">
                    <w:rPr>
                      <w:rFonts w:ascii="Verdana" w:hAnsi="Verdana"/>
                      <w:sz w:val="16"/>
                      <w:szCs w:val="16"/>
                    </w:rPr>
                    <w:t>35%</w:t>
                  </w:r>
                </w:p>
              </w:tc>
              <w:tc>
                <w:tcPr>
                  <w:tcW w:w="1666" w:type="dxa"/>
                </w:tcPr>
                <w:p w:rsidRPr="002A1F9A" w:rsidR="002909F8" w:rsidP="002909F8" w:rsidRDefault="002909F8" w14:paraId="1BD00D74" w14:textId="77777777">
                  <w:pPr>
                    <w:rPr>
                      <w:rFonts w:ascii="Verdana" w:hAnsi="Verdana"/>
                      <w:sz w:val="16"/>
                      <w:szCs w:val="16"/>
                    </w:rPr>
                  </w:pPr>
                  <w:r w:rsidRPr="002A1F9A">
                    <w:rPr>
                      <w:rFonts w:ascii="Verdana" w:hAnsi="Verdana"/>
                      <w:sz w:val="16"/>
                      <w:szCs w:val="16"/>
                    </w:rPr>
                    <w:t>65%</w:t>
                  </w:r>
                </w:p>
              </w:tc>
            </w:tr>
            <w:tr w:rsidRPr="002A1F9A" w:rsidR="002909F8" w:rsidTr="002909F8" w14:paraId="577ECDB4" w14:textId="77777777">
              <w:trPr>
                <w:trHeight w:val="258"/>
              </w:trPr>
              <w:tc>
                <w:tcPr>
                  <w:tcW w:w="1410" w:type="dxa"/>
                </w:tcPr>
                <w:p w:rsidRPr="002A1F9A" w:rsidR="002909F8" w:rsidP="002909F8" w:rsidRDefault="002909F8" w14:paraId="10682676" w14:textId="77777777">
                  <w:pPr>
                    <w:rPr>
                      <w:rFonts w:ascii="Verdana" w:hAnsi="Verdana"/>
                      <w:b/>
                      <w:sz w:val="16"/>
                      <w:szCs w:val="16"/>
                    </w:rPr>
                  </w:pPr>
                  <w:r w:rsidRPr="002A1F9A">
                    <w:rPr>
                      <w:rFonts w:ascii="Verdana" w:hAnsi="Verdana"/>
                      <w:b/>
                      <w:sz w:val="16"/>
                      <w:szCs w:val="16"/>
                    </w:rPr>
                    <w:t>wo</w:t>
                  </w:r>
                </w:p>
              </w:tc>
              <w:tc>
                <w:tcPr>
                  <w:tcW w:w="1701" w:type="dxa"/>
                </w:tcPr>
                <w:p w:rsidRPr="002A1F9A" w:rsidR="002909F8" w:rsidP="002909F8" w:rsidRDefault="002909F8" w14:paraId="06982A94" w14:textId="77777777">
                  <w:pPr>
                    <w:rPr>
                      <w:rFonts w:ascii="Verdana" w:hAnsi="Verdana"/>
                      <w:sz w:val="16"/>
                      <w:szCs w:val="16"/>
                    </w:rPr>
                  </w:pPr>
                  <w:r w:rsidRPr="002A1F9A">
                    <w:rPr>
                      <w:rFonts w:ascii="Verdana" w:hAnsi="Verdana"/>
                      <w:sz w:val="16"/>
                      <w:szCs w:val="16"/>
                    </w:rPr>
                    <w:t xml:space="preserve">(post)master </w:t>
                  </w:r>
                </w:p>
              </w:tc>
              <w:tc>
                <w:tcPr>
                  <w:tcW w:w="1701" w:type="dxa"/>
                </w:tcPr>
                <w:p w:rsidRPr="002A1F9A" w:rsidR="002909F8" w:rsidP="002909F8" w:rsidRDefault="002909F8" w14:paraId="16A61B9A" w14:textId="77777777">
                  <w:pPr>
                    <w:rPr>
                      <w:rFonts w:ascii="Verdana" w:hAnsi="Verdana"/>
                      <w:sz w:val="16"/>
                      <w:szCs w:val="16"/>
                    </w:rPr>
                  </w:pPr>
                  <w:r w:rsidRPr="002A1F9A">
                    <w:rPr>
                      <w:rFonts w:ascii="Verdana" w:hAnsi="Verdana"/>
                      <w:sz w:val="16"/>
                      <w:szCs w:val="16"/>
                    </w:rPr>
                    <w:t>46%</w:t>
                  </w:r>
                </w:p>
              </w:tc>
              <w:tc>
                <w:tcPr>
                  <w:tcW w:w="1666" w:type="dxa"/>
                </w:tcPr>
                <w:p w:rsidRPr="002A1F9A" w:rsidR="002909F8" w:rsidP="002909F8" w:rsidRDefault="002909F8" w14:paraId="7D7DA062" w14:textId="77777777">
                  <w:pPr>
                    <w:rPr>
                      <w:rFonts w:ascii="Verdana" w:hAnsi="Verdana"/>
                      <w:sz w:val="16"/>
                      <w:szCs w:val="16"/>
                    </w:rPr>
                  </w:pPr>
                  <w:r w:rsidRPr="002A1F9A">
                    <w:rPr>
                      <w:rFonts w:ascii="Verdana" w:hAnsi="Verdana"/>
                      <w:sz w:val="16"/>
                      <w:szCs w:val="16"/>
                    </w:rPr>
                    <w:t>81%</w:t>
                  </w:r>
                </w:p>
              </w:tc>
            </w:tr>
          </w:tbl>
          <w:p w:rsidRPr="002A1F9A" w:rsidR="00C621AC" w:rsidRDefault="00C621AC" w14:paraId="3A2E8D40" w14:textId="67DD265D">
            <w:pPr>
              <w:rPr>
                <w:rFonts w:ascii="Verdana" w:hAnsi="Verdana"/>
                <w:sz w:val="18"/>
                <w:szCs w:val="18"/>
              </w:rPr>
            </w:pPr>
          </w:p>
          <w:p w:rsidRPr="002A1F9A" w:rsidR="00C621AC" w:rsidRDefault="00C621AC" w14:paraId="7AB95396" w14:textId="77777777">
            <w:pPr>
              <w:rPr>
                <w:rFonts w:ascii="Verdana" w:hAnsi="Verdana"/>
                <w:sz w:val="18"/>
                <w:szCs w:val="18"/>
              </w:rPr>
            </w:pPr>
          </w:p>
        </w:tc>
        <w:tc>
          <w:tcPr>
            <w:tcW w:w="850" w:type="dxa"/>
            <w:gridSpan w:val="2"/>
          </w:tcPr>
          <w:p w:rsidRPr="002A1F9A" w:rsidR="001256CA" w:rsidRDefault="001856D0" w14:paraId="32C8A5E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256CA" w14:paraId="5690F42B" w14:textId="77777777">
            <w:pPr>
              <w:jc w:val="right"/>
              <w:rPr>
                <w:rFonts w:ascii="Verdana" w:hAnsi="Verdana"/>
                <w:sz w:val="18"/>
                <w:szCs w:val="18"/>
              </w:rPr>
            </w:pPr>
          </w:p>
        </w:tc>
        <w:tc>
          <w:tcPr>
            <w:tcW w:w="567" w:type="dxa"/>
            <w:tcBorders>
              <w:left w:val="nil"/>
            </w:tcBorders>
          </w:tcPr>
          <w:p w:rsidRPr="002A1F9A" w:rsidR="001256CA" w:rsidRDefault="001856D0" w14:paraId="11F3F562" w14:textId="77777777">
            <w:pPr>
              <w:jc w:val="right"/>
              <w:rPr>
                <w:rFonts w:ascii="Verdana" w:hAnsi="Verdana"/>
                <w:sz w:val="18"/>
                <w:szCs w:val="18"/>
              </w:rPr>
            </w:pPr>
            <w:r w:rsidRPr="002A1F9A">
              <w:rPr>
                <w:rFonts w:ascii="Verdana" w:hAnsi="Verdana"/>
                <w:sz w:val="18"/>
                <w:szCs w:val="18"/>
              </w:rPr>
              <w:t xml:space="preserve"> </w:t>
            </w:r>
          </w:p>
        </w:tc>
      </w:tr>
      <w:bookmarkEnd w:id="17"/>
      <w:tr w:rsidRPr="002A1F9A" w:rsidR="001256CA" w:rsidTr="00A347D5" w14:paraId="64AE9902" w14:textId="77777777">
        <w:tc>
          <w:tcPr>
            <w:tcW w:w="567" w:type="dxa"/>
          </w:tcPr>
          <w:p w:rsidRPr="002A1F9A" w:rsidR="001256CA" w:rsidRDefault="001856D0" w14:paraId="04EA5BE3" w14:textId="77777777">
            <w:pPr>
              <w:rPr>
                <w:rFonts w:ascii="Verdana" w:hAnsi="Verdana"/>
                <w:sz w:val="18"/>
                <w:szCs w:val="18"/>
              </w:rPr>
            </w:pPr>
            <w:r w:rsidRPr="002A1F9A">
              <w:rPr>
                <w:rFonts w:ascii="Verdana" w:hAnsi="Verdana"/>
                <w:sz w:val="18"/>
                <w:szCs w:val="18"/>
              </w:rPr>
              <w:t>34</w:t>
            </w:r>
          </w:p>
        </w:tc>
        <w:tc>
          <w:tcPr>
            <w:tcW w:w="6521" w:type="dxa"/>
            <w:gridSpan w:val="7"/>
          </w:tcPr>
          <w:p w:rsidRPr="002A1F9A" w:rsidR="001256CA" w:rsidRDefault="001856D0" w14:paraId="1356F41B" w14:textId="77777777">
            <w:pPr>
              <w:rPr>
                <w:rFonts w:ascii="Verdana" w:hAnsi="Verdana"/>
                <w:sz w:val="18"/>
                <w:szCs w:val="18"/>
              </w:rPr>
            </w:pPr>
            <w:r w:rsidRPr="002A1F9A">
              <w:rPr>
                <w:rFonts w:ascii="Verdana" w:hAnsi="Verdana"/>
                <w:sz w:val="18"/>
                <w:szCs w:val="18"/>
              </w:rPr>
              <w:t>Hoeveel lerarenopleidingen bieden de nieuwe onderwijstrajecten voor basisvaardigheden aan en wat is de verwachte uitstroom van gekwalificeerde leraren in 2026–2028?</w:t>
            </w:r>
          </w:p>
          <w:p w:rsidRPr="002A1F9A" w:rsidR="00C621AC" w:rsidRDefault="00C621AC" w14:paraId="5894E8D7" w14:textId="77777777">
            <w:pPr>
              <w:rPr>
                <w:rFonts w:ascii="Verdana" w:hAnsi="Verdana"/>
                <w:sz w:val="18"/>
                <w:szCs w:val="18"/>
              </w:rPr>
            </w:pPr>
          </w:p>
          <w:p w:rsidRPr="002A1F9A" w:rsidR="00C621AC" w:rsidP="00C621AC" w:rsidRDefault="006B7208" w14:paraId="63B5596B" w14:textId="209BAE55">
            <w:pPr>
              <w:rPr>
                <w:rFonts w:ascii="Verdana" w:hAnsi="Verdana"/>
                <w:sz w:val="18"/>
                <w:szCs w:val="18"/>
              </w:rPr>
            </w:pPr>
            <w:r w:rsidRPr="002A1F9A">
              <w:rPr>
                <w:rFonts w:ascii="Verdana" w:hAnsi="Verdana"/>
                <w:sz w:val="18"/>
                <w:szCs w:val="18"/>
              </w:rPr>
              <w:t xml:space="preserve">Het is te vroeg om aan te geven welke instellingen de trajecten gaan aanbieden en wat de verwachte uitstroom is. </w:t>
            </w:r>
            <w:r w:rsidRPr="002A1F9A" w:rsidR="00C621AC">
              <w:rPr>
                <w:rFonts w:ascii="Verdana" w:hAnsi="Verdana"/>
                <w:sz w:val="18"/>
                <w:szCs w:val="18"/>
              </w:rPr>
              <w:t xml:space="preserve">In het Wetsvoorstel Vereisten mbo-docenten basisvaardigheden zijn extra eisen opgenomen voor huidige en toekomstige docenten voor Nederlands, rekenen en burgerschap. Docenten die geen aanverwante lerarenopleiding hebben in deze onderdelen, dienen een extra opleidingstraject van 30 ECTS te volgen. De beoogde </w:t>
            </w:r>
            <w:r w:rsidRPr="002A1F9A" w:rsidR="00C621AC">
              <w:rPr>
                <w:rFonts w:ascii="Verdana" w:hAnsi="Verdana"/>
                <w:sz w:val="18"/>
                <w:szCs w:val="18"/>
              </w:rPr>
              <w:lastRenderedPageBreak/>
              <w:t xml:space="preserve">inwerkingtredingsdatum van dit wetsvoorstel is 1 augustus 2027. De lerarenopleidingen worden meegenomen in de gevolgen voor de nog op te zetten opleidingstrajecten. </w:t>
            </w:r>
          </w:p>
          <w:p w:rsidRPr="002A1F9A" w:rsidR="00C621AC" w:rsidRDefault="00C621AC" w14:paraId="2DD3D8ED" w14:textId="77777777">
            <w:pPr>
              <w:rPr>
                <w:rFonts w:ascii="Verdana" w:hAnsi="Verdana"/>
                <w:sz w:val="18"/>
                <w:szCs w:val="18"/>
              </w:rPr>
            </w:pPr>
          </w:p>
        </w:tc>
        <w:tc>
          <w:tcPr>
            <w:tcW w:w="850" w:type="dxa"/>
            <w:gridSpan w:val="2"/>
          </w:tcPr>
          <w:p w:rsidRPr="002A1F9A" w:rsidR="001256CA" w:rsidRDefault="001856D0" w14:paraId="3335BE2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2FCDF2DB"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0AEA96FA"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58049074" w14:textId="77777777">
        <w:tc>
          <w:tcPr>
            <w:tcW w:w="567" w:type="dxa"/>
          </w:tcPr>
          <w:p w:rsidRPr="002A1F9A" w:rsidR="001256CA" w:rsidRDefault="001856D0" w14:paraId="1930D7AB" w14:textId="77777777">
            <w:pPr>
              <w:rPr>
                <w:rFonts w:ascii="Verdana" w:hAnsi="Verdana"/>
                <w:sz w:val="18"/>
                <w:szCs w:val="18"/>
              </w:rPr>
            </w:pPr>
            <w:bookmarkStart w:name="_Hlk212564091" w:id="18"/>
            <w:r w:rsidRPr="002A1F9A">
              <w:rPr>
                <w:rFonts w:ascii="Verdana" w:hAnsi="Verdana"/>
                <w:sz w:val="18"/>
                <w:szCs w:val="18"/>
              </w:rPr>
              <w:t>35</w:t>
            </w:r>
          </w:p>
        </w:tc>
        <w:tc>
          <w:tcPr>
            <w:tcW w:w="6521" w:type="dxa"/>
            <w:gridSpan w:val="7"/>
          </w:tcPr>
          <w:p w:rsidRPr="002A1F9A" w:rsidR="001256CA" w:rsidRDefault="001856D0" w14:paraId="395D3A5A" w14:textId="77777777">
            <w:pPr>
              <w:rPr>
                <w:rFonts w:ascii="Verdana" w:hAnsi="Verdana"/>
                <w:sz w:val="18"/>
                <w:szCs w:val="18"/>
              </w:rPr>
            </w:pPr>
            <w:r w:rsidRPr="002A1F9A">
              <w:rPr>
                <w:rFonts w:ascii="Verdana" w:hAnsi="Verdana"/>
                <w:sz w:val="18"/>
                <w:szCs w:val="18"/>
              </w:rPr>
              <w:t>Hoeveel mbo-studenten ontvangen in 2026 extra begeleiding op taal en rekenen en welk effect wordt verwacht op studie-uitval?</w:t>
            </w:r>
          </w:p>
          <w:p w:rsidRPr="002A1F9A" w:rsidR="00AC209A" w:rsidRDefault="00AC209A" w14:paraId="02020FDB" w14:textId="77777777">
            <w:pPr>
              <w:rPr>
                <w:rFonts w:ascii="Verdana" w:hAnsi="Verdana"/>
                <w:sz w:val="18"/>
                <w:szCs w:val="18"/>
              </w:rPr>
            </w:pPr>
          </w:p>
          <w:p w:rsidRPr="002A1F9A" w:rsidR="003C531F" w:rsidP="003C531F" w:rsidRDefault="003C531F" w14:paraId="54E6E545" w14:textId="77777777">
            <w:pPr>
              <w:rPr>
                <w:rFonts w:ascii="Verdana" w:hAnsi="Verdana"/>
                <w:sz w:val="18"/>
                <w:szCs w:val="18"/>
              </w:rPr>
            </w:pPr>
            <w:r w:rsidRPr="002A1F9A">
              <w:rPr>
                <w:rFonts w:ascii="Verdana" w:hAnsi="Verdana"/>
                <w:sz w:val="18"/>
                <w:szCs w:val="18"/>
              </w:rPr>
              <w:t xml:space="preserve">Hoeveel mbo-studenten in 2026 extra begeleiding ontvangen op taal en rekenen en welk effect dit heeft op studie-uitval is niet te zeggen. </w:t>
            </w:r>
          </w:p>
          <w:p w:rsidRPr="002A1F9A" w:rsidR="003C531F" w:rsidP="003C531F" w:rsidRDefault="003C531F" w14:paraId="285C55BC" w14:textId="1F840AF4">
            <w:pPr>
              <w:rPr>
                <w:rFonts w:ascii="Verdana" w:hAnsi="Verdana"/>
                <w:sz w:val="18"/>
                <w:szCs w:val="18"/>
              </w:rPr>
            </w:pPr>
            <w:r w:rsidRPr="002A1F9A">
              <w:rPr>
                <w:rFonts w:ascii="Verdana" w:hAnsi="Verdana"/>
                <w:sz w:val="18"/>
                <w:szCs w:val="18"/>
              </w:rPr>
              <w:t>Mbo-scholen ontvangen voor de studiejaren 2025</w:t>
            </w:r>
            <w:r w:rsidRPr="002A1F9A" w:rsidR="00115E8F">
              <w:rPr>
                <w:rFonts w:ascii="Verdana" w:hAnsi="Verdana"/>
                <w:sz w:val="18"/>
                <w:szCs w:val="18"/>
              </w:rPr>
              <w:t>-</w:t>
            </w:r>
            <w:r w:rsidRPr="002A1F9A">
              <w:rPr>
                <w:rFonts w:ascii="Verdana" w:hAnsi="Verdana"/>
                <w:sz w:val="18"/>
                <w:szCs w:val="18"/>
              </w:rPr>
              <w:t>2026 en 2026</w:t>
            </w:r>
            <w:r w:rsidRPr="002A1F9A" w:rsidR="00115E8F">
              <w:rPr>
                <w:rFonts w:ascii="Verdana" w:hAnsi="Verdana"/>
                <w:sz w:val="18"/>
                <w:szCs w:val="18"/>
              </w:rPr>
              <w:t>-</w:t>
            </w:r>
            <w:r w:rsidRPr="002A1F9A">
              <w:rPr>
                <w:rFonts w:ascii="Verdana" w:hAnsi="Verdana"/>
                <w:sz w:val="18"/>
                <w:szCs w:val="18"/>
              </w:rPr>
              <w:t xml:space="preserve">2027 in totaal €47,2 miljoen euro om taal- en rekenachterstanden van startende mbo-studenten weg te werken. Per studiejaar kunnen zij hiervoor bijna 290 fte extra onderwijspersoneel aantrekken of behouden waarmee potentieel ruim 20.000 mbo-studenten per studiejaar extra ondersteuning en begeleiding kunnen krijgen. Het is aan de scholen zelf om te bepalen waar deze middelen het meeste effect hebben. De verwachting is dat deze extra inzet bijdraagt aan het voorkomen van onnodige studievertraging en uitval. Hoe groot dit effect precies is, is lastig te kwantificeren, omdat ook andere factoren invloed hebben op studie-uitval. Monitoring vindt plaats via het jaarlijkse </w:t>
            </w:r>
            <w:proofErr w:type="spellStart"/>
            <w:r w:rsidRPr="002A1F9A">
              <w:rPr>
                <w:rFonts w:ascii="Verdana" w:hAnsi="Verdana"/>
                <w:sz w:val="18"/>
                <w:szCs w:val="18"/>
              </w:rPr>
              <w:t>bestuursverslag</w:t>
            </w:r>
            <w:proofErr w:type="spellEnd"/>
            <w:r w:rsidRPr="002A1F9A">
              <w:rPr>
                <w:rFonts w:ascii="Verdana" w:hAnsi="Verdana"/>
                <w:sz w:val="18"/>
                <w:szCs w:val="18"/>
              </w:rPr>
              <w:t>, uw Kamer is hierover in mei jl. geïnformeerd (</w:t>
            </w:r>
            <w:hyperlink w:history="1" r:id="rId26">
              <w:r w:rsidRPr="002A1F9A">
                <w:rPr>
                  <w:rStyle w:val="Hyperlink"/>
                  <w:rFonts w:ascii="Verdana" w:hAnsi="Verdana"/>
                  <w:sz w:val="18"/>
                  <w:szCs w:val="18"/>
                </w:rPr>
                <w:t>Kamerstuk 31524. nr. 657</w:t>
              </w:r>
            </w:hyperlink>
            <w:r w:rsidRPr="002A1F9A">
              <w:rPr>
                <w:rFonts w:ascii="Verdana" w:hAnsi="Verdana"/>
                <w:sz w:val="18"/>
                <w:szCs w:val="18"/>
              </w:rPr>
              <w:t>).</w:t>
            </w:r>
          </w:p>
          <w:p w:rsidRPr="002A1F9A" w:rsidR="00AC209A" w:rsidP="003C531F" w:rsidRDefault="00AC209A" w14:paraId="01CE6ADB" w14:textId="7951DDFE">
            <w:pPr>
              <w:rPr>
                <w:rFonts w:ascii="Verdana" w:hAnsi="Verdana"/>
                <w:sz w:val="18"/>
                <w:szCs w:val="18"/>
              </w:rPr>
            </w:pPr>
          </w:p>
        </w:tc>
        <w:tc>
          <w:tcPr>
            <w:tcW w:w="850" w:type="dxa"/>
            <w:gridSpan w:val="2"/>
          </w:tcPr>
          <w:p w:rsidRPr="002A1F9A" w:rsidR="001256CA" w:rsidRDefault="001856D0" w14:paraId="66E5FBB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FF6A979"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54D05974" w14:textId="77777777">
            <w:pPr>
              <w:jc w:val="right"/>
              <w:rPr>
                <w:rFonts w:ascii="Verdana" w:hAnsi="Verdana"/>
                <w:sz w:val="18"/>
                <w:szCs w:val="18"/>
              </w:rPr>
            </w:pPr>
            <w:r w:rsidRPr="002A1F9A">
              <w:rPr>
                <w:rFonts w:ascii="Verdana" w:hAnsi="Verdana"/>
                <w:sz w:val="18"/>
                <w:szCs w:val="18"/>
              </w:rPr>
              <w:t xml:space="preserve"> </w:t>
            </w:r>
          </w:p>
        </w:tc>
      </w:tr>
      <w:bookmarkEnd w:id="18"/>
      <w:tr w:rsidRPr="002A1F9A" w:rsidR="001256CA" w:rsidTr="00A347D5" w14:paraId="72E6DFAC" w14:textId="77777777">
        <w:tc>
          <w:tcPr>
            <w:tcW w:w="567" w:type="dxa"/>
          </w:tcPr>
          <w:p w:rsidRPr="002A1F9A" w:rsidR="001256CA" w:rsidRDefault="001856D0" w14:paraId="42269FC3" w14:textId="77777777">
            <w:pPr>
              <w:rPr>
                <w:rFonts w:ascii="Verdana" w:hAnsi="Verdana"/>
                <w:sz w:val="18"/>
                <w:szCs w:val="18"/>
              </w:rPr>
            </w:pPr>
            <w:r w:rsidRPr="002A1F9A">
              <w:rPr>
                <w:rFonts w:ascii="Verdana" w:hAnsi="Verdana"/>
                <w:sz w:val="18"/>
                <w:szCs w:val="18"/>
              </w:rPr>
              <w:t>36</w:t>
            </w:r>
          </w:p>
        </w:tc>
        <w:tc>
          <w:tcPr>
            <w:tcW w:w="6521" w:type="dxa"/>
            <w:gridSpan w:val="7"/>
          </w:tcPr>
          <w:p w:rsidRPr="002A1F9A" w:rsidR="001256CA" w:rsidRDefault="001856D0" w14:paraId="3C8ED093" w14:textId="77777777">
            <w:pPr>
              <w:rPr>
                <w:rFonts w:ascii="Verdana" w:hAnsi="Verdana"/>
                <w:sz w:val="18"/>
                <w:szCs w:val="18"/>
              </w:rPr>
            </w:pPr>
            <w:r w:rsidRPr="002A1F9A">
              <w:rPr>
                <w:rFonts w:ascii="Verdana" w:hAnsi="Verdana"/>
                <w:sz w:val="18"/>
                <w:szCs w:val="18"/>
              </w:rPr>
              <w:t>Wat verstaat de regering onder een weerbare samenleving en hoe draagt het onderwijs- en wetenschapsbeleid dat zij voor ogen heeft hieraan bij?</w:t>
            </w:r>
          </w:p>
          <w:p w:rsidRPr="002A1F9A" w:rsidR="00147599" w:rsidRDefault="00147599" w14:paraId="51D3126F" w14:textId="77777777">
            <w:pPr>
              <w:rPr>
                <w:rFonts w:ascii="Verdana" w:hAnsi="Verdana"/>
                <w:sz w:val="18"/>
                <w:szCs w:val="18"/>
              </w:rPr>
            </w:pPr>
          </w:p>
          <w:p w:rsidRPr="002A1F9A" w:rsidR="00147599" w:rsidP="00147599" w:rsidRDefault="00147599" w14:paraId="29770950" w14:textId="77777777">
            <w:pPr>
              <w:rPr>
                <w:rFonts w:ascii="Verdana" w:hAnsi="Verdana"/>
                <w:sz w:val="18"/>
                <w:szCs w:val="18"/>
              </w:rPr>
            </w:pPr>
            <w:r w:rsidRPr="002A1F9A">
              <w:rPr>
                <w:rFonts w:ascii="Verdana" w:hAnsi="Verdana"/>
                <w:sz w:val="18"/>
                <w:szCs w:val="18"/>
              </w:rPr>
              <w:t xml:space="preserve">Volgens de regering is een weerbare samenleving een samenleving waarin overheid, publieke en private partners, maatschappelijke organisaties, kennisinstellingen en inwoners zoveel mogelijk voorbereid zijn op maatschappelijke ontwrichting, zoals een militair of hybride conflict, en het vermogen hebben deze te weerstaan, op te vangen en ervan te herstellen. </w:t>
            </w:r>
          </w:p>
          <w:p w:rsidRPr="002A1F9A" w:rsidR="00147599" w:rsidP="00147599" w:rsidRDefault="00147599" w14:paraId="56AD057F" w14:textId="77777777">
            <w:pPr>
              <w:rPr>
                <w:rFonts w:ascii="Verdana" w:hAnsi="Verdana"/>
                <w:sz w:val="18"/>
                <w:szCs w:val="18"/>
              </w:rPr>
            </w:pPr>
            <w:r w:rsidRPr="002A1F9A">
              <w:rPr>
                <w:rFonts w:ascii="Verdana" w:hAnsi="Verdana"/>
                <w:sz w:val="18"/>
                <w:szCs w:val="18"/>
              </w:rPr>
              <w:t xml:space="preserve">De OCW-sectoren vervullen hierin een essentiële rol. In het funderend onderwijs wordt gewerkt aan een aantal specifieke onderwerpen die bijdragen aan een weerbare samenleving (zoals nieuwkomersonderwijs, digitaal veilig onderwijs en burgerschapsonderwijs). Het vervolgonderwijs en de wetenschap dragen bij aan een weerbare samenleving door onder meer te zorgen voor een goed opgeleide beroepsbevolking, met vakmensen voor cruciale processen zoals zorg en techniek. </w:t>
            </w:r>
          </w:p>
          <w:p w:rsidRPr="002A1F9A" w:rsidR="00147599" w:rsidP="00147599" w:rsidRDefault="00147599" w14:paraId="46B8C542" w14:textId="77777777">
            <w:pPr>
              <w:rPr>
                <w:rFonts w:ascii="Verdana" w:hAnsi="Verdana"/>
                <w:sz w:val="18"/>
                <w:szCs w:val="18"/>
              </w:rPr>
            </w:pPr>
            <w:r w:rsidRPr="002A1F9A">
              <w:rPr>
                <w:rFonts w:ascii="Verdana" w:hAnsi="Verdana"/>
                <w:sz w:val="18"/>
                <w:szCs w:val="18"/>
              </w:rPr>
              <w:t xml:space="preserve">In den brede zorgen onderwijs en wetenschap voor een weerbare samenleving door bij te dragen aan de sociale cohesie en het vermogen van burgers om zich aan te passen en om te gaan met een crisis. Het ministerie van OCW voert momenteel actief de dialoog met het onderwijsveld en de kennissector over de impact van (hybride) oorlogsscenario’s op onderwijs en wetenschap, hoe onderwijs en wetenschap zich hierop voor kunnen bereiden en de wijze waarop onderwijs en wetenschap kunnen bijdragen aan de weerbaarheid van de Nederlandse samenleving. </w:t>
            </w:r>
          </w:p>
          <w:p w:rsidRPr="002A1F9A" w:rsidR="00147599" w:rsidP="00147599" w:rsidRDefault="00147599" w14:paraId="397452F0" w14:textId="77777777">
            <w:pPr>
              <w:rPr>
                <w:rFonts w:ascii="Verdana" w:hAnsi="Verdana"/>
                <w:sz w:val="18"/>
                <w:szCs w:val="18"/>
              </w:rPr>
            </w:pPr>
            <w:r w:rsidRPr="002A1F9A">
              <w:rPr>
                <w:rFonts w:ascii="Verdana" w:hAnsi="Verdana"/>
                <w:sz w:val="18"/>
                <w:szCs w:val="18"/>
              </w:rPr>
              <w:t xml:space="preserve">Alle inspanningen om de weerbaarheid van de samenleving te verhogen zijn mede gebaseerd op de recente ervaringen uit de coronaperiode en de vluchtelingenstroom uit Oekraïne. Een geleerde les voor toekomstige crises is hoe belangrijk het is voor de weerbaarheid van leerlingen en studenten dat onderwijs en wetenschap in crisissituaties zoveel mogelijk door blijven gaan. </w:t>
            </w:r>
          </w:p>
          <w:p w:rsidRPr="002A1F9A" w:rsidR="00147599" w:rsidRDefault="00147599" w14:paraId="5ECBCBB6" w14:textId="77777777">
            <w:pPr>
              <w:rPr>
                <w:rFonts w:ascii="Verdana" w:hAnsi="Verdana"/>
                <w:sz w:val="18"/>
                <w:szCs w:val="18"/>
              </w:rPr>
            </w:pPr>
          </w:p>
        </w:tc>
        <w:tc>
          <w:tcPr>
            <w:tcW w:w="850" w:type="dxa"/>
            <w:gridSpan w:val="2"/>
          </w:tcPr>
          <w:p w:rsidRPr="002A1F9A" w:rsidR="001256CA" w:rsidRDefault="001856D0" w14:paraId="4B52F71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8DDC508"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7EDCAD0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5223892" w14:textId="77777777">
        <w:tc>
          <w:tcPr>
            <w:tcW w:w="567" w:type="dxa"/>
          </w:tcPr>
          <w:p w:rsidRPr="002A1F9A" w:rsidR="001256CA" w:rsidRDefault="001856D0" w14:paraId="1E1FCCB0" w14:textId="77777777">
            <w:pPr>
              <w:rPr>
                <w:rFonts w:ascii="Verdana" w:hAnsi="Verdana"/>
                <w:sz w:val="18"/>
                <w:szCs w:val="18"/>
              </w:rPr>
            </w:pPr>
            <w:r w:rsidRPr="002A1F9A">
              <w:rPr>
                <w:rFonts w:ascii="Verdana" w:hAnsi="Verdana"/>
                <w:sz w:val="18"/>
                <w:szCs w:val="18"/>
              </w:rPr>
              <w:lastRenderedPageBreak/>
              <w:t>37</w:t>
            </w:r>
          </w:p>
        </w:tc>
        <w:tc>
          <w:tcPr>
            <w:tcW w:w="6521" w:type="dxa"/>
            <w:gridSpan w:val="7"/>
          </w:tcPr>
          <w:p w:rsidRPr="002A1F9A" w:rsidR="001256CA" w:rsidRDefault="001856D0" w14:paraId="76AB4A51" w14:textId="77777777">
            <w:pPr>
              <w:rPr>
                <w:rFonts w:ascii="Verdana" w:hAnsi="Verdana"/>
                <w:sz w:val="18"/>
                <w:szCs w:val="18"/>
              </w:rPr>
            </w:pPr>
            <w:r w:rsidRPr="002A1F9A">
              <w:rPr>
                <w:rFonts w:ascii="Verdana" w:hAnsi="Verdana"/>
                <w:sz w:val="18"/>
                <w:szCs w:val="18"/>
              </w:rPr>
              <w:t xml:space="preserve">Klopt het dat een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interventie niet hetzelfde is als een </w:t>
            </w:r>
            <w:proofErr w:type="spellStart"/>
            <w:r w:rsidRPr="002A1F9A">
              <w:rPr>
                <w:rFonts w:ascii="Verdana" w:hAnsi="Verdana"/>
                <w:sz w:val="18"/>
                <w:szCs w:val="18"/>
              </w:rPr>
              <w:t>evidence-based</w:t>
            </w:r>
            <w:proofErr w:type="spellEnd"/>
            <w:r w:rsidRPr="002A1F9A">
              <w:rPr>
                <w:rFonts w:ascii="Verdana" w:hAnsi="Verdana"/>
                <w:sz w:val="18"/>
                <w:szCs w:val="18"/>
              </w:rPr>
              <w:t xml:space="preserve"> interventie?</w:t>
            </w:r>
          </w:p>
          <w:p w:rsidRPr="002A1F9A" w:rsidR="00147599" w:rsidRDefault="00147599" w14:paraId="5088A358" w14:textId="77777777">
            <w:pPr>
              <w:rPr>
                <w:rFonts w:ascii="Verdana" w:hAnsi="Verdana"/>
                <w:sz w:val="18"/>
                <w:szCs w:val="18"/>
              </w:rPr>
            </w:pPr>
          </w:p>
          <w:p w:rsidRPr="002A1F9A" w:rsidR="00147599" w:rsidP="00147599" w:rsidRDefault="00147599" w14:paraId="244F0CC0" w14:textId="77777777">
            <w:pPr>
              <w:rPr>
                <w:rFonts w:ascii="Verdana" w:hAnsi="Verdana"/>
                <w:sz w:val="18"/>
                <w:szCs w:val="18"/>
              </w:rPr>
            </w:pPr>
            <w:r w:rsidRPr="002A1F9A">
              <w:rPr>
                <w:rFonts w:ascii="Verdana" w:hAnsi="Verdana"/>
                <w:sz w:val="18"/>
                <w:szCs w:val="18"/>
              </w:rPr>
              <w:t>De term ‘</w:t>
            </w:r>
            <w:proofErr w:type="spellStart"/>
            <w:r w:rsidRPr="002A1F9A">
              <w:rPr>
                <w:rFonts w:ascii="Verdana" w:hAnsi="Verdana"/>
                <w:i/>
                <w:iCs/>
                <w:sz w:val="18"/>
                <w:szCs w:val="18"/>
              </w:rPr>
              <w:t>evidence-based</w:t>
            </w:r>
            <w:proofErr w:type="spellEnd"/>
            <w:r w:rsidRPr="002A1F9A">
              <w:rPr>
                <w:rFonts w:ascii="Verdana" w:hAnsi="Verdana"/>
                <w:sz w:val="18"/>
                <w:szCs w:val="18"/>
              </w:rPr>
              <w:t>’ kan de suggestie wekken dat er alleen wordt gekeken naar een wetenschappelijke basis. Met het gebruik van het begrip ‘</w:t>
            </w:r>
            <w:proofErr w:type="spellStart"/>
            <w:r w:rsidRPr="002A1F9A">
              <w:rPr>
                <w:rFonts w:ascii="Verdana" w:hAnsi="Verdana"/>
                <w:i/>
                <w:iCs/>
                <w:sz w:val="18"/>
                <w:szCs w:val="18"/>
              </w:rPr>
              <w:t>evidence-informed</w:t>
            </w:r>
            <w:proofErr w:type="spellEnd"/>
            <w:r w:rsidRPr="002A1F9A">
              <w:rPr>
                <w:rFonts w:ascii="Verdana" w:hAnsi="Verdana"/>
                <w:i/>
                <w:iCs/>
                <w:sz w:val="18"/>
                <w:szCs w:val="18"/>
              </w:rPr>
              <w:t>’</w:t>
            </w:r>
            <w:r w:rsidRPr="002A1F9A">
              <w:rPr>
                <w:rFonts w:ascii="Verdana" w:hAnsi="Verdana"/>
                <w:sz w:val="18"/>
                <w:szCs w:val="18"/>
              </w:rPr>
              <w:t xml:space="preserve"> wordt benadrukt dat er bij het toepassen van een interventie in de school of in de klas ook andere bronnen van kennis nodig zijn dan wetenschappelijk onderzoek, zoals kennis over de specifieke school en de klas, en de kennis en ervaring van leraren.  </w:t>
            </w:r>
          </w:p>
          <w:p w:rsidRPr="002A1F9A" w:rsidR="00147599" w:rsidRDefault="00147599" w14:paraId="44FC3183" w14:textId="77777777">
            <w:pPr>
              <w:rPr>
                <w:rFonts w:ascii="Verdana" w:hAnsi="Verdana"/>
                <w:sz w:val="18"/>
                <w:szCs w:val="18"/>
              </w:rPr>
            </w:pPr>
          </w:p>
        </w:tc>
        <w:tc>
          <w:tcPr>
            <w:tcW w:w="850" w:type="dxa"/>
            <w:gridSpan w:val="2"/>
          </w:tcPr>
          <w:p w:rsidRPr="002A1F9A" w:rsidR="001256CA" w:rsidRDefault="001856D0" w14:paraId="1A044390"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0A09E0A"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1CDBBE5A"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42EE67B0" w14:textId="77777777">
        <w:tc>
          <w:tcPr>
            <w:tcW w:w="567" w:type="dxa"/>
          </w:tcPr>
          <w:p w:rsidRPr="002A1F9A" w:rsidR="001256CA" w:rsidRDefault="001856D0" w14:paraId="7CE10384" w14:textId="77777777">
            <w:pPr>
              <w:rPr>
                <w:rFonts w:ascii="Verdana" w:hAnsi="Verdana"/>
                <w:sz w:val="18"/>
                <w:szCs w:val="18"/>
              </w:rPr>
            </w:pPr>
            <w:r w:rsidRPr="002A1F9A">
              <w:rPr>
                <w:rFonts w:ascii="Verdana" w:hAnsi="Verdana"/>
                <w:sz w:val="18"/>
                <w:szCs w:val="18"/>
              </w:rPr>
              <w:t>38</w:t>
            </w:r>
          </w:p>
        </w:tc>
        <w:tc>
          <w:tcPr>
            <w:tcW w:w="6521" w:type="dxa"/>
            <w:gridSpan w:val="7"/>
          </w:tcPr>
          <w:p w:rsidRPr="002A1F9A" w:rsidR="001256CA" w:rsidRDefault="001856D0" w14:paraId="6B679BF4" w14:textId="77777777">
            <w:pPr>
              <w:rPr>
                <w:rFonts w:ascii="Verdana" w:hAnsi="Verdana"/>
                <w:sz w:val="18"/>
                <w:szCs w:val="18"/>
              </w:rPr>
            </w:pPr>
            <w:r w:rsidRPr="002A1F9A">
              <w:rPr>
                <w:rFonts w:ascii="Verdana" w:hAnsi="Verdana"/>
                <w:sz w:val="18"/>
                <w:szCs w:val="18"/>
              </w:rPr>
              <w:t xml:space="preserve">Wanneer is een interventie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en als hierin gradaties bestaan, welke mate van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geldt dan als voldoende en waarom?</w:t>
            </w:r>
          </w:p>
          <w:p w:rsidRPr="002A1F9A" w:rsidR="00147599" w:rsidRDefault="00147599" w14:paraId="4B98D2C5" w14:textId="77777777">
            <w:pPr>
              <w:rPr>
                <w:rFonts w:ascii="Verdana" w:hAnsi="Verdana"/>
                <w:sz w:val="18"/>
                <w:szCs w:val="18"/>
              </w:rPr>
            </w:pPr>
          </w:p>
          <w:p w:rsidRPr="002A1F9A" w:rsidR="00147599" w:rsidP="00147599" w:rsidRDefault="00147599" w14:paraId="40DAB805" w14:textId="77777777">
            <w:pPr>
              <w:rPr>
                <w:rFonts w:ascii="Verdana" w:hAnsi="Verdana"/>
                <w:sz w:val="18"/>
                <w:szCs w:val="18"/>
              </w:rPr>
            </w:pPr>
            <w:r w:rsidRPr="002A1F9A">
              <w:rPr>
                <w:rFonts w:ascii="Verdana" w:hAnsi="Verdana"/>
                <w:sz w:val="18"/>
                <w:szCs w:val="18"/>
              </w:rPr>
              <w:t xml:space="preserve">Een interventie is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als gebruik wordt gemaakt van actuele en relevante kennis uit onderzoek en praktijk, rekening houdend met de omstandigheden van de school. Hier worden geen gradaties in onderscheiden. </w:t>
            </w:r>
          </w:p>
          <w:p w:rsidRPr="002A1F9A" w:rsidR="00147599" w:rsidRDefault="00147599" w14:paraId="5F50CDEC" w14:textId="77777777">
            <w:pPr>
              <w:rPr>
                <w:rFonts w:ascii="Verdana" w:hAnsi="Verdana"/>
                <w:sz w:val="18"/>
                <w:szCs w:val="18"/>
              </w:rPr>
            </w:pPr>
          </w:p>
        </w:tc>
        <w:tc>
          <w:tcPr>
            <w:tcW w:w="850" w:type="dxa"/>
            <w:gridSpan w:val="2"/>
          </w:tcPr>
          <w:p w:rsidRPr="002A1F9A" w:rsidR="001256CA" w:rsidRDefault="001856D0" w14:paraId="39F8B10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4AC084D"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26C732A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C1B9F62" w14:textId="77777777">
        <w:tc>
          <w:tcPr>
            <w:tcW w:w="567" w:type="dxa"/>
          </w:tcPr>
          <w:p w:rsidRPr="002A1F9A" w:rsidR="001256CA" w:rsidRDefault="001856D0" w14:paraId="4F0CA7EC" w14:textId="77777777">
            <w:pPr>
              <w:rPr>
                <w:rFonts w:ascii="Verdana" w:hAnsi="Verdana"/>
                <w:sz w:val="18"/>
                <w:szCs w:val="18"/>
              </w:rPr>
            </w:pPr>
            <w:bookmarkStart w:name="_Hlk212710838" w:id="19"/>
            <w:r w:rsidRPr="002A1F9A">
              <w:rPr>
                <w:rFonts w:ascii="Verdana" w:hAnsi="Verdana"/>
                <w:sz w:val="18"/>
                <w:szCs w:val="18"/>
              </w:rPr>
              <w:t>39</w:t>
            </w:r>
          </w:p>
        </w:tc>
        <w:tc>
          <w:tcPr>
            <w:tcW w:w="6521" w:type="dxa"/>
            <w:gridSpan w:val="7"/>
          </w:tcPr>
          <w:p w:rsidRPr="002A1F9A" w:rsidR="001256CA" w:rsidRDefault="001856D0" w14:paraId="3E7EBA93" w14:textId="77777777">
            <w:pPr>
              <w:rPr>
                <w:rFonts w:ascii="Verdana" w:hAnsi="Verdana"/>
                <w:sz w:val="18"/>
                <w:szCs w:val="18"/>
              </w:rPr>
            </w:pPr>
            <w:r w:rsidRPr="002A1F9A">
              <w:rPr>
                <w:rFonts w:ascii="Verdana" w:hAnsi="Verdana"/>
                <w:sz w:val="18"/>
                <w:szCs w:val="18"/>
              </w:rPr>
              <w:t xml:space="preserve">Hoe gaat de Inspectie van het Onderwijs toetsen of de interventies van scholen (voldoende)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zijn indien dit als norm is opgenomen in de wettelijke deugdelijkheidseisen?</w:t>
            </w:r>
          </w:p>
          <w:p w:rsidRPr="002A1F9A" w:rsidR="00147599" w:rsidRDefault="00147599" w14:paraId="0AE2E43C" w14:textId="77777777">
            <w:pPr>
              <w:rPr>
                <w:rFonts w:ascii="Verdana" w:hAnsi="Verdana"/>
                <w:sz w:val="18"/>
                <w:szCs w:val="18"/>
              </w:rPr>
            </w:pPr>
          </w:p>
          <w:p w:rsidRPr="002A1F9A" w:rsidR="00115E8F" w:rsidP="00115E8F" w:rsidRDefault="00115E8F" w14:paraId="29823E8F" w14:textId="27D59200">
            <w:pPr>
              <w:rPr>
                <w:rFonts w:ascii="Verdana" w:hAnsi="Verdana"/>
                <w:sz w:val="18"/>
                <w:szCs w:val="18"/>
              </w:rPr>
            </w:pPr>
            <w:r w:rsidRPr="002A1F9A">
              <w:rPr>
                <w:rFonts w:ascii="Verdana" w:hAnsi="Verdana"/>
                <w:sz w:val="18"/>
                <w:szCs w:val="18"/>
              </w:rPr>
              <w:t>De inhoudelijke keuze voor methoden of leermiddelen wordt niet door de inspectie beoordeeld. Met de nieuwe norm wordt wettelijk vastgelegd dat bij de uitvoering van het stelsel van kwaliteitszorg gebruik wordt gemaakt van actuele en relevante kennis uit onderzoek en praktijk waarbij rekening wordt gehouden met de omstandigheden van de school. Deze norm is gericht op het proces, wat betekent dat de Inspectie van het Onderwijs op het proces toeziet.</w:t>
            </w:r>
            <w:r w:rsidRPr="002A1F9A">
              <w:t xml:space="preserve"> </w:t>
            </w:r>
            <w:bookmarkStart w:name="_Hlk212624213" w:id="20"/>
            <w:r w:rsidRPr="002A1F9A">
              <w:rPr>
                <w:rFonts w:ascii="Verdana" w:hAnsi="Verdana"/>
                <w:sz w:val="18"/>
                <w:szCs w:val="18"/>
              </w:rPr>
              <w:t>Als het proces van het gebruik van actuele en relevante kennis uit onderzoek en praktijk rekening houdend met de omstandigheden van de school goed wordt doorlopen, is voldaan aan de norm.</w:t>
            </w:r>
            <w:bookmarkEnd w:id="20"/>
          </w:p>
          <w:p w:rsidRPr="002A1F9A" w:rsidR="00147599" w:rsidP="00D032A7" w:rsidRDefault="00147599" w14:paraId="3392F289" w14:textId="601AE906">
            <w:pPr>
              <w:rPr>
                <w:rFonts w:ascii="Verdana" w:hAnsi="Verdana"/>
                <w:sz w:val="18"/>
                <w:szCs w:val="18"/>
              </w:rPr>
            </w:pPr>
          </w:p>
        </w:tc>
        <w:tc>
          <w:tcPr>
            <w:tcW w:w="850" w:type="dxa"/>
            <w:gridSpan w:val="2"/>
          </w:tcPr>
          <w:p w:rsidRPr="002A1F9A" w:rsidR="001256CA" w:rsidRDefault="001856D0" w14:paraId="276F378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0B21400"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7AB63BA8" w14:textId="77777777">
            <w:pPr>
              <w:jc w:val="right"/>
              <w:rPr>
                <w:rFonts w:ascii="Verdana" w:hAnsi="Verdana"/>
                <w:sz w:val="18"/>
                <w:szCs w:val="18"/>
              </w:rPr>
            </w:pPr>
            <w:r w:rsidRPr="002A1F9A">
              <w:rPr>
                <w:rFonts w:ascii="Verdana" w:hAnsi="Verdana"/>
                <w:sz w:val="18"/>
                <w:szCs w:val="18"/>
              </w:rPr>
              <w:t xml:space="preserve"> </w:t>
            </w:r>
          </w:p>
        </w:tc>
      </w:tr>
      <w:bookmarkEnd w:id="19"/>
      <w:tr w:rsidRPr="002A1F9A" w:rsidR="001256CA" w:rsidTr="00A347D5" w14:paraId="6E6FD37F" w14:textId="77777777">
        <w:tc>
          <w:tcPr>
            <w:tcW w:w="567" w:type="dxa"/>
          </w:tcPr>
          <w:p w:rsidRPr="002A1F9A" w:rsidR="001256CA" w:rsidRDefault="001856D0" w14:paraId="0ABE361E" w14:textId="77777777">
            <w:pPr>
              <w:rPr>
                <w:rFonts w:ascii="Verdana" w:hAnsi="Verdana"/>
                <w:sz w:val="18"/>
                <w:szCs w:val="18"/>
              </w:rPr>
            </w:pPr>
            <w:r w:rsidRPr="002A1F9A">
              <w:rPr>
                <w:rFonts w:ascii="Verdana" w:hAnsi="Verdana"/>
                <w:sz w:val="18"/>
                <w:szCs w:val="18"/>
              </w:rPr>
              <w:t>40</w:t>
            </w:r>
          </w:p>
        </w:tc>
        <w:tc>
          <w:tcPr>
            <w:tcW w:w="6521" w:type="dxa"/>
            <w:gridSpan w:val="7"/>
          </w:tcPr>
          <w:p w:rsidRPr="002A1F9A" w:rsidR="001256CA" w:rsidRDefault="001856D0" w14:paraId="46261836" w14:textId="77777777">
            <w:pPr>
              <w:rPr>
                <w:rFonts w:ascii="Verdana" w:hAnsi="Verdana"/>
                <w:sz w:val="18"/>
                <w:szCs w:val="18"/>
              </w:rPr>
            </w:pPr>
            <w:r w:rsidRPr="002A1F9A">
              <w:rPr>
                <w:rFonts w:ascii="Verdana" w:hAnsi="Verdana"/>
                <w:sz w:val="18"/>
                <w:szCs w:val="18"/>
              </w:rPr>
              <w:t>Hoe borgen de kwaliteitsallianties de betaalbaarheid van de leermiddelen waaraan ze werken?</w:t>
            </w:r>
          </w:p>
          <w:p w:rsidRPr="002A1F9A" w:rsidR="00325C76" w:rsidRDefault="00325C76" w14:paraId="28D6028A" w14:textId="77777777">
            <w:pPr>
              <w:rPr>
                <w:rFonts w:ascii="Verdana" w:hAnsi="Verdana"/>
                <w:sz w:val="18"/>
                <w:szCs w:val="18"/>
              </w:rPr>
            </w:pPr>
          </w:p>
          <w:p w:rsidRPr="002A1F9A" w:rsidR="00325C76" w:rsidP="00325C76" w:rsidRDefault="00325C76" w14:paraId="352C3995" w14:textId="4E498417">
            <w:pPr>
              <w:rPr>
                <w:rFonts w:ascii="Verdana" w:hAnsi="Verdana"/>
                <w:sz w:val="18"/>
                <w:szCs w:val="18"/>
              </w:rPr>
            </w:pPr>
            <w:r w:rsidRPr="002A1F9A">
              <w:rPr>
                <w:rFonts w:ascii="Verdana" w:hAnsi="Verdana"/>
                <w:sz w:val="18"/>
                <w:szCs w:val="18"/>
              </w:rPr>
              <w:t xml:space="preserve">Op dit moment verkent een brede coalitie van onderwijspartijen hoe zij via een kwaliteitsalliantie de kwaliteit van leermiddelen kunnen versterken en het effectief gebruik ervan in de klas kunnen bevorderen. Dit doen zij op basis van onafhankelijk advies van </w:t>
            </w:r>
            <w:proofErr w:type="spellStart"/>
            <w:r w:rsidRPr="002A1F9A">
              <w:rPr>
                <w:rFonts w:ascii="Verdana" w:hAnsi="Verdana"/>
                <w:sz w:val="18"/>
                <w:szCs w:val="18"/>
              </w:rPr>
              <w:t>ABDTOPConsult</w:t>
            </w:r>
            <w:proofErr w:type="spellEnd"/>
            <w:r w:rsidRPr="002A1F9A">
              <w:rPr>
                <w:rFonts w:ascii="Verdana" w:hAnsi="Verdana"/>
                <w:sz w:val="18"/>
                <w:szCs w:val="18"/>
              </w:rPr>
              <w:t xml:space="preserve"> en in ronde tafels die door </w:t>
            </w:r>
            <w:r w:rsidRPr="002A1F9A" w:rsidR="009A3C2E">
              <w:rPr>
                <w:rFonts w:ascii="Verdana" w:hAnsi="Verdana"/>
                <w:sz w:val="18"/>
                <w:szCs w:val="18"/>
              </w:rPr>
              <w:t xml:space="preserve">het ministerie van </w:t>
            </w:r>
            <w:r w:rsidRPr="002A1F9A">
              <w:rPr>
                <w:rFonts w:ascii="Verdana" w:hAnsi="Verdana"/>
                <w:sz w:val="18"/>
                <w:szCs w:val="18"/>
              </w:rPr>
              <w:t xml:space="preserve">OCW met onderwijspartijen worden georganiseerd. </w:t>
            </w:r>
            <w:r w:rsidRPr="002A1F9A" w:rsidR="006B7208">
              <w:rPr>
                <w:rFonts w:ascii="Verdana" w:hAnsi="Verdana"/>
                <w:sz w:val="18"/>
                <w:szCs w:val="18"/>
              </w:rPr>
              <w:t>V</w:t>
            </w:r>
            <w:r w:rsidRPr="002A1F9A">
              <w:rPr>
                <w:rFonts w:ascii="Verdana" w:hAnsi="Verdana"/>
                <w:sz w:val="18"/>
                <w:szCs w:val="18"/>
              </w:rPr>
              <w:t xml:space="preserve">oor de begrotingsbehandeling van </w:t>
            </w:r>
            <w:r w:rsidRPr="002A1F9A" w:rsidR="009A3C2E">
              <w:rPr>
                <w:rFonts w:ascii="Verdana" w:hAnsi="Verdana"/>
                <w:sz w:val="18"/>
                <w:szCs w:val="18"/>
              </w:rPr>
              <w:t xml:space="preserve">het ministerie van </w:t>
            </w:r>
            <w:r w:rsidRPr="002A1F9A">
              <w:rPr>
                <w:rFonts w:ascii="Verdana" w:hAnsi="Verdana"/>
                <w:sz w:val="18"/>
                <w:szCs w:val="18"/>
              </w:rPr>
              <w:t>OCW wordt de Kamer geïnformeerd over de voortgang en hoe zaken als betaalbaarheid zich verhouden tot de alliantie. </w:t>
            </w:r>
          </w:p>
          <w:p w:rsidRPr="002A1F9A" w:rsidR="00325C76" w:rsidRDefault="00325C76" w14:paraId="3E2EC343" w14:textId="77777777">
            <w:pPr>
              <w:rPr>
                <w:rFonts w:ascii="Verdana" w:hAnsi="Verdana"/>
                <w:sz w:val="18"/>
                <w:szCs w:val="18"/>
              </w:rPr>
            </w:pPr>
          </w:p>
        </w:tc>
        <w:tc>
          <w:tcPr>
            <w:tcW w:w="850" w:type="dxa"/>
            <w:gridSpan w:val="2"/>
          </w:tcPr>
          <w:p w:rsidRPr="002A1F9A" w:rsidR="001256CA" w:rsidRDefault="001856D0" w14:paraId="2305BB2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DEAA562" w14:textId="77777777">
            <w:pPr>
              <w:jc w:val="right"/>
              <w:rPr>
                <w:rFonts w:ascii="Verdana" w:hAnsi="Verdana"/>
                <w:sz w:val="18"/>
                <w:szCs w:val="18"/>
              </w:rPr>
            </w:pPr>
            <w:r w:rsidRPr="002A1F9A">
              <w:rPr>
                <w:rFonts w:ascii="Verdana" w:hAnsi="Verdana"/>
                <w:sz w:val="18"/>
                <w:szCs w:val="18"/>
              </w:rPr>
              <w:t>8</w:t>
            </w:r>
          </w:p>
        </w:tc>
        <w:tc>
          <w:tcPr>
            <w:tcW w:w="567" w:type="dxa"/>
            <w:tcBorders>
              <w:left w:val="nil"/>
            </w:tcBorders>
          </w:tcPr>
          <w:p w:rsidRPr="002A1F9A" w:rsidR="001256CA" w:rsidRDefault="001856D0" w14:paraId="1DD779F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128E181" w14:textId="77777777">
        <w:tc>
          <w:tcPr>
            <w:tcW w:w="567" w:type="dxa"/>
          </w:tcPr>
          <w:p w:rsidRPr="002A1F9A" w:rsidR="001256CA" w:rsidRDefault="001856D0" w14:paraId="5311A140" w14:textId="77777777">
            <w:pPr>
              <w:rPr>
                <w:rFonts w:ascii="Verdana" w:hAnsi="Verdana"/>
                <w:sz w:val="18"/>
                <w:szCs w:val="18"/>
              </w:rPr>
            </w:pPr>
            <w:r w:rsidRPr="002A1F9A">
              <w:rPr>
                <w:rFonts w:ascii="Verdana" w:hAnsi="Verdana"/>
                <w:sz w:val="18"/>
                <w:szCs w:val="18"/>
              </w:rPr>
              <w:t>41</w:t>
            </w:r>
          </w:p>
        </w:tc>
        <w:tc>
          <w:tcPr>
            <w:tcW w:w="6521" w:type="dxa"/>
            <w:gridSpan w:val="7"/>
          </w:tcPr>
          <w:p w:rsidRPr="002A1F9A" w:rsidR="001256CA" w:rsidRDefault="001856D0" w14:paraId="62BD90DE" w14:textId="77777777">
            <w:pPr>
              <w:rPr>
                <w:rFonts w:ascii="Verdana" w:hAnsi="Verdana"/>
                <w:sz w:val="18"/>
                <w:szCs w:val="18"/>
              </w:rPr>
            </w:pPr>
            <w:r w:rsidRPr="002A1F9A">
              <w:rPr>
                <w:rFonts w:ascii="Verdana" w:hAnsi="Verdana"/>
                <w:sz w:val="18"/>
                <w:szCs w:val="18"/>
              </w:rPr>
              <w:t>Hoeveel scholen maken gebruik van het programma Schoolmaaltijden en hoeveel leerlingen worden bereikt?</w:t>
            </w:r>
          </w:p>
          <w:p w:rsidRPr="002A1F9A" w:rsidR="00325C76" w:rsidRDefault="00325C76" w14:paraId="3F912B07" w14:textId="77777777">
            <w:pPr>
              <w:rPr>
                <w:rFonts w:ascii="Verdana" w:hAnsi="Verdana"/>
                <w:sz w:val="18"/>
                <w:szCs w:val="18"/>
              </w:rPr>
            </w:pPr>
          </w:p>
          <w:p w:rsidRPr="002A1F9A" w:rsidR="00325C76" w:rsidP="00325C76" w:rsidRDefault="00325C76" w14:paraId="3F2C85AF" w14:textId="77777777">
            <w:pPr>
              <w:rPr>
                <w:rFonts w:ascii="Verdana" w:hAnsi="Verdana"/>
                <w:sz w:val="18"/>
                <w:szCs w:val="18"/>
              </w:rPr>
            </w:pPr>
            <w:r w:rsidRPr="002A1F9A">
              <w:rPr>
                <w:rFonts w:ascii="Verdana" w:hAnsi="Verdana"/>
                <w:sz w:val="18"/>
                <w:szCs w:val="18"/>
              </w:rPr>
              <w:t>Op dit moment doen er 2.409 scholen mee aan het programma Schoolmaaltijden. Daarmee worden 392.277 leerlingen bereikt.  </w:t>
            </w:r>
          </w:p>
          <w:p w:rsidRPr="002A1F9A" w:rsidR="00325C76" w:rsidRDefault="00325C76" w14:paraId="666406AA" w14:textId="77777777">
            <w:pPr>
              <w:rPr>
                <w:rFonts w:ascii="Verdana" w:hAnsi="Verdana"/>
                <w:sz w:val="18"/>
                <w:szCs w:val="18"/>
              </w:rPr>
            </w:pPr>
          </w:p>
        </w:tc>
        <w:tc>
          <w:tcPr>
            <w:tcW w:w="850" w:type="dxa"/>
            <w:gridSpan w:val="2"/>
          </w:tcPr>
          <w:p w:rsidRPr="002A1F9A" w:rsidR="001256CA" w:rsidRDefault="001856D0" w14:paraId="26608F9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61722411" w14:textId="77777777">
            <w:pPr>
              <w:jc w:val="right"/>
              <w:rPr>
                <w:rFonts w:ascii="Verdana" w:hAnsi="Verdana"/>
                <w:sz w:val="18"/>
                <w:szCs w:val="18"/>
              </w:rPr>
            </w:pPr>
            <w:r w:rsidRPr="002A1F9A">
              <w:rPr>
                <w:rFonts w:ascii="Verdana" w:hAnsi="Verdana"/>
                <w:sz w:val="18"/>
                <w:szCs w:val="18"/>
              </w:rPr>
              <w:t>9</w:t>
            </w:r>
          </w:p>
        </w:tc>
        <w:tc>
          <w:tcPr>
            <w:tcW w:w="567" w:type="dxa"/>
            <w:tcBorders>
              <w:left w:val="nil"/>
            </w:tcBorders>
          </w:tcPr>
          <w:p w:rsidRPr="002A1F9A" w:rsidR="001256CA" w:rsidRDefault="001856D0" w14:paraId="72DE9C8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E16746B" w14:textId="77777777">
        <w:tc>
          <w:tcPr>
            <w:tcW w:w="567" w:type="dxa"/>
          </w:tcPr>
          <w:p w:rsidRPr="002A1F9A" w:rsidR="001256CA" w:rsidRDefault="001856D0" w14:paraId="785FFDAF" w14:textId="77777777">
            <w:pPr>
              <w:rPr>
                <w:rFonts w:ascii="Verdana" w:hAnsi="Verdana"/>
                <w:sz w:val="18"/>
                <w:szCs w:val="18"/>
              </w:rPr>
            </w:pPr>
            <w:r w:rsidRPr="002A1F9A">
              <w:rPr>
                <w:rFonts w:ascii="Verdana" w:hAnsi="Verdana"/>
                <w:sz w:val="18"/>
                <w:szCs w:val="18"/>
              </w:rPr>
              <w:t>42</w:t>
            </w:r>
          </w:p>
        </w:tc>
        <w:tc>
          <w:tcPr>
            <w:tcW w:w="6521" w:type="dxa"/>
            <w:gridSpan w:val="7"/>
          </w:tcPr>
          <w:p w:rsidRPr="002A1F9A" w:rsidR="001256CA" w:rsidRDefault="001856D0" w14:paraId="56C3C237" w14:textId="77777777">
            <w:pPr>
              <w:rPr>
                <w:rFonts w:ascii="Verdana" w:hAnsi="Verdana"/>
                <w:sz w:val="18"/>
                <w:szCs w:val="18"/>
              </w:rPr>
            </w:pPr>
            <w:r w:rsidRPr="002A1F9A">
              <w:rPr>
                <w:rFonts w:ascii="Verdana" w:hAnsi="Verdana"/>
                <w:sz w:val="18"/>
                <w:szCs w:val="18"/>
              </w:rPr>
              <w:t>Wat is het doelmatige verschil tussen ‘gerichte bekostiging’ en een gewone subsidie?</w:t>
            </w:r>
          </w:p>
          <w:p w:rsidRPr="002A1F9A" w:rsidR="00325C76" w:rsidRDefault="00325C76" w14:paraId="7940BF08" w14:textId="77777777">
            <w:pPr>
              <w:rPr>
                <w:rFonts w:ascii="Verdana" w:hAnsi="Verdana"/>
                <w:sz w:val="18"/>
                <w:szCs w:val="18"/>
              </w:rPr>
            </w:pPr>
          </w:p>
          <w:p w:rsidRPr="002A1F9A" w:rsidR="00325C76" w:rsidP="00325C76" w:rsidRDefault="00325C76" w14:paraId="43ED9A88" w14:textId="77777777">
            <w:pPr>
              <w:rPr>
                <w:rFonts w:ascii="Verdana" w:hAnsi="Verdana"/>
                <w:sz w:val="18"/>
                <w:szCs w:val="18"/>
              </w:rPr>
            </w:pPr>
            <w:r w:rsidRPr="002A1F9A">
              <w:rPr>
                <w:rFonts w:ascii="Verdana" w:hAnsi="Verdana"/>
                <w:sz w:val="18"/>
                <w:szCs w:val="18"/>
              </w:rPr>
              <w:lastRenderedPageBreak/>
              <w:t xml:space="preserve">Gerichte bekostiging is structurele bekostiging met tijdelijke verplichtingen (maximaal vijf jaar), terwijl subsidie tijdelijk is met voorwaarden gedurende de hele looptijd. </w:t>
            </w:r>
          </w:p>
          <w:p w:rsidRPr="002A1F9A" w:rsidR="00325C76" w:rsidP="00325C76" w:rsidRDefault="00325C76" w14:paraId="0D4E1A5E" w14:textId="77777777">
            <w:pPr>
              <w:rPr>
                <w:rFonts w:ascii="Verdana" w:hAnsi="Verdana"/>
                <w:sz w:val="18"/>
                <w:szCs w:val="18"/>
              </w:rPr>
            </w:pPr>
            <w:r w:rsidRPr="002A1F9A">
              <w:rPr>
                <w:rFonts w:ascii="Verdana" w:hAnsi="Verdana"/>
                <w:sz w:val="18"/>
                <w:szCs w:val="18"/>
              </w:rPr>
              <w:t xml:space="preserve">Daarnaast geldt dat de administratieve last en verantwoordingslast van een subsidie voor scholen hoger zal zijn dan bij een gerichte bekostiging. Dat heeft ook te maken met het feit dat subsidies op aanvraag zijn. De school neemt dus zelf het initiatief. Gerichte bekostiging wordt ambtshalve, dus zonder aanvraag, verstrekt. </w:t>
            </w:r>
          </w:p>
          <w:p w:rsidRPr="002A1F9A" w:rsidR="00325C76" w:rsidP="00325C76" w:rsidRDefault="00325C76" w14:paraId="08563C27" w14:textId="77777777">
            <w:pPr>
              <w:rPr>
                <w:rFonts w:ascii="Verdana" w:hAnsi="Verdana"/>
                <w:sz w:val="18"/>
                <w:szCs w:val="18"/>
              </w:rPr>
            </w:pPr>
            <w:r w:rsidRPr="002A1F9A">
              <w:rPr>
                <w:rFonts w:ascii="Verdana" w:hAnsi="Verdana"/>
                <w:sz w:val="18"/>
                <w:szCs w:val="18"/>
              </w:rPr>
              <w:t>Gerichte bekostiging is geschikt voor toepassing bij grote groepen (of alle) scholen voor een langere periode waarbij enkele verplichtingen worden gesteld. Subsidies kunnen dan vooral ingezet worden voor kortere termijn doelen die betrekking hebben op slechts een deel van de scholen, waarbij scholen zelf een aanvraag moeten doen.</w:t>
            </w:r>
          </w:p>
          <w:p w:rsidRPr="002A1F9A" w:rsidR="00325C76" w:rsidRDefault="00325C76" w14:paraId="15940B07" w14:textId="77777777">
            <w:pPr>
              <w:rPr>
                <w:rFonts w:ascii="Verdana" w:hAnsi="Verdana"/>
                <w:sz w:val="18"/>
                <w:szCs w:val="18"/>
              </w:rPr>
            </w:pPr>
          </w:p>
        </w:tc>
        <w:tc>
          <w:tcPr>
            <w:tcW w:w="850" w:type="dxa"/>
            <w:gridSpan w:val="2"/>
          </w:tcPr>
          <w:p w:rsidRPr="002A1F9A" w:rsidR="001256CA" w:rsidRDefault="001856D0" w14:paraId="6B77C71C"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6D1E6685" w14:textId="77777777">
            <w:pPr>
              <w:jc w:val="right"/>
              <w:rPr>
                <w:rFonts w:ascii="Verdana" w:hAnsi="Verdana"/>
                <w:sz w:val="18"/>
                <w:szCs w:val="18"/>
              </w:rPr>
            </w:pPr>
            <w:r w:rsidRPr="002A1F9A">
              <w:rPr>
                <w:rFonts w:ascii="Verdana" w:hAnsi="Verdana"/>
                <w:sz w:val="18"/>
                <w:szCs w:val="18"/>
              </w:rPr>
              <w:t>9</w:t>
            </w:r>
          </w:p>
        </w:tc>
        <w:tc>
          <w:tcPr>
            <w:tcW w:w="567" w:type="dxa"/>
            <w:tcBorders>
              <w:left w:val="nil"/>
            </w:tcBorders>
          </w:tcPr>
          <w:p w:rsidRPr="002A1F9A" w:rsidR="001256CA" w:rsidRDefault="001856D0" w14:paraId="424FE524"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8E6EF77" w14:textId="77777777">
        <w:tc>
          <w:tcPr>
            <w:tcW w:w="567" w:type="dxa"/>
          </w:tcPr>
          <w:p w:rsidRPr="002A1F9A" w:rsidR="001256CA" w:rsidRDefault="001856D0" w14:paraId="0E7CD449" w14:textId="77777777">
            <w:pPr>
              <w:rPr>
                <w:rFonts w:ascii="Verdana" w:hAnsi="Verdana"/>
                <w:sz w:val="18"/>
                <w:szCs w:val="18"/>
              </w:rPr>
            </w:pPr>
            <w:r w:rsidRPr="002A1F9A">
              <w:rPr>
                <w:rFonts w:ascii="Verdana" w:hAnsi="Verdana"/>
                <w:sz w:val="18"/>
                <w:szCs w:val="18"/>
              </w:rPr>
              <w:t>43</w:t>
            </w:r>
          </w:p>
        </w:tc>
        <w:tc>
          <w:tcPr>
            <w:tcW w:w="6521" w:type="dxa"/>
            <w:gridSpan w:val="7"/>
          </w:tcPr>
          <w:p w:rsidRPr="002A1F9A" w:rsidR="001256CA" w:rsidRDefault="001856D0" w14:paraId="47DE5967" w14:textId="77777777">
            <w:pPr>
              <w:rPr>
                <w:rFonts w:ascii="Verdana" w:hAnsi="Verdana"/>
                <w:sz w:val="18"/>
                <w:szCs w:val="18"/>
              </w:rPr>
            </w:pPr>
            <w:r w:rsidRPr="002A1F9A">
              <w:rPr>
                <w:rFonts w:ascii="Verdana" w:hAnsi="Verdana"/>
                <w:sz w:val="18"/>
                <w:szCs w:val="18"/>
              </w:rPr>
              <w:t xml:space="preserve">Op grond van welke overwegingen worden de subsidies van School </w:t>
            </w:r>
            <w:r w:rsidRPr="002A1F9A" w:rsidR="00D8417D">
              <w:rPr>
                <w:rFonts w:ascii="Verdana" w:hAnsi="Verdana"/>
                <w:sz w:val="18"/>
                <w:szCs w:val="18"/>
              </w:rPr>
              <w:t>en</w:t>
            </w:r>
            <w:r w:rsidRPr="002A1F9A">
              <w:rPr>
                <w:rFonts w:ascii="Verdana" w:hAnsi="Verdana"/>
                <w:sz w:val="18"/>
                <w:szCs w:val="18"/>
              </w:rPr>
              <w:t xml:space="preserve"> omgeving, schoolmaaltijden en de brugfunctionaris pas in 2029 omgezet naar structurele bekostiging?</w:t>
            </w:r>
          </w:p>
          <w:p w:rsidRPr="002A1F9A" w:rsidR="00325C76" w:rsidRDefault="00325C76" w14:paraId="20E9D944" w14:textId="77777777">
            <w:pPr>
              <w:rPr>
                <w:rFonts w:ascii="Verdana" w:hAnsi="Verdana"/>
                <w:sz w:val="18"/>
                <w:szCs w:val="18"/>
              </w:rPr>
            </w:pPr>
          </w:p>
          <w:p w:rsidRPr="002A1F9A" w:rsidR="00325C76" w:rsidP="00325C76" w:rsidRDefault="00325C76" w14:paraId="4640CFBB" w14:textId="22423FA7">
            <w:pPr>
              <w:rPr>
                <w:rFonts w:ascii="Verdana" w:hAnsi="Verdana"/>
                <w:sz w:val="18"/>
              </w:rPr>
            </w:pPr>
            <w:r w:rsidRPr="002A1F9A">
              <w:rPr>
                <w:rFonts w:ascii="Verdana" w:hAnsi="Verdana"/>
                <w:sz w:val="18"/>
                <w:szCs w:val="18"/>
              </w:rPr>
              <w:t xml:space="preserve">Het omzetten naar structurele </w:t>
            </w:r>
            <w:r w:rsidRPr="002A1F9A" w:rsidR="006B7208">
              <w:rPr>
                <w:rFonts w:ascii="Verdana" w:hAnsi="Verdana"/>
                <w:sz w:val="18"/>
                <w:szCs w:val="18"/>
              </w:rPr>
              <w:t>bekostiging</w:t>
            </w:r>
            <w:r w:rsidRPr="002A1F9A">
              <w:rPr>
                <w:rFonts w:ascii="Verdana" w:hAnsi="Verdana"/>
                <w:sz w:val="18"/>
                <w:szCs w:val="18"/>
              </w:rPr>
              <w:t xml:space="preserve"> vraagt een wetswijzing en dat kost tijd. Het voornemen is om een wetsvoorstel voor de zomer van 2026 in internetconsultatie te brengen. De tijd tussen de lopende subsidies van School &amp; Omgeving, Schoolmaaltijden en de Brugfunctionaris tot aan de structurele vormgeving zal worden overbrugd met dezelfde </w:t>
            </w:r>
            <w:r w:rsidRPr="002A1F9A" w:rsidR="006B7208">
              <w:rPr>
                <w:rFonts w:ascii="Verdana" w:hAnsi="Verdana"/>
                <w:sz w:val="18"/>
                <w:szCs w:val="18"/>
              </w:rPr>
              <w:t xml:space="preserve">(of vergelijkbare) </w:t>
            </w:r>
            <w:r w:rsidRPr="002A1F9A">
              <w:rPr>
                <w:rFonts w:ascii="Verdana" w:hAnsi="Verdana"/>
                <w:sz w:val="18"/>
                <w:szCs w:val="18"/>
              </w:rPr>
              <w:t>subsidies.</w:t>
            </w:r>
            <w:r w:rsidRPr="002A1F9A">
              <w:rPr>
                <w:rFonts w:ascii="Verdana" w:hAnsi="Verdana"/>
                <w:i/>
                <w:iCs/>
                <w:sz w:val="18"/>
                <w:szCs w:val="18"/>
              </w:rPr>
              <w:t xml:space="preserve"> </w:t>
            </w:r>
          </w:p>
          <w:p w:rsidRPr="002A1F9A" w:rsidR="00325C76" w:rsidRDefault="00325C76" w14:paraId="65E8BCD3" w14:textId="6AF06E06">
            <w:pPr>
              <w:rPr>
                <w:rFonts w:ascii="Verdana" w:hAnsi="Verdana"/>
                <w:sz w:val="18"/>
                <w:szCs w:val="18"/>
              </w:rPr>
            </w:pPr>
          </w:p>
        </w:tc>
        <w:tc>
          <w:tcPr>
            <w:tcW w:w="850" w:type="dxa"/>
            <w:gridSpan w:val="2"/>
          </w:tcPr>
          <w:p w:rsidRPr="002A1F9A" w:rsidR="001256CA" w:rsidRDefault="001856D0" w14:paraId="2CA0CF5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03FB4B2" w14:textId="77777777">
            <w:pPr>
              <w:jc w:val="right"/>
              <w:rPr>
                <w:rFonts w:ascii="Verdana" w:hAnsi="Verdana"/>
                <w:sz w:val="18"/>
                <w:szCs w:val="18"/>
              </w:rPr>
            </w:pPr>
            <w:r w:rsidRPr="002A1F9A">
              <w:rPr>
                <w:rFonts w:ascii="Verdana" w:hAnsi="Verdana"/>
                <w:sz w:val="18"/>
                <w:szCs w:val="18"/>
              </w:rPr>
              <w:t>9</w:t>
            </w:r>
          </w:p>
        </w:tc>
        <w:tc>
          <w:tcPr>
            <w:tcW w:w="567" w:type="dxa"/>
            <w:tcBorders>
              <w:left w:val="nil"/>
            </w:tcBorders>
          </w:tcPr>
          <w:p w:rsidRPr="002A1F9A" w:rsidR="001256CA" w:rsidRDefault="001856D0" w14:paraId="1703D3F4"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1AB1E723" w14:textId="77777777">
        <w:tc>
          <w:tcPr>
            <w:tcW w:w="567" w:type="dxa"/>
          </w:tcPr>
          <w:p w:rsidRPr="002A1F9A" w:rsidR="001256CA" w:rsidRDefault="001856D0" w14:paraId="1E7D6812" w14:textId="77777777">
            <w:pPr>
              <w:rPr>
                <w:rFonts w:ascii="Verdana" w:hAnsi="Verdana"/>
                <w:sz w:val="18"/>
                <w:szCs w:val="18"/>
              </w:rPr>
            </w:pPr>
            <w:r w:rsidRPr="002A1F9A">
              <w:rPr>
                <w:rFonts w:ascii="Verdana" w:hAnsi="Verdana"/>
                <w:sz w:val="18"/>
                <w:szCs w:val="18"/>
              </w:rPr>
              <w:t>44</w:t>
            </w:r>
          </w:p>
        </w:tc>
        <w:tc>
          <w:tcPr>
            <w:tcW w:w="6521" w:type="dxa"/>
            <w:gridSpan w:val="7"/>
          </w:tcPr>
          <w:p w:rsidRPr="002A1F9A" w:rsidR="001256CA" w:rsidRDefault="001856D0" w14:paraId="3C9ED4D7" w14:textId="77777777">
            <w:pPr>
              <w:rPr>
                <w:rFonts w:ascii="Verdana" w:hAnsi="Verdana"/>
                <w:sz w:val="18"/>
                <w:szCs w:val="18"/>
              </w:rPr>
            </w:pPr>
            <w:bookmarkStart w:name="_Hlk212563669" w:id="21"/>
            <w:r w:rsidRPr="002A1F9A">
              <w:rPr>
                <w:rFonts w:ascii="Verdana" w:hAnsi="Verdana"/>
                <w:sz w:val="18"/>
                <w:szCs w:val="18"/>
              </w:rPr>
              <w:t>Hoe wordt de structurele € 1 miljard voor basisvaardigheden vanaf 2027 verdeeld over po</w:t>
            </w:r>
            <w:r w:rsidRPr="002A1F9A" w:rsidR="00D8417D">
              <w:rPr>
                <w:rStyle w:val="Voetnootmarkering"/>
                <w:rFonts w:ascii="Verdana" w:hAnsi="Verdana"/>
                <w:sz w:val="18"/>
                <w:szCs w:val="18"/>
              </w:rPr>
              <w:footnoteReference w:id="7"/>
            </w:r>
            <w:r w:rsidRPr="002A1F9A">
              <w:rPr>
                <w:rFonts w:ascii="Verdana" w:hAnsi="Verdana"/>
                <w:sz w:val="18"/>
                <w:szCs w:val="18"/>
              </w:rPr>
              <w:t xml:space="preserve"> en vo</w:t>
            </w:r>
            <w:r w:rsidRPr="002A1F9A" w:rsidR="00D8417D">
              <w:rPr>
                <w:rStyle w:val="Voetnootmarkering"/>
                <w:rFonts w:ascii="Verdana" w:hAnsi="Verdana"/>
                <w:sz w:val="18"/>
                <w:szCs w:val="18"/>
              </w:rPr>
              <w:footnoteReference w:id="8"/>
            </w:r>
            <w:r w:rsidRPr="002A1F9A">
              <w:rPr>
                <w:rFonts w:ascii="Verdana" w:hAnsi="Verdana"/>
                <w:sz w:val="18"/>
                <w:szCs w:val="18"/>
              </w:rPr>
              <w:t xml:space="preserve"> en welke indicatoren zijn eraan gekoppeld?</w:t>
            </w:r>
          </w:p>
          <w:p w:rsidRPr="002A1F9A" w:rsidR="002909F8" w:rsidRDefault="002909F8" w14:paraId="2CD603FD" w14:textId="55AF1AB1">
            <w:pPr>
              <w:rPr>
                <w:rFonts w:ascii="Verdana" w:hAnsi="Verdana"/>
                <w:sz w:val="18"/>
                <w:szCs w:val="18"/>
              </w:rPr>
            </w:pPr>
            <w:bookmarkStart w:name="_Hlk212563678" w:id="22"/>
            <w:bookmarkEnd w:id="21"/>
          </w:p>
          <w:p w:rsidRPr="002A1F9A" w:rsidR="002909F8" w:rsidRDefault="002909F8" w14:paraId="2195A251" w14:textId="028A8395">
            <w:pPr>
              <w:rPr>
                <w:rFonts w:ascii="Verdana" w:hAnsi="Verdana"/>
                <w:sz w:val="18"/>
                <w:szCs w:val="18"/>
              </w:rPr>
            </w:pPr>
            <w:r w:rsidRPr="002A1F9A">
              <w:rPr>
                <w:rFonts w:ascii="Verdana" w:hAnsi="Verdana"/>
                <w:sz w:val="18"/>
                <w:szCs w:val="18"/>
              </w:rPr>
              <w:t>In het antwoord op vraag 12 van de feitelijke vragen over de eerste suppletoire begroting van 2023 is een tabel opgenomen met een uitsplitsing van de structurele € 1 miljard voor het versterken van de onderwijskwaliteit. Daarin is te zien dat het grootste deel van deze middelen is bedoeld om de basisvaardigheden van leerlingen te verbeteren (€ 678 miljoen). Leerlingaantallen zijn bepalend voor de verdeling van de middelen over de sectoren. De bijbehorende beleidsindicatoren die meer inzicht geven in de effectiviteit van de middelen hebben betrekking op de prestaties van leerlingen, te weten de behaalde referentieniveaus taal en rekenen-wiskunde aan het einde van het</w:t>
            </w:r>
            <w:r w:rsidRPr="002A1F9A" w:rsidR="006406A5">
              <w:rPr>
                <w:rFonts w:ascii="Verdana" w:hAnsi="Verdana"/>
                <w:sz w:val="18"/>
                <w:szCs w:val="18"/>
              </w:rPr>
              <w:t xml:space="preserve"> </w:t>
            </w:r>
            <w:r w:rsidRPr="002A1F9A">
              <w:rPr>
                <w:rFonts w:ascii="Verdana" w:hAnsi="Verdana"/>
                <w:sz w:val="18"/>
                <w:szCs w:val="18"/>
              </w:rPr>
              <w:t>po en in leerjaar twee van het vo. Daarnaast wordt onderzoek gedaan naar de besteding en het effect van deze middelen. Daarnaast word</w:t>
            </w:r>
            <w:r w:rsidRPr="002A1F9A" w:rsidR="006406A5">
              <w:rPr>
                <w:rFonts w:ascii="Verdana" w:hAnsi="Verdana"/>
                <w:sz w:val="18"/>
                <w:szCs w:val="18"/>
              </w:rPr>
              <w:t xml:space="preserve">t het resterende deel van de € 1 miljard </w:t>
            </w:r>
            <w:r w:rsidRPr="002A1F9A">
              <w:rPr>
                <w:rFonts w:ascii="Verdana" w:hAnsi="Verdana"/>
                <w:sz w:val="18"/>
                <w:szCs w:val="18"/>
              </w:rPr>
              <w:t>ingezet voor het verminderen van werkdruk in het voortgezet onderwijs (€ 161 miljoen), voor de Werkagenda ‘samen voor het beste onderwijs’ (€ 43 miljoen), voor de curriculumherziening (€ 21 miljoen) en tot slot diverse andere posten.</w:t>
            </w:r>
          </w:p>
          <w:bookmarkEnd w:id="22"/>
          <w:p w:rsidRPr="002A1F9A" w:rsidR="00DA66AD" w:rsidP="002909F8" w:rsidRDefault="00DA66AD" w14:paraId="4C0E4B16" w14:textId="30603D15">
            <w:pPr>
              <w:rPr>
                <w:rFonts w:ascii="Verdana" w:hAnsi="Verdana"/>
                <w:sz w:val="18"/>
                <w:szCs w:val="18"/>
              </w:rPr>
            </w:pPr>
          </w:p>
        </w:tc>
        <w:tc>
          <w:tcPr>
            <w:tcW w:w="850" w:type="dxa"/>
            <w:gridSpan w:val="2"/>
          </w:tcPr>
          <w:p w:rsidRPr="002A1F9A" w:rsidR="001256CA" w:rsidRDefault="001856D0" w14:paraId="5B636EF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0A41F98" w14:textId="77777777">
            <w:pPr>
              <w:jc w:val="right"/>
              <w:rPr>
                <w:rFonts w:ascii="Verdana" w:hAnsi="Verdana"/>
                <w:sz w:val="18"/>
                <w:szCs w:val="18"/>
              </w:rPr>
            </w:pPr>
            <w:r w:rsidRPr="002A1F9A">
              <w:rPr>
                <w:rFonts w:ascii="Verdana" w:hAnsi="Verdana"/>
                <w:sz w:val="18"/>
                <w:szCs w:val="18"/>
              </w:rPr>
              <w:t>9</w:t>
            </w:r>
          </w:p>
        </w:tc>
        <w:tc>
          <w:tcPr>
            <w:tcW w:w="567" w:type="dxa"/>
            <w:tcBorders>
              <w:left w:val="nil"/>
            </w:tcBorders>
          </w:tcPr>
          <w:p w:rsidRPr="002A1F9A" w:rsidR="001256CA" w:rsidRDefault="001856D0" w14:paraId="035CD05B"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1C54DCDD" w14:textId="77777777">
        <w:tc>
          <w:tcPr>
            <w:tcW w:w="567" w:type="dxa"/>
          </w:tcPr>
          <w:p w:rsidRPr="002A1F9A" w:rsidR="001256CA" w:rsidRDefault="001856D0" w14:paraId="35FCE668" w14:textId="77777777">
            <w:pPr>
              <w:rPr>
                <w:rFonts w:ascii="Verdana" w:hAnsi="Verdana"/>
                <w:sz w:val="18"/>
                <w:szCs w:val="18"/>
              </w:rPr>
            </w:pPr>
            <w:r w:rsidRPr="002A1F9A">
              <w:rPr>
                <w:rFonts w:ascii="Verdana" w:hAnsi="Verdana"/>
                <w:sz w:val="18"/>
                <w:szCs w:val="18"/>
              </w:rPr>
              <w:t>45</w:t>
            </w:r>
          </w:p>
        </w:tc>
        <w:tc>
          <w:tcPr>
            <w:tcW w:w="6521" w:type="dxa"/>
            <w:gridSpan w:val="7"/>
          </w:tcPr>
          <w:p w:rsidRPr="002A1F9A" w:rsidR="001256CA" w:rsidRDefault="001856D0" w14:paraId="7F73D0AB" w14:textId="77777777">
            <w:pPr>
              <w:rPr>
                <w:rFonts w:ascii="Verdana" w:hAnsi="Verdana"/>
                <w:sz w:val="18"/>
                <w:szCs w:val="18"/>
              </w:rPr>
            </w:pPr>
            <w:r w:rsidRPr="002A1F9A">
              <w:rPr>
                <w:rFonts w:ascii="Verdana" w:hAnsi="Verdana"/>
                <w:sz w:val="18"/>
                <w:szCs w:val="18"/>
              </w:rPr>
              <w:t xml:space="preserve">Betekent de omzet van ongeveer </w:t>
            </w:r>
            <w:r w:rsidRPr="002A1F9A" w:rsidR="00A11F03">
              <w:rPr>
                <w:rFonts w:ascii="Verdana" w:hAnsi="Verdana"/>
                <w:sz w:val="18"/>
                <w:szCs w:val="18"/>
              </w:rPr>
              <w:t xml:space="preserve">€ </w:t>
            </w:r>
            <w:r w:rsidRPr="002A1F9A">
              <w:rPr>
                <w:rFonts w:ascii="Verdana" w:hAnsi="Verdana"/>
                <w:sz w:val="18"/>
                <w:szCs w:val="18"/>
              </w:rPr>
              <w:t xml:space="preserve">1 miljard aan tijdelijke subsidieregelingen naar structurele bekostiging dat scholen er straks structureel ook </w:t>
            </w:r>
            <w:r w:rsidRPr="002A1F9A" w:rsidR="009E3818">
              <w:rPr>
                <w:rFonts w:ascii="Verdana" w:hAnsi="Verdana"/>
                <w:sz w:val="18"/>
                <w:szCs w:val="18"/>
              </w:rPr>
              <w:t xml:space="preserve">€ </w:t>
            </w:r>
            <w:r w:rsidRPr="002A1F9A">
              <w:rPr>
                <w:rFonts w:ascii="Verdana" w:hAnsi="Verdana"/>
                <w:sz w:val="18"/>
                <w:szCs w:val="18"/>
              </w:rPr>
              <w:t>1 miljard euro bij krijgen?</w:t>
            </w:r>
          </w:p>
          <w:p w:rsidRPr="002A1F9A" w:rsidR="00DA66AD" w:rsidRDefault="00DA66AD" w14:paraId="7562BD47" w14:textId="77777777">
            <w:pPr>
              <w:rPr>
                <w:rFonts w:ascii="Verdana" w:hAnsi="Verdana"/>
                <w:sz w:val="18"/>
                <w:szCs w:val="18"/>
              </w:rPr>
            </w:pPr>
          </w:p>
          <w:p w:rsidRPr="002A1F9A" w:rsidR="00DA66AD" w:rsidRDefault="00DA66AD" w14:paraId="6F2CDEF7" w14:textId="42D1EC1E">
            <w:pPr>
              <w:rPr>
                <w:rFonts w:ascii="Verdana" w:hAnsi="Verdana"/>
                <w:sz w:val="18"/>
                <w:szCs w:val="18"/>
              </w:rPr>
            </w:pPr>
            <w:r w:rsidRPr="002A1F9A">
              <w:rPr>
                <w:rFonts w:ascii="Verdana" w:hAnsi="Verdana"/>
                <w:sz w:val="18"/>
                <w:szCs w:val="18"/>
              </w:rPr>
              <w:t xml:space="preserve">Op dit moment is voorzien dat het budget dat nu beschikbaar is voor de subsidieregelingen Schoolmaaltijden, Brugfunctionaris en School &amp; Omgeving in zijn geheel wordt omgezet naar aanvullende bekostiging. De subsidieregeling ‘Basisvaardigheden’ gaat vanaf 2027 op in gerichte </w:t>
            </w:r>
            <w:r w:rsidRPr="002A1F9A">
              <w:rPr>
                <w:rFonts w:ascii="Verdana" w:hAnsi="Verdana"/>
                <w:sz w:val="18"/>
                <w:szCs w:val="18"/>
              </w:rPr>
              <w:lastRenderedPageBreak/>
              <w:t>bekostiging. Samen is dit ongeveer €1 miljard. Er komt geen extra geld beschikbaar</w:t>
            </w:r>
            <w:r w:rsidRPr="002A1F9A" w:rsidR="004F4E04">
              <w:rPr>
                <w:rFonts w:ascii="Verdana" w:hAnsi="Verdana"/>
                <w:sz w:val="18"/>
                <w:szCs w:val="18"/>
              </w:rPr>
              <w:t xml:space="preserve">, alleen het instrument verandert. </w:t>
            </w:r>
          </w:p>
          <w:p w:rsidRPr="002A1F9A" w:rsidR="00DA66AD" w:rsidRDefault="00DA66AD" w14:paraId="42200291" w14:textId="233FF1F1">
            <w:pPr>
              <w:rPr>
                <w:rFonts w:ascii="Verdana" w:hAnsi="Verdana"/>
                <w:sz w:val="18"/>
                <w:szCs w:val="18"/>
              </w:rPr>
            </w:pPr>
          </w:p>
        </w:tc>
        <w:tc>
          <w:tcPr>
            <w:tcW w:w="850" w:type="dxa"/>
            <w:gridSpan w:val="2"/>
          </w:tcPr>
          <w:p w:rsidRPr="002A1F9A" w:rsidR="001256CA" w:rsidRDefault="001856D0" w14:paraId="610F45E5"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21F95E80" w14:textId="77777777">
            <w:pPr>
              <w:jc w:val="right"/>
              <w:rPr>
                <w:rFonts w:ascii="Verdana" w:hAnsi="Verdana"/>
                <w:sz w:val="18"/>
                <w:szCs w:val="18"/>
              </w:rPr>
            </w:pPr>
            <w:r w:rsidRPr="002A1F9A">
              <w:rPr>
                <w:rFonts w:ascii="Verdana" w:hAnsi="Verdana"/>
                <w:sz w:val="18"/>
                <w:szCs w:val="18"/>
              </w:rPr>
              <w:t>9</w:t>
            </w:r>
          </w:p>
        </w:tc>
        <w:tc>
          <w:tcPr>
            <w:tcW w:w="567" w:type="dxa"/>
            <w:tcBorders>
              <w:left w:val="nil"/>
            </w:tcBorders>
          </w:tcPr>
          <w:p w:rsidRPr="002A1F9A" w:rsidR="001256CA" w:rsidRDefault="001856D0" w14:paraId="76AB151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C8B735C" w14:textId="77777777">
        <w:tc>
          <w:tcPr>
            <w:tcW w:w="567" w:type="dxa"/>
          </w:tcPr>
          <w:p w:rsidRPr="002A1F9A" w:rsidR="001256CA" w:rsidRDefault="001856D0" w14:paraId="7EA9C51A" w14:textId="77777777">
            <w:pPr>
              <w:rPr>
                <w:rFonts w:ascii="Verdana" w:hAnsi="Verdana"/>
                <w:sz w:val="18"/>
                <w:szCs w:val="18"/>
              </w:rPr>
            </w:pPr>
            <w:r w:rsidRPr="002A1F9A">
              <w:rPr>
                <w:rFonts w:ascii="Verdana" w:hAnsi="Verdana"/>
                <w:sz w:val="18"/>
                <w:szCs w:val="18"/>
              </w:rPr>
              <w:t>46</w:t>
            </w:r>
          </w:p>
        </w:tc>
        <w:tc>
          <w:tcPr>
            <w:tcW w:w="6521" w:type="dxa"/>
            <w:gridSpan w:val="7"/>
          </w:tcPr>
          <w:p w:rsidRPr="002A1F9A" w:rsidR="001256CA" w:rsidRDefault="001856D0" w14:paraId="02E7EABA" w14:textId="77777777">
            <w:pPr>
              <w:rPr>
                <w:rFonts w:ascii="Verdana" w:hAnsi="Verdana"/>
                <w:sz w:val="18"/>
                <w:szCs w:val="18"/>
              </w:rPr>
            </w:pPr>
            <w:r w:rsidRPr="002A1F9A">
              <w:rPr>
                <w:rFonts w:ascii="Verdana" w:hAnsi="Verdana"/>
                <w:sz w:val="18"/>
                <w:szCs w:val="18"/>
              </w:rPr>
              <w:t>Kunt u per jaar aangeven welk aandeel van de begroting van scholen de afgelopen twintig jaar naar overhead is gegaan?</w:t>
            </w:r>
          </w:p>
          <w:p w:rsidRPr="002A1F9A" w:rsidR="00D57DA7" w:rsidRDefault="00D57DA7" w14:paraId="12B09378" w14:textId="77777777">
            <w:pPr>
              <w:rPr>
                <w:rFonts w:ascii="Verdana" w:hAnsi="Verdana"/>
                <w:sz w:val="18"/>
                <w:szCs w:val="18"/>
              </w:rPr>
            </w:pPr>
          </w:p>
          <w:p w:rsidRPr="002A1F9A" w:rsidR="00D57DA7" w:rsidP="00D57DA7" w:rsidRDefault="00D57DA7" w14:paraId="1B162B94" w14:textId="132A179F">
            <w:pPr>
              <w:rPr>
                <w:rFonts w:ascii="Verdana" w:hAnsi="Verdana"/>
                <w:sz w:val="18"/>
                <w:szCs w:val="18"/>
              </w:rPr>
            </w:pPr>
            <w:r w:rsidRPr="002A1F9A">
              <w:rPr>
                <w:rFonts w:ascii="Verdana" w:hAnsi="Verdana"/>
                <w:sz w:val="18"/>
                <w:szCs w:val="18"/>
              </w:rPr>
              <w:t xml:space="preserve">Nee, deze gegevens zijn niet beschikbaar. Hier wordt wel aan gewerkt. Zoals aangekondigd in het regeerprogramma werkt </w:t>
            </w:r>
            <w:r w:rsidRPr="002A1F9A" w:rsidR="009A3C2E">
              <w:rPr>
                <w:rFonts w:ascii="Verdana" w:hAnsi="Verdana"/>
                <w:sz w:val="18"/>
                <w:szCs w:val="18"/>
              </w:rPr>
              <w:t xml:space="preserve">het ministerie van </w:t>
            </w:r>
            <w:r w:rsidRPr="002A1F9A">
              <w:rPr>
                <w:rFonts w:ascii="Verdana" w:hAnsi="Verdana"/>
                <w:sz w:val="18"/>
                <w:szCs w:val="18"/>
              </w:rPr>
              <w:t xml:space="preserve">OCW aan een norm voor overhead voor het funderend onderwijs, die inzichtelijk moet maken welk deel van de bekostiging besteed wordt aan het primaire proces. </w:t>
            </w:r>
            <w:r w:rsidRPr="002A1F9A" w:rsidR="009A3C2E">
              <w:rPr>
                <w:rFonts w:ascii="Verdana" w:hAnsi="Verdana"/>
                <w:sz w:val="18"/>
                <w:szCs w:val="18"/>
              </w:rPr>
              <w:t xml:space="preserve">Het ministerie van </w:t>
            </w:r>
            <w:r w:rsidRPr="002A1F9A">
              <w:rPr>
                <w:rFonts w:ascii="Verdana" w:hAnsi="Verdana"/>
                <w:sz w:val="18"/>
                <w:szCs w:val="18"/>
              </w:rPr>
              <w:t xml:space="preserve">OCW laat hiervoor onderzoek uitvoeren naar mogelijke definities voor overhead en zal met het onderwijsveld in gesprek gaan over de vormgeving van een uitvoerbare norm. </w:t>
            </w:r>
          </w:p>
          <w:p w:rsidRPr="002A1F9A" w:rsidR="00D57DA7" w:rsidRDefault="00D57DA7" w14:paraId="51FB66D6" w14:textId="77777777">
            <w:pPr>
              <w:rPr>
                <w:rFonts w:ascii="Verdana" w:hAnsi="Verdana"/>
                <w:sz w:val="18"/>
                <w:szCs w:val="18"/>
              </w:rPr>
            </w:pPr>
          </w:p>
        </w:tc>
        <w:tc>
          <w:tcPr>
            <w:tcW w:w="850" w:type="dxa"/>
            <w:gridSpan w:val="2"/>
          </w:tcPr>
          <w:p w:rsidRPr="002A1F9A" w:rsidR="001256CA" w:rsidRDefault="001856D0" w14:paraId="34A50B4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AADFC48"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3FB4220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5ED1D5C6" w14:textId="77777777">
        <w:tc>
          <w:tcPr>
            <w:tcW w:w="567" w:type="dxa"/>
          </w:tcPr>
          <w:p w:rsidRPr="002A1F9A" w:rsidR="001256CA" w:rsidRDefault="001856D0" w14:paraId="0CD58F6E" w14:textId="77777777">
            <w:pPr>
              <w:rPr>
                <w:rFonts w:ascii="Verdana" w:hAnsi="Verdana"/>
                <w:sz w:val="18"/>
                <w:szCs w:val="18"/>
              </w:rPr>
            </w:pPr>
            <w:r w:rsidRPr="002A1F9A">
              <w:rPr>
                <w:rFonts w:ascii="Verdana" w:hAnsi="Verdana"/>
                <w:sz w:val="18"/>
                <w:szCs w:val="18"/>
              </w:rPr>
              <w:t>47</w:t>
            </w:r>
          </w:p>
        </w:tc>
        <w:tc>
          <w:tcPr>
            <w:tcW w:w="6521" w:type="dxa"/>
            <w:gridSpan w:val="7"/>
          </w:tcPr>
          <w:p w:rsidRPr="002A1F9A" w:rsidR="001256CA" w:rsidRDefault="001856D0" w14:paraId="669DD85B" w14:textId="77777777">
            <w:pPr>
              <w:rPr>
                <w:rFonts w:ascii="Verdana" w:hAnsi="Verdana"/>
                <w:sz w:val="18"/>
                <w:szCs w:val="18"/>
              </w:rPr>
            </w:pPr>
            <w:bookmarkStart w:name="_Hlk212564117" w:id="23"/>
            <w:r w:rsidRPr="002A1F9A">
              <w:rPr>
                <w:rFonts w:ascii="Verdana" w:hAnsi="Verdana"/>
                <w:sz w:val="18"/>
                <w:szCs w:val="18"/>
              </w:rPr>
              <w:t>Hoeveel onderwijsinstellingen zullen komende jaren met 10</w:t>
            </w:r>
            <w:r w:rsidRPr="002A1F9A" w:rsidR="009E3818">
              <w:rPr>
                <w:rFonts w:ascii="Verdana" w:hAnsi="Verdana"/>
                <w:sz w:val="18"/>
                <w:szCs w:val="18"/>
              </w:rPr>
              <w:t xml:space="preserve"> procent</w:t>
            </w:r>
            <w:r w:rsidRPr="002A1F9A">
              <w:rPr>
                <w:rFonts w:ascii="Verdana" w:hAnsi="Verdana"/>
                <w:sz w:val="18"/>
                <w:szCs w:val="18"/>
              </w:rPr>
              <w:t xml:space="preserve"> of meer krimpen, uitgesplitst naar onderwijsniveau en naar regio?</w:t>
            </w:r>
          </w:p>
          <w:p w:rsidRPr="002A1F9A" w:rsidR="00AC209A" w:rsidRDefault="00AC209A" w14:paraId="254C4557" w14:textId="77777777">
            <w:pPr>
              <w:rPr>
                <w:rFonts w:ascii="Verdana" w:hAnsi="Verdana"/>
                <w:sz w:val="18"/>
                <w:szCs w:val="18"/>
              </w:rPr>
            </w:pPr>
          </w:p>
          <w:p w:rsidRPr="002A1F9A" w:rsidR="00AC209A" w:rsidP="00AC209A" w:rsidRDefault="00AC209A" w14:paraId="7A0CDEC9" w14:textId="3C496A81">
            <w:pPr>
              <w:rPr>
                <w:rFonts w:ascii="Verdana" w:hAnsi="Verdana"/>
                <w:sz w:val="18"/>
                <w:szCs w:val="18"/>
              </w:rPr>
            </w:pPr>
            <w:r w:rsidRPr="002A1F9A">
              <w:rPr>
                <w:rFonts w:ascii="Verdana" w:hAnsi="Verdana"/>
                <w:sz w:val="18"/>
                <w:szCs w:val="18"/>
              </w:rPr>
              <w:t>In het mbo</w:t>
            </w:r>
            <w:r w:rsidRPr="002A1F9A" w:rsidR="00EF5D63">
              <w:rPr>
                <w:rFonts w:ascii="Verdana" w:hAnsi="Verdana"/>
                <w:sz w:val="18"/>
                <w:szCs w:val="18"/>
              </w:rPr>
              <w:t xml:space="preserve"> krimpt het aantal studenten van</w:t>
            </w:r>
            <w:r w:rsidRPr="002A1F9A">
              <w:rPr>
                <w:rFonts w:ascii="Verdana" w:hAnsi="Verdana"/>
                <w:sz w:val="18"/>
                <w:szCs w:val="18"/>
              </w:rPr>
              <w:t xml:space="preserve"> 13 van de 52 instellingen met 10% of meer in de periode van 2025 tot en met 2039. In dezelfde periode krimpt het aantal mbo-studenten met meer dan 10% in negen van de 36 arbeidsmarktregio’s: Achterhoek, Drenthe, Friesland, Groningen, Noord-Holland Noord, Noord-Limburg, Twente, Zeeland en Zuid-Limburg.</w:t>
            </w:r>
          </w:p>
          <w:p w:rsidRPr="002A1F9A" w:rsidR="00AC209A" w:rsidP="00AC209A" w:rsidRDefault="00AC209A" w14:paraId="5ACBD076" w14:textId="618180DF">
            <w:pPr>
              <w:rPr>
                <w:rFonts w:ascii="Verdana" w:hAnsi="Verdana"/>
                <w:sz w:val="18"/>
                <w:szCs w:val="18"/>
              </w:rPr>
            </w:pPr>
            <w:r w:rsidRPr="002A1F9A">
              <w:rPr>
                <w:rFonts w:ascii="Verdana" w:hAnsi="Verdana"/>
                <w:sz w:val="18"/>
                <w:szCs w:val="18"/>
              </w:rPr>
              <w:t xml:space="preserve">In het hbo </w:t>
            </w:r>
            <w:r w:rsidRPr="002A1F9A" w:rsidR="00EF5D63">
              <w:rPr>
                <w:rFonts w:ascii="Verdana" w:hAnsi="Verdana"/>
                <w:sz w:val="18"/>
                <w:szCs w:val="18"/>
              </w:rPr>
              <w:t xml:space="preserve">krimpt het aantal studenten van </w:t>
            </w:r>
            <w:r w:rsidRPr="002A1F9A">
              <w:rPr>
                <w:rFonts w:ascii="Verdana" w:hAnsi="Verdana"/>
                <w:sz w:val="18"/>
                <w:szCs w:val="18"/>
              </w:rPr>
              <w:t xml:space="preserve">13 van de 36 instellingen met 10% of meer in de periode van 2025 tot en met 2038. Deze instellingen bevinden zich in de </w:t>
            </w:r>
            <w:proofErr w:type="spellStart"/>
            <w:r w:rsidRPr="002A1F9A">
              <w:rPr>
                <w:rFonts w:ascii="Verdana" w:hAnsi="Verdana"/>
                <w:sz w:val="18"/>
                <w:szCs w:val="18"/>
              </w:rPr>
              <w:t>bovensectorale</w:t>
            </w:r>
            <w:proofErr w:type="spellEnd"/>
            <w:r w:rsidRPr="002A1F9A">
              <w:rPr>
                <w:rFonts w:ascii="Verdana" w:hAnsi="Verdana"/>
                <w:sz w:val="18"/>
                <w:szCs w:val="18"/>
              </w:rPr>
              <w:t xml:space="preserve"> regio’s Noord, Oost en Zuid. In het wo krimpen in dezelfde periode acht van de 17 instellingen met 10% of meer. Deze instellingen bevinden zich in alle </w:t>
            </w:r>
            <w:proofErr w:type="spellStart"/>
            <w:r w:rsidRPr="002A1F9A">
              <w:rPr>
                <w:rFonts w:ascii="Verdana" w:hAnsi="Verdana"/>
                <w:sz w:val="18"/>
                <w:szCs w:val="18"/>
              </w:rPr>
              <w:t>bovensectorale</w:t>
            </w:r>
            <w:proofErr w:type="spellEnd"/>
            <w:r w:rsidRPr="002A1F9A">
              <w:rPr>
                <w:rFonts w:ascii="Verdana" w:hAnsi="Verdana"/>
                <w:sz w:val="18"/>
                <w:szCs w:val="18"/>
              </w:rPr>
              <w:t xml:space="preserve"> regio’s: Noord, Oost, Zuid en Randstad. </w:t>
            </w:r>
          </w:p>
          <w:p w:rsidRPr="002A1F9A" w:rsidR="00AC209A" w:rsidP="00AC209A" w:rsidRDefault="00AC209A" w14:paraId="58091A0E" w14:textId="77777777">
            <w:pPr>
              <w:rPr>
                <w:rFonts w:ascii="Verdana" w:hAnsi="Verdana"/>
                <w:sz w:val="18"/>
                <w:szCs w:val="18"/>
              </w:rPr>
            </w:pPr>
            <w:r w:rsidRPr="002A1F9A">
              <w:rPr>
                <w:rFonts w:ascii="Verdana" w:hAnsi="Verdana"/>
                <w:sz w:val="18"/>
                <w:szCs w:val="18"/>
              </w:rPr>
              <w:t>De gekozen regio-indeling verschilt per sector. Voor het mbo is er gekeken naar arbeidsmarktregio’s, gezien de sterke regionale functie van het mbo. In het hbo en wo hebben instellingen een bovenregionale functie en daarom zijn deze cijfers op een hoger aggregatieniveau gepresenteerd.</w:t>
            </w:r>
          </w:p>
          <w:p w:rsidRPr="002A1F9A" w:rsidR="00AC209A" w:rsidP="00AC209A" w:rsidRDefault="00AC209A" w14:paraId="3FE381F7" w14:textId="77777777">
            <w:pPr>
              <w:rPr>
                <w:rFonts w:ascii="Verdana" w:hAnsi="Verdana"/>
                <w:sz w:val="18"/>
                <w:szCs w:val="18"/>
              </w:rPr>
            </w:pPr>
            <w:r w:rsidRPr="002A1F9A">
              <w:rPr>
                <w:rFonts w:ascii="Verdana" w:hAnsi="Verdana"/>
                <w:sz w:val="18"/>
                <w:szCs w:val="18"/>
              </w:rPr>
              <w:t xml:space="preserve">Ten slotte is het goed om op te merken dat alle prognoses onzekerheden kennen. Bovenstaande cijfers zijn gebaseerd op de prognoses van </w:t>
            </w:r>
            <w:hyperlink w:history="1" r:id="rId27">
              <w:r w:rsidRPr="002A1F9A">
                <w:rPr>
                  <w:rStyle w:val="Hyperlink"/>
                  <w:rFonts w:ascii="Verdana" w:hAnsi="Verdana"/>
                  <w:sz w:val="18"/>
                  <w:szCs w:val="18"/>
                </w:rPr>
                <w:t>DUO Open Onderwijsdata</w:t>
              </w:r>
            </w:hyperlink>
            <w:r w:rsidRPr="002A1F9A">
              <w:rPr>
                <w:rFonts w:ascii="Verdana" w:hAnsi="Verdana"/>
                <w:sz w:val="18"/>
                <w:szCs w:val="18"/>
              </w:rPr>
              <w:t>. Deze prognoses zijn gebaseerd op historische marktaandelen en demografische bevolkingsvoorspellingen, andere factoren zoals het effect van maatregelen vanuit het Rijk of de instellingen (zoals maatregelen om de effecten van krimp juist tegen te gaan) zijn hierin dus niet (volledig) meegenomen. Mede hierdoor sluiten deze prognoses niet altijd aan bij de voorspellingen in bijvoorbeeld jaarverslagen van de onderwijsinstellingen zelf.</w:t>
            </w:r>
          </w:p>
          <w:bookmarkEnd w:id="23"/>
          <w:p w:rsidRPr="002A1F9A" w:rsidR="00AC209A" w:rsidP="00AC209A" w:rsidRDefault="00AC209A" w14:paraId="77EC1DF0" w14:textId="70396718">
            <w:pPr>
              <w:rPr>
                <w:rFonts w:ascii="Verdana" w:hAnsi="Verdana"/>
                <w:sz w:val="18"/>
                <w:szCs w:val="18"/>
              </w:rPr>
            </w:pPr>
          </w:p>
        </w:tc>
        <w:tc>
          <w:tcPr>
            <w:tcW w:w="850" w:type="dxa"/>
            <w:gridSpan w:val="2"/>
          </w:tcPr>
          <w:p w:rsidRPr="002A1F9A" w:rsidR="001256CA" w:rsidRDefault="001856D0" w14:paraId="38457C1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CB77585"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05245B5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45EAA01" w14:textId="77777777">
        <w:tc>
          <w:tcPr>
            <w:tcW w:w="567" w:type="dxa"/>
          </w:tcPr>
          <w:p w:rsidRPr="002A1F9A" w:rsidR="001256CA" w:rsidRDefault="001856D0" w14:paraId="330308B6" w14:textId="77777777">
            <w:pPr>
              <w:rPr>
                <w:rFonts w:ascii="Verdana" w:hAnsi="Verdana"/>
                <w:sz w:val="18"/>
                <w:szCs w:val="18"/>
              </w:rPr>
            </w:pPr>
            <w:r w:rsidRPr="002A1F9A">
              <w:rPr>
                <w:rFonts w:ascii="Verdana" w:hAnsi="Verdana"/>
                <w:sz w:val="18"/>
                <w:szCs w:val="18"/>
              </w:rPr>
              <w:t>48</w:t>
            </w:r>
          </w:p>
        </w:tc>
        <w:tc>
          <w:tcPr>
            <w:tcW w:w="6521" w:type="dxa"/>
            <w:gridSpan w:val="7"/>
          </w:tcPr>
          <w:p w:rsidRPr="002A1F9A" w:rsidR="001256CA" w:rsidRDefault="001856D0" w14:paraId="7D10ADB0" w14:textId="77777777">
            <w:pPr>
              <w:rPr>
                <w:rFonts w:ascii="Verdana" w:hAnsi="Verdana"/>
                <w:sz w:val="18"/>
                <w:szCs w:val="18"/>
              </w:rPr>
            </w:pPr>
            <w:r w:rsidRPr="002A1F9A">
              <w:rPr>
                <w:rFonts w:ascii="Verdana" w:hAnsi="Verdana"/>
                <w:sz w:val="18"/>
                <w:szCs w:val="18"/>
              </w:rPr>
              <w:t>Hoe heeft het aantal buitenlandse studenten aan universiteiten zich de afgelopen tien jaar ontwikkeld en wat zijn de projecties voor de komende vijf jaar?</w:t>
            </w:r>
          </w:p>
          <w:p w:rsidRPr="002A1F9A" w:rsidR="00C621AC" w:rsidRDefault="00C621AC" w14:paraId="66C6FC82" w14:textId="77777777">
            <w:pPr>
              <w:rPr>
                <w:rFonts w:ascii="Verdana" w:hAnsi="Verdana"/>
                <w:sz w:val="18"/>
                <w:szCs w:val="18"/>
              </w:rPr>
            </w:pPr>
          </w:p>
          <w:p w:rsidRPr="002A1F9A" w:rsidR="00C621AC" w:rsidP="00C621AC" w:rsidRDefault="00C621AC" w14:paraId="7AD1F6DE" w14:textId="77777777">
            <w:pPr>
              <w:rPr>
                <w:rFonts w:ascii="Verdana" w:hAnsi="Verdana"/>
                <w:sz w:val="18"/>
                <w:szCs w:val="18"/>
              </w:rPr>
            </w:pPr>
            <w:r w:rsidRPr="002A1F9A">
              <w:rPr>
                <w:rFonts w:ascii="Verdana" w:hAnsi="Verdana"/>
                <w:sz w:val="18"/>
                <w:szCs w:val="18"/>
              </w:rPr>
              <w:t xml:space="preserve">In het studiejaar 2015-2016 studeerden er 36.100 internationale diplomastudenten aan universiteiten in Nederland. In het studiejaar 2024-2025 studeren er 92.500 internationale diplomastudenten aan </w:t>
            </w:r>
            <w:hyperlink w:history="1" r:id="rId28">
              <w:r w:rsidRPr="002A1F9A">
                <w:rPr>
                  <w:rStyle w:val="Hyperlink"/>
                  <w:rFonts w:ascii="Verdana" w:hAnsi="Verdana"/>
                  <w:sz w:val="18"/>
                  <w:szCs w:val="18"/>
                </w:rPr>
                <w:t>universiteiten in Nederland</w:t>
              </w:r>
            </w:hyperlink>
            <w:r w:rsidRPr="002A1F9A">
              <w:rPr>
                <w:rFonts w:ascii="Verdana" w:hAnsi="Verdana"/>
                <w:sz w:val="18"/>
                <w:szCs w:val="18"/>
              </w:rPr>
              <w:t xml:space="preserve">. Na een aantal jaren van sterk stijgende aantallen, is er de afgelopen jaren een stagnatie van de groei waarneembaar. De prognoses voor de komende jaren zijn met </w:t>
            </w:r>
            <w:hyperlink w:history="1" r:id="rId29">
              <w:r w:rsidRPr="002A1F9A">
                <w:rPr>
                  <w:rStyle w:val="Hyperlink"/>
                  <w:rFonts w:ascii="Verdana" w:hAnsi="Verdana"/>
                  <w:sz w:val="18"/>
                  <w:szCs w:val="18"/>
                </w:rPr>
                <w:t>de Referentieraming 2025</w:t>
              </w:r>
            </w:hyperlink>
            <w:r w:rsidRPr="002A1F9A">
              <w:rPr>
                <w:rFonts w:ascii="Verdana" w:hAnsi="Verdana"/>
                <w:sz w:val="18"/>
                <w:szCs w:val="18"/>
              </w:rPr>
              <w:t xml:space="preserve"> naar beneden bijgesteld. Op basis van de raming wordt in het wo de komende 5 jaar een stabilisatie van het </w:t>
            </w:r>
            <w:r w:rsidRPr="002A1F9A">
              <w:rPr>
                <w:rFonts w:ascii="Verdana" w:hAnsi="Verdana"/>
                <w:sz w:val="18"/>
                <w:szCs w:val="18"/>
              </w:rPr>
              <w:lastRenderedPageBreak/>
              <w:t xml:space="preserve">aantal internationale studenten verwacht en binnen 10 jaar (vanaf collegejaar 2024-2025) een daling van ca. 4%. </w:t>
            </w:r>
          </w:p>
          <w:p w:rsidRPr="002A1F9A" w:rsidR="00C621AC" w:rsidRDefault="00C621AC" w14:paraId="16720AA8" w14:textId="77777777">
            <w:pPr>
              <w:rPr>
                <w:rFonts w:ascii="Verdana" w:hAnsi="Verdana"/>
                <w:sz w:val="18"/>
                <w:szCs w:val="18"/>
              </w:rPr>
            </w:pPr>
          </w:p>
        </w:tc>
        <w:tc>
          <w:tcPr>
            <w:tcW w:w="850" w:type="dxa"/>
            <w:gridSpan w:val="2"/>
          </w:tcPr>
          <w:p w:rsidRPr="002A1F9A" w:rsidR="001256CA" w:rsidRDefault="001856D0" w14:paraId="300F8F05"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FEE914D"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5E4912A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2EA6A18C" w14:textId="77777777">
        <w:tc>
          <w:tcPr>
            <w:tcW w:w="567" w:type="dxa"/>
          </w:tcPr>
          <w:p w:rsidRPr="002A1F9A" w:rsidR="001256CA" w:rsidRDefault="001856D0" w14:paraId="2EACA774" w14:textId="77777777">
            <w:pPr>
              <w:rPr>
                <w:rFonts w:ascii="Verdana" w:hAnsi="Verdana"/>
                <w:sz w:val="18"/>
                <w:szCs w:val="18"/>
              </w:rPr>
            </w:pPr>
            <w:r w:rsidRPr="002A1F9A">
              <w:rPr>
                <w:rFonts w:ascii="Verdana" w:hAnsi="Verdana"/>
                <w:sz w:val="18"/>
                <w:szCs w:val="18"/>
              </w:rPr>
              <w:t>49</w:t>
            </w:r>
          </w:p>
        </w:tc>
        <w:tc>
          <w:tcPr>
            <w:tcW w:w="6521" w:type="dxa"/>
            <w:gridSpan w:val="7"/>
          </w:tcPr>
          <w:p w:rsidRPr="002A1F9A" w:rsidR="001256CA" w:rsidRDefault="001856D0" w14:paraId="672F8315" w14:textId="77777777">
            <w:pPr>
              <w:rPr>
                <w:rFonts w:ascii="Verdana" w:hAnsi="Verdana"/>
                <w:sz w:val="18"/>
                <w:szCs w:val="18"/>
              </w:rPr>
            </w:pPr>
            <w:r w:rsidRPr="002A1F9A">
              <w:rPr>
                <w:rFonts w:ascii="Verdana" w:hAnsi="Verdana"/>
                <w:sz w:val="18"/>
                <w:szCs w:val="18"/>
              </w:rPr>
              <w:t xml:space="preserve">Wanneer wordt de bestedingsnorm voor middelen die in het funderend onderwijs minimaal zouden moeten worden besteed aan het primaire proces of maximaal aan overhead, waarover de staatssecretaris sprak tijdens het commissiedebat </w:t>
            </w:r>
            <w:r w:rsidRPr="002A1F9A" w:rsidR="003840E8">
              <w:rPr>
                <w:rFonts w:ascii="Verdana" w:hAnsi="Verdana"/>
                <w:sz w:val="18"/>
                <w:szCs w:val="18"/>
              </w:rPr>
              <w:t>S</w:t>
            </w:r>
            <w:r w:rsidRPr="002A1F9A">
              <w:rPr>
                <w:rFonts w:ascii="Verdana" w:hAnsi="Verdana"/>
                <w:sz w:val="18"/>
                <w:szCs w:val="18"/>
              </w:rPr>
              <w:t>turing in het funderend onderwijs</w:t>
            </w:r>
            <w:r w:rsidRPr="002A1F9A" w:rsidR="003840E8">
              <w:rPr>
                <w:rFonts w:ascii="Verdana" w:hAnsi="Verdana"/>
                <w:sz w:val="18"/>
                <w:szCs w:val="18"/>
              </w:rPr>
              <w:t xml:space="preserve"> d.d. 12 februari 2025,</w:t>
            </w:r>
            <w:r w:rsidRPr="002A1F9A">
              <w:rPr>
                <w:rFonts w:ascii="Verdana" w:hAnsi="Verdana"/>
                <w:sz w:val="18"/>
                <w:szCs w:val="18"/>
              </w:rPr>
              <w:t xml:space="preserve"> naar de Tweede Kamer gestuurd?</w:t>
            </w:r>
          </w:p>
          <w:p w:rsidRPr="002A1F9A" w:rsidR="00D57DA7" w:rsidRDefault="00D57DA7" w14:paraId="26EF72B2" w14:textId="77777777">
            <w:pPr>
              <w:rPr>
                <w:rFonts w:ascii="Verdana" w:hAnsi="Verdana"/>
                <w:sz w:val="18"/>
                <w:szCs w:val="18"/>
              </w:rPr>
            </w:pPr>
          </w:p>
          <w:p w:rsidRPr="002A1F9A" w:rsidR="00D57DA7" w:rsidP="00D57DA7" w:rsidRDefault="00D57DA7" w14:paraId="4B0FE051" w14:textId="474EC318">
            <w:pPr>
              <w:rPr>
                <w:rFonts w:ascii="Verdana" w:hAnsi="Verdana"/>
                <w:sz w:val="18"/>
                <w:szCs w:val="18"/>
              </w:rPr>
            </w:pPr>
            <w:r w:rsidRPr="002A1F9A">
              <w:rPr>
                <w:rFonts w:ascii="Verdana" w:hAnsi="Verdana"/>
                <w:sz w:val="18"/>
                <w:szCs w:val="18"/>
              </w:rPr>
              <w:t>Het uitwerken van een bestedingsnorm voor overhead vraagt een zorgvuldig proces, zoals aangegeven in het antwoord op vraag 46. De norm moet namelijk echt wat zeggen over die verdeling overhead en primair proces. Dat maakt dat er een goede uitwerking moet komen van welke activiteiten toegerekend mogen worden aan primair proces.</w:t>
            </w:r>
            <w:r w:rsidRPr="002A1F9A" w:rsidR="008D21F4">
              <w:rPr>
                <w:rFonts w:ascii="Verdana" w:hAnsi="Verdana"/>
                <w:sz w:val="18"/>
                <w:szCs w:val="18"/>
              </w:rPr>
              <w:t xml:space="preserve"> Tegelijk moet goed rekening worden gehouden met het voorkomen van onnodige administratieve last en verschillen tussen schoolsoorten.</w:t>
            </w:r>
            <w:r w:rsidRPr="002A1F9A">
              <w:rPr>
                <w:rFonts w:ascii="Verdana" w:hAnsi="Verdana"/>
                <w:sz w:val="18"/>
                <w:szCs w:val="18"/>
              </w:rPr>
              <w:t xml:space="preserve"> Een klein voorbeeld </w:t>
            </w:r>
            <w:r w:rsidRPr="002A1F9A" w:rsidR="008D21F4">
              <w:rPr>
                <w:rFonts w:ascii="Verdana" w:hAnsi="Verdana"/>
                <w:sz w:val="18"/>
                <w:szCs w:val="18"/>
              </w:rPr>
              <w:t xml:space="preserve">is </w:t>
            </w:r>
            <w:r w:rsidRPr="002A1F9A">
              <w:rPr>
                <w:rFonts w:ascii="Verdana" w:hAnsi="Verdana"/>
                <w:sz w:val="18"/>
                <w:szCs w:val="18"/>
              </w:rPr>
              <w:t xml:space="preserve">een conciërge die toetsen kopieert of andere ondersteunende functies die docenten ontlasten. </w:t>
            </w:r>
          </w:p>
          <w:p w:rsidRPr="002A1F9A" w:rsidR="00D57DA7" w:rsidP="00D57DA7" w:rsidRDefault="00D57DA7" w14:paraId="3B1D7278" w14:textId="77777777">
            <w:pPr>
              <w:rPr>
                <w:rFonts w:ascii="Verdana" w:hAnsi="Verdana"/>
                <w:sz w:val="18"/>
                <w:szCs w:val="18"/>
              </w:rPr>
            </w:pPr>
            <w:r w:rsidRPr="002A1F9A">
              <w:rPr>
                <w:rFonts w:ascii="Verdana" w:hAnsi="Verdana"/>
                <w:sz w:val="18"/>
                <w:szCs w:val="18"/>
              </w:rPr>
              <w:t xml:space="preserve">Uw Kamer wordt nader geïnformeerd het opstellen van deze norm als het wetsvoorstel gerichte bekostiging eind 2025 naar uw Kamer wordt gezonden.  </w:t>
            </w:r>
          </w:p>
          <w:p w:rsidRPr="002A1F9A" w:rsidR="00D57DA7" w:rsidRDefault="00D57DA7" w14:paraId="30A0E4BC" w14:textId="5D105970">
            <w:pPr>
              <w:rPr>
                <w:rFonts w:ascii="Verdana" w:hAnsi="Verdana"/>
                <w:sz w:val="18"/>
                <w:szCs w:val="18"/>
              </w:rPr>
            </w:pPr>
          </w:p>
        </w:tc>
        <w:tc>
          <w:tcPr>
            <w:tcW w:w="850" w:type="dxa"/>
            <w:gridSpan w:val="2"/>
          </w:tcPr>
          <w:p w:rsidRPr="002A1F9A" w:rsidR="001256CA" w:rsidRDefault="001856D0" w14:paraId="2773C0B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EB5CE3B"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3FB5706B"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03E5DA9B" w14:textId="77777777">
        <w:tc>
          <w:tcPr>
            <w:tcW w:w="567" w:type="dxa"/>
          </w:tcPr>
          <w:p w:rsidRPr="002A1F9A" w:rsidR="001256CA" w:rsidRDefault="001856D0" w14:paraId="4990482F" w14:textId="77777777">
            <w:pPr>
              <w:rPr>
                <w:rFonts w:ascii="Verdana" w:hAnsi="Verdana"/>
                <w:sz w:val="18"/>
                <w:szCs w:val="18"/>
              </w:rPr>
            </w:pPr>
            <w:r w:rsidRPr="002A1F9A">
              <w:rPr>
                <w:rFonts w:ascii="Verdana" w:hAnsi="Verdana"/>
                <w:sz w:val="18"/>
                <w:szCs w:val="18"/>
              </w:rPr>
              <w:t>50</w:t>
            </w:r>
          </w:p>
        </w:tc>
        <w:tc>
          <w:tcPr>
            <w:tcW w:w="6521" w:type="dxa"/>
            <w:gridSpan w:val="7"/>
          </w:tcPr>
          <w:p w:rsidRPr="002A1F9A" w:rsidR="001256CA" w:rsidRDefault="001856D0" w14:paraId="3969809B" w14:textId="77777777">
            <w:pPr>
              <w:rPr>
                <w:rFonts w:ascii="Verdana" w:hAnsi="Verdana"/>
                <w:sz w:val="18"/>
                <w:szCs w:val="18"/>
              </w:rPr>
            </w:pPr>
            <w:r w:rsidRPr="002A1F9A">
              <w:rPr>
                <w:rFonts w:ascii="Verdana" w:hAnsi="Verdana"/>
                <w:sz w:val="18"/>
                <w:szCs w:val="18"/>
              </w:rPr>
              <w:t>Wat rekent u bij de bestedingsnorm voor het funderend onderwijs tot het primaire proces en wat tot overhead?</w:t>
            </w:r>
          </w:p>
          <w:p w:rsidRPr="002A1F9A" w:rsidR="00D57DA7" w:rsidRDefault="00D57DA7" w14:paraId="45877500" w14:textId="77777777">
            <w:pPr>
              <w:rPr>
                <w:rFonts w:ascii="Verdana" w:hAnsi="Verdana"/>
                <w:sz w:val="18"/>
                <w:szCs w:val="18"/>
              </w:rPr>
            </w:pPr>
          </w:p>
          <w:p w:rsidRPr="002A1F9A" w:rsidR="00D57DA7" w:rsidP="00D57DA7" w:rsidRDefault="00D57DA7" w14:paraId="78A05331" w14:textId="66A2A7DF">
            <w:pPr>
              <w:rPr>
                <w:rFonts w:ascii="Verdana" w:hAnsi="Verdana"/>
                <w:sz w:val="18"/>
                <w:szCs w:val="18"/>
              </w:rPr>
            </w:pPr>
            <w:r w:rsidRPr="002A1F9A">
              <w:rPr>
                <w:rFonts w:ascii="Verdana" w:hAnsi="Verdana"/>
                <w:sz w:val="18"/>
                <w:szCs w:val="18"/>
              </w:rPr>
              <w:t xml:space="preserve">Zie antwoord op vraag </w:t>
            </w:r>
            <w:r w:rsidRPr="002A1F9A" w:rsidR="00B600BA">
              <w:rPr>
                <w:rFonts w:ascii="Verdana" w:hAnsi="Verdana"/>
                <w:sz w:val="18"/>
                <w:szCs w:val="18"/>
              </w:rPr>
              <w:t>46 en 49.</w:t>
            </w:r>
          </w:p>
          <w:p w:rsidRPr="002A1F9A" w:rsidR="00D57DA7" w:rsidRDefault="00D57DA7" w14:paraId="3F2E0220" w14:textId="77777777">
            <w:pPr>
              <w:rPr>
                <w:rFonts w:ascii="Verdana" w:hAnsi="Verdana"/>
                <w:sz w:val="18"/>
                <w:szCs w:val="18"/>
              </w:rPr>
            </w:pPr>
          </w:p>
        </w:tc>
        <w:tc>
          <w:tcPr>
            <w:tcW w:w="850" w:type="dxa"/>
            <w:gridSpan w:val="2"/>
          </w:tcPr>
          <w:p w:rsidRPr="002A1F9A" w:rsidR="001256CA" w:rsidRDefault="001856D0" w14:paraId="6314514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D7FE259"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4E1B2EF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0D983CC" w14:textId="77777777">
        <w:tc>
          <w:tcPr>
            <w:tcW w:w="567" w:type="dxa"/>
          </w:tcPr>
          <w:p w:rsidRPr="002A1F9A" w:rsidR="001256CA" w:rsidRDefault="001856D0" w14:paraId="24001F1D" w14:textId="77777777">
            <w:pPr>
              <w:rPr>
                <w:rFonts w:ascii="Verdana" w:hAnsi="Verdana"/>
                <w:sz w:val="18"/>
                <w:szCs w:val="18"/>
              </w:rPr>
            </w:pPr>
            <w:r w:rsidRPr="002A1F9A">
              <w:rPr>
                <w:rFonts w:ascii="Verdana" w:hAnsi="Verdana"/>
                <w:sz w:val="18"/>
                <w:szCs w:val="18"/>
              </w:rPr>
              <w:t>51</w:t>
            </w:r>
          </w:p>
        </w:tc>
        <w:tc>
          <w:tcPr>
            <w:tcW w:w="6521" w:type="dxa"/>
            <w:gridSpan w:val="7"/>
          </w:tcPr>
          <w:p w:rsidRPr="002A1F9A" w:rsidR="001256CA" w:rsidRDefault="001856D0" w14:paraId="276157DA" w14:textId="77777777">
            <w:pPr>
              <w:rPr>
                <w:rFonts w:ascii="Verdana" w:hAnsi="Verdana"/>
                <w:sz w:val="18"/>
                <w:szCs w:val="18"/>
              </w:rPr>
            </w:pPr>
            <w:r w:rsidRPr="002A1F9A">
              <w:rPr>
                <w:rFonts w:ascii="Verdana" w:hAnsi="Verdana"/>
                <w:sz w:val="18"/>
                <w:szCs w:val="18"/>
              </w:rPr>
              <w:t xml:space="preserve">Wat is de stand van zaken omtrent het wetsvoorstel </w:t>
            </w:r>
            <w:r w:rsidRPr="002A1F9A" w:rsidR="00456C7C">
              <w:rPr>
                <w:rFonts w:ascii="Verdana" w:hAnsi="Verdana"/>
                <w:sz w:val="18"/>
                <w:szCs w:val="18"/>
              </w:rPr>
              <w:t>V</w:t>
            </w:r>
            <w:r w:rsidRPr="002A1F9A">
              <w:rPr>
                <w:rFonts w:ascii="Verdana" w:hAnsi="Verdana"/>
                <w:sz w:val="18"/>
                <w:szCs w:val="18"/>
              </w:rPr>
              <w:t>ersterken inspraak leraren en schoolleiders en is bij dit wetsvoorstel ook de beroepsgroep betrokken?</w:t>
            </w:r>
          </w:p>
          <w:p w:rsidRPr="002A1F9A" w:rsidR="00D57DA7" w:rsidRDefault="00D57DA7" w14:paraId="6E11EA09" w14:textId="77777777">
            <w:pPr>
              <w:rPr>
                <w:rFonts w:ascii="Verdana" w:hAnsi="Verdana"/>
                <w:sz w:val="18"/>
                <w:szCs w:val="18"/>
              </w:rPr>
            </w:pPr>
          </w:p>
          <w:p w:rsidRPr="002A1F9A" w:rsidR="00D57DA7" w:rsidP="00D57DA7" w:rsidRDefault="00D57DA7" w14:paraId="404C3E2D" w14:textId="77777777">
            <w:pPr>
              <w:rPr>
                <w:rFonts w:ascii="Verdana" w:hAnsi="Verdana"/>
                <w:sz w:val="18"/>
                <w:szCs w:val="18"/>
              </w:rPr>
            </w:pPr>
            <w:r w:rsidRPr="002A1F9A">
              <w:rPr>
                <w:rFonts w:ascii="Verdana" w:hAnsi="Verdana"/>
                <w:sz w:val="18"/>
                <w:szCs w:val="18"/>
              </w:rPr>
              <w:t>Het wetsvoorstel Versterken inspraak leraren en schoolleiders bevindt zich in de ontwikkelfase. In deze fase wordt nader bezien welke onderwerpen er meegenomen dienen te worden in het wetsvoorstel, afhankelijk ook van de uitkomst van de probleemanalyse. Het gaat om onderwerpen zoals de werking van het professioneel statuut, de strategische positie van de schoolleider in de school en de betrokkenheid van leraren en schoolleiders bij landelijk beleid. Hiervoor zal ook met een brede groep aan belanghebbenden gesproken worden, via onder meer regiobijeenkomsten, met in het bijzonder leraren en schoolleiders, alsmede de partijen die deze groepen vertegenwoordigen.</w:t>
            </w:r>
          </w:p>
          <w:p w:rsidRPr="002A1F9A" w:rsidR="00D57DA7" w:rsidRDefault="00D57DA7" w14:paraId="33B654DB" w14:textId="201EA921">
            <w:pPr>
              <w:rPr>
                <w:rFonts w:ascii="Verdana" w:hAnsi="Verdana"/>
                <w:sz w:val="18"/>
                <w:szCs w:val="18"/>
              </w:rPr>
            </w:pPr>
          </w:p>
        </w:tc>
        <w:tc>
          <w:tcPr>
            <w:tcW w:w="850" w:type="dxa"/>
            <w:gridSpan w:val="2"/>
          </w:tcPr>
          <w:p w:rsidRPr="002A1F9A" w:rsidR="001256CA" w:rsidRDefault="001856D0" w14:paraId="74E22DA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3FF10B4"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0B308E8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AE65778" w14:textId="77777777">
        <w:tc>
          <w:tcPr>
            <w:tcW w:w="567" w:type="dxa"/>
          </w:tcPr>
          <w:p w:rsidRPr="002A1F9A" w:rsidR="001256CA" w:rsidRDefault="001856D0" w14:paraId="13A21B61" w14:textId="77777777">
            <w:pPr>
              <w:rPr>
                <w:rFonts w:ascii="Verdana" w:hAnsi="Verdana"/>
                <w:sz w:val="18"/>
                <w:szCs w:val="18"/>
              </w:rPr>
            </w:pPr>
            <w:r w:rsidRPr="002A1F9A">
              <w:rPr>
                <w:rFonts w:ascii="Verdana" w:hAnsi="Verdana"/>
                <w:sz w:val="18"/>
                <w:szCs w:val="18"/>
              </w:rPr>
              <w:t>52</w:t>
            </w:r>
          </w:p>
        </w:tc>
        <w:tc>
          <w:tcPr>
            <w:tcW w:w="6521" w:type="dxa"/>
            <w:gridSpan w:val="7"/>
          </w:tcPr>
          <w:p w:rsidRPr="002A1F9A" w:rsidR="001256CA" w:rsidRDefault="001856D0" w14:paraId="48C453A5" w14:textId="77777777">
            <w:pPr>
              <w:rPr>
                <w:rFonts w:ascii="Verdana" w:hAnsi="Verdana"/>
                <w:sz w:val="18"/>
                <w:szCs w:val="18"/>
              </w:rPr>
            </w:pPr>
            <w:r w:rsidRPr="002A1F9A">
              <w:rPr>
                <w:rFonts w:ascii="Verdana" w:hAnsi="Verdana"/>
                <w:sz w:val="18"/>
                <w:szCs w:val="18"/>
              </w:rPr>
              <w:t>Wat wordt met de zin “</w:t>
            </w:r>
            <w:r w:rsidRPr="002A1F9A" w:rsidR="00A13AF3">
              <w:rPr>
                <w:rFonts w:ascii="Verdana" w:hAnsi="Verdana"/>
                <w:sz w:val="18"/>
                <w:szCs w:val="18"/>
              </w:rPr>
              <w:t>w</w:t>
            </w:r>
            <w:r w:rsidRPr="002A1F9A">
              <w:rPr>
                <w:rFonts w:ascii="Verdana" w:hAnsi="Verdana"/>
                <w:sz w:val="18"/>
                <w:szCs w:val="18"/>
              </w:rPr>
              <w:t xml:space="preserve">ant een stevige rolinvulling, gecombineerd met heldere normen voor overhead, onderwijspersoneel en </w:t>
            </w:r>
            <w:proofErr w:type="spellStart"/>
            <w:r w:rsidRPr="002A1F9A">
              <w:rPr>
                <w:rFonts w:ascii="Verdana" w:hAnsi="Verdana"/>
                <w:sz w:val="18"/>
                <w:szCs w:val="18"/>
              </w:rPr>
              <w:t>langetermijnbekostiging</w:t>
            </w:r>
            <w:proofErr w:type="spellEnd"/>
            <w:r w:rsidRPr="002A1F9A">
              <w:rPr>
                <w:rFonts w:ascii="Verdana" w:hAnsi="Verdana"/>
                <w:sz w:val="18"/>
                <w:szCs w:val="18"/>
              </w:rPr>
              <w:t xml:space="preserve"> zijn belangrijke randvoorwaarden voor goed onderwijs”</w:t>
            </w:r>
            <w:r w:rsidRPr="002A1F9A" w:rsidR="00A13AF3">
              <w:rPr>
                <w:rFonts w:ascii="Verdana" w:hAnsi="Verdana"/>
                <w:sz w:val="18"/>
                <w:szCs w:val="18"/>
              </w:rPr>
              <w:t xml:space="preserve">, </w:t>
            </w:r>
            <w:r w:rsidRPr="002A1F9A">
              <w:rPr>
                <w:rFonts w:ascii="Verdana" w:hAnsi="Verdana"/>
                <w:sz w:val="18"/>
                <w:szCs w:val="18"/>
              </w:rPr>
              <w:t>die gaat over een wetsvoorstel dat verder niet in de begroting terugkomt</w:t>
            </w:r>
            <w:r w:rsidRPr="002A1F9A" w:rsidR="00A13AF3">
              <w:rPr>
                <w:rFonts w:ascii="Verdana" w:hAnsi="Verdana"/>
                <w:sz w:val="18"/>
                <w:szCs w:val="18"/>
              </w:rPr>
              <w:t>,</w:t>
            </w:r>
            <w:r w:rsidRPr="002A1F9A">
              <w:rPr>
                <w:rFonts w:ascii="Verdana" w:hAnsi="Verdana"/>
                <w:sz w:val="18"/>
                <w:szCs w:val="18"/>
              </w:rPr>
              <w:t xml:space="preserve"> bedoeld en wat gaat er dan precies gebeuren?</w:t>
            </w:r>
          </w:p>
          <w:p w:rsidRPr="002A1F9A" w:rsidR="005B3685" w:rsidRDefault="005B3685" w14:paraId="0EAFFE12" w14:textId="77777777">
            <w:pPr>
              <w:rPr>
                <w:rFonts w:ascii="Verdana" w:hAnsi="Verdana"/>
                <w:sz w:val="18"/>
                <w:szCs w:val="18"/>
              </w:rPr>
            </w:pPr>
          </w:p>
          <w:p w:rsidRPr="002A1F9A" w:rsidR="005B3685" w:rsidP="005B3685" w:rsidRDefault="005B3685" w14:paraId="10B2A653" w14:textId="3C0DEC53">
            <w:pPr>
              <w:rPr>
                <w:rFonts w:ascii="Verdana" w:hAnsi="Verdana"/>
                <w:sz w:val="18"/>
                <w:szCs w:val="18"/>
              </w:rPr>
            </w:pPr>
            <w:r w:rsidRPr="002A1F9A">
              <w:rPr>
                <w:rFonts w:ascii="Verdana" w:hAnsi="Verdana"/>
                <w:sz w:val="18"/>
                <w:szCs w:val="18"/>
              </w:rPr>
              <w:t>In de Kamerbrief (</w:t>
            </w:r>
            <w:hyperlink w:history="1" r:id="rId30">
              <w:r w:rsidRPr="002A1F9A">
                <w:rPr>
                  <w:rStyle w:val="Hyperlink"/>
                  <w:rFonts w:ascii="Verdana" w:hAnsi="Verdana"/>
                  <w:sz w:val="18"/>
                  <w:szCs w:val="18"/>
                </w:rPr>
                <w:t xml:space="preserve">31 293, </w:t>
              </w:r>
              <w:proofErr w:type="spellStart"/>
              <w:r w:rsidRPr="002A1F9A">
                <w:rPr>
                  <w:rStyle w:val="Hyperlink"/>
                  <w:rFonts w:ascii="Verdana" w:hAnsi="Verdana"/>
                  <w:sz w:val="18"/>
                  <w:szCs w:val="18"/>
                </w:rPr>
                <w:t>nr</w:t>
              </w:r>
              <w:proofErr w:type="spellEnd"/>
              <w:r w:rsidRPr="002A1F9A">
                <w:rPr>
                  <w:rStyle w:val="Hyperlink"/>
                  <w:rFonts w:ascii="Verdana" w:hAnsi="Verdana"/>
                  <w:sz w:val="18"/>
                  <w:szCs w:val="18"/>
                </w:rPr>
                <w:t xml:space="preserve"> 727</w:t>
              </w:r>
            </w:hyperlink>
            <w:r w:rsidRPr="002A1F9A">
              <w:rPr>
                <w:rFonts w:ascii="Verdana" w:hAnsi="Verdana"/>
                <w:sz w:val="18"/>
                <w:szCs w:val="18"/>
              </w:rPr>
              <w:t xml:space="preserve">) over de herijking van de sturing in het funderend onderwijs en het debat daarover van 12 februari 2025 is aangekondigd dat met de ontwikkeling van het wetsvoorstel Eisen stellen aan het bestuur en intern toezicht en het wetsvoorstel Versterken inspraak leraren en schoolleiders, wordt gewerkt aan een stevige rolinvulling. Daarnaast is in het regeerprogramma van kabinet Schoof aangekondigd dat er wordt gewerkt aan normen voor overhead en onderwijspersoneel en structurele bekostiging voor structurele taken. Het ontwikkelen van normen en het bieden van structurele </w:t>
            </w:r>
            <w:r w:rsidRPr="002A1F9A">
              <w:rPr>
                <w:rFonts w:ascii="Verdana" w:hAnsi="Verdana"/>
                <w:sz w:val="18"/>
                <w:szCs w:val="18"/>
              </w:rPr>
              <w:lastRenderedPageBreak/>
              <w:t>bekostiging voor structurele taken sluit eveneens aan op de probleemanalyse uit de brief over de herijking van de sturing in het funderend onderwijs. Deze maatregelen zijn dan ook nodig als randvoorwaarden voor het bieden van goed onderwijs.</w:t>
            </w:r>
          </w:p>
          <w:p w:rsidRPr="002A1F9A" w:rsidR="005B3685" w:rsidRDefault="005B3685" w14:paraId="4D010BCA" w14:textId="4356C553">
            <w:pPr>
              <w:rPr>
                <w:rFonts w:ascii="Verdana" w:hAnsi="Verdana"/>
                <w:sz w:val="18"/>
                <w:szCs w:val="18"/>
              </w:rPr>
            </w:pPr>
          </w:p>
        </w:tc>
        <w:tc>
          <w:tcPr>
            <w:tcW w:w="850" w:type="dxa"/>
            <w:gridSpan w:val="2"/>
          </w:tcPr>
          <w:p w:rsidRPr="002A1F9A" w:rsidR="001256CA" w:rsidRDefault="001856D0" w14:paraId="3C2E1D06"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01C4473"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677ABE60"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403BB1FF" w14:textId="77777777">
        <w:tc>
          <w:tcPr>
            <w:tcW w:w="567" w:type="dxa"/>
          </w:tcPr>
          <w:p w:rsidRPr="002A1F9A" w:rsidR="001256CA" w:rsidRDefault="001856D0" w14:paraId="21B67455" w14:textId="77777777">
            <w:pPr>
              <w:rPr>
                <w:rFonts w:ascii="Verdana" w:hAnsi="Verdana"/>
                <w:sz w:val="18"/>
                <w:szCs w:val="18"/>
              </w:rPr>
            </w:pPr>
            <w:r w:rsidRPr="002A1F9A">
              <w:rPr>
                <w:rFonts w:ascii="Verdana" w:hAnsi="Verdana"/>
                <w:sz w:val="18"/>
                <w:szCs w:val="18"/>
              </w:rPr>
              <w:t>53</w:t>
            </w:r>
          </w:p>
        </w:tc>
        <w:tc>
          <w:tcPr>
            <w:tcW w:w="6521" w:type="dxa"/>
            <w:gridSpan w:val="7"/>
          </w:tcPr>
          <w:p w:rsidRPr="002A1F9A" w:rsidR="001256CA" w:rsidRDefault="001856D0" w14:paraId="5849A84C" w14:textId="77777777">
            <w:pPr>
              <w:rPr>
                <w:rFonts w:ascii="Verdana" w:hAnsi="Verdana"/>
                <w:sz w:val="18"/>
                <w:szCs w:val="18"/>
              </w:rPr>
            </w:pPr>
            <w:r w:rsidRPr="002A1F9A">
              <w:rPr>
                <w:rFonts w:ascii="Verdana" w:hAnsi="Verdana"/>
                <w:sz w:val="18"/>
                <w:szCs w:val="18"/>
              </w:rPr>
              <w:t xml:space="preserve">Welke maatregelen neemt </w:t>
            </w:r>
            <w:r w:rsidRPr="002A1F9A" w:rsidR="00A13AF3">
              <w:rPr>
                <w:rFonts w:ascii="Verdana" w:hAnsi="Verdana"/>
                <w:sz w:val="18"/>
                <w:szCs w:val="18"/>
              </w:rPr>
              <w:t>de minister van</w:t>
            </w:r>
            <w:r w:rsidRPr="002A1F9A" w:rsidR="00F7094A">
              <w:rPr>
                <w:rFonts w:ascii="Verdana" w:hAnsi="Verdana"/>
                <w:sz w:val="18"/>
                <w:szCs w:val="18"/>
              </w:rPr>
              <w:t xml:space="preserve"> OCW </w:t>
            </w:r>
            <w:r w:rsidRPr="002A1F9A">
              <w:rPr>
                <w:rFonts w:ascii="Verdana" w:hAnsi="Verdana"/>
                <w:sz w:val="18"/>
                <w:szCs w:val="18"/>
              </w:rPr>
              <w:t>om meer transparantie te scheppen in de besteding van de bekostiging in het primair en voortgezet onderwijs?</w:t>
            </w:r>
          </w:p>
          <w:p w:rsidRPr="002A1F9A" w:rsidR="005B3685" w:rsidRDefault="005B3685" w14:paraId="182D2F10" w14:textId="77777777">
            <w:pPr>
              <w:rPr>
                <w:rFonts w:ascii="Verdana" w:hAnsi="Verdana"/>
                <w:sz w:val="18"/>
                <w:szCs w:val="18"/>
              </w:rPr>
            </w:pPr>
          </w:p>
          <w:p w:rsidRPr="002A1F9A" w:rsidR="005B3685" w:rsidP="005B3685" w:rsidRDefault="005B3685" w14:paraId="18733429" w14:textId="0635B5D0">
            <w:pPr>
              <w:rPr>
                <w:rFonts w:ascii="Verdana" w:hAnsi="Verdana"/>
                <w:sz w:val="18"/>
                <w:szCs w:val="18"/>
              </w:rPr>
            </w:pPr>
            <w:r w:rsidRPr="002A1F9A">
              <w:rPr>
                <w:rFonts w:ascii="Verdana" w:hAnsi="Verdana"/>
                <w:sz w:val="18"/>
                <w:szCs w:val="18"/>
              </w:rPr>
              <w:t>Zoals bij vraag 46</w:t>
            </w:r>
            <w:r w:rsidRPr="002A1F9A" w:rsidR="00B600BA">
              <w:rPr>
                <w:rFonts w:ascii="Verdana" w:hAnsi="Verdana"/>
                <w:sz w:val="18"/>
                <w:szCs w:val="18"/>
              </w:rPr>
              <w:t xml:space="preserve"> en 49</w:t>
            </w:r>
            <w:r w:rsidRPr="002A1F9A">
              <w:rPr>
                <w:rFonts w:ascii="Verdana" w:hAnsi="Verdana"/>
                <w:sz w:val="18"/>
                <w:szCs w:val="18"/>
              </w:rPr>
              <w:t xml:space="preserve"> toegelicht, wordt gewerkt aan normen voor onderwijspersoneel en overhead. Het bestuur zal zich hierover moeten verantwoorden.</w:t>
            </w:r>
          </w:p>
          <w:p w:rsidRPr="002A1F9A" w:rsidR="005B3685" w:rsidRDefault="005B3685" w14:paraId="6F999D58" w14:textId="48A832F4">
            <w:pPr>
              <w:rPr>
                <w:rFonts w:ascii="Verdana" w:hAnsi="Verdana"/>
                <w:sz w:val="18"/>
                <w:szCs w:val="18"/>
              </w:rPr>
            </w:pPr>
          </w:p>
        </w:tc>
        <w:tc>
          <w:tcPr>
            <w:tcW w:w="850" w:type="dxa"/>
            <w:gridSpan w:val="2"/>
          </w:tcPr>
          <w:p w:rsidRPr="002A1F9A" w:rsidR="001256CA" w:rsidRDefault="001856D0" w14:paraId="7336293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FD7DA59" w14:textId="77777777">
            <w:pPr>
              <w:jc w:val="right"/>
              <w:rPr>
                <w:rFonts w:ascii="Verdana" w:hAnsi="Verdana"/>
                <w:sz w:val="18"/>
                <w:szCs w:val="18"/>
              </w:rPr>
            </w:pPr>
            <w:r w:rsidRPr="002A1F9A">
              <w:rPr>
                <w:rFonts w:ascii="Verdana" w:hAnsi="Verdana"/>
                <w:sz w:val="18"/>
                <w:szCs w:val="18"/>
              </w:rPr>
              <w:t>10</w:t>
            </w:r>
          </w:p>
        </w:tc>
        <w:tc>
          <w:tcPr>
            <w:tcW w:w="567" w:type="dxa"/>
            <w:tcBorders>
              <w:left w:val="nil"/>
            </w:tcBorders>
          </w:tcPr>
          <w:p w:rsidRPr="002A1F9A" w:rsidR="001256CA" w:rsidRDefault="001856D0" w14:paraId="16E0918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646E5684" w14:textId="77777777">
        <w:tc>
          <w:tcPr>
            <w:tcW w:w="567" w:type="dxa"/>
          </w:tcPr>
          <w:p w:rsidRPr="002A1F9A" w:rsidR="001256CA" w:rsidRDefault="001856D0" w14:paraId="4D286831" w14:textId="77777777">
            <w:pPr>
              <w:rPr>
                <w:rFonts w:ascii="Verdana" w:hAnsi="Verdana"/>
                <w:sz w:val="18"/>
                <w:szCs w:val="18"/>
              </w:rPr>
            </w:pPr>
            <w:r w:rsidRPr="002A1F9A">
              <w:rPr>
                <w:rFonts w:ascii="Verdana" w:hAnsi="Verdana"/>
                <w:sz w:val="18"/>
                <w:szCs w:val="18"/>
              </w:rPr>
              <w:t>54</w:t>
            </w:r>
          </w:p>
        </w:tc>
        <w:tc>
          <w:tcPr>
            <w:tcW w:w="6521" w:type="dxa"/>
            <w:gridSpan w:val="7"/>
          </w:tcPr>
          <w:p w:rsidRPr="002A1F9A" w:rsidR="001256CA" w:rsidRDefault="001856D0" w14:paraId="52E2B50A" w14:textId="77777777">
            <w:pPr>
              <w:rPr>
                <w:rFonts w:ascii="Verdana" w:hAnsi="Verdana"/>
                <w:sz w:val="18"/>
                <w:szCs w:val="18"/>
              </w:rPr>
            </w:pPr>
            <w:r w:rsidRPr="002A1F9A">
              <w:rPr>
                <w:rFonts w:ascii="Verdana" w:hAnsi="Verdana"/>
                <w:sz w:val="18"/>
                <w:szCs w:val="18"/>
              </w:rPr>
              <w:t>Waarom is ervoor gekozen om het gecombineerde effect van referentieraming 25 eerst af te trekken van de totale taakstelling en pas daarna opnieuw te verdelen tussen hbo en wo?</w:t>
            </w:r>
          </w:p>
          <w:p w:rsidRPr="002A1F9A" w:rsidR="00C621AC" w:rsidRDefault="00C621AC" w14:paraId="0EF5C817" w14:textId="77777777">
            <w:pPr>
              <w:rPr>
                <w:rFonts w:ascii="Verdana" w:hAnsi="Verdana"/>
                <w:sz w:val="18"/>
                <w:szCs w:val="18"/>
              </w:rPr>
            </w:pPr>
          </w:p>
          <w:p w:rsidRPr="002A1F9A" w:rsidR="00C621AC" w:rsidP="00C621AC" w:rsidRDefault="00C621AC" w14:paraId="0609CEF6" w14:textId="465860B6">
            <w:pPr>
              <w:rPr>
                <w:rFonts w:ascii="Verdana" w:hAnsi="Verdana"/>
                <w:sz w:val="18"/>
                <w:szCs w:val="18"/>
              </w:rPr>
            </w:pPr>
            <w:r w:rsidRPr="002A1F9A">
              <w:rPr>
                <w:rFonts w:ascii="Verdana" w:hAnsi="Verdana"/>
                <w:sz w:val="18"/>
                <w:szCs w:val="18"/>
              </w:rPr>
              <w:t xml:space="preserve">De referentieraming 2025 laat een daling zien van het aantal internationale studenten ten opzichte van de Referentieraming 2024. Deze daling is naast een wijziging in het wervingsbeleid van de universiteiten en hogescholen (naar terughoudende en gerichte werving voor (regionale) tekortsectoren) ook het gevolg van een wijziging van de ramingssystematiek zoals beschreven in de </w:t>
            </w:r>
            <w:hyperlink w:history="1" r:id="rId31">
              <w:r w:rsidRPr="002A1F9A">
                <w:rPr>
                  <w:rStyle w:val="Hyperlink"/>
                  <w:rFonts w:ascii="Verdana" w:hAnsi="Verdana"/>
                  <w:sz w:val="18"/>
                  <w:szCs w:val="18"/>
                </w:rPr>
                <w:t>Referentieraming 2025</w:t>
              </w:r>
            </w:hyperlink>
            <w:r w:rsidRPr="002A1F9A">
              <w:rPr>
                <w:rFonts w:ascii="Verdana" w:hAnsi="Verdana"/>
                <w:sz w:val="18"/>
                <w:szCs w:val="18"/>
              </w:rPr>
              <w:t>. Dit is voor</w:t>
            </w:r>
            <w:r w:rsidRPr="002A1F9A" w:rsidR="009A3C2E">
              <w:rPr>
                <w:rFonts w:ascii="Verdana" w:hAnsi="Verdana"/>
                <w:sz w:val="18"/>
                <w:szCs w:val="18"/>
              </w:rPr>
              <w:t xml:space="preserve"> het ministerie van</w:t>
            </w:r>
            <w:r w:rsidRPr="002A1F9A">
              <w:rPr>
                <w:rFonts w:ascii="Verdana" w:hAnsi="Verdana"/>
                <w:sz w:val="18"/>
                <w:szCs w:val="18"/>
              </w:rPr>
              <w:t xml:space="preserve"> OCW reden geweest om de effecten uit de referentieraming in zijn totaliteit te bezien en te verrekenen met de totale openstaande bezuinigingsopgave en vervolgens naar rato van het totaal aantal internationale EER-studenten te verdelen tussen hbo en wo.</w:t>
            </w:r>
          </w:p>
          <w:p w:rsidRPr="002A1F9A" w:rsidR="00C621AC" w:rsidRDefault="00C621AC" w14:paraId="2231F080" w14:textId="77777777">
            <w:pPr>
              <w:rPr>
                <w:rFonts w:ascii="Verdana" w:hAnsi="Verdana"/>
                <w:sz w:val="18"/>
                <w:szCs w:val="18"/>
              </w:rPr>
            </w:pPr>
          </w:p>
        </w:tc>
        <w:tc>
          <w:tcPr>
            <w:tcW w:w="850" w:type="dxa"/>
            <w:gridSpan w:val="2"/>
          </w:tcPr>
          <w:p w:rsidRPr="002A1F9A" w:rsidR="001256CA" w:rsidRDefault="001856D0" w14:paraId="70E42A0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C2D2BFA"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6BFD032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2F2440D2" w14:textId="77777777">
        <w:tc>
          <w:tcPr>
            <w:tcW w:w="567" w:type="dxa"/>
          </w:tcPr>
          <w:p w:rsidRPr="002A1F9A" w:rsidR="001256CA" w:rsidRDefault="001856D0" w14:paraId="77F9E915" w14:textId="77777777">
            <w:pPr>
              <w:rPr>
                <w:rFonts w:ascii="Verdana" w:hAnsi="Verdana"/>
                <w:sz w:val="18"/>
                <w:szCs w:val="18"/>
              </w:rPr>
            </w:pPr>
            <w:r w:rsidRPr="002A1F9A">
              <w:rPr>
                <w:rFonts w:ascii="Verdana" w:hAnsi="Verdana"/>
                <w:sz w:val="18"/>
                <w:szCs w:val="18"/>
              </w:rPr>
              <w:t>55</w:t>
            </w:r>
          </w:p>
        </w:tc>
        <w:tc>
          <w:tcPr>
            <w:tcW w:w="6521" w:type="dxa"/>
            <w:gridSpan w:val="7"/>
          </w:tcPr>
          <w:p w:rsidRPr="002A1F9A" w:rsidR="001256CA" w:rsidRDefault="001856D0" w14:paraId="55CFF61E" w14:textId="77777777">
            <w:pPr>
              <w:rPr>
                <w:rFonts w:ascii="Verdana" w:hAnsi="Verdana"/>
                <w:sz w:val="18"/>
                <w:szCs w:val="18"/>
              </w:rPr>
            </w:pPr>
            <w:r w:rsidRPr="002A1F9A">
              <w:rPr>
                <w:rFonts w:ascii="Verdana" w:hAnsi="Verdana"/>
                <w:sz w:val="18"/>
                <w:szCs w:val="18"/>
              </w:rPr>
              <w:t>Klopt het dat de universiteiten in de referentieraming 2025 tot €</w:t>
            </w:r>
            <w:r w:rsidRPr="002A1F9A" w:rsidR="00F7094A">
              <w:rPr>
                <w:rFonts w:ascii="Verdana" w:hAnsi="Verdana"/>
                <w:sz w:val="18"/>
                <w:szCs w:val="18"/>
              </w:rPr>
              <w:t xml:space="preserve"> </w:t>
            </w:r>
            <w:r w:rsidRPr="002A1F9A">
              <w:rPr>
                <w:rFonts w:ascii="Verdana" w:hAnsi="Verdana"/>
                <w:sz w:val="18"/>
                <w:szCs w:val="18"/>
              </w:rPr>
              <w:t>156 miljoen inleveren door de bijgestelde prognose van de EER-studenten, waardoor samen met de nu toebedeelde taakstelling van €</w:t>
            </w:r>
            <w:r w:rsidRPr="002A1F9A" w:rsidR="00514811">
              <w:rPr>
                <w:rFonts w:ascii="Verdana" w:hAnsi="Verdana"/>
                <w:sz w:val="18"/>
                <w:szCs w:val="18"/>
              </w:rPr>
              <w:t xml:space="preserve"> </w:t>
            </w:r>
            <w:r w:rsidRPr="002A1F9A">
              <w:rPr>
                <w:rFonts w:ascii="Verdana" w:hAnsi="Verdana"/>
                <w:sz w:val="18"/>
                <w:szCs w:val="18"/>
              </w:rPr>
              <w:t>4 miljoen de universiteiten in de huidige verdeling €</w:t>
            </w:r>
            <w:r w:rsidRPr="002A1F9A" w:rsidR="00514811">
              <w:rPr>
                <w:rFonts w:ascii="Verdana" w:hAnsi="Verdana"/>
                <w:sz w:val="18"/>
                <w:szCs w:val="18"/>
              </w:rPr>
              <w:t xml:space="preserve"> </w:t>
            </w:r>
            <w:r w:rsidRPr="002A1F9A">
              <w:rPr>
                <w:rFonts w:ascii="Verdana" w:hAnsi="Verdana"/>
                <w:sz w:val="18"/>
                <w:szCs w:val="18"/>
              </w:rPr>
              <w:t>160 miljoen van de €</w:t>
            </w:r>
            <w:r w:rsidRPr="002A1F9A" w:rsidR="00514811">
              <w:rPr>
                <w:rFonts w:ascii="Verdana" w:hAnsi="Verdana"/>
                <w:sz w:val="18"/>
                <w:szCs w:val="18"/>
              </w:rPr>
              <w:t xml:space="preserve"> </w:t>
            </w:r>
            <w:r w:rsidRPr="002A1F9A">
              <w:rPr>
                <w:rFonts w:ascii="Verdana" w:hAnsi="Verdana"/>
                <w:sz w:val="18"/>
                <w:szCs w:val="18"/>
              </w:rPr>
              <w:t>168 miljoen voor hun rekening nemen, oftewel 95 procent van de totale taakstelling?</w:t>
            </w:r>
          </w:p>
          <w:p w:rsidRPr="002A1F9A" w:rsidR="00C621AC" w:rsidRDefault="00C621AC" w14:paraId="7A999238" w14:textId="77777777">
            <w:pPr>
              <w:rPr>
                <w:rFonts w:ascii="Verdana" w:hAnsi="Verdana"/>
                <w:sz w:val="18"/>
                <w:szCs w:val="18"/>
              </w:rPr>
            </w:pPr>
          </w:p>
          <w:p w:rsidRPr="002A1F9A" w:rsidR="00C621AC" w:rsidRDefault="00C621AC" w14:paraId="3D57BFCF" w14:textId="75482574">
            <w:pPr>
              <w:rPr>
                <w:rFonts w:ascii="Verdana" w:hAnsi="Verdana"/>
                <w:sz w:val="18"/>
                <w:szCs w:val="18"/>
              </w:rPr>
            </w:pPr>
            <w:r w:rsidRPr="002A1F9A">
              <w:rPr>
                <w:rFonts w:ascii="Verdana" w:hAnsi="Verdana"/>
                <w:sz w:val="18"/>
                <w:szCs w:val="18"/>
              </w:rPr>
              <w:t xml:space="preserve">Zoals bij vraag 54 aangegeven laat de Referentieraming 2025 een daling zien van het aantal internationale studenten ten opzichte van de Referentieraming 2024. Conform de reguliere systematiek voor het verwerken van de Referentieraming leidt dit tot een bijstelling van het budget van € 162 miljoen, waarvan het aandeel van het wo € 156 miljoen bedraagt en het aandeel van het hbo € 6 miljoen bedraagt. Deze bijstelling is naast een wijziging in het wervingsbeleid van de universiteiten en hogescholen (naar terughoudende en gerichte werving voor (regionale) tekortsectoren) ook het gevolg van een wijziging van de </w:t>
            </w:r>
            <w:hyperlink w:history="1" r:id="rId32">
              <w:r w:rsidRPr="002A1F9A">
                <w:rPr>
                  <w:rStyle w:val="Hyperlink"/>
                  <w:rFonts w:ascii="Verdana" w:hAnsi="Verdana"/>
                  <w:sz w:val="18"/>
                  <w:szCs w:val="18"/>
                </w:rPr>
                <w:t>ramingssystematiek</w:t>
              </w:r>
            </w:hyperlink>
            <w:r w:rsidRPr="002A1F9A">
              <w:rPr>
                <w:rFonts w:ascii="Verdana" w:hAnsi="Verdana"/>
                <w:sz w:val="18"/>
                <w:szCs w:val="18"/>
              </w:rPr>
              <w:t xml:space="preserve">. Dit is voor </w:t>
            </w:r>
            <w:r w:rsidRPr="002A1F9A" w:rsidR="009A3C2E">
              <w:rPr>
                <w:rFonts w:ascii="Verdana" w:hAnsi="Verdana"/>
                <w:sz w:val="18"/>
                <w:szCs w:val="18"/>
              </w:rPr>
              <w:t xml:space="preserve">het ministerie van </w:t>
            </w:r>
            <w:r w:rsidRPr="002A1F9A">
              <w:rPr>
                <w:rFonts w:ascii="Verdana" w:hAnsi="Verdana"/>
                <w:sz w:val="18"/>
                <w:szCs w:val="18"/>
              </w:rPr>
              <w:t xml:space="preserve">OCW reden geweest om de effecten uit de Referentieraming in zijn totaliteit te bezien en te verrekenen met de totale openstaande bezuinigingsopgave. Na verwerking van de referentieraming resteert er een structurele bezuinigingsopgave van </w:t>
            </w:r>
            <w:r w:rsidRPr="002A1F9A" w:rsidR="00225C0D">
              <w:rPr>
                <w:rFonts w:ascii="Verdana" w:hAnsi="Verdana"/>
                <w:sz w:val="18"/>
                <w:szCs w:val="18"/>
              </w:rPr>
              <w:t xml:space="preserve">€ </w:t>
            </w:r>
            <w:r w:rsidRPr="002A1F9A">
              <w:rPr>
                <w:rFonts w:ascii="Verdana" w:hAnsi="Verdana"/>
                <w:sz w:val="18"/>
                <w:szCs w:val="18"/>
              </w:rPr>
              <w:t xml:space="preserve">6 miljoen vanaf 2031. Hiervan is € 4 miljoen toebedeeld aan het wo op basis van het totaal aantal internationale </w:t>
            </w:r>
            <w:r w:rsidRPr="002A1F9A" w:rsidR="00225C0D">
              <w:rPr>
                <w:rFonts w:ascii="Verdana" w:hAnsi="Verdana"/>
                <w:sz w:val="18"/>
                <w:szCs w:val="18"/>
              </w:rPr>
              <w:t>EER</w:t>
            </w:r>
            <w:r w:rsidRPr="002A1F9A">
              <w:rPr>
                <w:rFonts w:ascii="Verdana" w:hAnsi="Verdana"/>
                <w:sz w:val="18"/>
                <w:szCs w:val="18"/>
              </w:rPr>
              <w:t>-studenten in het hbo en het wo.</w:t>
            </w:r>
          </w:p>
          <w:p w:rsidRPr="002A1F9A" w:rsidR="00C621AC" w:rsidRDefault="00C621AC" w14:paraId="496FB062" w14:textId="708B6F98">
            <w:pPr>
              <w:rPr>
                <w:rFonts w:ascii="Verdana" w:hAnsi="Verdana"/>
                <w:sz w:val="18"/>
                <w:szCs w:val="18"/>
              </w:rPr>
            </w:pPr>
          </w:p>
        </w:tc>
        <w:tc>
          <w:tcPr>
            <w:tcW w:w="850" w:type="dxa"/>
            <w:gridSpan w:val="2"/>
          </w:tcPr>
          <w:p w:rsidRPr="002A1F9A" w:rsidR="001256CA" w:rsidRDefault="001856D0" w14:paraId="5CCE6CD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632CB72"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15B3D5F8"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F7C4922" w14:textId="77777777">
        <w:tc>
          <w:tcPr>
            <w:tcW w:w="567" w:type="dxa"/>
          </w:tcPr>
          <w:p w:rsidRPr="002A1F9A" w:rsidR="001256CA" w:rsidRDefault="001856D0" w14:paraId="1CD774D5" w14:textId="77777777">
            <w:pPr>
              <w:rPr>
                <w:rFonts w:ascii="Verdana" w:hAnsi="Verdana"/>
                <w:sz w:val="18"/>
                <w:szCs w:val="18"/>
              </w:rPr>
            </w:pPr>
            <w:bookmarkStart w:name="_Hlk212711506" w:id="24"/>
            <w:r w:rsidRPr="002A1F9A">
              <w:rPr>
                <w:rFonts w:ascii="Verdana" w:hAnsi="Verdana"/>
                <w:sz w:val="18"/>
                <w:szCs w:val="18"/>
              </w:rPr>
              <w:t>56</w:t>
            </w:r>
          </w:p>
        </w:tc>
        <w:tc>
          <w:tcPr>
            <w:tcW w:w="6521" w:type="dxa"/>
            <w:gridSpan w:val="7"/>
          </w:tcPr>
          <w:p w:rsidRPr="002A1F9A" w:rsidR="001256CA" w:rsidRDefault="001856D0" w14:paraId="6F793161" w14:textId="77777777">
            <w:pPr>
              <w:rPr>
                <w:rFonts w:ascii="Verdana" w:hAnsi="Verdana"/>
                <w:sz w:val="18"/>
                <w:szCs w:val="18"/>
              </w:rPr>
            </w:pPr>
            <w:r w:rsidRPr="002A1F9A">
              <w:rPr>
                <w:rFonts w:ascii="Verdana" w:hAnsi="Verdana"/>
                <w:sz w:val="18"/>
                <w:szCs w:val="18"/>
              </w:rPr>
              <w:t>Klopt het dat in de OCW-begroting 2025 de taakstelling internationalisering pro-forma werd verdeeld op basis van het aantal internationale EER-</w:t>
            </w:r>
            <w:proofErr w:type="spellStart"/>
            <w:r w:rsidRPr="002A1F9A">
              <w:rPr>
                <w:rFonts w:ascii="Verdana" w:hAnsi="Verdana"/>
                <w:sz w:val="18"/>
                <w:szCs w:val="18"/>
              </w:rPr>
              <w:t>bachelorstudenten</w:t>
            </w:r>
            <w:proofErr w:type="spellEnd"/>
            <w:r w:rsidRPr="002A1F9A">
              <w:rPr>
                <w:rFonts w:ascii="Verdana" w:hAnsi="Verdana"/>
                <w:sz w:val="18"/>
                <w:szCs w:val="18"/>
              </w:rPr>
              <w:t>, waarbij het aandeel voor het wo ongeveer 66 procent bedroeg en voor het hbo 34 procent?</w:t>
            </w:r>
          </w:p>
          <w:p w:rsidRPr="002A1F9A" w:rsidR="00C621AC" w:rsidRDefault="00C621AC" w14:paraId="7518FB70" w14:textId="77777777">
            <w:pPr>
              <w:rPr>
                <w:rFonts w:ascii="Verdana" w:hAnsi="Verdana"/>
                <w:sz w:val="18"/>
                <w:szCs w:val="18"/>
              </w:rPr>
            </w:pPr>
          </w:p>
          <w:p w:rsidRPr="002A1F9A" w:rsidR="007F7133" w:rsidP="007F7133" w:rsidRDefault="007F7133" w14:paraId="199BDF2E" w14:textId="77777777">
            <w:pPr>
              <w:rPr>
                <w:rFonts w:ascii="Verdana" w:hAnsi="Verdana"/>
                <w:sz w:val="18"/>
                <w:szCs w:val="18"/>
              </w:rPr>
            </w:pPr>
            <w:r w:rsidRPr="002A1F9A">
              <w:rPr>
                <w:rFonts w:ascii="Verdana" w:hAnsi="Verdana"/>
                <w:sz w:val="18"/>
                <w:szCs w:val="18"/>
              </w:rPr>
              <w:lastRenderedPageBreak/>
              <w:t>Ja, het klopt dat de taakstelling voor het verminderen van internationale studenten in de OCW-begroting 2025 pro-forma is verdeeld op basis van het aantal internationale EER-</w:t>
            </w:r>
            <w:proofErr w:type="spellStart"/>
            <w:r w:rsidRPr="002A1F9A">
              <w:rPr>
                <w:rFonts w:ascii="Verdana" w:hAnsi="Verdana"/>
                <w:sz w:val="18"/>
                <w:szCs w:val="18"/>
              </w:rPr>
              <w:t>bachelorstudenten</w:t>
            </w:r>
            <w:proofErr w:type="spellEnd"/>
            <w:r w:rsidRPr="002A1F9A">
              <w:rPr>
                <w:rFonts w:ascii="Verdana" w:hAnsi="Verdana"/>
                <w:sz w:val="18"/>
                <w:szCs w:val="18"/>
              </w:rPr>
              <w:t>. Uw Kamer is hierover geïnformeerd in de ontwerpbegroting 2025 van OCW. In de ontwerpbegroting 2026 zijn de uitkomsten van de Referentieraming 2025 verwerkt en is deze verdeling aangepast.</w:t>
            </w:r>
          </w:p>
          <w:p w:rsidRPr="002A1F9A" w:rsidR="00C621AC" w:rsidRDefault="00C621AC" w14:paraId="10A9E03B" w14:textId="6DFD1FB8">
            <w:pPr>
              <w:rPr>
                <w:rFonts w:ascii="Verdana" w:hAnsi="Verdana"/>
                <w:sz w:val="18"/>
                <w:szCs w:val="18"/>
              </w:rPr>
            </w:pPr>
          </w:p>
        </w:tc>
        <w:tc>
          <w:tcPr>
            <w:tcW w:w="850" w:type="dxa"/>
            <w:gridSpan w:val="2"/>
          </w:tcPr>
          <w:p w:rsidRPr="002A1F9A" w:rsidR="001256CA" w:rsidRDefault="001856D0" w14:paraId="600BEA88"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44315EF7"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3514F15D" w14:textId="77777777">
            <w:pPr>
              <w:jc w:val="right"/>
              <w:rPr>
                <w:rFonts w:ascii="Verdana" w:hAnsi="Verdana"/>
                <w:sz w:val="18"/>
                <w:szCs w:val="18"/>
              </w:rPr>
            </w:pPr>
            <w:r w:rsidRPr="002A1F9A">
              <w:rPr>
                <w:rFonts w:ascii="Verdana" w:hAnsi="Verdana"/>
                <w:sz w:val="18"/>
                <w:szCs w:val="18"/>
              </w:rPr>
              <w:t xml:space="preserve"> </w:t>
            </w:r>
          </w:p>
        </w:tc>
      </w:tr>
      <w:bookmarkEnd w:id="24"/>
      <w:tr w:rsidRPr="002A1F9A" w:rsidR="001256CA" w:rsidTr="00A347D5" w14:paraId="05B0E497" w14:textId="77777777">
        <w:tc>
          <w:tcPr>
            <w:tcW w:w="567" w:type="dxa"/>
          </w:tcPr>
          <w:p w:rsidRPr="002A1F9A" w:rsidR="001256CA" w:rsidRDefault="001856D0" w14:paraId="5E0EA113" w14:textId="77777777">
            <w:pPr>
              <w:rPr>
                <w:rFonts w:ascii="Verdana" w:hAnsi="Verdana"/>
                <w:sz w:val="18"/>
                <w:szCs w:val="18"/>
              </w:rPr>
            </w:pPr>
            <w:r w:rsidRPr="002A1F9A">
              <w:rPr>
                <w:rFonts w:ascii="Verdana" w:hAnsi="Verdana"/>
                <w:sz w:val="18"/>
                <w:szCs w:val="18"/>
              </w:rPr>
              <w:t>57</w:t>
            </w:r>
          </w:p>
        </w:tc>
        <w:tc>
          <w:tcPr>
            <w:tcW w:w="6521" w:type="dxa"/>
            <w:gridSpan w:val="7"/>
          </w:tcPr>
          <w:p w:rsidRPr="002A1F9A" w:rsidR="001256CA" w:rsidRDefault="001856D0" w14:paraId="3F13E48A" w14:textId="77777777">
            <w:pPr>
              <w:rPr>
                <w:rFonts w:ascii="Verdana" w:hAnsi="Verdana"/>
                <w:sz w:val="18"/>
                <w:szCs w:val="18"/>
              </w:rPr>
            </w:pPr>
            <w:r w:rsidRPr="002A1F9A">
              <w:rPr>
                <w:rFonts w:ascii="Verdana" w:hAnsi="Verdana"/>
                <w:sz w:val="18"/>
                <w:szCs w:val="18"/>
              </w:rPr>
              <w:t>Hoe wordt het geld in 2026 voor basisvaardigheden ingezet en hoe wordt dit gemonitord?</w:t>
            </w:r>
          </w:p>
          <w:p w:rsidRPr="002A1F9A" w:rsidR="005B3685" w:rsidRDefault="005B3685" w14:paraId="42E90ACB" w14:textId="77777777">
            <w:pPr>
              <w:rPr>
                <w:rFonts w:ascii="Verdana" w:hAnsi="Verdana"/>
                <w:sz w:val="18"/>
                <w:szCs w:val="18"/>
              </w:rPr>
            </w:pPr>
          </w:p>
          <w:p w:rsidRPr="002A1F9A" w:rsidR="005B3685" w:rsidRDefault="005B3685" w14:paraId="4C334AD8" w14:textId="339F594B">
            <w:pPr>
              <w:rPr>
                <w:rFonts w:ascii="Verdana" w:hAnsi="Verdana"/>
                <w:sz w:val="18"/>
                <w:szCs w:val="18"/>
              </w:rPr>
            </w:pPr>
            <w:r w:rsidRPr="002A1F9A">
              <w:rPr>
                <w:rFonts w:ascii="Verdana" w:hAnsi="Verdana"/>
                <w:sz w:val="18"/>
                <w:szCs w:val="18"/>
              </w:rPr>
              <w:t>Het geld voor basisvaardigheden wordt in 2026 verstrekt via een subsidie. Dit is de laatste tranche van de subsidieregeling basisvaardigheden waarvoor scholen in 2025 een aanvraag hebben gedaan. De komende jaren houden wij zicht op de verbetering van basisvaardigheden en of de doelen worden behaald middels het monitoringsprogramma van het Masterplan basisvaardigheden. De implementatie en uitvoering van de subsidieregeling wordt meerjarig gemonitord met een implementatieonderzoek. Dit onderzoek bestaat uit vragenlijsten die onder alle subsidiescholen worden uitgezet en verdiepend onderzoek in de vorm van casestudies.</w:t>
            </w:r>
          </w:p>
          <w:p w:rsidRPr="002A1F9A" w:rsidR="005B3685" w:rsidRDefault="005B3685" w14:paraId="72463C54" w14:textId="014FDD19">
            <w:pPr>
              <w:rPr>
                <w:rFonts w:ascii="Verdana" w:hAnsi="Verdana"/>
                <w:sz w:val="18"/>
                <w:szCs w:val="18"/>
              </w:rPr>
            </w:pPr>
          </w:p>
        </w:tc>
        <w:tc>
          <w:tcPr>
            <w:tcW w:w="850" w:type="dxa"/>
            <w:gridSpan w:val="2"/>
          </w:tcPr>
          <w:p w:rsidRPr="002A1F9A" w:rsidR="001256CA" w:rsidRDefault="001856D0" w14:paraId="0B8547F9"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326CCD6"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528CFC1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7346D599" w14:textId="77777777">
        <w:tc>
          <w:tcPr>
            <w:tcW w:w="567" w:type="dxa"/>
          </w:tcPr>
          <w:p w:rsidRPr="002A1F9A" w:rsidR="001256CA" w:rsidRDefault="001856D0" w14:paraId="6E3E3897" w14:textId="77777777">
            <w:pPr>
              <w:rPr>
                <w:rFonts w:ascii="Verdana" w:hAnsi="Verdana"/>
                <w:sz w:val="18"/>
                <w:szCs w:val="18"/>
              </w:rPr>
            </w:pPr>
            <w:r w:rsidRPr="002A1F9A">
              <w:rPr>
                <w:rFonts w:ascii="Verdana" w:hAnsi="Verdana"/>
                <w:sz w:val="18"/>
                <w:szCs w:val="18"/>
              </w:rPr>
              <w:t>58</w:t>
            </w:r>
          </w:p>
        </w:tc>
        <w:tc>
          <w:tcPr>
            <w:tcW w:w="6521" w:type="dxa"/>
            <w:gridSpan w:val="7"/>
          </w:tcPr>
          <w:p w:rsidRPr="002A1F9A" w:rsidR="001256CA" w:rsidRDefault="001856D0" w14:paraId="3E824FC4" w14:textId="77777777">
            <w:pPr>
              <w:rPr>
                <w:rFonts w:ascii="Verdana" w:hAnsi="Verdana"/>
                <w:sz w:val="18"/>
                <w:szCs w:val="18"/>
              </w:rPr>
            </w:pPr>
            <w:r w:rsidRPr="002A1F9A">
              <w:rPr>
                <w:rFonts w:ascii="Verdana" w:hAnsi="Verdana"/>
                <w:sz w:val="18"/>
                <w:szCs w:val="18"/>
              </w:rPr>
              <w:t>Welke onderwijsinstellingen maken op dit moment gebruik van</w:t>
            </w:r>
            <w:r w:rsidRPr="002A1F9A">
              <w:rPr>
                <w:rFonts w:ascii="Verdana" w:hAnsi="Verdana"/>
                <w:sz w:val="18"/>
                <w:szCs w:val="18"/>
              </w:rPr>
              <w:br/>
              <w:t>een capaciteitsfixus?</w:t>
            </w:r>
          </w:p>
          <w:p w:rsidRPr="002A1F9A" w:rsidR="00C621AC" w:rsidRDefault="00C621AC" w14:paraId="4AB6A975" w14:textId="77777777">
            <w:pPr>
              <w:rPr>
                <w:rFonts w:ascii="Verdana" w:hAnsi="Verdana"/>
                <w:sz w:val="18"/>
                <w:szCs w:val="18"/>
              </w:rPr>
            </w:pPr>
          </w:p>
          <w:p w:rsidRPr="002A1F9A" w:rsidR="00C621AC" w:rsidP="00C621AC" w:rsidRDefault="00C621AC" w14:paraId="5C8FCE89" w14:textId="6DDE9C0B">
            <w:pPr>
              <w:rPr>
                <w:rFonts w:ascii="Verdana" w:hAnsi="Verdana"/>
                <w:sz w:val="18"/>
                <w:szCs w:val="18"/>
              </w:rPr>
            </w:pPr>
            <w:r w:rsidRPr="002A1F9A">
              <w:rPr>
                <w:rFonts w:ascii="Verdana" w:hAnsi="Verdana"/>
                <w:sz w:val="18"/>
                <w:szCs w:val="18"/>
              </w:rPr>
              <w:t xml:space="preserve">In studiejaar 2025-2026 zijn er in het hbo en wo 80 voltijd-bacheloropleidingen met een capaciteitsfixus. Deze opleidingen zijn verspreid over 13 hbo-instellingen en 12 universiteiten. Een actueel en meer gedetailleerd overzicht van opleidingen met een </w:t>
            </w:r>
            <w:proofErr w:type="spellStart"/>
            <w:r w:rsidRPr="002A1F9A">
              <w:rPr>
                <w:rFonts w:ascii="Verdana" w:hAnsi="Verdana"/>
                <w:sz w:val="18"/>
                <w:szCs w:val="18"/>
              </w:rPr>
              <w:t>numerus</w:t>
            </w:r>
            <w:proofErr w:type="spellEnd"/>
            <w:r w:rsidRPr="002A1F9A">
              <w:rPr>
                <w:rFonts w:ascii="Verdana" w:hAnsi="Verdana"/>
                <w:sz w:val="18"/>
                <w:szCs w:val="18"/>
              </w:rPr>
              <w:t xml:space="preserve"> fixus is te raadplegen via </w:t>
            </w:r>
            <w:hyperlink w:history="1" r:id="rId33">
              <w:r w:rsidRPr="002A1F9A">
                <w:rPr>
                  <w:rStyle w:val="Hyperlink"/>
                  <w:rFonts w:ascii="Verdana" w:hAnsi="Verdana"/>
                  <w:sz w:val="18"/>
                  <w:szCs w:val="18"/>
                </w:rPr>
                <w:t>https://www.studiekeuze123.nl/selectie/welke-opleidingen-hebben-een-numerus-fixus</w:t>
              </w:r>
            </w:hyperlink>
            <w:r w:rsidRPr="002A1F9A">
              <w:rPr>
                <w:rFonts w:ascii="Verdana" w:hAnsi="Verdana"/>
                <w:sz w:val="18"/>
                <w:szCs w:val="18"/>
              </w:rPr>
              <w:t xml:space="preserve">. Voor de master geldt – anders dan bij de bachelor – geen meldplicht voor het instellen van een capaciteitsfixus, waardoor dit niet centraal geregistreerd wordt </w:t>
            </w:r>
            <w:hyperlink w:history="1" r:id="rId34">
              <w:r w:rsidRPr="002A1F9A">
                <w:rPr>
                  <w:rStyle w:val="Hyperlink"/>
                  <w:rFonts w:ascii="Verdana" w:hAnsi="Verdana"/>
                  <w:sz w:val="18"/>
                  <w:szCs w:val="18"/>
                </w:rPr>
                <w:t>(artikel 7.30b lid 2 WHW</w:t>
              </w:r>
            </w:hyperlink>
            <w:r w:rsidRPr="002A1F9A">
              <w:rPr>
                <w:rFonts w:ascii="Verdana" w:hAnsi="Verdana"/>
                <w:sz w:val="18"/>
                <w:szCs w:val="18"/>
              </w:rPr>
              <w:t xml:space="preserve">). Wel monitort de Inspectie van het Onderwijs de toegankelijkheid van masteropleidingen. Masteropleidingen hebben de ruimte om ook zonder capaciteitsbeperking eisen te stellen aan kandidaten en hen te selecteren. Uit </w:t>
            </w:r>
            <w:hyperlink w:history="1" r:id="rId35">
              <w:r w:rsidRPr="002A1F9A">
                <w:rPr>
                  <w:rStyle w:val="Hyperlink"/>
                  <w:rFonts w:ascii="Verdana" w:hAnsi="Verdana"/>
                  <w:sz w:val="18"/>
                  <w:szCs w:val="18"/>
                </w:rPr>
                <w:t>cijfers</w:t>
              </w:r>
            </w:hyperlink>
            <w:r w:rsidRPr="002A1F9A">
              <w:rPr>
                <w:rFonts w:ascii="Verdana" w:hAnsi="Verdana"/>
                <w:sz w:val="18"/>
                <w:szCs w:val="18"/>
              </w:rPr>
              <w:t xml:space="preserve"> van </w:t>
            </w:r>
            <w:r w:rsidRPr="002A1F9A" w:rsidR="00225C0D">
              <w:rPr>
                <w:rFonts w:ascii="Verdana" w:hAnsi="Verdana"/>
                <w:sz w:val="18"/>
                <w:szCs w:val="18"/>
              </w:rPr>
              <w:t xml:space="preserve">de Inspectie van het Onderwijs </w:t>
            </w:r>
            <w:r w:rsidRPr="002A1F9A">
              <w:rPr>
                <w:rFonts w:ascii="Verdana" w:hAnsi="Verdana"/>
                <w:sz w:val="18"/>
                <w:szCs w:val="18"/>
              </w:rPr>
              <w:t>blijkt dat 12% (94 opleidingen) in 2023 een capaciteitsbeperking heeft. Het aandeel masteropleidingen dat selecteert is in 2023 36% (271 opleidingen).</w:t>
            </w:r>
          </w:p>
          <w:p w:rsidRPr="002A1F9A" w:rsidR="00C621AC" w:rsidRDefault="00C621AC" w14:paraId="640DDA7C" w14:textId="77777777">
            <w:pPr>
              <w:rPr>
                <w:rFonts w:ascii="Verdana" w:hAnsi="Verdana"/>
                <w:sz w:val="18"/>
                <w:szCs w:val="18"/>
              </w:rPr>
            </w:pPr>
          </w:p>
        </w:tc>
        <w:tc>
          <w:tcPr>
            <w:tcW w:w="850" w:type="dxa"/>
            <w:gridSpan w:val="2"/>
          </w:tcPr>
          <w:p w:rsidRPr="002A1F9A" w:rsidR="001256CA" w:rsidRDefault="001856D0" w14:paraId="0283BAF7"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2A84922"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5D0A680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1B98879E" w14:textId="77777777">
        <w:tc>
          <w:tcPr>
            <w:tcW w:w="567" w:type="dxa"/>
          </w:tcPr>
          <w:p w:rsidRPr="002A1F9A" w:rsidR="001256CA" w:rsidRDefault="001856D0" w14:paraId="7F7D39BA" w14:textId="77777777">
            <w:pPr>
              <w:rPr>
                <w:rFonts w:ascii="Verdana" w:hAnsi="Verdana"/>
                <w:sz w:val="18"/>
                <w:szCs w:val="18"/>
              </w:rPr>
            </w:pPr>
            <w:bookmarkStart w:name="_Hlk212638302" w:id="25"/>
            <w:r w:rsidRPr="002A1F9A">
              <w:rPr>
                <w:rFonts w:ascii="Verdana" w:hAnsi="Verdana"/>
                <w:sz w:val="18"/>
                <w:szCs w:val="18"/>
              </w:rPr>
              <w:t>59</w:t>
            </w:r>
          </w:p>
        </w:tc>
        <w:tc>
          <w:tcPr>
            <w:tcW w:w="6521" w:type="dxa"/>
            <w:gridSpan w:val="7"/>
          </w:tcPr>
          <w:p w:rsidRPr="002A1F9A" w:rsidR="001256CA" w:rsidRDefault="001856D0" w14:paraId="4CE68A2C" w14:textId="77777777">
            <w:pPr>
              <w:rPr>
                <w:rFonts w:ascii="Verdana" w:hAnsi="Verdana"/>
                <w:sz w:val="18"/>
                <w:szCs w:val="18"/>
              </w:rPr>
            </w:pPr>
            <w:r w:rsidRPr="002A1F9A">
              <w:rPr>
                <w:rFonts w:ascii="Verdana" w:hAnsi="Verdana"/>
                <w:sz w:val="18"/>
                <w:szCs w:val="18"/>
              </w:rPr>
              <w:t>Weke andere opgaven in het stelsel worden beoogd als het gaat om het verkennen van zelfregie als bruikbare werkwijze?</w:t>
            </w:r>
          </w:p>
          <w:p w:rsidRPr="002A1F9A" w:rsidR="00C621AC" w:rsidRDefault="00C621AC" w14:paraId="5FCCCCFA" w14:textId="77777777">
            <w:pPr>
              <w:rPr>
                <w:rFonts w:ascii="Verdana" w:hAnsi="Verdana"/>
                <w:sz w:val="18"/>
                <w:szCs w:val="18"/>
              </w:rPr>
            </w:pPr>
          </w:p>
          <w:p w:rsidRPr="002A1F9A" w:rsidR="009C5BF6" w:rsidP="009C5BF6" w:rsidRDefault="009C5BF6" w14:paraId="07934EB4" w14:textId="77777777">
            <w:pPr>
              <w:rPr>
                <w:rFonts w:ascii="Verdana" w:hAnsi="Verdana"/>
                <w:sz w:val="18"/>
                <w:szCs w:val="18"/>
              </w:rPr>
            </w:pPr>
            <w:r w:rsidRPr="002A1F9A">
              <w:rPr>
                <w:rFonts w:ascii="Verdana" w:hAnsi="Verdana"/>
                <w:sz w:val="18"/>
                <w:szCs w:val="18"/>
              </w:rPr>
              <w:t xml:space="preserve">De hogescholen en universiteiten hebben sinds de ontwikkeling van het wetsvoorstel Internationalisering in balans zichtbaar verantwoordelijkheid genomen met het opstellen van zelfregieplannen en er zijn concrete voornemens om te komen tot een </w:t>
            </w:r>
            <w:hyperlink w:history="1" r:id="rId36">
              <w:r w:rsidRPr="002A1F9A">
                <w:rPr>
                  <w:rStyle w:val="Hyperlink"/>
                  <w:rFonts w:ascii="Verdana" w:hAnsi="Verdana" w:eastAsiaTheme="majorEastAsia"/>
                  <w:sz w:val="18"/>
                  <w:szCs w:val="18"/>
                </w:rPr>
                <w:t>meer evenwichtige inzet van anderstalig onderwijs</w:t>
              </w:r>
            </w:hyperlink>
            <w:r w:rsidRPr="002A1F9A">
              <w:rPr>
                <w:rFonts w:ascii="Verdana" w:hAnsi="Verdana"/>
                <w:sz w:val="18"/>
                <w:szCs w:val="18"/>
              </w:rPr>
              <w:t xml:space="preserve">. Het meest recente </w:t>
            </w:r>
            <w:hyperlink w:history="1" r:id="rId37">
              <w:r w:rsidRPr="002A1F9A">
                <w:rPr>
                  <w:rStyle w:val="Hyperlink"/>
                  <w:rFonts w:ascii="Verdana" w:hAnsi="Verdana" w:eastAsiaTheme="majorEastAsia"/>
                  <w:sz w:val="18"/>
                  <w:szCs w:val="18"/>
                </w:rPr>
                <w:t>zelfregieplan van de universiteiten</w:t>
              </w:r>
            </w:hyperlink>
            <w:r w:rsidRPr="002A1F9A">
              <w:rPr>
                <w:rFonts w:ascii="Verdana" w:hAnsi="Verdana"/>
                <w:sz w:val="18"/>
                <w:szCs w:val="18"/>
              </w:rPr>
              <w:t xml:space="preserve"> laat zien dat zij bewuste keuzes gemaakt hebben ten aanzien van het anderstalige opleidingsaanbod en dat zij hierbij bredere maatschappelijke belangen in overweging hebben genomen. Ook is onderling afgesproken dat de </w:t>
            </w:r>
            <w:proofErr w:type="spellStart"/>
            <w:r w:rsidRPr="002A1F9A">
              <w:rPr>
                <w:rFonts w:ascii="Verdana" w:hAnsi="Verdana"/>
                <w:sz w:val="18"/>
                <w:szCs w:val="18"/>
              </w:rPr>
              <w:t>numerus</w:t>
            </w:r>
            <w:proofErr w:type="spellEnd"/>
            <w:r w:rsidRPr="002A1F9A">
              <w:rPr>
                <w:rFonts w:ascii="Verdana" w:hAnsi="Verdana"/>
                <w:sz w:val="18"/>
                <w:szCs w:val="18"/>
              </w:rPr>
              <w:t xml:space="preserve"> fixus vaker wordt ingezet en dat bij verschillende opleidingen die nu gebruik maken van een </w:t>
            </w:r>
            <w:proofErr w:type="spellStart"/>
            <w:r w:rsidRPr="002A1F9A">
              <w:rPr>
                <w:rFonts w:ascii="Verdana" w:hAnsi="Verdana"/>
                <w:sz w:val="18"/>
                <w:szCs w:val="18"/>
              </w:rPr>
              <w:t>numerus</w:t>
            </w:r>
            <w:proofErr w:type="spellEnd"/>
            <w:r w:rsidRPr="002A1F9A">
              <w:rPr>
                <w:rFonts w:ascii="Verdana" w:hAnsi="Verdana"/>
                <w:sz w:val="18"/>
                <w:szCs w:val="18"/>
              </w:rPr>
              <w:t xml:space="preserve"> fixus, deze fixus wordt verlaagd, waardoor de anderstalige instroom gericht zal dalen. Wij achten deze vorm van zelfregie, waarin </w:t>
            </w:r>
            <w:proofErr w:type="spellStart"/>
            <w:r w:rsidRPr="002A1F9A">
              <w:rPr>
                <w:rFonts w:ascii="Verdana" w:hAnsi="Verdana"/>
                <w:sz w:val="18"/>
                <w:szCs w:val="18"/>
              </w:rPr>
              <w:t>hogeronderwijsinstellingen</w:t>
            </w:r>
            <w:proofErr w:type="spellEnd"/>
            <w:r w:rsidRPr="002A1F9A">
              <w:rPr>
                <w:rFonts w:ascii="Verdana" w:hAnsi="Verdana"/>
                <w:sz w:val="18"/>
                <w:szCs w:val="18"/>
              </w:rPr>
              <w:t xml:space="preserve"> zich gezamenlijk inzetten voor het belang van de sector en de maatschappij, kansrijk om ook andere opgaven in het stelsel aan te gaan. Daarbij denken we met name aan het borgen van een macrodoelmatig onderwijsaanbod, in het </w:t>
            </w:r>
            <w:r w:rsidRPr="002A1F9A">
              <w:rPr>
                <w:rFonts w:ascii="Verdana" w:hAnsi="Verdana"/>
                <w:sz w:val="18"/>
                <w:szCs w:val="18"/>
              </w:rPr>
              <w:lastRenderedPageBreak/>
              <w:t xml:space="preserve">licht van teruglopende studentenaantallen. Het is van belang dat </w:t>
            </w:r>
            <w:proofErr w:type="spellStart"/>
            <w:r w:rsidRPr="002A1F9A">
              <w:rPr>
                <w:rFonts w:ascii="Verdana" w:hAnsi="Verdana"/>
                <w:sz w:val="18"/>
                <w:szCs w:val="18"/>
              </w:rPr>
              <w:t>hogeronderwijsinstellingen</w:t>
            </w:r>
            <w:proofErr w:type="spellEnd"/>
            <w:r w:rsidRPr="002A1F9A">
              <w:rPr>
                <w:rFonts w:ascii="Verdana" w:hAnsi="Verdana"/>
                <w:sz w:val="18"/>
                <w:szCs w:val="18"/>
              </w:rPr>
              <w:t xml:space="preserve"> gezamenlijk verantwoordelijkheid nemen om te zorgen dat het opleidingsaanbod meebeweegt met de noden van de maatschappij en arbeidsmarkt. De Vereniging Hogescholen zet stappen in deze richting door het opzetten van gezamenlijke overleg- en beslisstructuren om de macrodoelmatigheid van nieuw en bestaand aanbod te borgen. Daarnaast werken universiteiten samen op het instrument ‘sectorplannen’ voor het onderzoek en onderwijs met als doel om de kennisbasis te versterken. Zo hebben de universiteiten voor een aantal disciplines en thema’s een plan opgesteld op hoe zij meer strategische kunnen samenwerken en zich onderling beter kunnen profileren. Recent is uw Kamer </w:t>
            </w:r>
            <w:hyperlink w:history="1" r:id="rId38">
              <w:r w:rsidRPr="002A1F9A">
                <w:rPr>
                  <w:rStyle w:val="Hyperlink"/>
                  <w:rFonts w:ascii="Verdana" w:hAnsi="Verdana" w:eastAsiaTheme="majorEastAsia"/>
                  <w:sz w:val="18"/>
                  <w:szCs w:val="18"/>
                </w:rPr>
                <w:t>geïnformeerd</w:t>
              </w:r>
            </w:hyperlink>
            <w:r w:rsidRPr="002A1F9A">
              <w:rPr>
                <w:rFonts w:ascii="Verdana" w:hAnsi="Verdana"/>
                <w:sz w:val="18"/>
                <w:szCs w:val="18"/>
              </w:rPr>
              <w:t xml:space="preserve"> over de positieve eindevaluatie van de eerste ronde sectorplannen. De aangestelde sectorplancommissies concludeerden dat het een beproefd instrument is. </w:t>
            </w:r>
          </w:p>
          <w:p w:rsidRPr="002A1F9A" w:rsidR="00C621AC" w:rsidRDefault="00C621AC" w14:paraId="021C8B30" w14:textId="77777777">
            <w:pPr>
              <w:rPr>
                <w:rFonts w:ascii="Verdana" w:hAnsi="Verdana"/>
                <w:sz w:val="18"/>
                <w:szCs w:val="18"/>
              </w:rPr>
            </w:pPr>
          </w:p>
        </w:tc>
        <w:tc>
          <w:tcPr>
            <w:tcW w:w="850" w:type="dxa"/>
            <w:gridSpan w:val="2"/>
          </w:tcPr>
          <w:p w:rsidRPr="002A1F9A" w:rsidR="001256CA" w:rsidRDefault="001856D0" w14:paraId="1C14523C"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2A37834" w14:textId="77777777">
            <w:pPr>
              <w:jc w:val="right"/>
              <w:rPr>
                <w:rFonts w:ascii="Verdana" w:hAnsi="Verdana"/>
                <w:sz w:val="18"/>
                <w:szCs w:val="18"/>
              </w:rPr>
            </w:pPr>
            <w:r w:rsidRPr="002A1F9A">
              <w:rPr>
                <w:rFonts w:ascii="Verdana" w:hAnsi="Verdana"/>
                <w:sz w:val="18"/>
                <w:szCs w:val="18"/>
              </w:rPr>
              <w:t>11</w:t>
            </w:r>
          </w:p>
        </w:tc>
        <w:tc>
          <w:tcPr>
            <w:tcW w:w="567" w:type="dxa"/>
            <w:tcBorders>
              <w:left w:val="nil"/>
            </w:tcBorders>
          </w:tcPr>
          <w:p w:rsidRPr="002A1F9A" w:rsidR="001256CA" w:rsidRDefault="001856D0" w14:paraId="64473A68" w14:textId="77777777">
            <w:pPr>
              <w:jc w:val="right"/>
              <w:rPr>
                <w:rFonts w:ascii="Verdana" w:hAnsi="Verdana"/>
                <w:sz w:val="18"/>
                <w:szCs w:val="18"/>
              </w:rPr>
            </w:pPr>
            <w:r w:rsidRPr="002A1F9A">
              <w:rPr>
                <w:rFonts w:ascii="Verdana" w:hAnsi="Verdana"/>
                <w:sz w:val="18"/>
                <w:szCs w:val="18"/>
              </w:rPr>
              <w:t xml:space="preserve"> </w:t>
            </w:r>
          </w:p>
        </w:tc>
      </w:tr>
      <w:bookmarkEnd w:id="25"/>
      <w:tr w:rsidRPr="002A1F9A" w:rsidR="001256CA" w:rsidTr="00A347D5" w14:paraId="491FED21" w14:textId="77777777">
        <w:tc>
          <w:tcPr>
            <w:tcW w:w="567" w:type="dxa"/>
          </w:tcPr>
          <w:p w:rsidRPr="002A1F9A" w:rsidR="001256CA" w:rsidRDefault="001856D0" w14:paraId="45977816" w14:textId="77777777">
            <w:pPr>
              <w:rPr>
                <w:rFonts w:ascii="Verdana" w:hAnsi="Verdana"/>
                <w:sz w:val="18"/>
                <w:szCs w:val="18"/>
              </w:rPr>
            </w:pPr>
            <w:r w:rsidRPr="002A1F9A">
              <w:rPr>
                <w:rFonts w:ascii="Verdana" w:hAnsi="Verdana"/>
                <w:sz w:val="18"/>
                <w:szCs w:val="18"/>
              </w:rPr>
              <w:t>60</w:t>
            </w:r>
          </w:p>
        </w:tc>
        <w:tc>
          <w:tcPr>
            <w:tcW w:w="6521" w:type="dxa"/>
            <w:gridSpan w:val="7"/>
          </w:tcPr>
          <w:p w:rsidRPr="002A1F9A" w:rsidR="001256CA" w:rsidRDefault="001856D0" w14:paraId="72276A3C" w14:textId="77777777">
            <w:pPr>
              <w:rPr>
                <w:rFonts w:ascii="Verdana" w:hAnsi="Verdana"/>
                <w:sz w:val="18"/>
                <w:szCs w:val="18"/>
              </w:rPr>
            </w:pPr>
            <w:r w:rsidRPr="002A1F9A">
              <w:rPr>
                <w:rFonts w:ascii="Verdana" w:hAnsi="Verdana"/>
                <w:sz w:val="18"/>
                <w:szCs w:val="18"/>
              </w:rPr>
              <w:t>Hoeveel gedwongen ontslagen zijn er afgelopen jaar geweest in het hoger onderwijs?</w:t>
            </w:r>
          </w:p>
          <w:p w:rsidRPr="002A1F9A" w:rsidR="00C621AC" w:rsidRDefault="00C621AC" w14:paraId="06682C60" w14:textId="77777777">
            <w:pPr>
              <w:rPr>
                <w:rFonts w:ascii="Verdana" w:hAnsi="Verdana"/>
                <w:sz w:val="18"/>
                <w:szCs w:val="18"/>
              </w:rPr>
            </w:pPr>
          </w:p>
          <w:p w:rsidRPr="002A1F9A" w:rsidR="00C621AC" w:rsidRDefault="00C621AC" w14:paraId="2FCAA309" w14:textId="433C523E">
            <w:pPr>
              <w:rPr>
                <w:rFonts w:ascii="Verdana" w:hAnsi="Verdana"/>
                <w:sz w:val="18"/>
                <w:szCs w:val="18"/>
              </w:rPr>
            </w:pPr>
            <w:r w:rsidRPr="002A1F9A">
              <w:rPr>
                <w:rFonts w:ascii="Verdana" w:hAnsi="Verdana"/>
                <w:sz w:val="18"/>
                <w:szCs w:val="18"/>
              </w:rPr>
              <w:t xml:space="preserve">Het ministerie van </w:t>
            </w:r>
            <w:r w:rsidRPr="002A1F9A" w:rsidR="009A3C2E">
              <w:rPr>
                <w:rFonts w:ascii="Verdana" w:hAnsi="Verdana"/>
                <w:sz w:val="18"/>
                <w:szCs w:val="18"/>
              </w:rPr>
              <w:t>OCW</w:t>
            </w:r>
            <w:r w:rsidRPr="002A1F9A">
              <w:rPr>
                <w:rFonts w:ascii="Verdana" w:hAnsi="Verdana"/>
                <w:sz w:val="18"/>
                <w:szCs w:val="18"/>
              </w:rPr>
              <w:t xml:space="preserve"> beschikt niet over deze informatie.</w:t>
            </w:r>
          </w:p>
          <w:p w:rsidRPr="002A1F9A" w:rsidR="00C621AC" w:rsidRDefault="00C621AC" w14:paraId="5EE6CCF7" w14:textId="657B0277">
            <w:pPr>
              <w:rPr>
                <w:rFonts w:ascii="Verdana" w:hAnsi="Verdana"/>
                <w:sz w:val="18"/>
                <w:szCs w:val="18"/>
              </w:rPr>
            </w:pPr>
          </w:p>
        </w:tc>
        <w:tc>
          <w:tcPr>
            <w:tcW w:w="850" w:type="dxa"/>
            <w:gridSpan w:val="2"/>
          </w:tcPr>
          <w:p w:rsidRPr="002A1F9A" w:rsidR="001256CA" w:rsidRDefault="001856D0" w14:paraId="57520BE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1A06808" w14:textId="77777777">
            <w:pPr>
              <w:jc w:val="right"/>
              <w:rPr>
                <w:rFonts w:ascii="Verdana" w:hAnsi="Verdana"/>
                <w:sz w:val="18"/>
                <w:szCs w:val="18"/>
              </w:rPr>
            </w:pPr>
            <w:r w:rsidRPr="002A1F9A">
              <w:rPr>
                <w:rFonts w:ascii="Verdana" w:hAnsi="Verdana"/>
                <w:sz w:val="18"/>
                <w:szCs w:val="18"/>
              </w:rPr>
              <w:t>12</w:t>
            </w:r>
          </w:p>
        </w:tc>
        <w:tc>
          <w:tcPr>
            <w:tcW w:w="567" w:type="dxa"/>
            <w:tcBorders>
              <w:left w:val="nil"/>
            </w:tcBorders>
          </w:tcPr>
          <w:p w:rsidRPr="002A1F9A" w:rsidR="001256CA" w:rsidRDefault="001856D0" w14:paraId="01C3A1B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133D4FC" w14:textId="77777777">
        <w:tc>
          <w:tcPr>
            <w:tcW w:w="567" w:type="dxa"/>
          </w:tcPr>
          <w:p w:rsidRPr="002A1F9A" w:rsidR="001256CA" w:rsidRDefault="001856D0" w14:paraId="68D8F5CB" w14:textId="77777777">
            <w:pPr>
              <w:rPr>
                <w:rFonts w:ascii="Verdana" w:hAnsi="Verdana"/>
                <w:sz w:val="18"/>
                <w:szCs w:val="18"/>
              </w:rPr>
            </w:pPr>
            <w:r w:rsidRPr="002A1F9A">
              <w:rPr>
                <w:rFonts w:ascii="Verdana" w:hAnsi="Verdana"/>
                <w:sz w:val="18"/>
                <w:szCs w:val="18"/>
              </w:rPr>
              <w:t>61</w:t>
            </w:r>
          </w:p>
        </w:tc>
        <w:tc>
          <w:tcPr>
            <w:tcW w:w="6521" w:type="dxa"/>
            <w:gridSpan w:val="7"/>
          </w:tcPr>
          <w:p w:rsidRPr="002A1F9A" w:rsidR="001256CA" w:rsidRDefault="001856D0" w14:paraId="787840D1" w14:textId="77777777">
            <w:pPr>
              <w:rPr>
                <w:rFonts w:ascii="Verdana" w:hAnsi="Verdana"/>
                <w:sz w:val="18"/>
                <w:szCs w:val="18"/>
              </w:rPr>
            </w:pPr>
            <w:r w:rsidRPr="002A1F9A">
              <w:rPr>
                <w:rFonts w:ascii="Verdana" w:hAnsi="Verdana"/>
                <w:sz w:val="18"/>
                <w:szCs w:val="18"/>
              </w:rPr>
              <w:t xml:space="preserve">Hoe wordt de omvorming van de </w:t>
            </w:r>
            <w:proofErr w:type="spellStart"/>
            <w:r w:rsidRPr="002A1F9A">
              <w:rPr>
                <w:rFonts w:ascii="Verdana" w:hAnsi="Verdana"/>
                <w:sz w:val="18"/>
                <w:szCs w:val="18"/>
              </w:rPr>
              <w:t>kleinescholentoeslag</w:t>
            </w:r>
            <w:proofErr w:type="spellEnd"/>
            <w:r w:rsidRPr="002A1F9A">
              <w:rPr>
                <w:rFonts w:ascii="Verdana" w:hAnsi="Verdana"/>
                <w:sz w:val="18"/>
                <w:szCs w:val="18"/>
              </w:rPr>
              <w:t xml:space="preserve"> naar een dunbevolktheidstoeslag vormgegeven, en hoe wordt sluiting van dorpsscholen voorkomen?</w:t>
            </w:r>
          </w:p>
          <w:p w:rsidRPr="002A1F9A" w:rsidR="005B3685" w:rsidRDefault="005B3685" w14:paraId="2BE7EEFA" w14:textId="77777777">
            <w:pPr>
              <w:rPr>
                <w:rFonts w:ascii="Verdana" w:hAnsi="Verdana"/>
                <w:sz w:val="18"/>
                <w:szCs w:val="18"/>
              </w:rPr>
            </w:pPr>
          </w:p>
          <w:p w:rsidRPr="002A1F9A" w:rsidR="00C8378F" w:rsidP="00C8378F" w:rsidRDefault="00C8378F" w14:paraId="0D835DD6" w14:textId="22D9DEE0">
            <w:pPr>
              <w:rPr>
                <w:rFonts w:ascii="Verdana" w:hAnsi="Verdana"/>
                <w:sz w:val="18"/>
                <w:szCs w:val="18"/>
              </w:rPr>
            </w:pPr>
            <w:r w:rsidRPr="002A1F9A">
              <w:rPr>
                <w:rFonts w:ascii="Verdana" w:hAnsi="Verdana"/>
                <w:sz w:val="18"/>
                <w:szCs w:val="18"/>
              </w:rPr>
              <w:t xml:space="preserve">Momenteel ontvangen alle scholen met minder dan 150 leerlingen </w:t>
            </w:r>
            <w:proofErr w:type="spellStart"/>
            <w:r w:rsidRPr="002A1F9A">
              <w:rPr>
                <w:rFonts w:ascii="Verdana" w:hAnsi="Verdana"/>
                <w:sz w:val="18"/>
                <w:szCs w:val="18"/>
              </w:rPr>
              <w:t>kleinescholentoeslag</w:t>
            </w:r>
            <w:proofErr w:type="spellEnd"/>
            <w:r w:rsidRPr="002A1F9A">
              <w:rPr>
                <w:rFonts w:ascii="Verdana" w:hAnsi="Verdana"/>
                <w:sz w:val="18"/>
                <w:szCs w:val="18"/>
              </w:rPr>
              <w:t xml:space="preserve">, ook in gemeenten waar de leerlingaantallen hoog zijn en ruim voldoende scholenaanbod is. Als onderdeel van het toekomstbestendig maken van het scholenlandschap wordt de </w:t>
            </w:r>
            <w:proofErr w:type="spellStart"/>
            <w:r w:rsidRPr="002A1F9A">
              <w:rPr>
                <w:rFonts w:ascii="Verdana" w:hAnsi="Verdana"/>
                <w:sz w:val="18"/>
                <w:szCs w:val="18"/>
              </w:rPr>
              <w:t>kleinescholentoeslag</w:t>
            </w:r>
            <w:proofErr w:type="spellEnd"/>
            <w:r w:rsidRPr="002A1F9A">
              <w:rPr>
                <w:rFonts w:ascii="Verdana" w:hAnsi="Verdana"/>
                <w:sz w:val="18"/>
                <w:szCs w:val="18"/>
              </w:rPr>
              <w:t xml:space="preserve"> omgevormd naar een dunbevolktheidstoeslag. Er wordt dan alleen extra bekostiging uitgekeerd aan scholen in gemeentes met een opheffingsnorm van 150 of lager. Zo behouden we in regio’s met een lage leerlingdichtheid een voldoende dekkend aanbod. Dit is op 3 juli 2025 met uw Kamer per brief gedeeld (</w:t>
            </w:r>
            <w:hyperlink w:history="1" r:id="rId39">
              <w:r w:rsidRPr="002A1F9A">
                <w:rPr>
                  <w:rStyle w:val="Hyperlink"/>
                  <w:rFonts w:ascii="Verdana" w:hAnsi="Verdana"/>
                  <w:sz w:val="18"/>
                  <w:szCs w:val="18"/>
                </w:rPr>
                <w:t>Kamerstuk 31 293 nr. 832</w:t>
              </w:r>
            </w:hyperlink>
            <w:r w:rsidRPr="002A1F9A">
              <w:rPr>
                <w:rFonts w:ascii="Verdana" w:hAnsi="Verdana"/>
                <w:sz w:val="18"/>
                <w:szCs w:val="18"/>
              </w:rPr>
              <w:t xml:space="preserve">).  </w:t>
            </w:r>
          </w:p>
          <w:p w:rsidRPr="002A1F9A" w:rsidR="005B3685" w:rsidRDefault="005B3685" w14:paraId="665A666D" w14:textId="7BC7AC82">
            <w:pPr>
              <w:rPr>
                <w:rFonts w:ascii="Verdana" w:hAnsi="Verdana"/>
                <w:sz w:val="18"/>
                <w:szCs w:val="18"/>
              </w:rPr>
            </w:pPr>
          </w:p>
        </w:tc>
        <w:tc>
          <w:tcPr>
            <w:tcW w:w="850" w:type="dxa"/>
            <w:gridSpan w:val="2"/>
          </w:tcPr>
          <w:p w:rsidRPr="002A1F9A" w:rsidR="001256CA" w:rsidRDefault="001856D0" w14:paraId="3518633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3A2822F" w14:textId="77777777">
            <w:pPr>
              <w:jc w:val="right"/>
              <w:rPr>
                <w:rFonts w:ascii="Verdana" w:hAnsi="Verdana"/>
                <w:sz w:val="18"/>
                <w:szCs w:val="18"/>
              </w:rPr>
            </w:pPr>
            <w:r w:rsidRPr="002A1F9A">
              <w:rPr>
                <w:rFonts w:ascii="Verdana" w:hAnsi="Verdana"/>
                <w:sz w:val="18"/>
                <w:szCs w:val="18"/>
              </w:rPr>
              <w:t>12</w:t>
            </w:r>
          </w:p>
        </w:tc>
        <w:tc>
          <w:tcPr>
            <w:tcW w:w="567" w:type="dxa"/>
            <w:tcBorders>
              <w:left w:val="nil"/>
            </w:tcBorders>
          </w:tcPr>
          <w:p w:rsidRPr="002A1F9A" w:rsidR="001256CA" w:rsidRDefault="001856D0" w14:paraId="0C68F2B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A347D5" w14:paraId="3FF963F8" w14:textId="77777777">
        <w:tc>
          <w:tcPr>
            <w:tcW w:w="567" w:type="dxa"/>
          </w:tcPr>
          <w:p w:rsidRPr="002A1F9A" w:rsidR="001256CA" w:rsidRDefault="001856D0" w14:paraId="2C7E891C" w14:textId="77777777">
            <w:pPr>
              <w:rPr>
                <w:rFonts w:ascii="Verdana" w:hAnsi="Verdana"/>
                <w:sz w:val="18"/>
                <w:szCs w:val="18"/>
              </w:rPr>
            </w:pPr>
            <w:r w:rsidRPr="002A1F9A">
              <w:rPr>
                <w:rFonts w:ascii="Verdana" w:hAnsi="Verdana"/>
                <w:sz w:val="18"/>
                <w:szCs w:val="18"/>
              </w:rPr>
              <w:t>62</w:t>
            </w:r>
          </w:p>
        </w:tc>
        <w:tc>
          <w:tcPr>
            <w:tcW w:w="6521" w:type="dxa"/>
            <w:gridSpan w:val="7"/>
          </w:tcPr>
          <w:p w:rsidRPr="002A1F9A" w:rsidR="001256CA" w:rsidRDefault="001856D0" w14:paraId="579B018A" w14:textId="77777777">
            <w:pPr>
              <w:rPr>
                <w:rFonts w:ascii="Verdana" w:hAnsi="Verdana"/>
                <w:sz w:val="18"/>
                <w:szCs w:val="18"/>
              </w:rPr>
            </w:pPr>
            <w:r w:rsidRPr="002A1F9A">
              <w:rPr>
                <w:rFonts w:ascii="Verdana" w:hAnsi="Verdana"/>
                <w:sz w:val="18"/>
                <w:szCs w:val="18"/>
              </w:rPr>
              <w:t xml:space="preserve">Hoeveel middelen zijn in 2026 beschikbaar voor het </w:t>
            </w:r>
            <w:r w:rsidRPr="002A1F9A" w:rsidR="00C436E2">
              <w:rPr>
                <w:rFonts w:ascii="Verdana" w:hAnsi="Verdana"/>
                <w:sz w:val="18"/>
                <w:szCs w:val="18"/>
              </w:rPr>
              <w:t>Nationaal Versterkingsplan van Microchip-talent</w:t>
            </w:r>
            <w:r w:rsidRPr="002A1F9A">
              <w:rPr>
                <w:rFonts w:ascii="Verdana" w:hAnsi="Verdana"/>
                <w:sz w:val="18"/>
                <w:szCs w:val="18"/>
              </w:rPr>
              <w:t xml:space="preserve"> en hoeveel extra technisch talent wordt hiermee opgeleid?</w:t>
            </w:r>
          </w:p>
          <w:p w:rsidRPr="002A1F9A" w:rsidR="00DF2B80" w:rsidRDefault="00DF2B80" w14:paraId="66A1A439" w14:textId="77777777">
            <w:pPr>
              <w:rPr>
                <w:rFonts w:ascii="Verdana" w:hAnsi="Verdana"/>
                <w:sz w:val="18"/>
                <w:szCs w:val="18"/>
              </w:rPr>
            </w:pPr>
          </w:p>
          <w:p w:rsidRPr="002A1F9A" w:rsidR="00DF2B80" w:rsidRDefault="003C531F" w14:paraId="0D5ECE8B" w14:textId="5769AFF6">
            <w:pPr>
              <w:rPr>
                <w:rFonts w:ascii="Verdana" w:hAnsi="Verdana"/>
                <w:sz w:val="18"/>
                <w:szCs w:val="18"/>
              </w:rPr>
            </w:pPr>
            <w:r w:rsidRPr="002A1F9A">
              <w:rPr>
                <w:rFonts w:ascii="Verdana" w:hAnsi="Verdana"/>
                <w:sz w:val="18"/>
                <w:szCs w:val="18"/>
              </w:rPr>
              <w:t>In 2026 is er € 56,2 miljoen beschikbaar voor het Nationaal versterkingsplan van Microchip-talent. Dit zijn de middelen die beschikbaar zijn voor de regio’s. Vanaf 2027 ontvangen de onderwijsinstellingen via de reguliere bekostiging additionele middelen voor de verwachte extra instroom van studenten. Op basis van de plannen van de regio’s is de verwachting dat er in 2026 een verhoging in de instroom komt van 1.345 studenten totaal over mbo, hbo en wo en het aantal inschrijvingen in 2026 door het Nationaal Versterkingsplan 1.911 hoger ligt. De instroom en het aantal inschrijvingen neemt de komende jaren naar verwachting verder toe. Vanaf 2027 is naar verwachting ook een verhoging in de uitstroom te zien doordat een deel van de instroom van studenten uit 2025 in 2027 een diploma behaalt.</w:t>
            </w:r>
          </w:p>
        </w:tc>
        <w:tc>
          <w:tcPr>
            <w:tcW w:w="850" w:type="dxa"/>
            <w:gridSpan w:val="2"/>
          </w:tcPr>
          <w:p w:rsidRPr="002A1F9A" w:rsidR="001256CA" w:rsidRDefault="001856D0" w14:paraId="0926560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EBF38D7" w14:textId="77777777">
            <w:pPr>
              <w:jc w:val="right"/>
              <w:rPr>
                <w:rFonts w:ascii="Verdana" w:hAnsi="Verdana"/>
                <w:sz w:val="18"/>
                <w:szCs w:val="18"/>
              </w:rPr>
            </w:pPr>
            <w:r w:rsidRPr="002A1F9A">
              <w:rPr>
                <w:rFonts w:ascii="Verdana" w:hAnsi="Verdana"/>
                <w:sz w:val="18"/>
                <w:szCs w:val="18"/>
              </w:rPr>
              <w:t>12</w:t>
            </w:r>
          </w:p>
        </w:tc>
        <w:tc>
          <w:tcPr>
            <w:tcW w:w="567" w:type="dxa"/>
            <w:tcBorders>
              <w:left w:val="nil"/>
            </w:tcBorders>
          </w:tcPr>
          <w:p w:rsidRPr="002A1F9A" w:rsidR="001256CA" w:rsidRDefault="001856D0" w14:paraId="28F451F8" w14:textId="77777777">
            <w:pPr>
              <w:jc w:val="right"/>
              <w:rPr>
                <w:rFonts w:ascii="Verdana" w:hAnsi="Verdana"/>
                <w:sz w:val="18"/>
                <w:szCs w:val="18"/>
              </w:rPr>
            </w:pPr>
            <w:r w:rsidRPr="002A1F9A">
              <w:rPr>
                <w:rFonts w:ascii="Verdana" w:hAnsi="Verdana"/>
                <w:sz w:val="18"/>
                <w:szCs w:val="18"/>
              </w:rPr>
              <w:t xml:space="preserve"> </w:t>
            </w:r>
          </w:p>
        </w:tc>
      </w:tr>
      <w:tr w:rsidRPr="002A1F9A" w:rsidR="005B3685" w:rsidTr="00A347D5" w14:paraId="0A1664DE" w14:textId="77777777">
        <w:tc>
          <w:tcPr>
            <w:tcW w:w="567" w:type="dxa"/>
          </w:tcPr>
          <w:p w:rsidRPr="002A1F9A" w:rsidR="005B3685" w:rsidP="005B3685" w:rsidRDefault="005B3685" w14:paraId="5D7D08DE" w14:textId="77777777">
            <w:pPr>
              <w:rPr>
                <w:rFonts w:ascii="Verdana" w:hAnsi="Verdana"/>
                <w:sz w:val="18"/>
                <w:szCs w:val="18"/>
              </w:rPr>
            </w:pPr>
            <w:r w:rsidRPr="002A1F9A">
              <w:rPr>
                <w:rFonts w:ascii="Verdana" w:hAnsi="Verdana"/>
                <w:sz w:val="18"/>
                <w:szCs w:val="18"/>
              </w:rPr>
              <w:t>63</w:t>
            </w:r>
          </w:p>
        </w:tc>
        <w:tc>
          <w:tcPr>
            <w:tcW w:w="6521" w:type="dxa"/>
            <w:gridSpan w:val="7"/>
          </w:tcPr>
          <w:p w:rsidRPr="002A1F9A" w:rsidR="005B3685" w:rsidP="005B3685" w:rsidRDefault="005B3685" w14:paraId="72D1F0CC" w14:textId="77777777">
            <w:pPr>
              <w:rPr>
                <w:rFonts w:ascii="Verdana" w:hAnsi="Verdana"/>
                <w:sz w:val="18"/>
                <w:szCs w:val="18"/>
              </w:rPr>
            </w:pPr>
            <w:r w:rsidRPr="002A1F9A">
              <w:rPr>
                <w:rFonts w:ascii="Verdana" w:hAnsi="Verdana"/>
                <w:sz w:val="18"/>
                <w:szCs w:val="18"/>
              </w:rPr>
              <w:t>Wat zijn de meest recente cijfers van de omvang van het kwantitatief en kwalitatief lerarentekort in basis-, voortgezet en speciaal onderwijs, binnen en buiten de G5, waarover u beschikt?</w:t>
            </w:r>
          </w:p>
          <w:p w:rsidRPr="002A1F9A" w:rsidR="005B3685" w:rsidP="005B3685" w:rsidRDefault="005B3685" w14:paraId="7B0FAC81" w14:textId="77777777">
            <w:pPr>
              <w:rPr>
                <w:rFonts w:ascii="Verdana" w:hAnsi="Verdana"/>
                <w:sz w:val="18"/>
                <w:szCs w:val="18"/>
              </w:rPr>
            </w:pPr>
          </w:p>
          <w:p w:rsidRPr="002A1F9A" w:rsidR="005B3685" w:rsidP="005B3685" w:rsidRDefault="005B3685" w14:paraId="474ECF94" w14:textId="0B69B4ED">
            <w:pPr>
              <w:rPr>
                <w:rFonts w:ascii="Verdana" w:hAnsi="Verdana"/>
                <w:sz w:val="18"/>
                <w:szCs w:val="18"/>
              </w:rPr>
            </w:pPr>
            <w:r w:rsidRPr="002A1F9A">
              <w:rPr>
                <w:rFonts w:ascii="Verdana" w:hAnsi="Verdana"/>
                <w:sz w:val="18"/>
                <w:szCs w:val="18"/>
              </w:rPr>
              <w:lastRenderedPageBreak/>
              <w:t xml:space="preserve">Onderstaande tabel geeft de meest recente tekortcijfers in het primair en voortgezet onderwijs weer. In december ontvangt </w:t>
            </w:r>
            <w:r w:rsidRPr="002A1F9A" w:rsidR="00514931">
              <w:rPr>
                <w:rFonts w:ascii="Verdana" w:hAnsi="Verdana"/>
                <w:sz w:val="18"/>
                <w:szCs w:val="18"/>
              </w:rPr>
              <w:t>uw</w:t>
            </w:r>
            <w:r w:rsidRPr="002A1F9A">
              <w:rPr>
                <w:rFonts w:ascii="Verdana" w:hAnsi="Verdana"/>
                <w:sz w:val="18"/>
                <w:szCs w:val="18"/>
              </w:rPr>
              <w:t xml:space="preserve"> Kamer de meting van </w:t>
            </w:r>
            <w:r w:rsidRPr="002A1F9A" w:rsidR="00820938">
              <w:rPr>
                <w:rFonts w:ascii="Verdana" w:hAnsi="Verdana"/>
                <w:sz w:val="18"/>
                <w:szCs w:val="18"/>
              </w:rPr>
              <w:t xml:space="preserve">het tekort aan leraren en schoolleiders </w:t>
            </w:r>
            <w:r w:rsidRPr="002A1F9A" w:rsidR="002C1B1D">
              <w:rPr>
                <w:rFonts w:ascii="Verdana" w:hAnsi="Verdana"/>
                <w:sz w:val="18"/>
                <w:szCs w:val="18"/>
              </w:rPr>
              <w:t>van</w:t>
            </w:r>
            <w:r w:rsidRPr="002A1F9A">
              <w:rPr>
                <w:rFonts w:ascii="Verdana" w:hAnsi="Verdana"/>
                <w:sz w:val="18"/>
                <w:szCs w:val="18"/>
              </w:rPr>
              <w:t xml:space="preserve"> 2025. Voor beide sectoren geldt dat de tekorten scheef verdeeld zijn; scholen met grotere uitdagingen kampen vaak met grotere tekorten. Voor het vo geldt daarnaast dat personeelstekorten zich concentreren in specifieke vakken (denk aan wiskunde, Nederlands, techniek en informatica). </w:t>
            </w:r>
          </w:p>
          <w:p w:rsidRPr="002A1F9A" w:rsidR="0042407E" w:rsidP="005B3685" w:rsidRDefault="0042407E" w14:paraId="55DC77F4" w14:textId="77777777">
            <w:pPr>
              <w:rPr>
                <w:rFonts w:ascii="Verdana" w:hAnsi="Verdana"/>
                <w:sz w:val="18"/>
                <w:szCs w:val="18"/>
              </w:rPr>
            </w:pPr>
          </w:p>
          <w:tbl>
            <w:tblPr>
              <w:tblStyle w:val="Tabelrasterlicht"/>
              <w:tblpPr w:leftFromText="141" w:rightFromText="141" w:vertAnchor="page" w:horzAnchor="margin" w:tblpY="781"/>
              <w:tblOverlap w:val="never"/>
              <w:tblW w:w="6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2"/>
              <w:gridCol w:w="1715"/>
              <w:gridCol w:w="646"/>
              <w:gridCol w:w="651"/>
              <w:gridCol w:w="775"/>
              <w:gridCol w:w="581"/>
              <w:gridCol w:w="640"/>
              <w:gridCol w:w="602"/>
            </w:tblGrid>
            <w:tr w:rsidRPr="002A1F9A" w:rsidR="005B3685" w:rsidTr="0042407E" w14:paraId="67FC4497" w14:textId="77777777">
              <w:trPr>
                <w:trHeight w:val="371"/>
              </w:trPr>
              <w:tc>
                <w:tcPr>
                  <w:tcW w:w="872" w:type="dxa"/>
                </w:tcPr>
                <w:p w:rsidRPr="002A1F9A" w:rsidR="005B3685" w:rsidP="005B3685" w:rsidRDefault="005B3685" w14:paraId="1C88D13F" w14:textId="77777777">
                  <w:pPr>
                    <w:jc w:val="center"/>
                    <w:rPr>
                      <w:rFonts w:ascii="Verdana" w:hAnsi="Verdana"/>
                      <w:b/>
                      <w:bCs/>
                      <w:sz w:val="14"/>
                      <w:szCs w:val="14"/>
                    </w:rPr>
                  </w:pPr>
                  <w:r w:rsidRPr="002A1F9A">
                    <w:rPr>
                      <w:rFonts w:ascii="Verdana" w:hAnsi="Verdana"/>
                      <w:b/>
                      <w:bCs/>
                      <w:sz w:val="14"/>
                      <w:szCs w:val="14"/>
                    </w:rPr>
                    <w:t>Sector</w:t>
                  </w:r>
                </w:p>
              </w:tc>
              <w:tc>
                <w:tcPr>
                  <w:tcW w:w="1715" w:type="dxa"/>
                </w:tcPr>
                <w:p w:rsidRPr="002A1F9A" w:rsidR="005B3685" w:rsidP="005B3685" w:rsidRDefault="005B3685" w14:paraId="47D01B1A" w14:textId="77777777">
                  <w:pPr>
                    <w:jc w:val="center"/>
                    <w:rPr>
                      <w:rFonts w:ascii="Verdana" w:hAnsi="Verdana"/>
                      <w:b/>
                      <w:bCs/>
                      <w:sz w:val="14"/>
                      <w:szCs w:val="14"/>
                    </w:rPr>
                  </w:pPr>
                  <w:r w:rsidRPr="002A1F9A">
                    <w:rPr>
                      <w:rFonts w:ascii="Verdana" w:hAnsi="Verdana"/>
                      <w:b/>
                      <w:bCs/>
                      <w:sz w:val="14"/>
                      <w:szCs w:val="14"/>
                    </w:rPr>
                    <w:t>Schooltype</w:t>
                  </w:r>
                </w:p>
              </w:tc>
              <w:tc>
                <w:tcPr>
                  <w:tcW w:w="1297" w:type="dxa"/>
                  <w:gridSpan w:val="2"/>
                </w:tcPr>
                <w:p w:rsidRPr="002A1F9A" w:rsidR="005B3685" w:rsidP="005B3685" w:rsidRDefault="005B3685" w14:paraId="15AC9DA6" w14:textId="77777777">
                  <w:pPr>
                    <w:jc w:val="center"/>
                    <w:rPr>
                      <w:rFonts w:ascii="Verdana" w:hAnsi="Verdana"/>
                      <w:b/>
                      <w:bCs/>
                      <w:sz w:val="14"/>
                      <w:szCs w:val="14"/>
                    </w:rPr>
                  </w:pPr>
                  <w:r w:rsidRPr="002A1F9A">
                    <w:rPr>
                      <w:rFonts w:ascii="Verdana" w:hAnsi="Verdana"/>
                      <w:b/>
                      <w:bCs/>
                      <w:sz w:val="14"/>
                      <w:szCs w:val="14"/>
                    </w:rPr>
                    <w:t>Nederland excl. G5</w:t>
                  </w:r>
                </w:p>
              </w:tc>
              <w:tc>
                <w:tcPr>
                  <w:tcW w:w="1356" w:type="dxa"/>
                  <w:gridSpan w:val="2"/>
                </w:tcPr>
                <w:p w:rsidRPr="002A1F9A" w:rsidR="005B3685" w:rsidP="005B3685" w:rsidRDefault="005B3685" w14:paraId="1A289DAF" w14:textId="77777777">
                  <w:pPr>
                    <w:jc w:val="center"/>
                    <w:rPr>
                      <w:rFonts w:ascii="Verdana" w:hAnsi="Verdana"/>
                      <w:b/>
                      <w:bCs/>
                      <w:sz w:val="14"/>
                      <w:szCs w:val="14"/>
                    </w:rPr>
                  </w:pPr>
                  <w:r w:rsidRPr="002A1F9A">
                    <w:rPr>
                      <w:rFonts w:ascii="Verdana" w:hAnsi="Verdana"/>
                      <w:b/>
                      <w:bCs/>
                      <w:sz w:val="14"/>
                      <w:szCs w:val="14"/>
                    </w:rPr>
                    <w:t>G5</w:t>
                  </w:r>
                </w:p>
              </w:tc>
              <w:tc>
                <w:tcPr>
                  <w:tcW w:w="1242" w:type="dxa"/>
                  <w:gridSpan w:val="2"/>
                </w:tcPr>
                <w:p w:rsidRPr="002A1F9A" w:rsidR="005B3685" w:rsidP="005B3685" w:rsidRDefault="005B3685" w14:paraId="2335F4C7" w14:textId="77777777">
                  <w:pPr>
                    <w:jc w:val="center"/>
                    <w:rPr>
                      <w:rFonts w:ascii="Verdana" w:hAnsi="Verdana"/>
                      <w:b/>
                      <w:bCs/>
                      <w:sz w:val="14"/>
                      <w:szCs w:val="14"/>
                    </w:rPr>
                  </w:pPr>
                  <w:r w:rsidRPr="002A1F9A">
                    <w:rPr>
                      <w:rFonts w:ascii="Verdana" w:hAnsi="Verdana"/>
                      <w:b/>
                      <w:bCs/>
                      <w:sz w:val="14"/>
                      <w:szCs w:val="14"/>
                    </w:rPr>
                    <w:t>Landelijk*</w:t>
                  </w:r>
                </w:p>
              </w:tc>
            </w:tr>
            <w:tr w:rsidRPr="002A1F9A" w:rsidR="002C1B1D" w:rsidTr="0042407E" w14:paraId="3CE90DF5" w14:textId="77777777">
              <w:trPr>
                <w:trHeight w:val="166"/>
              </w:trPr>
              <w:tc>
                <w:tcPr>
                  <w:tcW w:w="872" w:type="dxa"/>
                </w:tcPr>
                <w:p w:rsidRPr="002A1F9A" w:rsidR="005B3685" w:rsidP="005B3685" w:rsidRDefault="005B3685" w14:paraId="53E04DF0" w14:textId="77777777">
                  <w:pPr>
                    <w:jc w:val="center"/>
                    <w:rPr>
                      <w:rFonts w:ascii="Verdana" w:hAnsi="Verdana"/>
                      <w:sz w:val="14"/>
                      <w:szCs w:val="14"/>
                    </w:rPr>
                  </w:pPr>
                </w:p>
              </w:tc>
              <w:tc>
                <w:tcPr>
                  <w:tcW w:w="1715" w:type="dxa"/>
                </w:tcPr>
                <w:p w:rsidRPr="002A1F9A" w:rsidR="005B3685" w:rsidP="005B3685" w:rsidRDefault="005B3685" w14:paraId="5F1ADE68" w14:textId="77777777">
                  <w:pPr>
                    <w:rPr>
                      <w:rFonts w:ascii="Verdana" w:hAnsi="Verdana"/>
                      <w:sz w:val="14"/>
                      <w:szCs w:val="14"/>
                    </w:rPr>
                  </w:pPr>
                </w:p>
              </w:tc>
              <w:tc>
                <w:tcPr>
                  <w:tcW w:w="646" w:type="dxa"/>
                </w:tcPr>
                <w:p w:rsidRPr="002A1F9A" w:rsidR="005B3685" w:rsidP="005B3685" w:rsidRDefault="005B3685" w14:paraId="24D31D0A" w14:textId="77777777">
                  <w:pPr>
                    <w:jc w:val="center"/>
                    <w:rPr>
                      <w:rFonts w:ascii="Verdana" w:hAnsi="Verdana"/>
                      <w:sz w:val="14"/>
                      <w:szCs w:val="14"/>
                    </w:rPr>
                  </w:pPr>
                  <w:r w:rsidRPr="002A1F9A">
                    <w:rPr>
                      <w:rFonts w:ascii="Verdana" w:hAnsi="Verdana"/>
                      <w:sz w:val="14"/>
                      <w:szCs w:val="14"/>
                    </w:rPr>
                    <w:t>%</w:t>
                  </w:r>
                </w:p>
              </w:tc>
              <w:tc>
                <w:tcPr>
                  <w:tcW w:w="651" w:type="dxa"/>
                </w:tcPr>
                <w:p w:rsidRPr="002A1F9A" w:rsidR="005B3685" w:rsidP="005B3685" w:rsidRDefault="005B3685" w14:paraId="520DD9A1" w14:textId="77777777">
                  <w:pPr>
                    <w:jc w:val="center"/>
                    <w:rPr>
                      <w:rFonts w:ascii="Verdana" w:hAnsi="Verdana"/>
                      <w:sz w:val="14"/>
                      <w:szCs w:val="14"/>
                    </w:rPr>
                  </w:pPr>
                  <w:r w:rsidRPr="002A1F9A">
                    <w:rPr>
                      <w:rFonts w:ascii="Verdana" w:hAnsi="Verdana"/>
                      <w:sz w:val="14"/>
                      <w:szCs w:val="14"/>
                    </w:rPr>
                    <w:t>fte</w:t>
                  </w:r>
                </w:p>
              </w:tc>
              <w:tc>
                <w:tcPr>
                  <w:tcW w:w="775" w:type="dxa"/>
                </w:tcPr>
                <w:p w:rsidRPr="002A1F9A" w:rsidR="005B3685" w:rsidP="005B3685" w:rsidRDefault="005B3685" w14:paraId="7862DCE3" w14:textId="77777777">
                  <w:pPr>
                    <w:jc w:val="center"/>
                    <w:rPr>
                      <w:rFonts w:ascii="Verdana" w:hAnsi="Verdana"/>
                      <w:sz w:val="14"/>
                      <w:szCs w:val="14"/>
                    </w:rPr>
                  </w:pPr>
                  <w:r w:rsidRPr="002A1F9A">
                    <w:rPr>
                      <w:rFonts w:ascii="Verdana" w:hAnsi="Verdana"/>
                      <w:sz w:val="14"/>
                      <w:szCs w:val="14"/>
                    </w:rPr>
                    <w:t>%</w:t>
                  </w:r>
                </w:p>
              </w:tc>
              <w:tc>
                <w:tcPr>
                  <w:tcW w:w="581" w:type="dxa"/>
                </w:tcPr>
                <w:p w:rsidRPr="002A1F9A" w:rsidR="005B3685" w:rsidP="005B3685" w:rsidRDefault="005B3685" w14:paraId="03C0E3C9" w14:textId="77777777">
                  <w:pPr>
                    <w:jc w:val="center"/>
                    <w:rPr>
                      <w:rFonts w:ascii="Verdana" w:hAnsi="Verdana"/>
                      <w:sz w:val="14"/>
                      <w:szCs w:val="14"/>
                    </w:rPr>
                  </w:pPr>
                  <w:r w:rsidRPr="002A1F9A">
                    <w:rPr>
                      <w:rFonts w:ascii="Verdana" w:hAnsi="Verdana"/>
                      <w:sz w:val="14"/>
                      <w:szCs w:val="14"/>
                    </w:rPr>
                    <w:t>fte</w:t>
                  </w:r>
                </w:p>
              </w:tc>
              <w:tc>
                <w:tcPr>
                  <w:tcW w:w="640" w:type="dxa"/>
                </w:tcPr>
                <w:p w:rsidRPr="002A1F9A" w:rsidR="005B3685" w:rsidP="005B3685" w:rsidRDefault="005B3685" w14:paraId="19EF381D" w14:textId="77777777">
                  <w:pPr>
                    <w:jc w:val="center"/>
                    <w:rPr>
                      <w:rFonts w:ascii="Verdana" w:hAnsi="Verdana"/>
                      <w:sz w:val="14"/>
                      <w:szCs w:val="14"/>
                    </w:rPr>
                  </w:pPr>
                  <w:r w:rsidRPr="002A1F9A">
                    <w:rPr>
                      <w:rFonts w:ascii="Verdana" w:hAnsi="Verdana"/>
                      <w:sz w:val="14"/>
                      <w:szCs w:val="14"/>
                    </w:rPr>
                    <w:t>%</w:t>
                  </w:r>
                </w:p>
              </w:tc>
              <w:tc>
                <w:tcPr>
                  <w:tcW w:w="602" w:type="dxa"/>
                </w:tcPr>
                <w:p w:rsidRPr="002A1F9A" w:rsidR="005B3685" w:rsidP="005B3685" w:rsidRDefault="005B3685" w14:paraId="09487CD1" w14:textId="77777777">
                  <w:pPr>
                    <w:jc w:val="center"/>
                    <w:rPr>
                      <w:rFonts w:ascii="Verdana" w:hAnsi="Verdana"/>
                      <w:sz w:val="14"/>
                      <w:szCs w:val="14"/>
                    </w:rPr>
                  </w:pPr>
                  <w:r w:rsidRPr="002A1F9A">
                    <w:rPr>
                      <w:rFonts w:ascii="Verdana" w:hAnsi="Verdana"/>
                      <w:sz w:val="14"/>
                      <w:szCs w:val="14"/>
                    </w:rPr>
                    <w:t>fte</w:t>
                  </w:r>
                </w:p>
              </w:tc>
            </w:tr>
            <w:tr w:rsidRPr="002A1F9A" w:rsidR="002C1B1D" w:rsidTr="0042407E" w14:paraId="1874FDEB" w14:textId="77777777">
              <w:trPr>
                <w:trHeight w:val="344"/>
              </w:trPr>
              <w:tc>
                <w:tcPr>
                  <w:tcW w:w="872" w:type="dxa"/>
                  <w:vMerge w:val="restart"/>
                </w:tcPr>
                <w:p w:rsidRPr="002A1F9A" w:rsidR="005B3685" w:rsidP="005B3685" w:rsidRDefault="005B3685" w14:paraId="53C9340A" w14:textId="77777777">
                  <w:pPr>
                    <w:jc w:val="center"/>
                    <w:rPr>
                      <w:rFonts w:ascii="Verdana" w:hAnsi="Verdana"/>
                      <w:b/>
                      <w:bCs/>
                      <w:sz w:val="14"/>
                      <w:szCs w:val="14"/>
                    </w:rPr>
                  </w:pPr>
                  <w:r w:rsidRPr="002A1F9A">
                    <w:rPr>
                      <w:rFonts w:ascii="Verdana" w:hAnsi="Verdana"/>
                      <w:b/>
                      <w:bCs/>
                      <w:sz w:val="14"/>
                      <w:szCs w:val="14"/>
                    </w:rPr>
                    <w:t>PO</w:t>
                  </w:r>
                </w:p>
              </w:tc>
              <w:tc>
                <w:tcPr>
                  <w:tcW w:w="1715" w:type="dxa"/>
                </w:tcPr>
                <w:p w:rsidRPr="002A1F9A" w:rsidR="005B3685" w:rsidP="005B3685" w:rsidRDefault="005B3685" w14:paraId="68DE3AC6" w14:textId="77777777">
                  <w:pPr>
                    <w:rPr>
                      <w:rFonts w:ascii="Verdana" w:hAnsi="Verdana"/>
                      <w:sz w:val="14"/>
                      <w:szCs w:val="14"/>
                    </w:rPr>
                  </w:pPr>
                  <w:r w:rsidRPr="002A1F9A">
                    <w:rPr>
                      <w:rFonts w:ascii="Verdana" w:hAnsi="Verdana"/>
                      <w:sz w:val="14"/>
                      <w:szCs w:val="14"/>
                    </w:rPr>
                    <w:t>Basisonderwijs</w:t>
                  </w:r>
                </w:p>
              </w:tc>
              <w:tc>
                <w:tcPr>
                  <w:tcW w:w="646" w:type="dxa"/>
                </w:tcPr>
                <w:p w:rsidRPr="002A1F9A" w:rsidR="005B3685" w:rsidP="005B3685" w:rsidRDefault="005B3685" w14:paraId="3081A149" w14:textId="77777777">
                  <w:pPr>
                    <w:jc w:val="center"/>
                    <w:rPr>
                      <w:rFonts w:ascii="Verdana" w:hAnsi="Verdana"/>
                      <w:sz w:val="14"/>
                      <w:szCs w:val="14"/>
                    </w:rPr>
                  </w:pPr>
                  <w:r w:rsidRPr="002A1F9A">
                    <w:rPr>
                      <w:rFonts w:ascii="Verdana" w:hAnsi="Verdana"/>
                      <w:sz w:val="14"/>
                      <w:szCs w:val="14"/>
                    </w:rPr>
                    <w:t>6,6%</w:t>
                  </w:r>
                </w:p>
              </w:tc>
              <w:tc>
                <w:tcPr>
                  <w:tcW w:w="651" w:type="dxa"/>
                </w:tcPr>
                <w:p w:rsidRPr="002A1F9A" w:rsidR="005B3685" w:rsidP="005B3685" w:rsidRDefault="005B3685" w14:paraId="781541D0" w14:textId="77777777">
                  <w:pPr>
                    <w:jc w:val="center"/>
                    <w:rPr>
                      <w:rFonts w:ascii="Verdana" w:hAnsi="Verdana"/>
                      <w:sz w:val="14"/>
                      <w:szCs w:val="14"/>
                    </w:rPr>
                  </w:pPr>
                  <w:r w:rsidRPr="002A1F9A">
                    <w:rPr>
                      <w:rFonts w:ascii="Verdana" w:hAnsi="Verdana"/>
                      <w:sz w:val="14"/>
                      <w:szCs w:val="14"/>
                    </w:rPr>
                    <w:t>2785</w:t>
                  </w:r>
                </w:p>
              </w:tc>
              <w:tc>
                <w:tcPr>
                  <w:tcW w:w="775" w:type="dxa"/>
                </w:tcPr>
                <w:p w:rsidRPr="002A1F9A" w:rsidR="005B3685" w:rsidP="005B3685" w:rsidRDefault="005B3685" w14:paraId="628AAFA9" w14:textId="77777777">
                  <w:pPr>
                    <w:jc w:val="center"/>
                    <w:rPr>
                      <w:rFonts w:ascii="Verdana" w:hAnsi="Verdana"/>
                      <w:sz w:val="14"/>
                      <w:szCs w:val="14"/>
                    </w:rPr>
                  </w:pPr>
                  <w:r w:rsidRPr="002A1F9A">
                    <w:rPr>
                      <w:rFonts w:ascii="Verdana" w:hAnsi="Verdana"/>
                      <w:sz w:val="14"/>
                      <w:szCs w:val="14"/>
                    </w:rPr>
                    <w:t>15,9%</w:t>
                  </w:r>
                </w:p>
              </w:tc>
              <w:tc>
                <w:tcPr>
                  <w:tcW w:w="581" w:type="dxa"/>
                </w:tcPr>
                <w:p w:rsidRPr="002A1F9A" w:rsidR="005B3685" w:rsidP="005B3685" w:rsidRDefault="005B3685" w14:paraId="7D81E432" w14:textId="77777777">
                  <w:pPr>
                    <w:jc w:val="center"/>
                    <w:rPr>
                      <w:rFonts w:ascii="Verdana" w:hAnsi="Verdana"/>
                      <w:sz w:val="14"/>
                      <w:szCs w:val="14"/>
                    </w:rPr>
                  </w:pPr>
                  <w:r w:rsidRPr="002A1F9A">
                    <w:rPr>
                      <w:rFonts w:ascii="Verdana" w:hAnsi="Verdana"/>
                      <w:sz w:val="14"/>
                      <w:szCs w:val="14"/>
                    </w:rPr>
                    <w:t>2150</w:t>
                  </w:r>
                </w:p>
              </w:tc>
              <w:tc>
                <w:tcPr>
                  <w:tcW w:w="640" w:type="dxa"/>
                </w:tcPr>
                <w:p w:rsidRPr="002A1F9A" w:rsidR="005B3685" w:rsidP="005B3685" w:rsidRDefault="005B3685" w14:paraId="7B1C5164" w14:textId="77777777">
                  <w:pPr>
                    <w:jc w:val="center"/>
                    <w:rPr>
                      <w:rFonts w:ascii="Verdana" w:hAnsi="Verdana"/>
                      <w:sz w:val="14"/>
                      <w:szCs w:val="14"/>
                    </w:rPr>
                  </w:pPr>
                  <w:r w:rsidRPr="002A1F9A">
                    <w:rPr>
                      <w:rFonts w:ascii="Verdana" w:hAnsi="Verdana"/>
                      <w:sz w:val="14"/>
                      <w:szCs w:val="14"/>
                    </w:rPr>
                    <w:t>8,0%</w:t>
                  </w:r>
                </w:p>
              </w:tc>
              <w:tc>
                <w:tcPr>
                  <w:tcW w:w="602" w:type="dxa"/>
                </w:tcPr>
                <w:p w:rsidRPr="002A1F9A" w:rsidR="005B3685" w:rsidP="005B3685" w:rsidRDefault="005B3685" w14:paraId="086B53A8" w14:textId="77777777">
                  <w:pPr>
                    <w:jc w:val="center"/>
                    <w:rPr>
                      <w:rFonts w:ascii="Verdana" w:hAnsi="Verdana"/>
                      <w:sz w:val="14"/>
                      <w:szCs w:val="14"/>
                    </w:rPr>
                  </w:pPr>
                  <w:r w:rsidRPr="002A1F9A">
                    <w:rPr>
                      <w:rFonts w:ascii="Verdana" w:hAnsi="Verdana"/>
                      <w:sz w:val="14"/>
                      <w:szCs w:val="14"/>
                    </w:rPr>
                    <w:t>6522</w:t>
                  </w:r>
                </w:p>
              </w:tc>
            </w:tr>
            <w:tr w:rsidRPr="002A1F9A" w:rsidR="002C1B1D" w:rsidTr="0042407E" w14:paraId="13E7F24E" w14:textId="77777777">
              <w:trPr>
                <w:trHeight w:val="344"/>
              </w:trPr>
              <w:tc>
                <w:tcPr>
                  <w:tcW w:w="872" w:type="dxa"/>
                  <w:vMerge/>
                </w:tcPr>
                <w:p w:rsidRPr="002A1F9A" w:rsidR="005B3685" w:rsidP="005B3685" w:rsidRDefault="005B3685" w14:paraId="5B3DE873" w14:textId="77777777">
                  <w:pPr>
                    <w:rPr>
                      <w:b/>
                      <w:bCs/>
                      <w:sz w:val="14"/>
                      <w:szCs w:val="14"/>
                    </w:rPr>
                  </w:pPr>
                </w:p>
              </w:tc>
              <w:tc>
                <w:tcPr>
                  <w:tcW w:w="1715" w:type="dxa"/>
                </w:tcPr>
                <w:p w:rsidRPr="002A1F9A" w:rsidR="005B3685" w:rsidP="005B3685" w:rsidRDefault="005B3685" w14:paraId="710B79F0" w14:textId="77777777">
                  <w:pPr>
                    <w:rPr>
                      <w:rFonts w:ascii="Verdana" w:hAnsi="Verdana"/>
                      <w:sz w:val="14"/>
                      <w:szCs w:val="14"/>
                    </w:rPr>
                  </w:pPr>
                  <w:r w:rsidRPr="002A1F9A">
                    <w:rPr>
                      <w:rFonts w:ascii="Verdana" w:hAnsi="Verdana"/>
                      <w:sz w:val="14"/>
                      <w:szCs w:val="14"/>
                    </w:rPr>
                    <w:t>Speciaal basisonderwijs</w:t>
                  </w:r>
                </w:p>
              </w:tc>
              <w:tc>
                <w:tcPr>
                  <w:tcW w:w="646" w:type="dxa"/>
                </w:tcPr>
                <w:p w:rsidRPr="002A1F9A" w:rsidR="005B3685" w:rsidP="005B3685" w:rsidRDefault="005B3685" w14:paraId="6051D72F" w14:textId="77777777">
                  <w:pPr>
                    <w:jc w:val="center"/>
                    <w:rPr>
                      <w:rFonts w:ascii="Verdana" w:hAnsi="Verdana"/>
                      <w:sz w:val="14"/>
                      <w:szCs w:val="14"/>
                    </w:rPr>
                  </w:pPr>
                  <w:r w:rsidRPr="002A1F9A">
                    <w:rPr>
                      <w:rFonts w:ascii="Verdana" w:hAnsi="Verdana"/>
                      <w:sz w:val="14"/>
                      <w:szCs w:val="14"/>
                    </w:rPr>
                    <w:t>6,8%</w:t>
                  </w:r>
                </w:p>
              </w:tc>
              <w:tc>
                <w:tcPr>
                  <w:tcW w:w="651" w:type="dxa"/>
                </w:tcPr>
                <w:p w:rsidRPr="002A1F9A" w:rsidR="005B3685" w:rsidP="005B3685" w:rsidRDefault="005B3685" w14:paraId="3EB90E99" w14:textId="77777777">
                  <w:pPr>
                    <w:jc w:val="center"/>
                    <w:rPr>
                      <w:rFonts w:ascii="Verdana" w:hAnsi="Verdana"/>
                      <w:sz w:val="14"/>
                      <w:szCs w:val="14"/>
                    </w:rPr>
                  </w:pPr>
                  <w:r w:rsidRPr="002A1F9A">
                    <w:rPr>
                      <w:rFonts w:ascii="Verdana" w:hAnsi="Verdana"/>
                      <w:sz w:val="14"/>
                      <w:szCs w:val="14"/>
                    </w:rPr>
                    <w:t>144</w:t>
                  </w:r>
                </w:p>
              </w:tc>
              <w:tc>
                <w:tcPr>
                  <w:tcW w:w="775" w:type="dxa"/>
                </w:tcPr>
                <w:p w:rsidRPr="002A1F9A" w:rsidR="005B3685" w:rsidP="005B3685" w:rsidRDefault="005B3685" w14:paraId="5C71EC55" w14:textId="77777777">
                  <w:pPr>
                    <w:jc w:val="center"/>
                    <w:rPr>
                      <w:rFonts w:ascii="Verdana" w:hAnsi="Verdana"/>
                      <w:sz w:val="14"/>
                      <w:szCs w:val="14"/>
                    </w:rPr>
                  </w:pPr>
                  <w:r w:rsidRPr="002A1F9A">
                    <w:rPr>
                      <w:rFonts w:ascii="Verdana" w:hAnsi="Verdana"/>
                      <w:sz w:val="14"/>
                      <w:szCs w:val="14"/>
                    </w:rPr>
                    <w:t>14,1%</w:t>
                  </w:r>
                </w:p>
              </w:tc>
              <w:tc>
                <w:tcPr>
                  <w:tcW w:w="581" w:type="dxa"/>
                </w:tcPr>
                <w:p w:rsidRPr="002A1F9A" w:rsidR="005B3685" w:rsidP="005B3685" w:rsidRDefault="005B3685" w14:paraId="1984502C" w14:textId="77777777">
                  <w:pPr>
                    <w:jc w:val="center"/>
                    <w:rPr>
                      <w:rFonts w:ascii="Verdana" w:hAnsi="Verdana"/>
                      <w:sz w:val="14"/>
                      <w:szCs w:val="14"/>
                    </w:rPr>
                  </w:pPr>
                  <w:r w:rsidRPr="002A1F9A">
                    <w:rPr>
                      <w:rFonts w:ascii="Verdana" w:hAnsi="Verdana"/>
                      <w:sz w:val="14"/>
                      <w:szCs w:val="14"/>
                    </w:rPr>
                    <w:t>86</w:t>
                  </w:r>
                </w:p>
              </w:tc>
              <w:tc>
                <w:tcPr>
                  <w:tcW w:w="640" w:type="dxa"/>
                </w:tcPr>
                <w:p w:rsidRPr="002A1F9A" w:rsidR="005B3685" w:rsidP="005B3685" w:rsidRDefault="005B3685" w14:paraId="040472EB" w14:textId="77777777">
                  <w:pPr>
                    <w:jc w:val="center"/>
                    <w:rPr>
                      <w:rFonts w:ascii="Verdana" w:hAnsi="Verdana"/>
                      <w:sz w:val="14"/>
                      <w:szCs w:val="14"/>
                    </w:rPr>
                  </w:pPr>
                  <w:r w:rsidRPr="002A1F9A">
                    <w:rPr>
                      <w:rFonts w:ascii="Verdana" w:hAnsi="Verdana"/>
                      <w:sz w:val="14"/>
                      <w:szCs w:val="14"/>
                    </w:rPr>
                    <w:t>7,8%</w:t>
                  </w:r>
                </w:p>
              </w:tc>
              <w:tc>
                <w:tcPr>
                  <w:tcW w:w="602" w:type="dxa"/>
                </w:tcPr>
                <w:p w:rsidRPr="002A1F9A" w:rsidR="005B3685" w:rsidP="005B3685" w:rsidRDefault="005B3685" w14:paraId="39B94710" w14:textId="77777777">
                  <w:pPr>
                    <w:jc w:val="center"/>
                    <w:rPr>
                      <w:rFonts w:ascii="Verdana" w:hAnsi="Verdana"/>
                      <w:sz w:val="14"/>
                      <w:szCs w:val="14"/>
                    </w:rPr>
                  </w:pPr>
                  <w:r w:rsidRPr="002A1F9A">
                    <w:rPr>
                      <w:rFonts w:ascii="Verdana" w:hAnsi="Verdana"/>
                      <w:sz w:val="14"/>
                      <w:szCs w:val="14"/>
                    </w:rPr>
                    <w:t>315</w:t>
                  </w:r>
                </w:p>
              </w:tc>
            </w:tr>
            <w:tr w:rsidRPr="002A1F9A" w:rsidR="002C1B1D" w:rsidTr="0042407E" w14:paraId="73B7E7A3" w14:textId="77777777">
              <w:trPr>
                <w:trHeight w:val="344"/>
              </w:trPr>
              <w:tc>
                <w:tcPr>
                  <w:tcW w:w="872" w:type="dxa"/>
                  <w:vMerge/>
                </w:tcPr>
                <w:p w:rsidRPr="002A1F9A" w:rsidR="005B3685" w:rsidP="005B3685" w:rsidRDefault="005B3685" w14:paraId="4447445F" w14:textId="77777777">
                  <w:pPr>
                    <w:rPr>
                      <w:b/>
                      <w:bCs/>
                      <w:sz w:val="14"/>
                      <w:szCs w:val="14"/>
                    </w:rPr>
                  </w:pPr>
                </w:p>
              </w:tc>
              <w:tc>
                <w:tcPr>
                  <w:tcW w:w="1715" w:type="dxa"/>
                </w:tcPr>
                <w:p w:rsidRPr="002A1F9A" w:rsidR="005B3685" w:rsidP="005B3685" w:rsidRDefault="005B3685" w14:paraId="7D16C687" w14:textId="77777777">
                  <w:pPr>
                    <w:rPr>
                      <w:rFonts w:ascii="Verdana" w:hAnsi="Verdana"/>
                      <w:sz w:val="14"/>
                      <w:szCs w:val="14"/>
                    </w:rPr>
                  </w:pPr>
                  <w:r w:rsidRPr="002A1F9A">
                    <w:rPr>
                      <w:rFonts w:ascii="Verdana" w:hAnsi="Verdana"/>
                      <w:sz w:val="14"/>
                      <w:szCs w:val="14"/>
                    </w:rPr>
                    <w:t>(voortgezet) speciaal Onderwijs</w:t>
                  </w:r>
                </w:p>
              </w:tc>
              <w:tc>
                <w:tcPr>
                  <w:tcW w:w="646" w:type="dxa"/>
                </w:tcPr>
                <w:p w:rsidRPr="002A1F9A" w:rsidR="005B3685" w:rsidP="005B3685" w:rsidRDefault="005B3685" w14:paraId="6DCB16F6" w14:textId="77777777">
                  <w:pPr>
                    <w:jc w:val="center"/>
                    <w:rPr>
                      <w:rFonts w:ascii="Verdana" w:hAnsi="Verdana"/>
                      <w:sz w:val="14"/>
                      <w:szCs w:val="14"/>
                    </w:rPr>
                  </w:pPr>
                  <w:r w:rsidRPr="002A1F9A">
                    <w:rPr>
                      <w:rFonts w:ascii="Verdana" w:hAnsi="Verdana"/>
                      <w:sz w:val="14"/>
                      <w:szCs w:val="14"/>
                    </w:rPr>
                    <w:t>7,0%</w:t>
                  </w:r>
                </w:p>
              </w:tc>
              <w:tc>
                <w:tcPr>
                  <w:tcW w:w="651" w:type="dxa"/>
                </w:tcPr>
                <w:p w:rsidRPr="002A1F9A" w:rsidR="005B3685" w:rsidP="005B3685" w:rsidRDefault="005B3685" w14:paraId="233CC731" w14:textId="77777777">
                  <w:pPr>
                    <w:jc w:val="center"/>
                    <w:rPr>
                      <w:rFonts w:ascii="Verdana" w:hAnsi="Verdana"/>
                      <w:sz w:val="14"/>
                      <w:szCs w:val="14"/>
                    </w:rPr>
                  </w:pPr>
                  <w:r w:rsidRPr="002A1F9A">
                    <w:rPr>
                      <w:rFonts w:ascii="Verdana" w:hAnsi="Verdana"/>
                      <w:sz w:val="14"/>
                      <w:szCs w:val="14"/>
                    </w:rPr>
                    <w:t>390</w:t>
                  </w:r>
                </w:p>
              </w:tc>
              <w:tc>
                <w:tcPr>
                  <w:tcW w:w="775" w:type="dxa"/>
                </w:tcPr>
                <w:p w:rsidRPr="002A1F9A" w:rsidR="005B3685" w:rsidP="005B3685" w:rsidRDefault="005B3685" w14:paraId="6DB264F6" w14:textId="77777777">
                  <w:pPr>
                    <w:jc w:val="center"/>
                    <w:rPr>
                      <w:rFonts w:ascii="Verdana" w:hAnsi="Verdana"/>
                      <w:sz w:val="14"/>
                      <w:szCs w:val="14"/>
                    </w:rPr>
                  </w:pPr>
                  <w:r w:rsidRPr="002A1F9A">
                    <w:rPr>
                      <w:rFonts w:ascii="Verdana" w:hAnsi="Verdana"/>
                      <w:sz w:val="14"/>
                      <w:szCs w:val="14"/>
                    </w:rPr>
                    <w:t>16,1%</w:t>
                  </w:r>
                </w:p>
              </w:tc>
              <w:tc>
                <w:tcPr>
                  <w:tcW w:w="581" w:type="dxa"/>
                </w:tcPr>
                <w:p w:rsidRPr="002A1F9A" w:rsidR="005B3685" w:rsidP="005B3685" w:rsidRDefault="005B3685" w14:paraId="6FD81A1D" w14:textId="77777777">
                  <w:pPr>
                    <w:jc w:val="center"/>
                    <w:rPr>
                      <w:rFonts w:ascii="Verdana" w:hAnsi="Verdana"/>
                      <w:sz w:val="14"/>
                      <w:szCs w:val="14"/>
                    </w:rPr>
                  </w:pPr>
                  <w:r w:rsidRPr="002A1F9A">
                    <w:rPr>
                      <w:rFonts w:ascii="Verdana" w:hAnsi="Verdana"/>
                      <w:sz w:val="14"/>
                      <w:szCs w:val="14"/>
                    </w:rPr>
                    <w:t>331</w:t>
                  </w:r>
                </w:p>
              </w:tc>
              <w:tc>
                <w:tcPr>
                  <w:tcW w:w="640" w:type="dxa"/>
                </w:tcPr>
                <w:p w:rsidRPr="002A1F9A" w:rsidR="005B3685" w:rsidP="005B3685" w:rsidRDefault="005B3685" w14:paraId="506EC857" w14:textId="77777777">
                  <w:pPr>
                    <w:jc w:val="center"/>
                    <w:rPr>
                      <w:rFonts w:ascii="Verdana" w:hAnsi="Verdana"/>
                      <w:sz w:val="14"/>
                      <w:szCs w:val="14"/>
                    </w:rPr>
                  </w:pPr>
                  <w:r w:rsidRPr="002A1F9A">
                    <w:rPr>
                      <w:rFonts w:ascii="Verdana" w:hAnsi="Verdana"/>
                      <w:sz w:val="14"/>
                      <w:szCs w:val="14"/>
                    </w:rPr>
                    <w:t>8,4%</w:t>
                  </w:r>
                </w:p>
              </w:tc>
              <w:tc>
                <w:tcPr>
                  <w:tcW w:w="602" w:type="dxa"/>
                </w:tcPr>
                <w:p w:rsidRPr="002A1F9A" w:rsidR="005B3685" w:rsidP="005B3685" w:rsidRDefault="005B3685" w14:paraId="45088A8C" w14:textId="77777777">
                  <w:pPr>
                    <w:jc w:val="center"/>
                    <w:rPr>
                      <w:rFonts w:ascii="Verdana" w:hAnsi="Verdana"/>
                      <w:sz w:val="14"/>
                      <w:szCs w:val="14"/>
                    </w:rPr>
                  </w:pPr>
                  <w:r w:rsidRPr="002A1F9A">
                    <w:rPr>
                      <w:rFonts w:ascii="Verdana" w:hAnsi="Verdana"/>
                      <w:sz w:val="14"/>
                      <w:szCs w:val="14"/>
                    </w:rPr>
                    <w:t>893</w:t>
                  </w:r>
                </w:p>
              </w:tc>
            </w:tr>
            <w:tr w:rsidRPr="002A1F9A" w:rsidR="002C1B1D" w:rsidTr="0042407E" w14:paraId="51F50E06" w14:textId="77777777">
              <w:trPr>
                <w:trHeight w:val="344"/>
              </w:trPr>
              <w:tc>
                <w:tcPr>
                  <w:tcW w:w="872" w:type="dxa"/>
                  <w:vMerge/>
                </w:tcPr>
                <w:p w:rsidRPr="002A1F9A" w:rsidR="005B3685" w:rsidP="005B3685" w:rsidRDefault="005B3685" w14:paraId="713E3CB1" w14:textId="77777777">
                  <w:pPr>
                    <w:rPr>
                      <w:rFonts w:ascii="Verdana" w:hAnsi="Verdana"/>
                      <w:b/>
                      <w:bCs/>
                      <w:sz w:val="14"/>
                      <w:szCs w:val="14"/>
                    </w:rPr>
                  </w:pPr>
                </w:p>
              </w:tc>
              <w:tc>
                <w:tcPr>
                  <w:tcW w:w="1715" w:type="dxa"/>
                </w:tcPr>
                <w:p w:rsidRPr="002A1F9A" w:rsidR="005B3685" w:rsidP="005B3685" w:rsidRDefault="005B3685" w14:paraId="7BAB4277" w14:textId="77777777">
                  <w:pPr>
                    <w:rPr>
                      <w:rFonts w:ascii="Verdana" w:hAnsi="Verdana"/>
                      <w:b/>
                      <w:sz w:val="14"/>
                      <w:szCs w:val="14"/>
                    </w:rPr>
                  </w:pPr>
                  <w:r w:rsidRPr="002A1F9A">
                    <w:rPr>
                      <w:rFonts w:ascii="Verdana" w:hAnsi="Verdana"/>
                      <w:sz w:val="14"/>
                      <w:szCs w:val="14"/>
                    </w:rPr>
                    <w:t>Gemiddeld tekort PO</w:t>
                  </w:r>
                </w:p>
              </w:tc>
              <w:tc>
                <w:tcPr>
                  <w:tcW w:w="646" w:type="dxa"/>
                </w:tcPr>
                <w:p w:rsidRPr="002A1F9A" w:rsidR="005B3685" w:rsidP="005B3685" w:rsidRDefault="005B3685" w14:paraId="7421CC48" w14:textId="77777777">
                  <w:pPr>
                    <w:jc w:val="center"/>
                    <w:rPr>
                      <w:rFonts w:ascii="Verdana" w:hAnsi="Verdana"/>
                      <w:sz w:val="14"/>
                      <w:szCs w:val="14"/>
                    </w:rPr>
                  </w:pPr>
                  <w:r w:rsidRPr="002A1F9A">
                    <w:rPr>
                      <w:rFonts w:ascii="Verdana" w:hAnsi="Verdana"/>
                      <w:sz w:val="14"/>
                      <w:szCs w:val="14"/>
                    </w:rPr>
                    <w:t>6,6%</w:t>
                  </w:r>
                </w:p>
              </w:tc>
              <w:tc>
                <w:tcPr>
                  <w:tcW w:w="651" w:type="dxa"/>
                </w:tcPr>
                <w:p w:rsidRPr="002A1F9A" w:rsidR="005B3685" w:rsidP="005B3685" w:rsidRDefault="005B3685" w14:paraId="4FA6EC81" w14:textId="77777777">
                  <w:pPr>
                    <w:jc w:val="center"/>
                    <w:rPr>
                      <w:rFonts w:ascii="Verdana" w:hAnsi="Verdana"/>
                      <w:sz w:val="14"/>
                      <w:szCs w:val="14"/>
                    </w:rPr>
                  </w:pPr>
                  <w:r w:rsidRPr="002A1F9A">
                    <w:rPr>
                      <w:rFonts w:ascii="Verdana" w:hAnsi="Verdana"/>
                      <w:sz w:val="14"/>
                      <w:szCs w:val="14"/>
                    </w:rPr>
                    <w:t>3319</w:t>
                  </w:r>
                </w:p>
              </w:tc>
              <w:tc>
                <w:tcPr>
                  <w:tcW w:w="775" w:type="dxa"/>
                </w:tcPr>
                <w:p w:rsidRPr="002A1F9A" w:rsidR="005B3685" w:rsidP="005B3685" w:rsidRDefault="005B3685" w14:paraId="51CBDE90" w14:textId="77777777">
                  <w:pPr>
                    <w:jc w:val="center"/>
                    <w:rPr>
                      <w:rFonts w:ascii="Verdana" w:hAnsi="Verdana"/>
                      <w:sz w:val="14"/>
                      <w:szCs w:val="14"/>
                    </w:rPr>
                  </w:pPr>
                  <w:r w:rsidRPr="002A1F9A">
                    <w:rPr>
                      <w:rFonts w:ascii="Verdana" w:hAnsi="Verdana"/>
                      <w:sz w:val="14"/>
                      <w:szCs w:val="14"/>
                    </w:rPr>
                    <w:t>15,8%</w:t>
                  </w:r>
                </w:p>
              </w:tc>
              <w:tc>
                <w:tcPr>
                  <w:tcW w:w="581" w:type="dxa"/>
                </w:tcPr>
                <w:p w:rsidRPr="002A1F9A" w:rsidR="005B3685" w:rsidP="005B3685" w:rsidRDefault="005B3685" w14:paraId="15262204" w14:textId="77777777">
                  <w:pPr>
                    <w:jc w:val="center"/>
                    <w:rPr>
                      <w:rFonts w:ascii="Verdana" w:hAnsi="Verdana"/>
                      <w:sz w:val="14"/>
                      <w:szCs w:val="14"/>
                    </w:rPr>
                  </w:pPr>
                  <w:r w:rsidRPr="002A1F9A">
                    <w:rPr>
                      <w:rFonts w:ascii="Verdana" w:hAnsi="Verdana"/>
                      <w:sz w:val="14"/>
                      <w:szCs w:val="14"/>
                    </w:rPr>
                    <w:t>2567</w:t>
                  </w:r>
                </w:p>
              </w:tc>
              <w:tc>
                <w:tcPr>
                  <w:tcW w:w="640" w:type="dxa"/>
                </w:tcPr>
                <w:p w:rsidRPr="002A1F9A" w:rsidR="005B3685" w:rsidP="005B3685" w:rsidRDefault="005B3685" w14:paraId="72F3B5E9" w14:textId="77777777">
                  <w:pPr>
                    <w:jc w:val="center"/>
                    <w:rPr>
                      <w:rFonts w:ascii="Verdana" w:hAnsi="Verdana"/>
                      <w:sz w:val="14"/>
                      <w:szCs w:val="14"/>
                    </w:rPr>
                  </w:pPr>
                  <w:r w:rsidRPr="002A1F9A">
                    <w:rPr>
                      <w:rFonts w:ascii="Verdana" w:hAnsi="Verdana"/>
                      <w:sz w:val="14"/>
                      <w:szCs w:val="14"/>
                    </w:rPr>
                    <w:t>8,1%</w:t>
                  </w:r>
                </w:p>
              </w:tc>
              <w:tc>
                <w:tcPr>
                  <w:tcW w:w="602" w:type="dxa"/>
                </w:tcPr>
                <w:p w:rsidRPr="002A1F9A" w:rsidR="005B3685" w:rsidP="005B3685" w:rsidRDefault="005B3685" w14:paraId="0A96B045" w14:textId="77777777">
                  <w:pPr>
                    <w:jc w:val="center"/>
                    <w:rPr>
                      <w:rFonts w:ascii="Verdana" w:hAnsi="Verdana"/>
                      <w:sz w:val="14"/>
                      <w:szCs w:val="14"/>
                    </w:rPr>
                  </w:pPr>
                  <w:r w:rsidRPr="002A1F9A">
                    <w:rPr>
                      <w:rFonts w:ascii="Verdana" w:hAnsi="Verdana"/>
                      <w:sz w:val="14"/>
                      <w:szCs w:val="14"/>
                    </w:rPr>
                    <w:t>7729</w:t>
                  </w:r>
                </w:p>
              </w:tc>
            </w:tr>
            <w:tr w:rsidRPr="002A1F9A" w:rsidR="005B3685" w:rsidTr="0042407E" w14:paraId="70CAFF8E" w14:textId="77777777">
              <w:trPr>
                <w:trHeight w:val="344"/>
              </w:trPr>
              <w:tc>
                <w:tcPr>
                  <w:tcW w:w="872" w:type="dxa"/>
                </w:tcPr>
                <w:p w:rsidRPr="002A1F9A" w:rsidR="005B3685" w:rsidP="005B3685" w:rsidRDefault="005B3685" w14:paraId="4127D68B" w14:textId="77777777">
                  <w:pPr>
                    <w:jc w:val="center"/>
                    <w:rPr>
                      <w:rFonts w:ascii="Verdana" w:hAnsi="Verdana"/>
                      <w:b/>
                      <w:bCs/>
                      <w:sz w:val="14"/>
                      <w:szCs w:val="14"/>
                    </w:rPr>
                  </w:pPr>
                  <w:r w:rsidRPr="002A1F9A">
                    <w:rPr>
                      <w:rFonts w:ascii="Verdana" w:hAnsi="Verdana"/>
                      <w:b/>
                      <w:bCs/>
                      <w:sz w:val="14"/>
                      <w:szCs w:val="14"/>
                    </w:rPr>
                    <w:t>VO</w:t>
                  </w:r>
                </w:p>
              </w:tc>
              <w:tc>
                <w:tcPr>
                  <w:tcW w:w="1715" w:type="dxa"/>
                </w:tcPr>
                <w:p w:rsidRPr="002A1F9A" w:rsidR="005B3685" w:rsidP="005B3685" w:rsidRDefault="005B3685" w14:paraId="305E6E96" w14:textId="77777777">
                  <w:pPr>
                    <w:rPr>
                      <w:rFonts w:ascii="Verdana" w:hAnsi="Verdana"/>
                      <w:sz w:val="14"/>
                      <w:szCs w:val="14"/>
                    </w:rPr>
                  </w:pPr>
                  <w:r w:rsidRPr="002A1F9A">
                    <w:rPr>
                      <w:rFonts w:ascii="Verdana" w:hAnsi="Verdana"/>
                      <w:sz w:val="14"/>
                      <w:szCs w:val="14"/>
                    </w:rPr>
                    <w:t>Voortgezet onderwijs</w:t>
                  </w:r>
                </w:p>
              </w:tc>
              <w:tc>
                <w:tcPr>
                  <w:tcW w:w="1297" w:type="dxa"/>
                  <w:gridSpan w:val="2"/>
                </w:tcPr>
                <w:p w:rsidRPr="002A1F9A" w:rsidR="005B3685" w:rsidP="005B3685" w:rsidRDefault="005B3685" w14:paraId="31C52D09" w14:textId="77777777">
                  <w:pPr>
                    <w:jc w:val="center"/>
                    <w:rPr>
                      <w:rFonts w:ascii="Verdana" w:hAnsi="Verdana"/>
                      <w:sz w:val="14"/>
                      <w:szCs w:val="14"/>
                    </w:rPr>
                  </w:pPr>
                  <w:r w:rsidRPr="002A1F9A">
                    <w:rPr>
                      <w:rFonts w:ascii="Verdana" w:hAnsi="Verdana"/>
                      <w:sz w:val="14"/>
                      <w:szCs w:val="14"/>
                    </w:rPr>
                    <w:t>X</w:t>
                  </w:r>
                </w:p>
              </w:tc>
              <w:tc>
                <w:tcPr>
                  <w:tcW w:w="1356" w:type="dxa"/>
                  <w:gridSpan w:val="2"/>
                </w:tcPr>
                <w:p w:rsidRPr="002A1F9A" w:rsidR="005B3685" w:rsidP="005B3685" w:rsidRDefault="005B3685" w14:paraId="745D831D" w14:textId="77777777">
                  <w:pPr>
                    <w:jc w:val="center"/>
                    <w:rPr>
                      <w:rFonts w:ascii="Verdana" w:hAnsi="Verdana"/>
                      <w:sz w:val="14"/>
                      <w:szCs w:val="14"/>
                    </w:rPr>
                  </w:pPr>
                  <w:r w:rsidRPr="002A1F9A">
                    <w:rPr>
                      <w:rFonts w:ascii="Verdana" w:hAnsi="Verdana"/>
                      <w:sz w:val="14"/>
                      <w:szCs w:val="14"/>
                    </w:rPr>
                    <w:t>x</w:t>
                  </w:r>
                </w:p>
              </w:tc>
              <w:tc>
                <w:tcPr>
                  <w:tcW w:w="640" w:type="dxa"/>
                </w:tcPr>
                <w:p w:rsidRPr="002A1F9A" w:rsidR="005B3685" w:rsidP="005B3685" w:rsidRDefault="005B3685" w14:paraId="427BEF5D" w14:textId="77777777">
                  <w:pPr>
                    <w:jc w:val="center"/>
                    <w:rPr>
                      <w:rFonts w:ascii="Verdana" w:hAnsi="Verdana"/>
                      <w:sz w:val="14"/>
                      <w:szCs w:val="14"/>
                    </w:rPr>
                  </w:pPr>
                  <w:r w:rsidRPr="002A1F9A">
                    <w:rPr>
                      <w:rFonts w:ascii="Verdana" w:hAnsi="Verdana"/>
                      <w:sz w:val="14"/>
                      <w:szCs w:val="14"/>
                    </w:rPr>
                    <w:t>5,1%</w:t>
                  </w:r>
                </w:p>
              </w:tc>
              <w:tc>
                <w:tcPr>
                  <w:tcW w:w="602" w:type="dxa"/>
                </w:tcPr>
                <w:p w:rsidRPr="002A1F9A" w:rsidR="005B3685" w:rsidP="005B3685" w:rsidRDefault="005B3685" w14:paraId="279A9821" w14:textId="77777777">
                  <w:pPr>
                    <w:jc w:val="center"/>
                    <w:rPr>
                      <w:rFonts w:ascii="Verdana" w:hAnsi="Verdana"/>
                      <w:sz w:val="14"/>
                      <w:szCs w:val="14"/>
                    </w:rPr>
                  </w:pPr>
                  <w:r w:rsidRPr="002A1F9A">
                    <w:rPr>
                      <w:rFonts w:ascii="Verdana" w:hAnsi="Verdana"/>
                      <w:sz w:val="14"/>
                      <w:szCs w:val="14"/>
                    </w:rPr>
                    <w:t>3800</w:t>
                  </w:r>
                </w:p>
              </w:tc>
            </w:tr>
          </w:tbl>
          <w:p w:rsidRPr="002A1F9A" w:rsidR="0042407E" w:rsidP="0042407E" w:rsidRDefault="0042407E" w14:paraId="00CFD5CF" w14:textId="07FDEFD1">
            <w:pPr>
              <w:rPr>
                <w:rFonts w:ascii="Verdana" w:hAnsi="Verdana"/>
                <w:sz w:val="16"/>
                <w:szCs w:val="16"/>
              </w:rPr>
            </w:pPr>
            <w:r w:rsidRPr="002A1F9A">
              <w:rPr>
                <w:rFonts w:ascii="Verdana" w:hAnsi="Verdana"/>
                <w:sz w:val="16"/>
                <w:szCs w:val="16"/>
              </w:rPr>
              <w:t xml:space="preserve">* de landelijke cijfers zijn i.t.t. de cijfers binnen en buiten de G5 gecorrigeerd voor non-respons. De cijfers van binnen (respons 97%) en buiten de G5 (respons 63%) komen tot stand op basis van de deelnemende scholen.  </w:t>
            </w:r>
          </w:p>
          <w:p w:rsidRPr="002A1F9A" w:rsidR="005B3685" w:rsidP="005B3685" w:rsidRDefault="005B3685" w14:paraId="20CA1C72" w14:textId="77777777">
            <w:pPr>
              <w:rPr>
                <w:rFonts w:ascii="Verdana" w:hAnsi="Verdana"/>
                <w:sz w:val="18"/>
                <w:szCs w:val="18"/>
              </w:rPr>
            </w:pPr>
          </w:p>
        </w:tc>
        <w:tc>
          <w:tcPr>
            <w:tcW w:w="850" w:type="dxa"/>
            <w:gridSpan w:val="2"/>
          </w:tcPr>
          <w:p w:rsidRPr="002A1F9A" w:rsidR="005B3685" w:rsidP="005B3685" w:rsidRDefault="005B3685" w14:paraId="04B1F532"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5B3685" w:rsidP="005B3685" w:rsidRDefault="005B3685" w14:paraId="3A181FFC"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5B3685" w:rsidP="005B3685" w:rsidRDefault="005B3685" w14:paraId="4A8FCF74" w14:textId="77777777">
            <w:pPr>
              <w:jc w:val="right"/>
              <w:rPr>
                <w:rFonts w:ascii="Verdana" w:hAnsi="Verdana"/>
                <w:sz w:val="18"/>
                <w:szCs w:val="18"/>
              </w:rPr>
            </w:pPr>
            <w:r w:rsidRPr="002A1F9A">
              <w:rPr>
                <w:rFonts w:ascii="Verdana" w:hAnsi="Verdana"/>
                <w:sz w:val="18"/>
                <w:szCs w:val="18"/>
              </w:rPr>
              <w:t xml:space="preserve"> </w:t>
            </w:r>
          </w:p>
        </w:tc>
      </w:tr>
      <w:tr w:rsidRPr="002A1F9A" w:rsidR="005B3685" w:rsidTr="00A347D5" w14:paraId="26A579E8" w14:textId="77777777">
        <w:tc>
          <w:tcPr>
            <w:tcW w:w="567" w:type="dxa"/>
          </w:tcPr>
          <w:p w:rsidRPr="002A1F9A" w:rsidR="005B3685" w:rsidP="005B3685" w:rsidRDefault="005B3685" w14:paraId="18285651" w14:textId="77777777">
            <w:pPr>
              <w:rPr>
                <w:rFonts w:ascii="Verdana" w:hAnsi="Verdana"/>
                <w:sz w:val="18"/>
                <w:szCs w:val="18"/>
              </w:rPr>
            </w:pPr>
            <w:r w:rsidRPr="002A1F9A">
              <w:rPr>
                <w:rFonts w:ascii="Verdana" w:hAnsi="Verdana"/>
                <w:sz w:val="18"/>
                <w:szCs w:val="18"/>
              </w:rPr>
              <w:t>64</w:t>
            </w:r>
          </w:p>
        </w:tc>
        <w:tc>
          <w:tcPr>
            <w:tcW w:w="6521" w:type="dxa"/>
            <w:gridSpan w:val="7"/>
          </w:tcPr>
          <w:p w:rsidRPr="002A1F9A" w:rsidR="005B3685" w:rsidP="005B3685" w:rsidRDefault="005B3685" w14:paraId="45A6D3BF" w14:textId="77777777">
            <w:pPr>
              <w:rPr>
                <w:rFonts w:ascii="Verdana" w:hAnsi="Verdana"/>
                <w:sz w:val="18"/>
                <w:szCs w:val="18"/>
              </w:rPr>
            </w:pPr>
            <w:r w:rsidRPr="002A1F9A">
              <w:rPr>
                <w:rFonts w:ascii="Verdana" w:hAnsi="Verdana"/>
                <w:sz w:val="18"/>
                <w:szCs w:val="18"/>
              </w:rPr>
              <w:t>Hoe ontwikkelen de kwantitatieve en kwalitatieve lerarentekorten in basis-, voortgezet en speciaal onderwijs, binnen en buiten de G5, zich in meerjarenperspectief?</w:t>
            </w:r>
          </w:p>
          <w:p w:rsidRPr="002A1F9A" w:rsidR="00675744" w:rsidP="005B3685" w:rsidRDefault="00675744" w14:paraId="6954D1ED" w14:textId="77777777">
            <w:pPr>
              <w:rPr>
                <w:rFonts w:ascii="Verdana" w:hAnsi="Verdana"/>
                <w:sz w:val="18"/>
                <w:szCs w:val="18"/>
              </w:rPr>
            </w:pPr>
          </w:p>
          <w:p w:rsidRPr="002A1F9A" w:rsidR="00675744" w:rsidP="00675744" w:rsidRDefault="005004ED" w14:paraId="76067232" w14:textId="35C99049">
            <w:pPr>
              <w:rPr>
                <w:rFonts w:ascii="Verdana" w:hAnsi="Verdana"/>
                <w:sz w:val="18"/>
                <w:szCs w:val="18"/>
              </w:rPr>
            </w:pPr>
            <w:r w:rsidRPr="002A1F9A">
              <w:rPr>
                <w:rFonts w:ascii="Verdana" w:hAnsi="Verdana"/>
                <w:sz w:val="18"/>
                <w:szCs w:val="18"/>
              </w:rPr>
              <w:t>Op basis van de ramingen van 2024 zal het tekort aan leraren en schoolleiders in het primair onderwijs de komende jaren eerst licht dalen van zo’n 5.100 fte naar 4.800 fte</w:t>
            </w:r>
            <w:r w:rsidRPr="002A1F9A" w:rsidR="00675744">
              <w:rPr>
                <w:rFonts w:ascii="Verdana" w:hAnsi="Verdana"/>
                <w:sz w:val="18"/>
                <w:szCs w:val="18"/>
              </w:rPr>
              <w:t xml:space="preserve">, waarna het tekort na 2028 weer zal stijgen om in 2034 uit te komen op 6.000 fte tekort aan reguliere banen voor leraren en schoolleiders. Voor het speciaal onderwijs en de G5 zijn geen aparte ramingen beschikbaar. Deze maken deel uit van de ramingen voor het primair onderwijs.  </w:t>
            </w:r>
          </w:p>
          <w:p w:rsidRPr="002A1F9A" w:rsidR="00675744" w:rsidP="00675744" w:rsidRDefault="00675744" w14:paraId="7057E717" w14:textId="7619B9ED">
            <w:pPr>
              <w:rPr>
                <w:rFonts w:ascii="Verdana" w:hAnsi="Verdana"/>
                <w:sz w:val="18"/>
                <w:szCs w:val="18"/>
              </w:rPr>
            </w:pPr>
            <w:r w:rsidRPr="002A1F9A">
              <w:rPr>
                <w:rFonts w:ascii="Verdana" w:hAnsi="Verdana"/>
                <w:sz w:val="18"/>
                <w:szCs w:val="18"/>
              </w:rPr>
              <w:t>In het voortgezet onderwijs tonen de ramingen, uitgaand van een neutrale economische conjunctuur, een stijgende lijn waarbij het tekort van zo’n 2.100 fte aan reguliere banen voor leraren en schoolleiders in 2024 naar 3.600 fte in 2034 zal stijgen.</w:t>
            </w:r>
          </w:p>
          <w:p w:rsidRPr="002A1F9A" w:rsidR="00675744" w:rsidP="00675744" w:rsidRDefault="00675744" w14:paraId="7749522A" w14:textId="77777777">
            <w:pPr>
              <w:rPr>
                <w:rFonts w:ascii="Verdana" w:hAnsi="Verdana"/>
                <w:sz w:val="18"/>
                <w:szCs w:val="18"/>
              </w:rPr>
            </w:pPr>
            <w:r w:rsidRPr="002A1F9A">
              <w:rPr>
                <w:rFonts w:ascii="Verdana" w:hAnsi="Verdana"/>
                <w:sz w:val="18"/>
                <w:szCs w:val="18"/>
              </w:rPr>
              <w:t>In tegenstelling tot de tekortcijfers die zijn genoemd bij vraag 63, nemen de ramingen niet de vervangingstekorten mee. Dit zou leiden tot dubbeltellingen voor dezelfde baan.</w:t>
            </w:r>
          </w:p>
          <w:p w:rsidRPr="002A1F9A" w:rsidR="00675744" w:rsidP="00675744" w:rsidRDefault="00675744" w14:paraId="52E21C5A" w14:textId="084E34F4">
            <w:pPr>
              <w:rPr>
                <w:rFonts w:ascii="Verdana" w:hAnsi="Verdana"/>
                <w:sz w:val="18"/>
                <w:szCs w:val="18"/>
              </w:rPr>
            </w:pPr>
            <w:r w:rsidRPr="002A1F9A">
              <w:rPr>
                <w:rFonts w:ascii="Verdana" w:hAnsi="Verdana"/>
                <w:sz w:val="18"/>
                <w:szCs w:val="18"/>
              </w:rPr>
              <w:t xml:space="preserve">In december ontvangt </w:t>
            </w:r>
            <w:r w:rsidRPr="002A1F9A" w:rsidR="00514931">
              <w:rPr>
                <w:rFonts w:ascii="Verdana" w:hAnsi="Verdana"/>
                <w:sz w:val="18"/>
                <w:szCs w:val="18"/>
              </w:rPr>
              <w:t xml:space="preserve">uw </w:t>
            </w:r>
            <w:r w:rsidRPr="002A1F9A">
              <w:rPr>
                <w:rFonts w:ascii="Verdana" w:hAnsi="Verdana"/>
                <w:sz w:val="18"/>
                <w:szCs w:val="18"/>
              </w:rPr>
              <w:t xml:space="preserve">Kamer de ramingen van 2025. </w:t>
            </w:r>
          </w:p>
          <w:p w:rsidRPr="002A1F9A" w:rsidR="00675744" w:rsidP="00675744" w:rsidRDefault="00675744" w14:paraId="476695B7" w14:textId="77777777">
            <w:pPr>
              <w:rPr>
                <w:rFonts w:ascii="Verdana" w:hAnsi="Verdana"/>
                <w:sz w:val="18"/>
                <w:szCs w:val="18"/>
              </w:rPr>
            </w:pPr>
            <w:r w:rsidRPr="002A1F9A">
              <w:rPr>
                <w:noProof/>
              </w:rPr>
              <w:drawing>
                <wp:inline distT="0" distB="0" distL="0" distR="0" wp14:anchorId="20640430" wp14:editId="38015E02">
                  <wp:extent cx="3798570" cy="2108835"/>
                  <wp:effectExtent l="0" t="0" r="0" b="0"/>
                  <wp:docPr id="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A18597-A712-4804-8912-62A83AC72D01/tmp/Polaris/engine/image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798570" cy="2108835"/>
                          </a:xfrm>
                          <a:prstGeom prst="rect">
                            <a:avLst/>
                          </a:prstGeom>
                          <a:noFill/>
                          <a:ln cap="flat"/>
                        </pic:spPr>
                      </pic:pic>
                    </a:graphicData>
                  </a:graphic>
                </wp:inline>
              </w:drawing>
            </w:r>
          </w:p>
          <w:p w:rsidRPr="002A1F9A" w:rsidR="00675744" w:rsidP="00675744" w:rsidRDefault="00675744" w14:paraId="458A7255" w14:textId="77777777">
            <w:pPr>
              <w:rPr>
                <w:rFonts w:ascii="Verdana" w:hAnsi="Verdana"/>
                <w:sz w:val="18"/>
                <w:szCs w:val="18"/>
              </w:rPr>
            </w:pPr>
            <w:r w:rsidRPr="002A1F9A">
              <w:rPr>
                <w:rFonts w:ascii="Verdana" w:hAnsi="Verdana"/>
                <w:noProof/>
                <w:sz w:val="18"/>
                <w:szCs w:val="18"/>
              </w:rPr>
              <w:lastRenderedPageBreak/>
              <w:drawing>
                <wp:inline distT="0" distB="0" distL="0" distR="0" wp14:anchorId="278051E3" wp14:editId="00D23F2B">
                  <wp:extent cx="3864610" cy="2108835"/>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2A1F9A" w:rsidR="00675744" w:rsidP="00675744" w:rsidRDefault="00675744" w14:paraId="6B511373" w14:textId="53FEACB6">
            <w:pPr>
              <w:rPr>
                <w:rFonts w:ascii="Verdana" w:hAnsi="Verdana"/>
                <w:sz w:val="14"/>
                <w:szCs w:val="14"/>
              </w:rPr>
            </w:pPr>
            <w:bookmarkStart w:name="_Ref112847565" w:id="26"/>
            <w:r w:rsidRPr="002A1F9A">
              <w:rPr>
                <w:rFonts w:ascii="Verdana" w:hAnsi="Verdana"/>
                <w:sz w:val="14"/>
                <w:szCs w:val="14"/>
              </w:rPr>
              <w:t>Figuur</w:t>
            </w:r>
            <w:bookmarkEnd w:id="26"/>
            <w:r w:rsidRPr="002A1F9A">
              <w:rPr>
                <w:rFonts w:ascii="Verdana" w:hAnsi="Verdana"/>
                <w:sz w:val="14"/>
                <w:szCs w:val="14"/>
              </w:rPr>
              <w:t xml:space="preserve">: Geraamde tekorten voor leraren plus directeuren in het </w:t>
            </w:r>
            <w:r w:rsidRPr="002A1F9A">
              <w:rPr>
                <w:rFonts w:ascii="Verdana" w:hAnsi="Verdana"/>
                <w:i/>
                <w:sz w:val="14"/>
                <w:szCs w:val="14"/>
              </w:rPr>
              <w:t>po</w:t>
            </w:r>
            <w:r w:rsidRPr="002A1F9A">
              <w:rPr>
                <w:rFonts w:ascii="Verdana" w:hAnsi="Verdana"/>
                <w:sz w:val="14"/>
                <w:szCs w:val="14"/>
              </w:rPr>
              <w:t xml:space="preserve"> (boven) en </w:t>
            </w:r>
            <w:r w:rsidRPr="002A1F9A">
              <w:rPr>
                <w:rFonts w:ascii="Verdana" w:hAnsi="Verdana"/>
                <w:i/>
                <w:sz w:val="14"/>
                <w:szCs w:val="14"/>
              </w:rPr>
              <w:t xml:space="preserve">vo </w:t>
            </w:r>
            <w:r w:rsidRPr="002A1F9A">
              <w:rPr>
                <w:rFonts w:ascii="Verdana" w:hAnsi="Verdana"/>
                <w:sz w:val="14"/>
                <w:szCs w:val="14"/>
              </w:rPr>
              <w:t>(onder) in fte, Centerdata 2024</w:t>
            </w:r>
          </w:p>
          <w:p w:rsidRPr="002A1F9A" w:rsidR="00675744" w:rsidP="005B3685" w:rsidRDefault="00675744" w14:paraId="5E8427B5" w14:textId="77777777">
            <w:pPr>
              <w:rPr>
                <w:rFonts w:ascii="Verdana" w:hAnsi="Verdana"/>
                <w:sz w:val="18"/>
                <w:szCs w:val="18"/>
              </w:rPr>
            </w:pPr>
          </w:p>
        </w:tc>
        <w:tc>
          <w:tcPr>
            <w:tcW w:w="850" w:type="dxa"/>
            <w:gridSpan w:val="2"/>
          </w:tcPr>
          <w:p w:rsidRPr="002A1F9A" w:rsidR="005B3685" w:rsidP="005B3685" w:rsidRDefault="005B3685" w14:paraId="0EF43322"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5B3685" w:rsidP="005B3685" w:rsidRDefault="005B3685" w14:paraId="495A53CD"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5B3685" w:rsidP="005B3685" w:rsidRDefault="005B3685" w14:paraId="294DBF02" w14:textId="77777777">
            <w:pPr>
              <w:jc w:val="right"/>
              <w:rPr>
                <w:rFonts w:ascii="Verdana" w:hAnsi="Verdana"/>
                <w:sz w:val="18"/>
                <w:szCs w:val="18"/>
              </w:rPr>
            </w:pPr>
            <w:r w:rsidRPr="002A1F9A">
              <w:rPr>
                <w:rFonts w:ascii="Verdana" w:hAnsi="Verdana"/>
                <w:sz w:val="18"/>
                <w:szCs w:val="18"/>
              </w:rPr>
              <w:t xml:space="preserve"> </w:t>
            </w:r>
          </w:p>
        </w:tc>
      </w:tr>
      <w:tr w:rsidRPr="002A1F9A" w:rsidR="005B3685" w:rsidTr="00A347D5" w14:paraId="7A276732" w14:textId="77777777">
        <w:tc>
          <w:tcPr>
            <w:tcW w:w="567" w:type="dxa"/>
          </w:tcPr>
          <w:p w:rsidRPr="002A1F9A" w:rsidR="005B3685" w:rsidP="005B3685" w:rsidRDefault="005B3685" w14:paraId="35428C61" w14:textId="77777777">
            <w:pPr>
              <w:rPr>
                <w:rFonts w:ascii="Verdana" w:hAnsi="Verdana"/>
                <w:sz w:val="18"/>
                <w:szCs w:val="18"/>
              </w:rPr>
            </w:pPr>
            <w:r w:rsidRPr="002A1F9A">
              <w:rPr>
                <w:rFonts w:ascii="Verdana" w:hAnsi="Verdana"/>
                <w:sz w:val="18"/>
                <w:szCs w:val="18"/>
              </w:rPr>
              <w:t>65</w:t>
            </w:r>
          </w:p>
        </w:tc>
        <w:tc>
          <w:tcPr>
            <w:tcW w:w="6521" w:type="dxa"/>
            <w:gridSpan w:val="7"/>
          </w:tcPr>
          <w:p w:rsidRPr="002A1F9A" w:rsidR="005B3685" w:rsidP="005B3685" w:rsidRDefault="005B3685" w14:paraId="73A77037" w14:textId="77777777">
            <w:pPr>
              <w:rPr>
                <w:rFonts w:ascii="Verdana" w:hAnsi="Verdana"/>
                <w:sz w:val="18"/>
                <w:szCs w:val="18"/>
              </w:rPr>
            </w:pPr>
            <w:r w:rsidRPr="002A1F9A">
              <w:rPr>
                <w:rFonts w:ascii="Verdana" w:hAnsi="Verdana"/>
                <w:sz w:val="18"/>
                <w:szCs w:val="18"/>
              </w:rPr>
              <w:t>Kunt u aangeven hoe het lerarentekort zich de komende vijf jaar naar verwachting zal ontwikkelingen in het primair en voortgezet onderwijs?</w:t>
            </w:r>
          </w:p>
          <w:p w:rsidRPr="002A1F9A" w:rsidR="00DB2CBB" w:rsidP="005B3685" w:rsidRDefault="00DB2CBB" w14:paraId="7B824250" w14:textId="77777777">
            <w:pPr>
              <w:rPr>
                <w:rFonts w:ascii="Verdana" w:hAnsi="Verdana"/>
                <w:sz w:val="18"/>
                <w:szCs w:val="18"/>
              </w:rPr>
            </w:pPr>
          </w:p>
          <w:p w:rsidRPr="002A1F9A" w:rsidR="00DB2CBB" w:rsidP="00DB2CBB" w:rsidRDefault="00DB2CBB" w14:paraId="4F36F5FE" w14:textId="56860211">
            <w:pPr>
              <w:rPr>
                <w:rFonts w:ascii="Verdana" w:hAnsi="Verdana"/>
                <w:sz w:val="18"/>
                <w:szCs w:val="18"/>
              </w:rPr>
            </w:pPr>
            <w:r w:rsidRPr="002A1F9A">
              <w:rPr>
                <w:rFonts w:ascii="Verdana" w:hAnsi="Verdana"/>
                <w:sz w:val="18"/>
                <w:szCs w:val="18"/>
              </w:rPr>
              <w:t xml:space="preserve">Zie </w:t>
            </w:r>
            <w:r w:rsidRPr="002A1F9A" w:rsidR="002C1B1D">
              <w:rPr>
                <w:rFonts w:ascii="Verdana" w:hAnsi="Verdana"/>
                <w:sz w:val="18"/>
                <w:szCs w:val="18"/>
              </w:rPr>
              <w:t xml:space="preserve">het antwoord op </w:t>
            </w:r>
            <w:r w:rsidRPr="002A1F9A">
              <w:rPr>
                <w:rFonts w:ascii="Verdana" w:hAnsi="Verdana"/>
                <w:sz w:val="18"/>
                <w:szCs w:val="18"/>
              </w:rPr>
              <w:t>vraag 64.</w:t>
            </w:r>
          </w:p>
          <w:p w:rsidRPr="002A1F9A" w:rsidR="00DB2CBB" w:rsidP="005B3685" w:rsidRDefault="00DB2CBB" w14:paraId="55102992" w14:textId="77777777">
            <w:pPr>
              <w:rPr>
                <w:rFonts w:ascii="Verdana" w:hAnsi="Verdana"/>
                <w:sz w:val="18"/>
                <w:szCs w:val="18"/>
              </w:rPr>
            </w:pPr>
          </w:p>
        </w:tc>
        <w:tc>
          <w:tcPr>
            <w:tcW w:w="850" w:type="dxa"/>
            <w:gridSpan w:val="2"/>
          </w:tcPr>
          <w:p w:rsidRPr="002A1F9A" w:rsidR="005B3685" w:rsidP="005B3685" w:rsidRDefault="005B3685" w14:paraId="6817B90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5B3685" w:rsidP="005B3685" w:rsidRDefault="005B3685" w14:paraId="712320F4"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5B3685" w:rsidP="005B3685" w:rsidRDefault="005B3685" w14:paraId="6BB42CCB"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439837B5" w14:textId="77777777">
        <w:tc>
          <w:tcPr>
            <w:tcW w:w="567" w:type="dxa"/>
          </w:tcPr>
          <w:p w:rsidRPr="002A1F9A" w:rsidR="00DB2CBB" w:rsidP="00DB2CBB" w:rsidRDefault="00DB2CBB" w14:paraId="54AEE851" w14:textId="77777777">
            <w:pPr>
              <w:rPr>
                <w:rFonts w:ascii="Verdana" w:hAnsi="Verdana"/>
                <w:sz w:val="18"/>
                <w:szCs w:val="18"/>
              </w:rPr>
            </w:pPr>
            <w:r w:rsidRPr="002A1F9A">
              <w:rPr>
                <w:rFonts w:ascii="Verdana" w:hAnsi="Verdana"/>
                <w:sz w:val="18"/>
                <w:szCs w:val="18"/>
              </w:rPr>
              <w:t>66</w:t>
            </w:r>
          </w:p>
        </w:tc>
        <w:tc>
          <w:tcPr>
            <w:tcW w:w="6521" w:type="dxa"/>
            <w:gridSpan w:val="7"/>
          </w:tcPr>
          <w:p w:rsidRPr="002A1F9A" w:rsidR="00DB2CBB" w:rsidP="00DB2CBB" w:rsidRDefault="00DB2CBB" w14:paraId="2FB972A9" w14:textId="77777777">
            <w:pPr>
              <w:rPr>
                <w:rFonts w:ascii="Verdana" w:hAnsi="Verdana"/>
                <w:sz w:val="18"/>
                <w:szCs w:val="18"/>
              </w:rPr>
            </w:pPr>
            <w:r w:rsidRPr="002A1F9A">
              <w:rPr>
                <w:rFonts w:ascii="Verdana" w:hAnsi="Verdana"/>
                <w:sz w:val="18"/>
                <w:szCs w:val="18"/>
              </w:rPr>
              <w:t>Kunt u een overzicht geven van de jaarlijkse uitstroom van bevoegd onderwijspersoneel in het primair en voortgezet onderwijs van de afgelopen twintig jaar?</w:t>
            </w:r>
          </w:p>
          <w:p w:rsidRPr="002A1F9A" w:rsidR="00DB2CBB" w:rsidP="00DB2CBB" w:rsidRDefault="00DB2CBB" w14:paraId="787078E2" w14:textId="77777777">
            <w:pPr>
              <w:rPr>
                <w:rFonts w:ascii="Verdana" w:hAnsi="Verdana"/>
                <w:sz w:val="18"/>
                <w:szCs w:val="18"/>
              </w:rPr>
            </w:pPr>
          </w:p>
          <w:p w:rsidRPr="002A1F9A" w:rsidR="00DB2CBB" w:rsidP="00DB2CBB" w:rsidRDefault="00C8378F" w14:paraId="0DDA7ED9" w14:textId="5DB91186">
            <w:pPr>
              <w:rPr>
                <w:rFonts w:ascii="Verdana" w:hAnsi="Verdana"/>
                <w:sz w:val="18"/>
                <w:szCs w:val="18"/>
              </w:rPr>
            </w:pPr>
            <w:r w:rsidRPr="002A1F9A">
              <w:rPr>
                <w:rFonts w:ascii="Verdana" w:hAnsi="Verdana"/>
                <w:sz w:val="18"/>
                <w:szCs w:val="18"/>
              </w:rPr>
              <w:t xml:space="preserve">Het gemiddelde percentage leraren dat jaarlijks het primair onderwijs en het voortgezet onderwijs verlaat is weergegeven in onderstaande tabel voor de jaren 2015 t/m 2023. De gegevens van vóór 2015 zijn niet beschikbaar. In de tabel zijn de leraren die naar een andere onderwijssector overstappen niet meegenomen. Deze leraren blijven immers behouden voor het onderwijs. In de DUO-gegevens over onderwijspersoneel zijn alle leraren opgenomen met een aanstelling. Er is namelijk geen registratie van enkel en alleen bevoegde leraren.  </w:t>
            </w:r>
          </w:p>
          <w:tbl>
            <w:tblPr>
              <w:tblStyle w:val="Tabelrasterlicht"/>
              <w:tblpPr w:leftFromText="141" w:rightFromText="141" w:vertAnchor="page" w:horzAnchor="margin" w:tblpY="106"/>
              <w:tblOverlap w:val="never"/>
              <w:tblW w:w="6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9"/>
              <w:gridCol w:w="1134"/>
              <w:gridCol w:w="963"/>
              <w:gridCol w:w="1305"/>
              <w:gridCol w:w="1590"/>
            </w:tblGrid>
            <w:tr w:rsidRPr="002A1F9A" w:rsidR="00DB2CBB" w:rsidTr="002C1B1D" w14:paraId="0CF47EA6" w14:textId="77777777">
              <w:trPr>
                <w:trHeight w:val="502"/>
              </w:trPr>
              <w:tc>
                <w:tcPr>
                  <w:tcW w:w="2533" w:type="dxa"/>
                  <w:gridSpan w:val="2"/>
                  <w:hideMark/>
                </w:tcPr>
                <w:p w:rsidRPr="002A1F9A" w:rsidR="00DB2CBB" w:rsidP="00DB2CBB" w:rsidRDefault="00DB2CBB" w14:paraId="12411158" w14:textId="77777777">
                  <w:pPr>
                    <w:rPr>
                      <w:rFonts w:ascii="Verdana" w:hAnsi="Verdana"/>
                      <w:b/>
                      <w:bCs/>
                      <w:sz w:val="16"/>
                      <w:szCs w:val="16"/>
                    </w:rPr>
                  </w:pPr>
                  <w:r w:rsidRPr="002A1F9A">
                    <w:rPr>
                      <w:rFonts w:ascii="Verdana" w:hAnsi="Verdana"/>
                      <w:b/>
                      <w:bCs/>
                      <w:sz w:val="16"/>
                      <w:szCs w:val="16"/>
                    </w:rPr>
                    <w:lastRenderedPageBreak/>
                    <w:t>Primair onderwijs</w:t>
                  </w:r>
                </w:p>
              </w:tc>
              <w:tc>
                <w:tcPr>
                  <w:tcW w:w="963" w:type="dxa"/>
                  <w:vMerge w:val="restart"/>
                </w:tcPr>
                <w:p w:rsidRPr="002A1F9A" w:rsidR="00DB2CBB" w:rsidP="00DB2CBB" w:rsidRDefault="00DB2CBB" w14:paraId="65430D85" w14:textId="77777777">
                  <w:pPr>
                    <w:rPr>
                      <w:rFonts w:ascii="Verdana" w:hAnsi="Verdana"/>
                      <w:b/>
                      <w:bCs/>
                      <w:sz w:val="16"/>
                      <w:szCs w:val="16"/>
                    </w:rPr>
                  </w:pPr>
                </w:p>
              </w:tc>
              <w:tc>
                <w:tcPr>
                  <w:tcW w:w="2895" w:type="dxa"/>
                  <w:gridSpan w:val="2"/>
                  <w:hideMark/>
                </w:tcPr>
                <w:p w:rsidRPr="002A1F9A" w:rsidR="00DB2CBB" w:rsidP="00DB2CBB" w:rsidRDefault="00DB2CBB" w14:paraId="586A9C21" w14:textId="77777777">
                  <w:pPr>
                    <w:rPr>
                      <w:rFonts w:ascii="Verdana" w:hAnsi="Verdana"/>
                      <w:b/>
                      <w:bCs/>
                      <w:sz w:val="16"/>
                      <w:szCs w:val="16"/>
                    </w:rPr>
                  </w:pPr>
                  <w:r w:rsidRPr="002A1F9A">
                    <w:rPr>
                      <w:rFonts w:ascii="Verdana" w:hAnsi="Verdana"/>
                      <w:b/>
                      <w:bCs/>
                      <w:sz w:val="16"/>
                      <w:szCs w:val="16"/>
                    </w:rPr>
                    <w:t>Voortgezet onderwijs</w:t>
                  </w:r>
                </w:p>
              </w:tc>
            </w:tr>
            <w:tr w:rsidRPr="002A1F9A" w:rsidR="00DB2CBB" w:rsidTr="002C1B1D" w14:paraId="029909C0" w14:textId="77777777">
              <w:trPr>
                <w:trHeight w:val="1226"/>
              </w:trPr>
              <w:tc>
                <w:tcPr>
                  <w:tcW w:w="1399" w:type="dxa"/>
                  <w:hideMark/>
                </w:tcPr>
                <w:p w:rsidRPr="002A1F9A" w:rsidR="00DB2CBB" w:rsidP="00DB2CBB" w:rsidRDefault="00DB2CBB" w14:paraId="1AAB65EC" w14:textId="77777777">
                  <w:pPr>
                    <w:rPr>
                      <w:rFonts w:ascii="Verdana" w:hAnsi="Verdana"/>
                      <w:sz w:val="16"/>
                      <w:szCs w:val="16"/>
                    </w:rPr>
                  </w:pPr>
                  <w:r w:rsidRPr="002A1F9A">
                    <w:rPr>
                      <w:rFonts w:ascii="Verdana" w:hAnsi="Verdana"/>
                      <w:sz w:val="16"/>
                      <w:szCs w:val="16"/>
                    </w:rPr>
                    <w:t>Jaar</w:t>
                  </w:r>
                </w:p>
              </w:tc>
              <w:tc>
                <w:tcPr>
                  <w:tcW w:w="1134" w:type="dxa"/>
                  <w:hideMark/>
                </w:tcPr>
                <w:p w:rsidRPr="002A1F9A" w:rsidR="00DB2CBB" w:rsidP="00DB2CBB" w:rsidRDefault="00DB2CBB" w14:paraId="3C71CA61" w14:textId="77777777">
                  <w:pPr>
                    <w:rPr>
                      <w:rFonts w:ascii="Verdana" w:hAnsi="Verdana"/>
                      <w:sz w:val="16"/>
                      <w:szCs w:val="16"/>
                    </w:rPr>
                  </w:pPr>
                  <w:r w:rsidRPr="002A1F9A">
                    <w:rPr>
                      <w:rFonts w:ascii="Verdana" w:hAnsi="Verdana"/>
                      <w:sz w:val="16"/>
                      <w:szCs w:val="16"/>
                    </w:rPr>
                    <w:t>Percentage uitstroom onderwijs</w:t>
                  </w:r>
                </w:p>
              </w:tc>
              <w:tc>
                <w:tcPr>
                  <w:tcW w:w="963" w:type="dxa"/>
                  <w:vMerge/>
                </w:tcPr>
                <w:p w:rsidRPr="002A1F9A" w:rsidR="00DB2CBB" w:rsidP="00DB2CBB" w:rsidRDefault="00DB2CBB" w14:paraId="746DB531" w14:textId="77777777">
                  <w:pPr>
                    <w:rPr>
                      <w:rFonts w:ascii="Verdana" w:hAnsi="Verdana"/>
                      <w:sz w:val="16"/>
                      <w:szCs w:val="16"/>
                    </w:rPr>
                  </w:pPr>
                </w:p>
              </w:tc>
              <w:tc>
                <w:tcPr>
                  <w:tcW w:w="1305" w:type="dxa"/>
                  <w:hideMark/>
                </w:tcPr>
                <w:p w:rsidRPr="002A1F9A" w:rsidR="00DB2CBB" w:rsidP="00DB2CBB" w:rsidRDefault="00DB2CBB" w14:paraId="2FCCFD5B" w14:textId="77777777">
                  <w:pPr>
                    <w:rPr>
                      <w:rFonts w:ascii="Verdana" w:hAnsi="Verdana"/>
                      <w:sz w:val="16"/>
                      <w:szCs w:val="16"/>
                    </w:rPr>
                  </w:pPr>
                  <w:r w:rsidRPr="002A1F9A">
                    <w:rPr>
                      <w:rFonts w:ascii="Verdana" w:hAnsi="Verdana"/>
                      <w:sz w:val="16"/>
                      <w:szCs w:val="16"/>
                    </w:rPr>
                    <w:t>Jaar</w:t>
                  </w:r>
                </w:p>
              </w:tc>
              <w:tc>
                <w:tcPr>
                  <w:tcW w:w="1590" w:type="dxa"/>
                  <w:hideMark/>
                </w:tcPr>
                <w:p w:rsidRPr="002A1F9A" w:rsidR="00DB2CBB" w:rsidP="00DB2CBB" w:rsidRDefault="00DB2CBB" w14:paraId="66205CE7" w14:textId="77777777">
                  <w:pPr>
                    <w:rPr>
                      <w:rFonts w:ascii="Verdana" w:hAnsi="Verdana"/>
                      <w:sz w:val="16"/>
                      <w:szCs w:val="16"/>
                    </w:rPr>
                  </w:pPr>
                  <w:r w:rsidRPr="002A1F9A">
                    <w:rPr>
                      <w:rFonts w:ascii="Verdana" w:hAnsi="Verdana"/>
                      <w:sz w:val="16"/>
                      <w:szCs w:val="16"/>
                    </w:rPr>
                    <w:t>Percentage uitstroom onderwijs</w:t>
                  </w:r>
                </w:p>
              </w:tc>
            </w:tr>
            <w:tr w:rsidRPr="002A1F9A" w:rsidR="00DB2CBB" w:rsidTr="002C1B1D" w14:paraId="4835A2C0" w14:textId="77777777">
              <w:trPr>
                <w:trHeight w:val="445"/>
              </w:trPr>
              <w:tc>
                <w:tcPr>
                  <w:tcW w:w="1399" w:type="dxa"/>
                  <w:noWrap/>
                  <w:hideMark/>
                </w:tcPr>
                <w:p w:rsidRPr="002A1F9A" w:rsidR="00DB2CBB" w:rsidP="00DB2CBB" w:rsidRDefault="00DB2CBB" w14:paraId="4417B995" w14:textId="77777777">
                  <w:pPr>
                    <w:rPr>
                      <w:rFonts w:ascii="Verdana" w:hAnsi="Verdana"/>
                      <w:sz w:val="16"/>
                      <w:szCs w:val="16"/>
                    </w:rPr>
                  </w:pPr>
                  <w:r w:rsidRPr="002A1F9A">
                    <w:rPr>
                      <w:rFonts w:ascii="Verdana" w:hAnsi="Verdana"/>
                      <w:sz w:val="16"/>
                      <w:szCs w:val="16"/>
                    </w:rPr>
                    <w:t>2015-2016</w:t>
                  </w:r>
                </w:p>
              </w:tc>
              <w:tc>
                <w:tcPr>
                  <w:tcW w:w="1134" w:type="dxa"/>
                  <w:noWrap/>
                  <w:hideMark/>
                </w:tcPr>
                <w:p w:rsidRPr="002A1F9A" w:rsidR="00DB2CBB" w:rsidP="00DB2CBB" w:rsidRDefault="00DB2CBB" w14:paraId="5D3750C3" w14:textId="77777777">
                  <w:pPr>
                    <w:rPr>
                      <w:rFonts w:ascii="Verdana" w:hAnsi="Verdana"/>
                      <w:sz w:val="16"/>
                      <w:szCs w:val="16"/>
                    </w:rPr>
                  </w:pPr>
                  <w:r w:rsidRPr="002A1F9A">
                    <w:rPr>
                      <w:rFonts w:ascii="Verdana" w:hAnsi="Verdana"/>
                      <w:sz w:val="16"/>
                      <w:szCs w:val="16"/>
                    </w:rPr>
                    <w:t>6,17%</w:t>
                  </w:r>
                </w:p>
              </w:tc>
              <w:tc>
                <w:tcPr>
                  <w:tcW w:w="963" w:type="dxa"/>
                  <w:vMerge/>
                </w:tcPr>
                <w:p w:rsidRPr="002A1F9A" w:rsidR="00DB2CBB" w:rsidP="00DB2CBB" w:rsidRDefault="00DB2CBB" w14:paraId="2E222C32" w14:textId="77777777">
                  <w:pPr>
                    <w:rPr>
                      <w:rFonts w:ascii="Verdana" w:hAnsi="Verdana"/>
                      <w:sz w:val="16"/>
                      <w:szCs w:val="16"/>
                    </w:rPr>
                  </w:pPr>
                </w:p>
              </w:tc>
              <w:tc>
                <w:tcPr>
                  <w:tcW w:w="1305" w:type="dxa"/>
                  <w:hideMark/>
                </w:tcPr>
                <w:p w:rsidRPr="002A1F9A" w:rsidR="00DB2CBB" w:rsidP="00DB2CBB" w:rsidRDefault="00DB2CBB" w14:paraId="70064E75" w14:textId="77777777">
                  <w:pPr>
                    <w:rPr>
                      <w:rFonts w:ascii="Verdana" w:hAnsi="Verdana"/>
                      <w:sz w:val="16"/>
                      <w:szCs w:val="16"/>
                    </w:rPr>
                  </w:pPr>
                  <w:r w:rsidRPr="002A1F9A">
                    <w:rPr>
                      <w:rFonts w:ascii="Verdana" w:hAnsi="Verdana"/>
                      <w:sz w:val="16"/>
                      <w:szCs w:val="16"/>
                    </w:rPr>
                    <w:t>2015-2016</w:t>
                  </w:r>
                </w:p>
              </w:tc>
              <w:tc>
                <w:tcPr>
                  <w:tcW w:w="1590" w:type="dxa"/>
                  <w:hideMark/>
                </w:tcPr>
                <w:p w:rsidRPr="002A1F9A" w:rsidR="00DB2CBB" w:rsidP="00DB2CBB" w:rsidRDefault="00DB2CBB" w14:paraId="3CFCC59B" w14:textId="77777777">
                  <w:pPr>
                    <w:rPr>
                      <w:rFonts w:ascii="Verdana" w:hAnsi="Verdana"/>
                      <w:sz w:val="16"/>
                      <w:szCs w:val="16"/>
                    </w:rPr>
                  </w:pPr>
                  <w:r w:rsidRPr="002A1F9A">
                    <w:rPr>
                      <w:rFonts w:ascii="Verdana" w:hAnsi="Verdana"/>
                      <w:sz w:val="16"/>
                      <w:szCs w:val="16"/>
                    </w:rPr>
                    <w:t>6,39%</w:t>
                  </w:r>
                </w:p>
              </w:tc>
            </w:tr>
            <w:tr w:rsidRPr="002A1F9A" w:rsidR="00DB2CBB" w:rsidTr="002C1B1D" w14:paraId="01650405" w14:textId="77777777">
              <w:trPr>
                <w:trHeight w:val="445"/>
              </w:trPr>
              <w:tc>
                <w:tcPr>
                  <w:tcW w:w="1399" w:type="dxa"/>
                  <w:noWrap/>
                  <w:hideMark/>
                </w:tcPr>
                <w:p w:rsidRPr="002A1F9A" w:rsidR="00DB2CBB" w:rsidP="00DB2CBB" w:rsidRDefault="00DB2CBB" w14:paraId="4CB1789D" w14:textId="77777777">
                  <w:pPr>
                    <w:rPr>
                      <w:rFonts w:ascii="Verdana" w:hAnsi="Verdana"/>
                      <w:sz w:val="16"/>
                      <w:szCs w:val="16"/>
                    </w:rPr>
                  </w:pPr>
                  <w:r w:rsidRPr="002A1F9A">
                    <w:rPr>
                      <w:rFonts w:ascii="Verdana" w:hAnsi="Verdana"/>
                      <w:sz w:val="16"/>
                      <w:szCs w:val="16"/>
                    </w:rPr>
                    <w:t>2016-2017</w:t>
                  </w:r>
                </w:p>
              </w:tc>
              <w:tc>
                <w:tcPr>
                  <w:tcW w:w="1134" w:type="dxa"/>
                  <w:noWrap/>
                  <w:hideMark/>
                </w:tcPr>
                <w:p w:rsidRPr="002A1F9A" w:rsidR="00DB2CBB" w:rsidP="00DB2CBB" w:rsidRDefault="00DB2CBB" w14:paraId="4F6D0935" w14:textId="77777777">
                  <w:pPr>
                    <w:rPr>
                      <w:rFonts w:ascii="Verdana" w:hAnsi="Verdana"/>
                      <w:sz w:val="16"/>
                      <w:szCs w:val="16"/>
                    </w:rPr>
                  </w:pPr>
                  <w:r w:rsidRPr="002A1F9A">
                    <w:rPr>
                      <w:rFonts w:ascii="Verdana" w:hAnsi="Verdana"/>
                      <w:sz w:val="16"/>
                      <w:szCs w:val="16"/>
                    </w:rPr>
                    <w:t>6,00%</w:t>
                  </w:r>
                </w:p>
              </w:tc>
              <w:tc>
                <w:tcPr>
                  <w:tcW w:w="963" w:type="dxa"/>
                  <w:vMerge/>
                </w:tcPr>
                <w:p w:rsidRPr="002A1F9A" w:rsidR="00DB2CBB" w:rsidP="00DB2CBB" w:rsidRDefault="00DB2CBB" w14:paraId="25071EDB" w14:textId="77777777">
                  <w:pPr>
                    <w:rPr>
                      <w:rFonts w:ascii="Verdana" w:hAnsi="Verdana"/>
                      <w:sz w:val="16"/>
                      <w:szCs w:val="16"/>
                    </w:rPr>
                  </w:pPr>
                </w:p>
              </w:tc>
              <w:tc>
                <w:tcPr>
                  <w:tcW w:w="1305" w:type="dxa"/>
                  <w:hideMark/>
                </w:tcPr>
                <w:p w:rsidRPr="002A1F9A" w:rsidR="00DB2CBB" w:rsidP="00DB2CBB" w:rsidRDefault="00DB2CBB" w14:paraId="1D3780EA" w14:textId="77777777">
                  <w:pPr>
                    <w:rPr>
                      <w:rFonts w:ascii="Verdana" w:hAnsi="Verdana"/>
                      <w:sz w:val="16"/>
                      <w:szCs w:val="16"/>
                    </w:rPr>
                  </w:pPr>
                  <w:r w:rsidRPr="002A1F9A">
                    <w:rPr>
                      <w:rFonts w:ascii="Verdana" w:hAnsi="Verdana"/>
                      <w:sz w:val="16"/>
                      <w:szCs w:val="16"/>
                    </w:rPr>
                    <w:t>2016-2017</w:t>
                  </w:r>
                </w:p>
              </w:tc>
              <w:tc>
                <w:tcPr>
                  <w:tcW w:w="1590" w:type="dxa"/>
                  <w:hideMark/>
                </w:tcPr>
                <w:p w:rsidRPr="002A1F9A" w:rsidR="00DB2CBB" w:rsidP="00DB2CBB" w:rsidRDefault="00DB2CBB" w14:paraId="7559642D" w14:textId="77777777">
                  <w:pPr>
                    <w:rPr>
                      <w:rFonts w:ascii="Verdana" w:hAnsi="Verdana"/>
                      <w:sz w:val="16"/>
                      <w:szCs w:val="16"/>
                    </w:rPr>
                  </w:pPr>
                  <w:r w:rsidRPr="002A1F9A">
                    <w:rPr>
                      <w:rFonts w:ascii="Verdana" w:hAnsi="Verdana"/>
                      <w:sz w:val="16"/>
                      <w:szCs w:val="16"/>
                    </w:rPr>
                    <w:t>6,79%</w:t>
                  </w:r>
                </w:p>
              </w:tc>
            </w:tr>
            <w:tr w:rsidRPr="002A1F9A" w:rsidR="00DB2CBB" w:rsidTr="002C1B1D" w14:paraId="29F4241F" w14:textId="77777777">
              <w:trPr>
                <w:trHeight w:val="445"/>
              </w:trPr>
              <w:tc>
                <w:tcPr>
                  <w:tcW w:w="1399" w:type="dxa"/>
                  <w:noWrap/>
                  <w:hideMark/>
                </w:tcPr>
                <w:p w:rsidRPr="002A1F9A" w:rsidR="00DB2CBB" w:rsidP="00DB2CBB" w:rsidRDefault="00DB2CBB" w14:paraId="1B57D610" w14:textId="77777777">
                  <w:pPr>
                    <w:rPr>
                      <w:rFonts w:ascii="Verdana" w:hAnsi="Verdana"/>
                      <w:sz w:val="16"/>
                      <w:szCs w:val="16"/>
                    </w:rPr>
                  </w:pPr>
                  <w:r w:rsidRPr="002A1F9A">
                    <w:rPr>
                      <w:rFonts w:ascii="Verdana" w:hAnsi="Verdana"/>
                      <w:sz w:val="16"/>
                      <w:szCs w:val="16"/>
                    </w:rPr>
                    <w:t>2017-2018</w:t>
                  </w:r>
                </w:p>
              </w:tc>
              <w:tc>
                <w:tcPr>
                  <w:tcW w:w="1134" w:type="dxa"/>
                  <w:noWrap/>
                  <w:hideMark/>
                </w:tcPr>
                <w:p w:rsidRPr="002A1F9A" w:rsidR="00DB2CBB" w:rsidP="00DB2CBB" w:rsidRDefault="00DB2CBB" w14:paraId="13BBD7AB" w14:textId="77777777">
                  <w:pPr>
                    <w:rPr>
                      <w:rFonts w:ascii="Verdana" w:hAnsi="Verdana"/>
                      <w:sz w:val="16"/>
                      <w:szCs w:val="16"/>
                    </w:rPr>
                  </w:pPr>
                  <w:r w:rsidRPr="002A1F9A">
                    <w:rPr>
                      <w:rFonts w:ascii="Verdana" w:hAnsi="Verdana"/>
                      <w:sz w:val="16"/>
                      <w:szCs w:val="16"/>
                    </w:rPr>
                    <w:t>5,93%</w:t>
                  </w:r>
                </w:p>
              </w:tc>
              <w:tc>
                <w:tcPr>
                  <w:tcW w:w="963" w:type="dxa"/>
                  <w:vMerge/>
                </w:tcPr>
                <w:p w:rsidRPr="002A1F9A" w:rsidR="00DB2CBB" w:rsidP="00DB2CBB" w:rsidRDefault="00DB2CBB" w14:paraId="284D6E69" w14:textId="77777777">
                  <w:pPr>
                    <w:rPr>
                      <w:rFonts w:ascii="Verdana" w:hAnsi="Verdana"/>
                      <w:sz w:val="16"/>
                      <w:szCs w:val="16"/>
                    </w:rPr>
                  </w:pPr>
                </w:p>
              </w:tc>
              <w:tc>
                <w:tcPr>
                  <w:tcW w:w="1305" w:type="dxa"/>
                  <w:hideMark/>
                </w:tcPr>
                <w:p w:rsidRPr="002A1F9A" w:rsidR="00DB2CBB" w:rsidP="00DB2CBB" w:rsidRDefault="00DB2CBB" w14:paraId="3D918594" w14:textId="77777777">
                  <w:pPr>
                    <w:rPr>
                      <w:rFonts w:ascii="Verdana" w:hAnsi="Verdana"/>
                      <w:sz w:val="16"/>
                      <w:szCs w:val="16"/>
                    </w:rPr>
                  </w:pPr>
                  <w:r w:rsidRPr="002A1F9A">
                    <w:rPr>
                      <w:rFonts w:ascii="Verdana" w:hAnsi="Verdana"/>
                      <w:sz w:val="16"/>
                      <w:szCs w:val="16"/>
                    </w:rPr>
                    <w:t>2017-2018</w:t>
                  </w:r>
                </w:p>
              </w:tc>
              <w:tc>
                <w:tcPr>
                  <w:tcW w:w="1590" w:type="dxa"/>
                  <w:hideMark/>
                </w:tcPr>
                <w:p w:rsidRPr="002A1F9A" w:rsidR="00DB2CBB" w:rsidP="00DB2CBB" w:rsidRDefault="00DB2CBB" w14:paraId="12BE4F47" w14:textId="77777777">
                  <w:pPr>
                    <w:rPr>
                      <w:rFonts w:ascii="Verdana" w:hAnsi="Verdana"/>
                      <w:sz w:val="16"/>
                      <w:szCs w:val="16"/>
                    </w:rPr>
                  </w:pPr>
                  <w:r w:rsidRPr="002A1F9A">
                    <w:rPr>
                      <w:rFonts w:ascii="Verdana" w:hAnsi="Verdana"/>
                      <w:sz w:val="16"/>
                      <w:szCs w:val="16"/>
                    </w:rPr>
                    <w:t>7,06%</w:t>
                  </w:r>
                </w:p>
              </w:tc>
            </w:tr>
            <w:tr w:rsidRPr="002A1F9A" w:rsidR="00DB2CBB" w:rsidTr="002C1B1D" w14:paraId="3DD00E46" w14:textId="77777777">
              <w:trPr>
                <w:trHeight w:val="445"/>
              </w:trPr>
              <w:tc>
                <w:tcPr>
                  <w:tcW w:w="1399" w:type="dxa"/>
                  <w:noWrap/>
                  <w:hideMark/>
                </w:tcPr>
                <w:p w:rsidRPr="002A1F9A" w:rsidR="00DB2CBB" w:rsidP="00DB2CBB" w:rsidRDefault="00DB2CBB" w14:paraId="161A7E20" w14:textId="77777777">
                  <w:pPr>
                    <w:rPr>
                      <w:rFonts w:ascii="Verdana" w:hAnsi="Verdana"/>
                      <w:sz w:val="16"/>
                      <w:szCs w:val="16"/>
                    </w:rPr>
                  </w:pPr>
                  <w:r w:rsidRPr="002A1F9A">
                    <w:rPr>
                      <w:rFonts w:ascii="Verdana" w:hAnsi="Verdana"/>
                      <w:sz w:val="16"/>
                      <w:szCs w:val="16"/>
                    </w:rPr>
                    <w:t>2018-2019</w:t>
                  </w:r>
                </w:p>
              </w:tc>
              <w:tc>
                <w:tcPr>
                  <w:tcW w:w="1134" w:type="dxa"/>
                  <w:noWrap/>
                  <w:hideMark/>
                </w:tcPr>
                <w:p w:rsidRPr="002A1F9A" w:rsidR="00DB2CBB" w:rsidP="00DB2CBB" w:rsidRDefault="00DB2CBB" w14:paraId="11654255" w14:textId="77777777">
                  <w:pPr>
                    <w:rPr>
                      <w:rFonts w:ascii="Verdana" w:hAnsi="Verdana"/>
                      <w:sz w:val="16"/>
                      <w:szCs w:val="16"/>
                    </w:rPr>
                  </w:pPr>
                  <w:r w:rsidRPr="002A1F9A">
                    <w:rPr>
                      <w:rFonts w:ascii="Verdana" w:hAnsi="Verdana"/>
                      <w:sz w:val="16"/>
                      <w:szCs w:val="16"/>
                    </w:rPr>
                    <w:t>6,07%</w:t>
                  </w:r>
                </w:p>
              </w:tc>
              <w:tc>
                <w:tcPr>
                  <w:tcW w:w="963" w:type="dxa"/>
                  <w:vMerge/>
                </w:tcPr>
                <w:p w:rsidRPr="002A1F9A" w:rsidR="00DB2CBB" w:rsidP="00DB2CBB" w:rsidRDefault="00DB2CBB" w14:paraId="74AE6CE6" w14:textId="77777777">
                  <w:pPr>
                    <w:rPr>
                      <w:rFonts w:ascii="Verdana" w:hAnsi="Verdana"/>
                      <w:sz w:val="16"/>
                      <w:szCs w:val="16"/>
                    </w:rPr>
                  </w:pPr>
                </w:p>
              </w:tc>
              <w:tc>
                <w:tcPr>
                  <w:tcW w:w="1305" w:type="dxa"/>
                  <w:hideMark/>
                </w:tcPr>
                <w:p w:rsidRPr="002A1F9A" w:rsidR="00DB2CBB" w:rsidP="00DB2CBB" w:rsidRDefault="00DB2CBB" w14:paraId="6294B255" w14:textId="77777777">
                  <w:pPr>
                    <w:rPr>
                      <w:rFonts w:ascii="Verdana" w:hAnsi="Verdana"/>
                      <w:sz w:val="16"/>
                      <w:szCs w:val="16"/>
                    </w:rPr>
                  </w:pPr>
                  <w:r w:rsidRPr="002A1F9A">
                    <w:rPr>
                      <w:rFonts w:ascii="Verdana" w:hAnsi="Verdana"/>
                      <w:sz w:val="16"/>
                      <w:szCs w:val="16"/>
                    </w:rPr>
                    <w:t>2018-2019</w:t>
                  </w:r>
                </w:p>
              </w:tc>
              <w:tc>
                <w:tcPr>
                  <w:tcW w:w="1590" w:type="dxa"/>
                  <w:hideMark/>
                </w:tcPr>
                <w:p w:rsidRPr="002A1F9A" w:rsidR="00DB2CBB" w:rsidP="00DB2CBB" w:rsidRDefault="00DB2CBB" w14:paraId="7D8A4D9A" w14:textId="77777777">
                  <w:pPr>
                    <w:rPr>
                      <w:rFonts w:ascii="Verdana" w:hAnsi="Verdana"/>
                      <w:sz w:val="16"/>
                      <w:szCs w:val="16"/>
                    </w:rPr>
                  </w:pPr>
                  <w:r w:rsidRPr="002A1F9A">
                    <w:rPr>
                      <w:rFonts w:ascii="Verdana" w:hAnsi="Verdana"/>
                      <w:sz w:val="16"/>
                      <w:szCs w:val="16"/>
                    </w:rPr>
                    <w:t>7,11%</w:t>
                  </w:r>
                </w:p>
              </w:tc>
            </w:tr>
            <w:tr w:rsidRPr="002A1F9A" w:rsidR="00DB2CBB" w:rsidTr="002C1B1D" w14:paraId="18740389" w14:textId="77777777">
              <w:trPr>
                <w:trHeight w:val="445"/>
              </w:trPr>
              <w:tc>
                <w:tcPr>
                  <w:tcW w:w="1399" w:type="dxa"/>
                  <w:noWrap/>
                  <w:hideMark/>
                </w:tcPr>
                <w:p w:rsidRPr="002A1F9A" w:rsidR="00DB2CBB" w:rsidP="00DB2CBB" w:rsidRDefault="00DB2CBB" w14:paraId="71C05AAF" w14:textId="77777777">
                  <w:pPr>
                    <w:rPr>
                      <w:rFonts w:ascii="Verdana" w:hAnsi="Verdana"/>
                      <w:sz w:val="16"/>
                      <w:szCs w:val="16"/>
                    </w:rPr>
                  </w:pPr>
                  <w:r w:rsidRPr="002A1F9A">
                    <w:rPr>
                      <w:rFonts w:ascii="Verdana" w:hAnsi="Verdana"/>
                      <w:sz w:val="16"/>
                      <w:szCs w:val="16"/>
                    </w:rPr>
                    <w:t>2019-2020</w:t>
                  </w:r>
                </w:p>
              </w:tc>
              <w:tc>
                <w:tcPr>
                  <w:tcW w:w="1134" w:type="dxa"/>
                  <w:noWrap/>
                  <w:hideMark/>
                </w:tcPr>
                <w:p w:rsidRPr="002A1F9A" w:rsidR="00DB2CBB" w:rsidP="00DB2CBB" w:rsidRDefault="00DB2CBB" w14:paraId="7B63E1CF" w14:textId="77777777">
                  <w:pPr>
                    <w:rPr>
                      <w:rFonts w:ascii="Verdana" w:hAnsi="Verdana"/>
                      <w:sz w:val="16"/>
                      <w:szCs w:val="16"/>
                    </w:rPr>
                  </w:pPr>
                  <w:r w:rsidRPr="002A1F9A">
                    <w:rPr>
                      <w:rFonts w:ascii="Verdana" w:hAnsi="Verdana"/>
                      <w:sz w:val="16"/>
                      <w:szCs w:val="16"/>
                    </w:rPr>
                    <w:t>5,80%</w:t>
                  </w:r>
                </w:p>
              </w:tc>
              <w:tc>
                <w:tcPr>
                  <w:tcW w:w="963" w:type="dxa"/>
                  <w:vMerge/>
                </w:tcPr>
                <w:p w:rsidRPr="002A1F9A" w:rsidR="00DB2CBB" w:rsidP="00DB2CBB" w:rsidRDefault="00DB2CBB" w14:paraId="41DAB451" w14:textId="77777777">
                  <w:pPr>
                    <w:rPr>
                      <w:rFonts w:ascii="Verdana" w:hAnsi="Verdana"/>
                      <w:sz w:val="16"/>
                      <w:szCs w:val="16"/>
                    </w:rPr>
                  </w:pPr>
                </w:p>
              </w:tc>
              <w:tc>
                <w:tcPr>
                  <w:tcW w:w="1305" w:type="dxa"/>
                  <w:hideMark/>
                </w:tcPr>
                <w:p w:rsidRPr="002A1F9A" w:rsidR="00DB2CBB" w:rsidP="00DB2CBB" w:rsidRDefault="00DB2CBB" w14:paraId="7E445379" w14:textId="77777777">
                  <w:pPr>
                    <w:rPr>
                      <w:rFonts w:ascii="Verdana" w:hAnsi="Verdana"/>
                      <w:sz w:val="16"/>
                      <w:szCs w:val="16"/>
                    </w:rPr>
                  </w:pPr>
                  <w:r w:rsidRPr="002A1F9A">
                    <w:rPr>
                      <w:rFonts w:ascii="Verdana" w:hAnsi="Verdana"/>
                      <w:sz w:val="16"/>
                      <w:szCs w:val="16"/>
                    </w:rPr>
                    <w:t>2019-2020</w:t>
                  </w:r>
                </w:p>
              </w:tc>
              <w:tc>
                <w:tcPr>
                  <w:tcW w:w="1590" w:type="dxa"/>
                  <w:hideMark/>
                </w:tcPr>
                <w:p w:rsidRPr="002A1F9A" w:rsidR="00DB2CBB" w:rsidP="00DB2CBB" w:rsidRDefault="00DB2CBB" w14:paraId="1E43572C" w14:textId="77777777">
                  <w:pPr>
                    <w:rPr>
                      <w:rFonts w:ascii="Verdana" w:hAnsi="Verdana"/>
                      <w:sz w:val="16"/>
                      <w:szCs w:val="16"/>
                    </w:rPr>
                  </w:pPr>
                  <w:r w:rsidRPr="002A1F9A">
                    <w:rPr>
                      <w:rFonts w:ascii="Verdana" w:hAnsi="Verdana"/>
                      <w:sz w:val="16"/>
                      <w:szCs w:val="16"/>
                    </w:rPr>
                    <w:t>7,22%</w:t>
                  </w:r>
                </w:p>
              </w:tc>
            </w:tr>
            <w:tr w:rsidRPr="002A1F9A" w:rsidR="00DB2CBB" w:rsidTr="002C1B1D" w14:paraId="0925A5B4" w14:textId="77777777">
              <w:trPr>
                <w:trHeight w:val="445"/>
              </w:trPr>
              <w:tc>
                <w:tcPr>
                  <w:tcW w:w="1399" w:type="dxa"/>
                  <w:noWrap/>
                  <w:hideMark/>
                </w:tcPr>
                <w:p w:rsidRPr="002A1F9A" w:rsidR="00DB2CBB" w:rsidP="00DB2CBB" w:rsidRDefault="00DB2CBB" w14:paraId="35B85C5D" w14:textId="77777777">
                  <w:pPr>
                    <w:rPr>
                      <w:rFonts w:ascii="Verdana" w:hAnsi="Verdana"/>
                      <w:sz w:val="16"/>
                      <w:szCs w:val="16"/>
                    </w:rPr>
                  </w:pPr>
                  <w:r w:rsidRPr="002A1F9A">
                    <w:rPr>
                      <w:rFonts w:ascii="Verdana" w:hAnsi="Verdana"/>
                      <w:sz w:val="16"/>
                      <w:szCs w:val="16"/>
                    </w:rPr>
                    <w:t>2020-2021</w:t>
                  </w:r>
                </w:p>
              </w:tc>
              <w:tc>
                <w:tcPr>
                  <w:tcW w:w="1134" w:type="dxa"/>
                  <w:noWrap/>
                  <w:hideMark/>
                </w:tcPr>
                <w:p w:rsidRPr="002A1F9A" w:rsidR="00DB2CBB" w:rsidP="00DB2CBB" w:rsidRDefault="00DB2CBB" w14:paraId="7CBC1B19" w14:textId="77777777">
                  <w:pPr>
                    <w:rPr>
                      <w:rFonts w:ascii="Verdana" w:hAnsi="Verdana"/>
                      <w:sz w:val="16"/>
                      <w:szCs w:val="16"/>
                    </w:rPr>
                  </w:pPr>
                  <w:r w:rsidRPr="002A1F9A">
                    <w:rPr>
                      <w:rFonts w:ascii="Verdana" w:hAnsi="Verdana"/>
                      <w:sz w:val="16"/>
                      <w:szCs w:val="16"/>
                    </w:rPr>
                    <w:t>5,61%</w:t>
                  </w:r>
                </w:p>
              </w:tc>
              <w:tc>
                <w:tcPr>
                  <w:tcW w:w="963" w:type="dxa"/>
                  <w:vMerge/>
                </w:tcPr>
                <w:p w:rsidRPr="002A1F9A" w:rsidR="00DB2CBB" w:rsidP="00DB2CBB" w:rsidRDefault="00DB2CBB" w14:paraId="57687A94" w14:textId="77777777">
                  <w:pPr>
                    <w:rPr>
                      <w:rFonts w:ascii="Verdana" w:hAnsi="Verdana"/>
                      <w:sz w:val="16"/>
                      <w:szCs w:val="16"/>
                    </w:rPr>
                  </w:pPr>
                </w:p>
              </w:tc>
              <w:tc>
                <w:tcPr>
                  <w:tcW w:w="1305" w:type="dxa"/>
                  <w:hideMark/>
                </w:tcPr>
                <w:p w:rsidRPr="002A1F9A" w:rsidR="00DB2CBB" w:rsidP="00DB2CBB" w:rsidRDefault="00DB2CBB" w14:paraId="5E335A34" w14:textId="77777777">
                  <w:pPr>
                    <w:rPr>
                      <w:rFonts w:ascii="Verdana" w:hAnsi="Verdana"/>
                      <w:sz w:val="16"/>
                      <w:szCs w:val="16"/>
                    </w:rPr>
                  </w:pPr>
                  <w:r w:rsidRPr="002A1F9A">
                    <w:rPr>
                      <w:rFonts w:ascii="Verdana" w:hAnsi="Verdana"/>
                      <w:sz w:val="16"/>
                      <w:szCs w:val="16"/>
                    </w:rPr>
                    <w:t>2020-2021</w:t>
                  </w:r>
                </w:p>
              </w:tc>
              <w:tc>
                <w:tcPr>
                  <w:tcW w:w="1590" w:type="dxa"/>
                  <w:hideMark/>
                </w:tcPr>
                <w:p w:rsidRPr="002A1F9A" w:rsidR="00DB2CBB" w:rsidP="00DB2CBB" w:rsidRDefault="00DB2CBB" w14:paraId="73185FF1" w14:textId="77777777">
                  <w:pPr>
                    <w:rPr>
                      <w:rFonts w:ascii="Verdana" w:hAnsi="Verdana"/>
                      <w:sz w:val="16"/>
                      <w:szCs w:val="16"/>
                    </w:rPr>
                  </w:pPr>
                  <w:r w:rsidRPr="002A1F9A">
                    <w:rPr>
                      <w:rFonts w:ascii="Verdana" w:hAnsi="Verdana"/>
                      <w:sz w:val="16"/>
                      <w:szCs w:val="16"/>
                    </w:rPr>
                    <w:t>6,68%</w:t>
                  </w:r>
                </w:p>
              </w:tc>
            </w:tr>
            <w:tr w:rsidRPr="002A1F9A" w:rsidR="00DB2CBB" w:rsidTr="002C1B1D" w14:paraId="6567C215" w14:textId="77777777">
              <w:trPr>
                <w:trHeight w:val="445"/>
              </w:trPr>
              <w:tc>
                <w:tcPr>
                  <w:tcW w:w="1399" w:type="dxa"/>
                  <w:noWrap/>
                  <w:hideMark/>
                </w:tcPr>
                <w:p w:rsidRPr="002A1F9A" w:rsidR="00DB2CBB" w:rsidP="00DB2CBB" w:rsidRDefault="00DB2CBB" w14:paraId="04529554" w14:textId="77777777">
                  <w:pPr>
                    <w:rPr>
                      <w:rFonts w:ascii="Verdana" w:hAnsi="Verdana"/>
                      <w:sz w:val="16"/>
                      <w:szCs w:val="16"/>
                    </w:rPr>
                  </w:pPr>
                  <w:r w:rsidRPr="002A1F9A">
                    <w:rPr>
                      <w:rFonts w:ascii="Verdana" w:hAnsi="Verdana"/>
                      <w:sz w:val="16"/>
                      <w:szCs w:val="16"/>
                    </w:rPr>
                    <w:t>2021-2022</w:t>
                  </w:r>
                </w:p>
              </w:tc>
              <w:tc>
                <w:tcPr>
                  <w:tcW w:w="1134" w:type="dxa"/>
                  <w:noWrap/>
                  <w:hideMark/>
                </w:tcPr>
                <w:p w:rsidRPr="002A1F9A" w:rsidR="00DB2CBB" w:rsidP="00DB2CBB" w:rsidRDefault="00DB2CBB" w14:paraId="6F376E10" w14:textId="77777777">
                  <w:pPr>
                    <w:rPr>
                      <w:rFonts w:ascii="Verdana" w:hAnsi="Verdana"/>
                      <w:sz w:val="16"/>
                      <w:szCs w:val="16"/>
                    </w:rPr>
                  </w:pPr>
                  <w:r w:rsidRPr="002A1F9A">
                    <w:rPr>
                      <w:rFonts w:ascii="Verdana" w:hAnsi="Verdana"/>
                      <w:sz w:val="16"/>
                      <w:szCs w:val="16"/>
                    </w:rPr>
                    <w:t>6,08%</w:t>
                  </w:r>
                </w:p>
              </w:tc>
              <w:tc>
                <w:tcPr>
                  <w:tcW w:w="963" w:type="dxa"/>
                  <w:vMerge/>
                </w:tcPr>
                <w:p w:rsidRPr="002A1F9A" w:rsidR="00DB2CBB" w:rsidP="00DB2CBB" w:rsidRDefault="00DB2CBB" w14:paraId="3C863EA5" w14:textId="77777777">
                  <w:pPr>
                    <w:rPr>
                      <w:rFonts w:ascii="Verdana" w:hAnsi="Verdana"/>
                      <w:sz w:val="16"/>
                      <w:szCs w:val="16"/>
                    </w:rPr>
                  </w:pPr>
                </w:p>
              </w:tc>
              <w:tc>
                <w:tcPr>
                  <w:tcW w:w="1305" w:type="dxa"/>
                  <w:hideMark/>
                </w:tcPr>
                <w:p w:rsidRPr="002A1F9A" w:rsidR="00DB2CBB" w:rsidP="00DB2CBB" w:rsidRDefault="00DB2CBB" w14:paraId="051E09E6" w14:textId="77777777">
                  <w:pPr>
                    <w:rPr>
                      <w:rFonts w:ascii="Verdana" w:hAnsi="Verdana"/>
                      <w:sz w:val="16"/>
                      <w:szCs w:val="16"/>
                    </w:rPr>
                  </w:pPr>
                  <w:r w:rsidRPr="002A1F9A">
                    <w:rPr>
                      <w:rFonts w:ascii="Verdana" w:hAnsi="Verdana"/>
                      <w:sz w:val="16"/>
                      <w:szCs w:val="16"/>
                    </w:rPr>
                    <w:t>2021-2022</w:t>
                  </w:r>
                </w:p>
              </w:tc>
              <w:tc>
                <w:tcPr>
                  <w:tcW w:w="1590" w:type="dxa"/>
                  <w:hideMark/>
                </w:tcPr>
                <w:p w:rsidRPr="002A1F9A" w:rsidR="00DB2CBB" w:rsidP="00DB2CBB" w:rsidRDefault="00DB2CBB" w14:paraId="6C6E7ABE" w14:textId="77777777">
                  <w:pPr>
                    <w:rPr>
                      <w:rFonts w:ascii="Verdana" w:hAnsi="Verdana"/>
                      <w:sz w:val="16"/>
                      <w:szCs w:val="16"/>
                    </w:rPr>
                  </w:pPr>
                  <w:r w:rsidRPr="002A1F9A">
                    <w:rPr>
                      <w:rFonts w:ascii="Verdana" w:hAnsi="Verdana"/>
                      <w:sz w:val="16"/>
                      <w:szCs w:val="16"/>
                    </w:rPr>
                    <w:t>7,35%</w:t>
                  </w:r>
                </w:p>
              </w:tc>
            </w:tr>
            <w:tr w:rsidRPr="002A1F9A" w:rsidR="00DB2CBB" w:rsidTr="002C1B1D" w14:paraId="55BF70CA" w14:textId="77777777">
              <w:trPr>
                <w:trHeight w:val="445"/>
              </w:trPr>
              <w:tc>
                <w:tcPr>
                  <w:tcW w:w="1399" w:type="dxa"/>
                  <w:noWrap/>
                  <w:hideMark/>
                </w:tcPr>
                <w:p w:rsidRPr="002A1F9A" w:rsidR="00DB2CBB" w:rsidP="00DB2CBB" w:rsidRDefault="00DB2CBB" w14:paraId="588D9198" w14:textId="77777777">
                  <w:pPr>
                    <w:rPr>
                      <w:rFonts w:ascii="Verdana" w:hAnsi="Verdana"/>
                      <w:sz w:val="16"/>
                      <w:szCs w:val="16"/>
                    </w:rPr>
                  </w:pPr>
                  <w:r w:rsidRPr="002A1F9A">
                    <w:rPr>
                      <w:rFonts w:ascii="Verdana" w:hAnsi="Verdana"/>
                      <w:sz w:val="16"/>
                      <w:szCs w:val="16"/>
                    </w:rPr>
                    <w:t>2022-2023</w:t>
                  </w:r>
                </w:p>
              </w:tc>
              <w:tc>
                <w:tcPr>
                  <w:tcW w:w="1134" w:type="dxa"/>
                  <w:noWrap/>
                  <w:hideMark/>
                </w:tcPr>
                <w:p w:rsidRPr="002A1F9A" w:rsidR="00DB2CBB" w:rsidP="00DB2CBB" w:rsidRDefault="00DB2CBB" w14:paraId="4A17589F" w14:textId="77777777">
                  <w:pPr>
                    <w:rPr>
                      <w:rFonts w:ascii="Verdana" w:hAnsi="Verdana"/>
                      <w:sz w:val="16"/>
                      <w:szCs w:val="16"/>
                    </w:rPr>
                  </w:pPr>
                  <w:r w:rsidRPr="002A1F9A">
                    <w:rPr>
                      <w:rFonts w:ascii="Verdana" w:hAnsi="Verdana"/>
                      <w:sz w:val="16"/>
                      <w:szCs w:val="16"/>
                    </w:rPr>
                    <w:t>7,06%</w:t>
                  </w:r>
                </w:p>
              </w:tc>
              <w:tc>
                <w:tcPr>
                  <w:tcW w:w="963" w:type="dxa"/>
                  <w:vMerge/>
                </w:tcPr>
                <w:p w:rsidRPr="002A1F9A" w:rsidR="00DB2CBB" w:rsidP="00DB2CBB" w:rsidRDefault="00DB2CBB" w14:paraId="7CAFB4E2" w14:textId="77777777">
                  <w:pPr>
                    <w:rPr>
                      <w:rFonts w:ascii="Verdana" w:hAnsi="Verdana"/>
                      <w:sz w:val="16"/>
                      <w:szCs w:val="16"/>
                    </w:rPr>
                  </w:pPr>
                </w:p>
              </w:tc>
              <w:tc>
                <w:tcPr>
                  <w:tcW w:w="1305" w:type="dxa"/>
                  <w:hideMark/>
                </w:tcPr>
                <w:p w:rsidRPr="002A1F9A" w:rsidR="00DB2CBB" w:rsidP="00DB2CBB" w:rsidRDefault="00DB2CBB" w14:paraId="7BBB3C3B" w14:textId="77777777">
                  <w:pPr>
                    <w:rPr>
                      <w:rFonts w:ascii="Verdana" w:hAnsi="Verdana"/>
                      <w:sz w:val="16"/>
                      <w:szCs w:val="16"/>
                    </w:rPr>
                  </w:pPr>
                  <w:r w:rsidRPr="002A1F9A">
                    <w:rPr>
                      <w:rFonts w:ascii="Verdana" w:hAnsi="Verdana"/>
                      <w:sz w:val="16"/>
                      <w:szCs w:val="16"/>
                    </w:rPr>
                    <w:t>2022-2023</w:t>
                  </w:r>
                </w:p>
              </w:tc>
              <w:tc>
                <w:tcPr>
                  <w:tcW w:w="1590" w:type="dxa"/>
                  <w:hideMark/>
                </w:tcPr>
                <w:p w:rsidRPr="002A1F9A" w:rsidR="00DB2CBB" w:rsidP="00DB2CBB" w:rsidRDefault="00DB2CBB" w14:paraId="5902A6A2" w14:textId="77777777">
                  <w:pPr>
                    <w:rPr>
                      <w:rFonts w:ascii="Verdana" w:hAnsi="Verdana"/>
                      <w:sz w:val="16"/>
                      <w:szCs w:val="16"/>
                    </w:rPr>
                  </w:pPr>
                  <w:r w:rsidRPr="002A1F9A">
                    <w:rPr>
                      <w:rFonts w:ascii="Verdana" w:hAnsi="Verdana"/>
                      <w:sz w:val="16"/>
                      <w:szCs w:val="16"/>
                    </w:rPr>
                    <w:t>8,07%</w:t>
                  </w:r>
                </w:p>
              </w:tc>
            </w:tr>
            <w:tr w:rsidRPr="002A1F9A" w:rsidR="00DB2CBB" w:rsidTr="002C1B1D" w14:paraId="19B18BBB" w14:textId="77777777">
              <w:trPr>
                <w:trHeight w:val="445"/>
              </w:trPr>
              <w:tc>
                <w:tcPr>
                  <w:tcW w:w="1399" w:type="dxa"/>
                  <w:noWrap/>
                  <w:hideMark/>
                </w:tcPr>
                <w:p w:rsidRPr="002A1F9A" w:rsidR="00DB2CBB" w:rsidP="00DB2CBB" w:rsidRDefault="00DB2CBB" w14:paraId="2C56CA5A" w14:textId="77777777">
                  <w:pPr>
                    <w:rPr>
                      <w:rFonts w:ascii="Verdana" w:hAnsi="Verdana"/>
                      <w:sz w:val="16"/>
                      <w:szCs w:val="16"/>
                    </w:rPr>
                  </w:pPr>
                  <w:r w:rsidRPr="002A1F9A">
                    <w:rPr>
                      <w:rFonts w:ascii="Verdana" w:hAnsi="Verdana"/>
                      <w:sz w:val="16"/>
                      <w:szCs w:val="16"/>
                    </w:rPr>
                    <w:t>2023-2024</w:t>
                  </w:r>
                </w:p>
              </w:tc>
              <w:tc>
                <w:tcPr>
                  <w:tcW w:w="1134" w:type="dxa"/>
                  <w:noWrap/>
                  <w:hideMark/>
                </w:tcPr>
                <w:p w:rsidRPr="002A1F9A" w:rsidR="00DB2CBB" w:rsidP="00DB2CBB" w:rsidRDefault="00DB2CBB" w14:paraId="189DB7CA" w14:textId="77777777">
                  <w:pPr>
                    <w:rPr>
                      <w:rFonts w:ascii="Verdana" w:hAnsi="Verdana"/>
                      <w:sz w:val="16"/>
                      <w:szCs w:val="16"/>
                    </w:rPr>
                  </w:pPr>
                  <w:r w:rsidRPr="002A1F9A">
                    <w:rPr>
                      <w:rFonts w:ascii="Verdana" w:hAnsi="Verdana"/>
                      <w:sz w:val="16"/>
                      <w:szCs w:val="16"/>
                    </w:rPr>
                    <w:t>6,87%</w:t>
                  </w:r>
                </w:p>
              </w:tc>
              <w:tc>
                <w:tcPr>
                  <w:tcW w:w="963" w:type="dxa"/>
                  <w:vMerge/>
                </w:tcPr>
                <w:p w:rsidRPr="002A1F9A" w:rsidR="00DB2CBB" w:rsidP="00DB2CBB" w:rsidRDefault="00DB2CBB" w14:paraId="75A072BB" w14:textId="77777777">
                  <w:pPr>
                    <w:rPr>
                      <w:rFonts w:ascii="Verdana" w:hAnsi="Verdana"/>
                      <w:sz w:val="16"/>
                      <w:szCs w:val="16"/>
                    </w:rPr>
                  </w:pPr>
                </w:p>
              </w:tc>
              <w:tc>
                <w:tcPr>
                  <w:tcW w:w="1305" w:type="dxa"/>
                  <w:hideMark/>
                </w:tcPr>
                <w:p w:rsidRPr="002A1F9A" w:rsidR="00DB2CBB" w:rsidP="00DB2CBB" w:rsidRDefault="00DB2CBB" w14:paraId="275E7289" w14:textId="77777777">
                  <w:pPr>
                    <w:rPr>
                      <w:rFonts w:ascii="Verdana" w:hAnsi="Verdana"/>
                      <w:sz w:val="16"/>
                      <w:szCs w:val="16"/>
                    </w:rPr>
                  </w:pPr>
                  <w:r w:rsidRPr="002A1F9A">
                    <w:rPr>
                      <w:rFonts w:ascii="Verdana" w:hAnsi="Verdana"/>
                      <w:sz w:val="16"/>
                      <w:szCs w:val="16"/>
                    </w:rPr>
                    <w:t>2023-2024</w:t>
                  </w:r>
                </w:p>
              </w:tc>
              <w:tc>
                <w:tcPr>
                  <w:tcW w:w="1590" w:type="dxa"/>
                  <w:hideMark/>
                </w:tcPr>
                <w:p w:rsidRPr="002A1F9A" w:rsidR="00DB2CBB" w:rsidP="00DB2CBB" w:rsidRDefault="00DB2CBB" w14:paraId="6D5CBC52" w14:textId="77777777">
                  <w:pPr>
                    <w:rPr>
                      <w:rFonts w:ascii="Verdana" w:hAnsi="Verdana"/>
                      <w:sz w:val="16"/>
                      <w:szCs w:val="16"/>
                    </w:rPr>
                  </w:pPr>
                  <w:r w:rsidRPr="002A1F9A">
                    <w:rPr>
                      <w:rFonts w:ascii="Verdana" w:hAnsi="Verdana"/>
                      <w:sz w:val="16"/>
                      <w:szCs w:val="16"/>
                    </w:rPr>
                    <w:t>8,00%</w:t>
                  </w:r>
                </w:p>
              </w:tc>
            </w:tr>
            <w:tr w:rsidRPr="002A1F9A" w:rsidR="00DB2CBB" w:rsidTr="002C1B1D" w14:paraId="6DF72897" w14:textId="77777777">
              <w:trPr>
                <w:trHeight w:val="654"/>
              </w:trPr>
              <w:tc>
                <w:tcPr>
                  <w:tcW w:w="1399" w:type="dxa"/>
                  <w:hideMark/>
                </w:tcPr>
                <w:p w:rsidRPr="002A1F9A" w:rsidR="00DB2CBB" w:rsidP="00DB2CBB" w:rsidRDefault="00DB2CBB" w14:paraId="4B4A34D0" w14:textId="77777777">
                  <w:pPr>
                    <w:rPr>
                      <w:rFonts w:ascii="Verdana" w:hAnsi="Verdana"/>
                      <w:sz w:val="16"/>
                      <w:szCs w:val="16"/>
                    </w:rPr>
                  </w:pPr>
                  <w:r w:rsidRPr="002A1F9A">
                    <w:rPr>
                      <w:rFonts w:ascii="Verdana" w:hAnsi="Verdana"/>
                      <w:sz w:val="16"/>
                      <w:szCs w:val="16"/>
                    </w:rPr>
                    <w:t xml:space="preserve">Gemiddeld </w:t>
                  </w:r>
                </w:p>
              </w:tc>
              <w:tc>
                <w:tcPr>
                  <w:tcW w:w="1134" w:type="dxa"/>
                  <w:noWrap/>
                  <w:hideMark/>
                </w:tcPr>
                <w:p w:rsidRPr="002A1F9A" w:rsidR="00DB2CBB" w:rsidP="00DB2CBB" w:rsidRDefault="00DB2CBB" w14:paraId="78D8EC05" w14:textId="77777777">
                  <w:pPr>
                    <w:rPr>
                      <w:rFonts w:ascii="Verdana" w:hAnsi="Verdana"/>
                      <w:sz w:val="16"/>
                      <w:szCs w:val="16"/>
                    </w:rPr>
                  </w:pPr>
                  <w:r w:rsidRPr="002A1F9A">
                    <w:rPr>
                      <w:rFonts w:ascii="Verdana" w:hAnsi="Verdana"/>
                      <w:sz w:val="16"/>
                      <w:szCs w:val="16"/>
                    </w:rPr>
                    <w:t>6,17%</w:t>
                  </w:r>
                </w:p>
              </w:tc>
              <w:tc>
                <w:tcPr>
                  <w:tcW w:w="963" w:type="dxa"/>
                  <w:vMerge/>
                </w:tcPr>
                <w:p w:rsidRPr="002A1F9A" w:rsidR="00DB2CBB" w:rsidP="00DB2CBB" w:rsidRDefault="00DB2CBB" w14:paraId="34E38190" w14:textId="77777777">
                  <w:pPr>
                    <w:rPr>
                      <w:rFonts w:ascii="Verdana" w:hAnsi="Verdana"/>
                      <w:sz w:val="16"/>
                      <w:szCs w:val="16"/>
                    </w:rPr>
                  </w:pPr>
                </w:p>
              </w:tc>
              <w:tc>
                <w:tcPr>
                  <w:tcW w:w="1305" w:type="dxa"/>
                  <w:hideMark/>
                </w:tcPr>
                <w:p w:rsidRPr="002A1F9A" w:rsidR="00DB2CBB" w:rsidP="00DB2CBB" w:rsidRDefault="00DB2CBB" w14:paraId="16EE53FF" w14:textId="04200715">
                  <w:pPr>
                    <w:rPr>
                      <w:rFonts w:ascii="Verdana" w:hAnsi="Verdana"/>
                      <w:sz w:val="16"/>
                      <w:szCs w:val="16"/>
                    </w:rPr>
                  </w:pPr>
                  <w:r w:rsidRPr="002A1F9A">
                    <w:rPr>
                      <w:rFonts w:ascii="Verdana" w:hAnsi="Verdana"/>
                      <w:sz w:val="16"/>
                      <w:szCs w:val="16"/>
                    </w:rPr>
                    <w:t>Gemiddeld</w:t>
                  </w:r>
                </w:p>
              </w:tc>
              <w:tc>
                <w:tcPr>
                  <w:tcW w:w="1590" w:type="dxa"/>
                  <w:hideMark/>
                </w:tcPr>
                <w:p w:rsidRPr="002A1F9A" w:rsidR="00DB2CBB" w:rsidP="00DB2CBB" w:rsidRDefault="00DB2CBB" w14:paraId="50191994" w14:textId="77777777">
                  <w:pPr>
                    <w:rPr>
                      <w:rFonts w:ascii="Verdana" w:hAnsi="Verdana"/>
                      <w:sz w:val="16"/>
                      <w:szCs w:val="16"/>
                    </w:rPr>
                  </w:pPr>
                  <w:r w:rsidRPr="002A1F9A">
                    <w:rPr>
                      <w:rFonts w:ascii="Verdana" w:hAnsi="Verdana"/>
                      <w:sz w:val="16"/>
                      <w:szCs w:val="16"/>
                    </w:rPr>
                    <w:t>7,18%</w:t>
                  </w:r>
                </w:p>
              </w:tc>
            </w:tr>
          </w:tbl>
          <w:p w:rsidRPr="002A1F9A" w:rsidR="00DB2CBB" w:rsidP="00DB2CBB" w:rsidRDefault="00DB2CBB" w14:paraId="55134EB4" w14:textId="3DDD234A">
            <w:pPr>
              <w:rPr>
                <w:rFonts w:ascii="Verdana" w:hAnsi="Verdana"/>
                <w:sz w:val="18"/>
                <w:szCs w:val="18"/>
              </w:rPr>
            </w:pPr>
            <w:r w:rsidRPr="002A1F9A">
              <w:rPr>
                <w:rFonts w:ascii="Verdana" w:hAnsi="Verdana"/>
                <w:sz w:val="18"/>
                <w:szCs w:val="18"/>
              </w:rPr>
              <w:t xml:space="preserve"> </w:t>
            </w:r>
          </w:p>
        </w:tc>
        <w:tc>
          <w:tcPr>
            <w:tcW w:w="850" w:type="dxa"/>
            <w:gridSpan w:val="2"/>
          </w:tcPr>
          <w:p w:rsidRPr="002A1F9A" w:rsidR="00DB2CBB" w:rsidP="00DB2CBB" w:rsidRDefault="00DB2CBB" w14:paraId="60BF4314"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247D417D"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74462F79"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C565169" w14:textId="77777777">
        <w:tc>
          <w:tcPr>
            <w:tcW w:w="567" w:type="dxa"/>
          </w:tcPr>
          <w:p w:rsidRPr="002A1F9A" w:rsidR="00DB2CBB" w:rsidP="00DB2CBB" w:rsidRDefault="00DB2CBB" w14:paraId="419DF33F" w14:textId="77777777">
            <w:pPr>
              <w:rPr>
                <w:rFonts w:ascii="Verdana" w:hAnsi="Verdana"/>
                <w:sz w:val="18"/>
                <w:szCs w:val="18"/>
              </w:rPr>
            </w:pPr>
            <w:r w:rsidRPr="002A1F9A">
              <w:rPr>
                <w:rFonts w:ascii="Verdana" w:hAnsi="Verdana"/>
                <w:sz w:val="18"/>
                <w:szCs w:val="18"/>
              </w:rPr>
              <w:t>67</w:t>
            </w:r>
          </w:p>
        </w:tc>
        <w:tc>
          <w:tcPr>
            <w:tcW w:w="6521" w:type="dxa"/>
            <w:gridSpan w:val="7"/>
          </w:tcPr>
          <w:p w:rsidRPr="002A1F9A" w:rsidR="00DB2CBB" w:rsidP="00DB2CBB" w:rsidRDefault="00DB2CBB" w14:paraId="7E0E63A6" w14:textId="77777777">
            <w:pPr>
              <w:rPr>
                <w:rFonts w:ascii="Verdana" w:hAnsi="Verdana"/>
                <w:sz w:val="18"/>
                <w:szCs w:val="18"/>
              </w:rPr>
            </w:pPr>
            <w:r w:rsidRPr="002A1F9A">
              <w:rPr>
                <w:rFonts w:ascii="Verdana" w:hAnsi="Verdana"/>
                <w:sz w:val="18"/>
                <w:szCs w:val="18"/>
              </w:rPr>
              <w:t>Kunt u een overzicht geven van het aantal studenten dat per jaar aan een lerarenopleiding is begonnen van de afgelopen twintig jaar?</w:t>
            </w:r>
          </w:p>
          <w:p w:rsidRPr="002A1F9A" w:rsidR="00DF2B80" w:rsidP="00DB2CBB" w:rsidRDefault="00DF2B80" w14:paraId="0E42F402" w14:textId="77777777">
            <w:pPr>
              <w:rPr>
                <w:rFonts w:ascii="Verdana" w:hAnsi="Verdana"/>
                <w:sz w:val="18"/>
                <w:szCs w:val="18"/>
              </w:rPr>
            </w:pPr>
          </w:p>
          <w:p w:rsidRPr="002A1F9A" w:rsidR="00DF2B80" w:rsidP="00DF2B80" w:rsidRDefault="00DF2B80" w14:paraId="399798BD" w14:textId="77777777">
            <w:pPr>
              <w:rPr>
                <w:rFonts w:ascii="Verdana" w:hAnsi="Verdana"/>
                <w:sz w:val="18"/>
                <w:szCs w:val="18"/>
              </w:rPr>
            </w:pPr>
            <w:r w:rsidRPr="002A1F9A">
              <w:rPr>
                <w:rFonts w:ascii="Verdana" w:hAnsi="Verdana"/>
                <w:sz w:val="18"/>
                <w:szCs w:val="18"/>
              </w:rPr>
              <w:t>De instroom in de hbo- en wo-lerarenopleidingen over de afgelopen twintig jaar is als volgt:</w:t>
            </w:r>
          </w:p>
          <w:p w:rsidRPr="002A1F9A" w:rsidR="00DF2B80" w:rsidP="00DF2B80" w:rsidRDefault="00DF2B80" w14:paraId="07CB645A" w14:textId="77777777">
            <w:pPr>
              <w:rPr>
                <w:rFonts w:ascii="Verdana" w:hAnsi="Verdana"/>
                <w:sz w:val="18"/>
                <w:szCs w:val="18"/>
              </w:rPr>
            </w:pPr>
          </w:p>
          <w:p w:rsidRPr="002A1F9A" w:rsidR="00DF2B80" w:rsidP="00DF2B80" w:rsidRDefault="00DF2B80" w14:paraId="20D5946F" w14:textId="77777777">
            <w:pPr>
              <w:rPr>
                <w:rFonts w:ascii="Verdana" w:hAnsi="Verdana"/>
                <w:sz w:val="18"/>
                <w:szCs w:val="18"/>
              </w:rPr>
            </w:pPr>
            <w:r w:rsidRPr="002A1F9A">
              <w:rPr>
                <w:rFonts w:ascii="Verdana" w:hAnsi="Verdana"/>
                <w:noProof/>
                <w:sz w:val="18"/>
                <w:szCs w:val="18"/>
              </w:rPr>
              <w:drawing>
                <wp:inline distT="0" distB="0" distL="0" distR="0" wp14:anchorId="329191B2" wp14:editId="158F2C76">
                  <wp:extent cx="3883660" cy="3213100"/>
                  <wp:effectExtent l="0" t="0" r="2540" b="6350"/>
                  <wp:docPr id="2011211810" name="Afbeelding 2"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11810" name="Afbeelding 2" descr="Afbeelding met tekst, schermopname, lijn, Lettertype&#10;&#10;Door AI gegenereerde inhoud is mogelijk onjuis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83660" cy="3213100"/>
                          </a:xfrm>
                          <a:prstGeom prst="rect">
                            <a:avLst/>
                          </a:prstGeom>
                          <a:noFill/>
                        </pic:spPr>
                      </pic:pic>
                    </a:graphicData>
                  </a:graphic>
                </wp:inline>
              </w:drawing>
            </w:r>
          </w:p>
          <w:p w:rsidRPr="002A1F9A" w:rsidR="00DF2B80" w:rsidP="00DF2B80" w:rsidRDefault="00DF2B80" w14:paraId="3CAC2198" w14:textId="77777777">
            <w:pPr>
              <w:rPr>
                <w:rFonts w:ascii="Verdana" w:hAnsi="Verdana"/>
                <w:sz w:val="18"/>
                <w:szCs w:val="18"/>
              </w:rPr>
            </w:pPr>
          </w:p>
          <w:tbl>
            <w:tblPr>
              <w:tblW w:w="2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91"/>
              <w:gridCol w:w="1191"/>
            </w:tblGrid>
            <w:tr w:rsidRPr="002A1F9A" w:rsidR="00DF2B80" w:rsidTr="0047315C" w14:paraId="30B40D4B" w14:textId="77777777">
              <w:trPr>
                <w:trHeight w:val="255"/>
              </w:trPr>
              <w:tc>
                <w:tcPr>
                  <w:tcW w:w="1191" w:type="dxa"/>
                  <w:noWrap/>
                  <w:vAlign w:val="bottom"/>
                  <w:hideMark/>
                </w:tcPr>
                <w:p w:rsidRPr="002A1F9A" w:rsidR="00DF2B80" w:rsidP="00DF2B80" w:rsidRDefault="00DF2B80" w14:paraId="4FF1EF06" w14:textId="77777777">
                  <w:pPr>
                    <w:rPr>
                      <w:rFonts w:ascii="Verdana" w:hAnsi="Verdana"/>
                      <w:b/>
                      <w:bCs/>
                      <w:color w:val="000000"/>
                      <w:sz w:val="16"/>
                      <w:szCs w:val="16"/>
                    </w:rPr>
                  </w:pPr>
                  <w:r w:rsidRPr="002A1F9A">
                    <w:rPr>
                      <w:rFonts w:ascii="Verdana" w:hAnsi="Verdana"/>
                      <w:b/>
                      <w:bCs/>
                      <w:color w:val="000000"/>
                      <w:sz w:val="16"/>
                      <w:szCs w:val="16"/>
                    </w:rPr>
                    <w:t>Studiejaar</w:t>
                  </w:r>
                </w:p>
              </w:tc>
              <w:tc>
                <w:tcPr>
                  <w:tcW w:w="1191" w:type="dxa"/>
                  <w:noWrap/>
                  <w:vAlign w:val="bottom"/>
                  <w:hideMark/>
                </w:tcPr>
                <w:p w:rsidRPr="002A1F9A" w:rsidR="00DF2B80" w:rsidP="00DF2B80" w:rsidRDefault="00DF2B80" w14:paraId="0F6BAC0C" w14:textId="77777777">
                  <w:pPr>
                    <w:rPr>
                      <w:rFonts w:ascii="Verdana" w:hAnsi="Verdana"/>
                      <w:b/>
                      <w:bCs/>
                      <w:color w:val="000000"/>
                      <w:sz w:val="16"/>
                      <w:szCs w:val="16"/>
                    </w:rPr>
                  </w:pPr>
                  <w:r w:rsidRPr="002A1F9A">
                    <w:rPr>
                      <w:rFonts w:ascii="Verdana" w:hAnsi="Verdana"/>
                      <w:b/>
                      <w:bCs/>
                      <w:color w:val="000000"/>
                      <w:sz w:val="16"/>
                      <w:szCs w:val="16"/>
                    </w:rPr>
                    <w:t>Instroom studenten</w:t>
                  </w:r>
                </w:p>
              </w:tc>
            </w:tr>
            <w:tr w:rsidRPr="002A1F9A" w:rsidR="00DF2B80" w:rsidTr="0047315C" w14:paraId="00475607" w14:textId="77777777">
              <w:trPr>
                <w:trHeight w:val="255"/>
              </w:trPr>
              <w:tc>
                <w:tcPr>
                  <w:tcW w:w="1191" w:type="dxa"/>
                  <w:noWrap/>
                  <w:vAlign w:val="bottom"/>
                  <w:hideMark/>
                </w:tcPr>
                <w:p w:rsidRPr="002A1F9A" w:rsidR="00DF2B80" w:rsidP="00DF2B80" w:rsidRDefault="00DF2B80" w14:paraId="066ED449" w14:textId="77777777">
                  <w:pPr>
                    <w:rPr>
                      <w:rFonts w:ascii="Verdana" w:hAnsi="Verdana"/>
                      <w:b/>
                      <w:bCs/>
                      <w:color w:val="000000"/>
                      <w:sz w:val="16"/>
                      <w:szCs w:val="16"/>
                    </w:rPr>
                  </w:pPr>
                  <w:r w:rsidRPr="002A1F9A">
                    <w:rPr>
                      <w:rFonts w:ascii="Verdana" w:hAnsi="Verdana"/>
                      <w:b/>
                      <w:bCs/>
                      <w:color w:val="000000"/>
                      <w:sz w:val="16"/>
                      <w:szCs w:val="16"/>
                    </w:rPr>
                    <w:t>2004</w:t>
                  </w:r>
                </w:p>
              </w:tc>
              <w:tc>
                <w:tcPr>
                  <w:tcW w:w="1191" w:type="dxa"/>
                  <w:noWrap/>
                  <w:vAlign w:val="bottom"/>
                  <w:hideMark/>
                </w:tcPr>
                <w:p w:rsidRPr="002A1F9A" w:rsidR="00DF2B80" w:rsidP="00DF2B80" w:rsidRDefault="00DF2B80" w14:paraId="64D2A66B" w14:textId="77777777">
                  <w:pPr>
                    <w:jc w:val="right"/>
                    <w:rPr>
                      <w:rFonts w:ascii="Verdana" w:hAnsi="Verdana"/>
                      <w:color w:val="000000"/>
                      <w:sz w:val="16"/>
                      <w:szCs w:val="16"/>
                    </w:rPr>
                  </w:pPr>
                  <w:r w:rsidRPr="002A1F9A">
                    <w:rPr>
                      <w:rFonts w:ascii="Verdana" w:hAnsi="Verdana"/>
                      <w:color w:val="000000"/>
                      <w:sz w:val="16"/>
                      <w:szCs w:val="16"/>
                    </w:rPr>
                    <w:t>21.880</w:t>
                  </w:r>
                </w:p>
              </w:tc>
            </w:tr>
            <w:tr w:rsidRPr="002A1F9A" w:rsidR="00DF2B80" w:rsidTr="0047315C" w14:paraId="0E157286" w14:textId="77777777">
              <w:trPr>
                <w:trHeight w:val="255"/>
              </w:trPr>
              <w:tc>
                <w:tcPr>
                  <w:tcW w:w="1191" w:type="dxa"/>
                  <w:noWrap/>
                  <w:vAlign w:val="bottom"/>
                  <w:hideMark/>
                </w:tcPr>
                <w:p w:rsidRPr="002A1F9A" w:rsidR="00DF2B80" w:rsidP="00DF2B80" w:rsidRDefault="00DF2B80" w14:paraId="4BBC0762" w14:textId="77777777">
                  <w:pPr>
                    <w:rPr>
                      <w:rFonts w:ascii="Verdana" w:hAnsi="Verdana"/>
                      <w:b/>
                      <w:bCs/>
                      <w:color w:val="000000"/>
                      <w:sz w:val="16"/>
                      <w:szCs w:val="16"/>
                    </w:rPr>
                  </w:pPr>
                  <w:r w:rsidRPr="002A1F9A">
                    <w:rPr>
                      <w:rFonts w:ascii="Verdana" w:hAnsi="Verdana"/>
                      <w:b/>
                      <w:bCs/>
                      <w:color w:val="000000"/>
                      <w:sz w:val="16"/>
                      <w:szCs w:val="16"/>
                    </w:rPr>
                    <w:t>2005</w:t>
                  </w:r>
                </w:p>
              </w:tc>
              <w:tc>
                <w:tcPr>
                  <w:tcW w:w="1191" w:type="dxa"/>
                  <w:noWrap/>
                  <w:vAlign w:val="bottom"/>
                  <w:hideMark/>
                </w:tcPr>
                <w:p w:rsidRPr="002A1F9A" w:rsidR="00DF2B80" w:rsidP="00DF2B80" w:rsidRDefault="00DF2B80" w14:paraId="07742754" w14:textId="77777777">
                  <w:pPr>
                    <w:jc w:val="right"/>
                    <w:rPr>
                      <w:rFonts w:ascii="Verdana" w:hAnsi="Verdana"/>
                      <w:color w:val="000000"/>
                      <w:sz w:val="16"/>
                      <w:szCs w:val="16"/>
                    </w:rPr>
                  </w:pPr>
                  <w:r w:rsidRPr="002A1F9A">
                    <w:rPr>
                      <w:rFonts w:ascii="Verdana" w:hAnsi="Verdana"/>
                      <w:color w:val="000000"/>
                      <w:sz w:val="16"/>
                      <w:szCs w:val="16"/>
                    </w:rPr>
                    <w:t>20.683</w:t>
                  </w:r>
                </w:p>
              </w:tc>
            </w:tr>
            <w:tr w:rsidRPr="002A1F9A" w:rsidR="00DF2B80" w:rsidTr="0047315C" w14:paraId="48829DDF" w14:textId="77777777">
              <w:trPr>
                <w:trHeight w:val="255"/>
              </w:trPr>
              <w:tc>
                <w:tcPr>
                  <w:tcW w:w="1191" w:type="dxa"/>
                  <w:noWrap/>
                  <w:vAlign w:val="bottom"/>
                  <w:hideMark/>
                </w:tcPr>
                <w:p w:rsidRPr="002A1F9A" w:rsidR="00DF2B80" w:rsidP="00DF2B80" w:rsidRDefault="00DF2B80" w14:paraId="67D72A36" w14:textId="77777777">
                  <w:pPr>
                    <w:rPr>
                      <w:rFonts w:ascii="Verdana" w:hAnsi="Verdana"/>
                      <w:b/>
                      <w:bCs/>
                      <w:color w:val="000000"/>
                      <w:sz w:val="16"/>
                      <w:szCs w:val="16"/>
                    </w:rPr>
                  </w:pPr>
                  <w:r w:rsidRPr="002A1F9A">
                    <w:rPr>
                      <w:rFonts w:ascii="Verdana" w:hAnsi="Verdana"/>
                      <w:b/>
                      <w:bCs/>
                      <w:color w:val="000000"/>
                      <w:sz w:val="16"/>
                      <w:szCs w:val="16"/>
                    </w:rPr>
                    <w:t>2006</w:t>
                  </w:r>
                </w:p>
              </w:tc>
              <w:tc>
                <w:tcPr>
                  <w:tcW w:w="1191" w:type="dxa"/>
                  <w:noWrap/>
                  <w:vAlign w:val="bottom"/>
                  <w:hideMark/>
                </w:tcPr>
                <w:p w:rsidRPr="002A1F9A" w:rsidR="00DF2B80" w:rsidP="00DF2B80" w:rsidRDefault="00DF2B80" w14:paraId="447B47E9" w14:textId="77777777">
                  <w:pPr>
                    <w:jc w:val="right"/>
                    <w:rPr>
                      <w:rFonts w:ascii="Verdana" w:hAnsi="Verdana"/>
                      <w:color w:val="000000"/>
                      <w:sz w:val="16"/>
                      <w:szCs w:val="16"/>
                    </w:rPr>
                  </w:pPr>
                  <w:r w:rsidRPr="002A1F9A">
                    <w:rPr>
                      <w:rFonts w:ascii="Verdana" w:hAnsi="Verdana"/>
                      <w:color w:val="000000"/>
                      <w:sz w:val="16"/>
                      <w:szCs w:val="16"/>
                    </w:rPr>
                    <w:t>20.838</w:t>
                  </w:r>
                </w:p>
              </w:tc>
            </w:tr>
            <w:tr w:rsidRPr="002A1F9A" w:rsidR="00DF2B80" w:rsidTr="0047315C" w14:paraId="4D430FF4" w14:textId="77777777">
              <w:trPr>
                <w:trHeight w:val="255"/>
              </w:trPr>
              <w:tc>
                <w:tcPr>
                  <w:tcW w:w="1191" w:type="dxa"/>
                  <w:noWrap/>
                  <w:vAlign w:val="bottom"/>
                  <w:hideMark/>
                </w:tcPr>
                <w:p w:rsidRPr="002A1F9A" w:rsidR="00DF2B80" w:rsidP="00DF2B80" w:rsidRDefault="00DF2B80" w14:paraId="55EF40E3" w14:textId="77777777">
                  <w:pPr>
                    <w:rPr>
                      <w:rFonts w:ascii="Verdana" w:hAnsi="Verdana"/>
                      <w:b/>
                      <w:bCs/>
                      <w:color w:val="000000"/>
                      <w:sz w:val="16"/>
                      <w:szCs w:val="16"/>
                    </w:rPr>
                  </w:pPr>
                  <w:r w:rsidRPr="002A1F9A">
                    <w:rPr>
                      <w:rFonts w:ascii="Verdana" w:hAnsi="Verdana"/>
                      <w:b/>
                      <w:bCs/>
                      <w:color w:val="000000"/>
                      <w:sz w:val="16"/>
                      <w:szCs w:val="16"/>
                    </w:rPr>
                    <w:t>2007</w:t>
                  </w:r>
                </w:p>
              </w:tc>
              <w:tc>
                <w:tcPr>
                  <w:tcW w:w="1191" w:type="dxa"/>
                  <w:noWrap/>
                  <w:vAlign w:val="bottom"/>
                  <w:hideMark/>
                </w:tcPr>
                <w:p w:rsidRPr="002A1F9A" w:rsidR="00DF2B80" w:rsidP="00DF2B80" w:rsidRDefault="00DF2B80" w14:paraId="56992C3D" w14:textId="77777777">
                  <w:pPr>
                    <w:jc w:val="right"/>
                    <w:rPr>
                      <w:rFonts w:ascii="Verdana" w:hAnsi="Verdana"/>
                      <w:color w:val="000000"/>
                      <w:sz w:val="16"/>
                      <w:szCs w:val="16"/>
                    </w:rPr>
                  </w:pPr>
                  <w:r w:rsidRPr="002A1F9A">
                    <w:rPr>
                      <w:rFonts w:ascii="Verdana" w:hAnsi="Verdana"/>
                      <w:color w:val="000000"/>
                      <w:sz w:val="16"/>
                      <w:szCs w:val="16"/>
                    </w:rPr>
                    <w:t>20.392</w:t>
                  </w:r>
                </w:p>
              </w:tc>
            </w:tr>
            <w:tr w:rsidRPr="002A1F9A" w:rsidR="00DF2B80" w:rsidTr="0047315C" w14:paraId="0023E904" w14:textId="77777777">
              <w:trPr>
                <w:trHeight w:val="255"/>
              </w:trPr>
              <w:tc>
                <w:tcPr>
                  <w:tcW w:w="1191" w:type="dxa"/>
                  <w:noWrap/>
                  <w:vAlign w:val="bottom"/>
                  <w:hideMark/>
                </w:tcPr>
                <w:p w:rsidRPr="002A1F9A" w:rsidR="00DF2B80" w:rsidP="00DF2B80" w:rsidRDefault="00DF2B80" w14:paraId="20C7DDC8" w14:textId="77777777">
                  <w:pPr>
                    <w:rPr>
                      <w:rFonts w:ascii="Verdana" w:hAnsi="Verdana"/>
                      <w:b/>
                      <w:bCs/>
                      <w:color w:val="000000"/>
                      <w:sz w:val="16"/>
                      <w:szCs w:val="16"/>
                    </w:rPr>
                  </w:pPr>
                  <w:r w:rsidRPr="002A1F9A">
                    <w:rPr>
                      <w:rFonts w:ascii="Verdana" w:hAnsi="Verdana"/>
                      <w:b/>
                      <w:bCs/>
                      <w:color w:val="000000"/>
                      <w:sz w:val="16"/>
                      <w:szCs w:val="16"/>
                    </w:rPr>
                    <w:t>2008</w:t>
                  </w:r>
                </w:p>
              </w:tc>
              <w:tc>
                <w:tcPr>
                  <w:tcW w:w="1191" w:type="dxa"/>
                  <w:noWrap/>
                  <w:vAlign w:val="bottom"/>
                  <w:hideMark/>
                </w:tcPr>
                <w:p w:rsidRPr="002A1F9A" w:rsidR="00DF2B80" w:rsidP="00DF2B80" w:rsidRDefault="00DF2B80" w14:paraId="2E9408D7" w14:textId="77777777">
                  <w:pPr>
                    <w:jc w:val="right"/>
                    <w:rPr>
                      <w:rFonts w:ascii="Verdana" w:hAnsi="Verdana"/>
                      <w:color w:val="000000"/>
                      <w:sz w:val="16"/>
                      <w:szCs w:val="16"/>
                    </w:rPr>
                  </w:pPr>
                  <w:r w:rsidRPr="002A1F9A">
                    <w:rPr>
                      <w:rFonts w:ascii="Verdana" w:hAnsi="Verdana"/>
                      <w:color w:val="000000"/>
                      <w:sz w:val="16"/>
                      <w:szCs w:val="16"/>
                    </w:rPr>
                    <w:t>19.734</w:t>
                  </w:r>
                </w:p>
              </w:tc>
            </w:tr>
            <w:tr w:rsidRPr="002A1F9A" w:rsidR="00DF2B80" w:rsidTr="0047315C" w14:paraId="633D6DF6" w14:textId="77777777">
              <w:trPr>
                <w:trHeight w:val="255"/>
              </w:trPr>
              <w:tc>
                <w:tcPr>
                  <w:tcW w:w="1191" w:type="dxa"/>
                  <w:noWrap/>
                  <w:vAlign w:val="bottom"/>
                  <w:hideMark/>
                </w:tcPr>
                <w:p w:rsidRPr="002A1F9A" w:rsidR="00DF2B80" w:rsidP="00DF2B80" w:rsidRDefault="00DF2B80" w14:paraId="7CAEE7CF" w14:textId="77777777">
                  <w:pPr>
                    <w:rPr>
                      <w:rFonts w:ascii="Verdana" w:hAnsi="Verdana"/>
                      <w:b/>
                      <w:bCs/>
                      <w:color w:val="000000"/>
                      <w:sz w:val="16"/>
                      <w:szCs w:val="16"/>
                    </w:rPr>
                  </w:pPr>
                  <w:r w:rsidRPr="002A1F9A">
                    <w:rPr>
                      <w:rFonts w:ascii="Verdana" w:hAnsi="Verdana"/>
                      <w:b/>
                      <w:bCs/>
                      <w:color w:val="000000"/>
                      <w:sz w:val="16"/>
                      <w:szCs w:val="16"/>
                    </w:rPr>
                    <w:t>2009</w:t>
                  </w:r>
                </w:p>
              </w:tc>
              <w:tc>
                <w:tcPr>
                  <w:tcW w:w="1191" w:type="dxa"/>
                  <w:noWrap/>
                  <w:vAlign w:val="bottom"/>
                  <w:hideMark/>
                </w:tcPr>
                <w:p w:rsidRPr="002A1F9A" w:rsidR="00DF2B80" w:rsidP="00DF2B80" w:rsidRDefault="00DF2B80" w14:paraId="5CFFFA98" w14:textId="77777777">
                  <w:pPr>
                    <w:jc w:val="right"/>
                    <w:rPr>
                      <w:rFonts w:ascii="Verdana" w:hAnsi="Verdana"/>
                      <w:color w:val="000000"/>
                      <w:sz w:val="16"/>
                      <w:szCs w:val="16"/>
                    </w:rPr>
                  </w:pPr>
                  <w:r w:rsidRPr="002A1F9A">
                    <w:rPr>
                      <w:rFonts w:ascii="Verdana" w:hAnsi="Verdana"/>
                      <w:color w:val="000000"/>
                      <w:sz w:val="16"/>
                      <w:szCs w:val="16"/>
                    </w:rPr>
                    <w:t>21.143</w:t>
                  </w:r>
                </w:p>
              </w:tc>
            </w:tr>
            <w:tr w:rsidRPr="002A1F9A" w:rsidR="00DF2B80" w:rsidTr="0047315C" w14:paraId="715BE51A" w14:textId="77777777">
              <w:trPr>
                <w:trHeight w:val="255"/>
              </w:trPr>
              <w:tc>
                <w:tcPr>
                  <w:tcW w:w="1191" w:type="dxa"/>
                  <w:noWrap/>
                  <w:vAlign w:val="bottom"/>
                  <w:hideMark/>
                </w:tcPr>
                <w:p w:rsidRPr="002A1F9A" w:rsidR="00DF2B80" w:rsidP="00DF2B80" w:rsidRDefault="00DF2B80" w14:paraId="46B060EA" w14:textId="77777777">
                  <w:pPr>
                    <w:rPr>
                      <w:rFonts w:ascii="Verdana" w:hAnsi="Verdana"/>
                      <w:b/>
                      <w:bCs/>
                      <w:color w:val="000000"/>
                      <w:sz w:val="16"/>
                      <w:szCs w:val="16"/>
                    </w:rPr>
                  </w:pPr>
                  <w:r w:rsidRPr="002A1F9A">
                    <w:rPr>
                      <w:rFonts w:ascii="Verdana" w:hAnsi="Verdana"/>
                      <w:b/>
                      <w:bCs/>
                      <w:color w:val="000000"/>
                      <w:sz w:val="16"/>
                      <w:szCs w:val="16"/>
                    </w:rPr>
                    <w:t>2010</w:t>
                  </w:r>
                </w:p>
              </w:tc>
              <w:tc>
                <w:tcPr>
                  <w:tcW w:w="1191" w:type="dxa"/>
                  <w:noWrap/>
                  <w:vAlign w:val="bottom"/>
                  <w:hideMark/>
                </w:tcPr>
                <w:p w:rsidRPr="002A1F9A" w:rsidR="00DF2B80" w:rsidP="00DF2B80" w:rsidRDefault="00DF2B80" w14:paraId="7782D615" w14:textId="77777777">
                  <w:pPr>
                    <w:jc w:val="right"/>
                    <w:rPr>
                      <w:rFonts w:ascii="Verdana" w:hAnsi="Verdana"/>
                      <w:color w:val="000000"/>
                      <w:sz w:val="16"/>
                      <w:szCs w:val="16"/>
                    </w:rPr>
                  </w:pPr>
                  <w:r w:rsidRPr="002A1F9A">
                    <w:rPr>
                      <w:rFonts w:ascii="Verdana" w:hAnsi="Verdana"/>
                      <w:color w:val="000000"/>
                      <w:sz w:val="16"/>
                      <w:szCs w:val="16"/>
                    </w:rPr>
                    <w:t>21.456</w:t>
                  </w:r>
                </w:p>
              </w:tc>
            </w:tr>
            <w:tr w:rsidRPr="002A1F9A" w:rsidR="00DF2B80" w:rsidTr="0047315C" w14:paraId="539A4A27" w14:textId="77777777">
              <w:trPr>
                <w:trHeight w:val="255"/>
              </w:trPr>
              <w:tc>
                <w:tcPr>
                  <w:tcW w:w="1191" w:type="dxa"/>
                  <w:noWrap/>
                  <w:vAlign w:val="bottom"/>
                  <w:hideMark/>
                </w:tcPr>
                <w:p w:rsidRPr="002A1F9A" w:rsidR="00DF2B80" w:rsidP="00DF2B80" w:rsidRDefault="00DF2B80" w14:paraId="6D7111DA" w14:textId="77777777">
                  <w:pPr>
                    <w:rPr>
                      <w:rFonts w:ascii="Verdana" w:hAnsi="Verdana"/>
                      <w:b/>
                      <w:bCs/>
                      <w:color w:val="000000"/>
                      <w:sz w:val="16"/>
                      <w:szCs w:val="16"/>
                    </w:rPr>
                  </w:pPr>
                  <w:r w:rsidRPr="002A1F9A">
                    <w:rPr>
                      <w:rFonts w:ascii="Verdana" w:hAnsi="Verdana"/>
                      <w:b/>
                      <w:bCs/>
                      <w:color w:val="000000"/>
                      <w:sz w:val="16"/>
                      <w:szCs w:val="16"/>
                    </w:rPr>
                    <w:t>2011</w:t>
                  </w:r>
                </w:p>
              </w:tc>
              <w:tc>
                <w:tcPr>
                  <w:tcW w:w="1191" w:type="dxa"/>
                  <w:noWrap/>
                  <w:vAlign w:val="bottom"/>
                  <w:hideMark/>
                </w:tcPr>
                <w:p w:rsidRPr="002A1F9A" w:rsidR="00DF2B80" w:rsidP="00DF2B80" w:rsidRDefault="00DF2B80" w14:paraId="25C6B855" w14:textId="77777777">
                  <w:pPr>
                    <w:jc w:val="right"/>
                    <w:rPr>
                      <w:rFonts w:ascii="Verdana" w:hAnsi="Verdana"/>
                      <w:color w:val="000000"/>
                      <w:sz w:val="16"/>
                      <w:szCs w:val="16"/>
                    </w:rPr>
                  </w:pPr>
                  <w:r w:rsidRPr="002A1F9A">
                    <w:rPr>
                      <w:rFonts w:ascii="Verdana" w:hAnsi="Verdana"/>
                      <w:color w:val="000000"/>
                      <w:sz w:val="16"/>
                      <w:szCs w:val="16"/>
                    </w:rPr>
                    <w:t>19.604</w:t>
                  </w:r>
                </w:p>
              </w:tc>
            </w:tr>
            <w:tr w:rsidRPr="002A1F9A" w:rsidR="00DF2B80" w:rsidTr="0047315C" w14:paraId="36E0423F" w14:textId="77777777">
              <w:trPr>
                <w:trHeight w:val="255"/>
              </w:trPr>
              <w:tc>
                <w:tcPr>
                  <w:tcW w:w="1191" w:type="dxa"/>
                  <w:noWrap/>
                  <w:vAlign w:val="bottom"/>
                  <w:hideMark/>
                </w:tcPr>
                <w:p w:rsidRPr="002A1F9A" w:rsidR="00DF2B80" w:rsidP="00DF2B80" w:rsidRDefault="00DF2B80" w14:paraId="611B99A0" w14:textId="77777777">
                  <w:pPr>
                    <w:rPr>
                      <w:rFonts w:ascii="Verdana" w:hAnsi="Verdana"/>
                      <w:b/>
                      <w:bCs/>
                      <w:color w:val="000000"/>
                      <w:sz w:val="16"/>
                      <w:szCs w:val="16"/>
                    </w:rPr>
                  </w:pPr>
                  <w:r w:rsidRPr="002A1F9A">
                    <w:rPr>
                      <w:rFonts w:ascii="Verdana" w:hAnsi="Verdana"/>
                      <w:b/>
                      <w:bCs/>
                      <w:color w:val="000000"/>
                      <w:sz w:val="16"/>
                      <w:szCs w:val="16"/>
                    </w:rPr>
                    <w:t>2012</w:t>
                  </w:r>
                </w:p>
              </w:tc>
              <w:tc>
                <w:tcPr>
                  <w:tcW w:w="1191" w:type="dxa"/>
                  <w:noWrap/>
                  <w:vAlign w:val="bottom"/>
                  <w:hideMark/>
                </w:tcPr>
                <w:p w:rsidRPr="002A1F9A" w:rsidR="00DF2B80" w:rsidP="00DF2B80" w:rsidRDefault="00DF2B80" w14:paraId="7AE178B2" w14:textId="77777777">
                  <w:pPr>
                    <w:jc w:val="right"/>
                    <w:rPr>
                      <w:rFonts w:ascii="Verdana" w:hAnsi="Verdana"/>
                      <w:color w:val="000000"/>
                      <w:sz w:val="16"/>
                      <w:szCs w:val="16"/>
                    </w:rPr>
                  </w:pPr>
                  <w:r w:rsidRPr="002A1F9A">
                    <w:rPr>
                      <w:rFonts w:ascii="Verdana" w:hAnsi="Verdana"/>
                      <w:color w:val="000000"/>
                      <w:sz w:val="16"/>
                      <w:szCs w:val="16"/>
                    </w:rPr>
                    <w:t>18.478</w:t>
                  </w:r>
                </w:p>
              </w:tc>
            </w:tr>
            <w:tr w:rsidRPr="002A1F9A" w:rsidR="00DF2B80" w:rsidTr="0047315C" w14:paraId="55E70CD7" w14:textId="77777777">
              <w:trPr>
                <w:trHeight w:val="255"/>
              </w:trPr>
              <w:tc>
                <w:tcPr>
                  <w:tcW w:w="1191" w:type="dxa"/>
                  <w:noWrap/>
                  <w:vAlign w:val="bottom"/>
                  <w:hideMark/>
                </w:tcPr>
                <w:p w:rsidRPr="002A1F9A" w:rsidR="00DF2B80" w:rsidP="00DF2B80" w:rsidRDefault="00DF2B80" w14:paraId="545A2ED9" w14:textId="77777777">
                  <w:pPr>
                    <w:rPr>
                      <w:rFonts w:ascii="Verdana" w:hAnsi="Verdana"/>
                      <w:b/>
                      <w:bCs/>
                      <w:color w:val="000000"/>
                      <w:sz w:val="16"/>
                      <w:szCs w:val="16"/>
                    </w:rPr>
                  </w:pPr>
                  <w:r w:rsidRPr="002A1F9A">
                    <w:rPr>
                      <w:rFonts w:ascii="Verdana" w:hAnsi="Verdana"/>
                      <w:b/>
                      <w:bCs/>
                      <w:color w:val="000000"/>
                      <w:sz w:val="16"/>
                      <w:szCs w:val="16"/>
                    </w:rPr>
                    <w:t>2013</w:t>
                  </w:r>
                </w:p>
              </w:tc>
              <w:tc>
                <w:tcPr>
                  <w:tcW w:w="1191" w:type="dxa"/>
                  <w:noWrap/>
                  <w:vAlign w:val="bottom"/>
                  <w:hideMark/>
                </w:tcPr>
                <w:p w:rsidRPr="002A1F9A" w:rsidR="00DF2B80" w:rsidP="00DF2B80" w:rsidRDefault="00DF2B80" w14:paraId="22C40B02" w14:textId="77777777">
                  <w:pPr>
                    <w:jc w:val="right"/>
                    <w:rPr>
                      <w:rFonts w:ascii="Verdana" w:hAnsi="Verdana"/>
                      <w:color w:val="000000"/>
                      <w:sz w:val="16"/>
                      <w:szCs w:val="16"/>
                    </w:rPr>
                  </w:pPr>
                  <w:r w:rsidRPr="002A1F9A">
                    <w:rPr>
                      <w:rFonts w:ascii="Verdana" w:hAnsi="Verdana"/>
                      <w:color w:val="000000"/>
                      <w:sz w:val="16"/>
                      <w:szCs w:val="16"/>
                    </w:rPr>
                    <w:t>19.816</w:t>
                  </w:r>
                </w:p>
              </w:tc>
            </w:tr>
            <w:tr w:rsidRPr="002A1F9A" w:rsidR="00DF2B80" w:rsidTr="0047315C" w14:paraId="1B2DDC86" w14:textId="77777777">
              <w:trPr>
                <w:trHeight w:val="255"/>
              </w:trPr>
              <w:tc>
                <w:tcPr>
                  <w:tcW w:w="1191" w:type="dxa"/>
                  <w:noWrap/>
                  <w:vAlign w:val="bottom"/>
                  <w:hideMark/>
                </w:tcPr>
                <w:p w:rsidRPr="002A1F9A" w:rsidR="00DF2B80" w:rsidP="00DF2B80" w:rsidRDefault="00DF2B80" w14:paraId="1BE46807" w14:textId="77777777">
                  <w:pPr>
                    <w:rPr>
                      <w:rFonts w:ascii="Verdana" w:hAnsi="Verdana"/>
                      <w:b/>
                      <w:bCs/>
                      <w:color w:val="000000"/>
                      <w:sz w:val="16"/>
                      <w:szCs w:val="16"/>
                    </w:rPr>
                  </w:pPr>
                  <w:r w:rsidRPr="002A1F9A">
                    <w:rPr>
                      <w:rFonts w:ascii="Verdana" w:hAnsi="Verdana"/>
                      <w:b/>
                      <w:bCs/>
                      <w:color w:val="000000"/>
                      <w:sz w:val="16"/>
                      <w:szCs w:val="16"/>
                    </w:rPr>
                    <w:t>2014</w:t>
                  </w:r>
                </w:p>
              </w:tc>
              <w:tc>
                <w:tcPr>
                  <w:tcW w:w="1191" w:type="dxa"/>
                  <w:noWrap/>
                  <w:vAlign w:val="bottom"/>
                  <w:hideMark/>
                </w:tcPr>
                <w:p w:rsidRPr="002A1F9A" w:rsidR="00DF2B80" w:rsidP="00DF2B80" w:rsidRDefault="00DF2B80" w14:paraId="247798CE" w14:textId="77777777">
                  <w:pPr>
                    <w:jc w:val="right"/>
                    <w:rPr>
                      <w:rFonts w:ascii="Verdana" w:hAnsi="Verdana"/>
                      <w:color w:val="000000"/>
                      <w:sz w:val="16"/>
                      <w:szCs w:val="16"/>
                    </w:rPr>
                  </w:pPr>
                  <w:r w:rsidRPr="002A1F9A">
                    <w:rPr>
                      <w:rFonts w:ascii="Verdana" w:hAnsi="Verdana"/>
                      <w:color w:val="000000"/>
                      <w:sz w:val="16"/>
                      <w:szCs w:val="16"/>
                    </w:rPr>
                    <w:t>19.475</w:t>
                  </w:r>
                </w:p>
              </w:tc>
            </w:tr>
            <w:tr w:rsidRPr="002A1F9A" w:rsidR="00DF2B80" w:rsidTr="0047315C" w14:paraId="4580D06F" w14:textId="77777777">
              <w:trPr>
                <w:trHeight w:val="255"/>
              </w:trPr>
              <w:tc>
                <w:tcPr>
                  <w:tcW w:w="1191" w:type="dxa"/>
                  <w:noWrap/>
                  <w:vAlign w:val="bottom"/>
                  <w:hideMark/>
                </w:tcPr>
                <w:p w:rsidRPr="002A1F9A" w:rsidR="00DF2B80" w:rsidP="00DF2B80" w:rsidRDefault="00DF2B80" w14:paraId="4971B14F" w14:textId="77777777">
                  <w:pPr>
                    <w:rPr>
                      <w:rFonts w:ascii="Verdana" w:hAnsi="Verdana"/>
                      <w:b/>
                      <w:bCs/>
                      <w:color w:val="000000"/>
                      <w:sz w:val="16"/>
                      <w:szCs w:val="16"/>
                    </w:rPr>
                  </w:pPr>
                  <w:r w:rsidRPr="002A1F9A">
                    <w:rPr>
                      <w:rFonts w:ascii="Verdana" w:hAnsi="Verdana"/>
                      <w:b/>
                      <w:bCs/>
                      <w:color w:val="000000"/>
                      <w:sz w:val="16"/>
                      <w:szCs w:val="16"/>
                    </w:rPr>
                    <w:t>2015</w:t>
                  </w:r>
                </w:p>
              </w:tc>
              <w:tc>
                <w:tcPr>
                  <w:tcW w:w="1191" w:type="dxa"/>
                  <w:noWrap/>
                  <w:vAlign w:val="bottom"/>
                  <w:hideMark/>
                </w:tcPr>
                <w:p w:rsidRPr="002A1F9A" w:rsidR="00DF2B80" w:rsidP="00DF2B80" w:rsidRDefault="00DF2B80" w14:paraId="29ABF91F" w14:textId="77777777">
                  <w:pPr>
                    <w:jc w:val="right"/>
                    <w:rPr>
                      <w:rFonts w:ascii="Verdana" w:hAnsi="Verdana"/>
                      <w:color w:val="000000"/>
                      <w:sz w:val="16"/>
                      <w:szCs w:val="16"/>
                    </w:rPr>
                  </w:pPr>
                  <w:r w:rsidRPr="002A1F9A">
                    <w:rPr>
                      <w:rFonts w:ascii="Verdana" w:hAnsi="Verdana"/>
                      <w:color w:val="000000"/>
                      <w:sz w:val="16"/>
                      <w:szCs w:val="16"/>
                    </w:rPr>
                    <w:t>16.637</w:t>
                  </w:r>
                </w:p>
              </w:tc>
            </w:tr>
            <w:tr w:rsidRPr="002A1F9A" w:rsidR="00DF2B80" w:rsidTr="0047315C" w14:paraId="37EF2FAB" w14:textId="77777777">
              <w:trPr>
                <w:trHeight w:val="255"/>
              </w:trPr>
              <w:tc>
                <w:tcPr>
                  <w:tcW w:w="1191" w:type="dxa"/>
                  <w:noWrap/>
                  <w:vAlign w:val="bottom"/>
                  <w:hideMark/>
                </w:tcPr>
                <w:p w:rsidRPr="002A1F9A" w:rsidR="00DF2B80" w:rsidP="00DF2B80" w:rsidRDefault="00DF2B80" w14:paraId="79C918AC" w14:textId="77777777">
                  <w:pPr>
                    <w:rPr>
                      <w:rFonts w:ascii="Verdana" w:hAnsi="Verdana"/>
                      <w:b/>
                      <w:bCs/>
                      <w:color w:val="000000"/>
                      <w:sz w:val="16"/>
                      <w:szCs w:val="16"/>
                    </w:rPr>
                  </w:pPr>
                  <w:r w:rsidRPr="002A1F9A">
                    <w:rPr>
                      <w:rFonts w:ascii="Verdana" w:hAnsi="Verdana"/>
                      <w:b/>
                      <w:bCs/>
                      <w:color w:val="000000"/>
                      <w:sz w:val="16"/>
                      <w:szCs w:val="16"/>
                    </w:rPr>
                    <w:t>2016</w:t>
                  </w:r>
                </w:p>
              </w:tc>
              <w:tc>
                <w:tcPr>
                  <w:tcW w:w="1191" w:type="dxa"/>
                  <w:noWrap/>
                  <w:vAlign w:val="bottom"/>
                  <w:hideMark/>
                </w:tcPr>
                <w:p w:rsidRPr="002A1F9A" w:rsidR="00DF2B80" w:rsidP="00DF2B80" w:rsidRDefault="00DF2B80" w14:paraId="32C48355" w14:textId="77777777">
                  <w:pPr>
                    <w:jc w:val="right"/>
                    <w:rPr>
                      <w:rFonts w:ascii="Verdana" w:hAnsi="Verdana"/>
                      <w:color w:val="000000"/>
                      <w:sz w:val="16"/>
                      <w:szCs w:val="16"/>
                    </w:rPr>
                  </w:pPr>
                  <w:r w:rsidRPr="002A1F9A">
                    <w:rPr>
                      <w:rFonts w:ascii="Verdana" w:hAnsi="Verdana"/>
                      <w:color w:val="000000"/>
                      <w:sz w:val="16"/>
                      <w:szCs w:val="16"/>
                    </w:rPr>
                    <w:t>17.048</w:t>
                  </w:r>
                </w:p>
              </w:tc>
            </w:tr>
            <w:tr w:rsidRPr="002A1F9A" w:rsidR="00DF2B80" w:rsidTr="0047315C" w14:paraId="6DF9058A" w14:textId="77777777">
              <w:trPr>
                <w:trHeight w:val="255"/>
              </w:trPr>
              <w:tc>
                <w:tcPr>
                  <w:tcW w:w="1191" w:type="dxa"/>
                  <w:noWrap/>
                  <w:vAlign w:val="bottom"/>
                  <w:hideMark/>
                </w:tcPr>
                <w:p w:rsidRPr="002A1F9A" w:rsidR="00DF2B80" w:rsidP="00DF2B80" w:rsidRDefault="00DF2B80" w14:paraId="6E047A27" w14:textId="77777777">
                  <w:pPr>
                    <w:rPr>
                      <w:rFonts w:ascii="Verdana" w:hAnsi="Verdana"/>
                      <w:b/>
                      <w:bCs/>
                      <w:color w:val="000000"/>
                      <w:sz w:val="16"/>
                      <w:szCs w:val="16"/>
                    </w:rPr>
                  </w:pPr>
                  <w:r w:rsidRPr="002A1F9A">
                    <w:rPr>
                      <w:rFonts w:ascii="Verdana" w:hAnsi="Verdana"/>
                      <w:b/>
                      <w:bCs/>
                      <w:color w:val="000000"/>
                      <w:sz w:val="16"/>
                      <w:szCs w:val="16"/>
                    </w:rPr>
                    <w:t>2017</w:t>
                  </w:r>
                </w:p>
              </w:tc>
              <w:tc>
                <w:tcPr>
                  <w:tcW w:w="1191" w:type="dxa"/>
                  <w:noWrap/>
                  <w:vAlign w:val="bottom"/>
                  <w:hideMark/>
                </w:tcPr>
                <w:p w:rsidRPr="002A1F9A" w:rsidR="00DF2B80" w:rsidP="00DF2B80" w:rsidRDefault="00DF2B80" w14:paraId="3CCF0B80" w14:textId="77777777">
                  <w:pPr>
                    <w:jc w:val="right"/>
                    <w:rPr>
                      <w:rFonts w:ascii="Verdana" w:hAnsi="Verdana"/>
                      <w:color w:val="000000"/>
                      <w:sz w:val="16"/>
                      <w:szCs w:val="16"/>
                    </w:rPr>
                  </w:pPr>
                  <w:r w:rsidRPr="002A1F9A">
                    <w:rPr>
                      <w:rFonts w:ascii="Verdana" w:hAnsi="Verdana"/>
                      <w:color w:val="000000"/>
                      <w:sz w:val="16"/>
                      <w:szCs w:val="16"/>
                    </w:rPr>
                    <w:t>17.278</w:t>
                  </w:r>
                </w:p>
              </w:tc>
            </w:tr>
            <w:tr w:rsidRPr="002A1F9A" w:rsidR="00DF2B80" w:rsidTr="0047315C" w14:paraId="5B59932C" w14:textId="77777777">
              <w:trPr>
                <w:trHeight w:val="255"/>
              </w:trPr>
              <w:tc>
                <w:tcPr>
                  <w:tcW w:w="1191" w:type="dxa"/>
                  <w:noWrap/>
                  <w:vAlign w:val="bottom"/>
                  <w:hideMark/>
                </w:tcPr>
                <w:p w:rsidRPr="002A1F9A" w:rsidR="00DF2B80" w:rsidP="00DF2B80" w:rsidRDefault="00DF2B80" w14:paraId="05566963" w14:textId="77777777">
                  <w:pPr>
                    <w:rPr>
                      <w:rFonts w:ascii="Verdana" w:hAnsi="Verdana"/>
                      <w:b/>
                      <w:bCs/>
                      <w:color w:val="000000"/>
                      <w:sz w:val="16"/>
                      <w:szCs w:val="16"/>
                    </w:rPr>
                  </w:pPr>
                  <w:r w:rsidRPr="002A1F9A">
                    <w:rPr>
                      <w:rFonts w:ascii="Verdana" w:hAnsi="Verdana"/>
                      <w:b/>
                      <w:bCs/>
                      <w:color w:val="000000"/>
                      <w:sz w:val="16"/>
                      <w:szCs w:val="16"/>
                    </w:rPr>
                    <w:t>2018</w:t>
                  </w:r>
                </w:p>
              </w:tc>
              <w:tc>
                <w:tcPr>
                  <w:tcW w:w="1191" w:type="dxa"/>
                  <w:noWrap/>
                  <w:vAlign w:val="bottom"/>
                  <w:hideMark/>
                </w:tcPr>
                <w:p w:rsidRPr="002A1F9A" w:rsidR="00DF2B80" w:rsidP="00DF2B80" w:rsidRDefault="00DF2B80" w14:paraId="5F159DF4" w14:textId="77777777">
                  <w:pPr>
                    <w:jc w:val="right"/>
                    <w:rPr>
                      <w:rFonts w:ascii="Verdana" w:hAnsi="Verdana"/>
                      <w:color w:val="000000"/>
                      <w:sz w:val="16"/>
                      <w:szCs w:val="16"/>
                    </w:rPr>
                  </w:pPr>
                  <w:r w:rsidRPr="002A1F9A">
                    <w:rPr>
                      <w:rFonts w:ascii="Verdana" w:hAnsi="Verdana"/>
                      <w:color w:val="000000"/>
                      <w:sz w:val="16"/>
                      <w:szCs w:val="16"/>
                    </w:rPr>
                    <w:t>17.657</w:t>
                  </w:r>
                </w:p>
              </w:tc>
            </w:tr>
            <w:tr w:rsidRPr="002A1F9A" w:rsidR="00DF2B80" w:rsidTr="0047315C" w14:paraId="669E1AC5" w14:textId="77777777">
              <w:trPr>
                <w:trHeight w:val="255"/>
              </w:trPr>
              <w:tc>
                <w:tcPr>
                  <w:tcW w:w="1191" w:type="dxa"/>
                  <w:noWrap/>
                  <w:vAlign w:val="bottom"/>
                  <w:hideMark/>
                </w:tcPr>
                <w:p w:rsidRPr="002A1F9A" w:rsidR="00DF2B80" w:rsidP="00DF2B80" w:rsidRDefault="00DF2B80" w14:paraId="166FF0A7" w14:textId="77777777">
                  <w:pPr>
                    <w:rPr>
                      <w:rFonts w:ascii="Verdana" w:hAnsi="Verdana"/>
                      <w:b/>
                      <w:bCs/>
                      <w:color w:val="000000"/>
                      <w:sz w:val="16"/>
                      <w:szCs w:val="16"/>
                    </w:rPr>
                  </w:pPr>
                  <w:r w:rsidRPr="002A1F9A">
                    <w:rPr>
                      <w:rFonts w:ascii="Verdana" w:hAnsi="Verdana"/>
                      <w:b/>
                      <w:bCs/>
                      <w:color w:val="000000"/>
                      <w:sz w:val="16"/>
                      <w:szCs w:val="16"/>
                    </w:rPr>
                    <w:t>2019</w:t>
                  </w:r>
                </w:p>
              </w:tc>
              <w:tc>
                <w:tcPr>
                  <w:tcW w:w="1191" w:type="dxa"/>
                  <w:noWrap/>
                  <w:vAlign w:val="bottom"/>
                  <w:hideMark/>
                </w:tcPr>
                <w:p w:rsidRPr="002A1F9A" w:rsidR="00DF2B80" w:rsidP="00DF2B80" w:rsidRDefault="00DF2B80" w14:paraId="5F6FFF32" w14:textId="77777777">
                  <w:pPr>
                    <w:jc w:val="right"/>
                    <w:rPr>
                      <w:rFonts w:ascii="Verdana" w:hAnsi="Verdana"/>
                      <w:color w:val="000000"/>
                      <w:sz w:val="16"/>
                      <w:szCs w:val="16"/>
                    </w:rPr>
                  </w:pPr>
                  <w:r w:rsidRPr="002A1F9A">
                    <w:rPr>
                      <w:rFonts w:ascii="Verdana" w:hAnsi="Verdana"/>
                      <w:color w:val="000000"/>
                      <w:sz w:val="16"/>
                      <w:szCs w:val="16"/>
                    </w:rPr>
                    <w:t>17.620</w:t>
                  </w:r>
                </w:p>
              </w:tc>
            </w:tr>
            <w:tr w:rsidRPr="002A1F9A" w:rsidR="00DF2B80" w:rsidTr="0047315C" w14:paraId="2793C098" w14:textId="77777777">
              <w:trPr>
                <w:trHeight w:val="255"/>
              </w:trPr>
              <w:tc>
                <w:tcPr>
                  <w:tcW w:w="1191" w:type="dxa"/>
                  <w:noWrap/>
                  <w:vAlign w:val="bottom"/>
                  <w:hideMark/>
                </w:tcPr>
                <w:p w:rsidRPr="002A1F9A" w:rsidR="00DF2B80" w:rsidP="00DF2B80" w:rsidRDefault="00DF2B80" w14:paraId="5A75F033" w14:textId="77777777">
                  <w:pPr>
                    <w:rPr>
                      <w:rFonts w:ascii="Verdana" w:hAnsi="Verdana"/>
                      <w:b/>
                      <w:bCs/>
                      <w:color w:val="000000"/>
                      <w:sz w:val="16"/>
                      <w:szCs w:val="16"/>
                    </w:rPr>
                  </w:pPr>
                  <w:r w:rsidRPr="002A1F9A">
                    <w:rPr>
                      <w:rFonts w:ascii="Verdana" w:hAnsi="Verdana"/>
                      <w:b/>
                      <w:bCs/>
                      <w:color w:val="000000"/>
                      <w:sz w:val="16"/>
                      <w:szCs w:val="16"/>
                    </w:rPr>
                    <w:t>2020</w:t>
                  </w:r>
                </w:p>
              </w:tc>
              <w:tc>
                <w:tcPr>
                  <w:tcW w:w="1191" w:type="dxa"/>
                  <w:noWrap/>
                  <w:vAlign w:val="bottom"/>
                  <w:hideMark/>
                </w:tcPr>
                <w:p w:rsidRPr="002A1F9A" w:rsidR="00DF2B80" w:rsidP="00DF2B80" w:rsidRDefault="00DF2B80" w14:paraId="798CBF4C" w14:textId="77777777">
                  <w:pPr>
                    <w:jc w:val="right"/>
                    <w:rPr>
                      <w:rFonts w:ascii="Verdana" w:hAnsi="Verdana"/>
                      <w:color w:val="000000"/>
                      <w:sz w:val="16"/>
                      <w:szCs w:val="16"/>
                    </w:rPr>
                  </w:pPr>
                  <w:r w:rsidRPr="002A1F9A">
                    <w:rPr>
                      <w:rFonts w:ascii="Verdana" w:hAnsi="Verdana"/>
                      <w:color w:val="000000"/>
                      <w:sz w:val="16"/>
                      <w:szCs w:val="16"/>
                    </w:rPr>
                    <w:t>20.586</w:t>
                  </w:r>
                </w:p>
              </w:tc>
            </w:tr>
            <w:tr w:rsidRPr="002A1F9A" w:rsidR="00DF2B80" w:rsidTr="0047315C" w14:paraId="1B149CD6" w14:textId="77777777">
              <w:trPr>
                <w:trHeight w:val="255"/>
              </w:trPr>
              <w:tc>
                <w:tcPr>
                  <w:tcW w:w="1191" w:type="dxa"/>
                  <w:noWrap/>
                  <w:vAlign w:val="bottom"/>
                  <w:hideMark/>
                </w:tcPr>
                <w:p w:rsidRPr="002A1F9A" w:rsidR="00DF2B80" w:rsidP="00DF2B80" w:rsidRDefault="00DF2B80" w14:paraId="6A5055F7" w14:textId="77777777">
                  <w:pPr>
                    <w:rPr>
                      <w:rFonts w:ascii="Verdana" w:hAnsi="Verdana"/>
                      <w:b/>
                      <w:bCs/>
                      <w:color w:val="000000"/>
                      <w:sz w:val="16"/>
                      <w:szCs w:val="16"/>
                    </w:rPr>
                  </w:pPr>
                  <w:r w:rsidRPr="002A1F9A">
                    <w:rPr>
                      <w:rFonts w:ascii="Verdana" w:hAnsi="Verdana"/>
                      <w:b/>
                      <w:bCs/>
                      <w:color w:val="000000"/>
                      <w:sz w:val="16"/>
                      <w:szCs w:val="16"/>
                    </w:rPr>
                    <w:t>2021</w:t>
                  </w:r>
                </w:p>
              </w:tc>
              <w:tc>
                <w:tcPr>
                  <w:tcW w:w="1191" w:type="dxa"/>
                  <w:noWrap/>
                  <w:vAlign w:val="bottom"/>
                  <w:hideMark/>
                </w:tcPr>
                <w:p w:rsidRPr="002A1F9A" w:rsidR="00DF2B80" w:rsidP="00DF2B80" w:rsidRDefault="00DF2B80" w14:paraId="26FEE143" w14:textId="77777777">
                  <w:pPr>
                    <w:jc w:val="right"/>
                    <w:rPr>
                      <w:rFonts w:ascii="Verdana" w:hAnsi="Verdana"/>
                      <w:color w:val="000000"/>
                      <w:sz w:val="16"/>
                      <w:szCs w:val="16"/>
                    </w:rPr>
                  </w:pPr>
                  <w:r w:rsidRPr="002A1F9A">
                    <w:rPr>
                      <w:rFonts w:ascii="Verdana" w:hAnsi="Verdana"/>
                      <w:color w:val="000000"/>
                      <w:sz w:val="16"/>
                      <w:szCs w:val="16"/>
                    </w:rPr>
                    <w:t>17.831</w:t>
                  </w:r>
                </w:p>
              </w:tc>
            </w:tr>
            <w:tr w:rsidRPr="002A1F9A" w:rsidR="00DF2B80" w:rsidTr="0047315C" w14:paraId="3D2025BD" w14:textId="77777777">
              <w:trPr>
                <w:trHeight w:val="255"/>
              </w:trPr>
              <w:tc>
                <w:tcPr>
                  <w:tcW w:w="1191" w:type="dxa"/>
                  <w:noWrap/>
                  <w:vAlign w:val="bottom"/>
                  <w:hideMark/>
                </w:tcPr>
                <w:p w:rsidRPr="002A1F9A" w:rsidR="00DF2B80" w:rsidP="00DF2B80" w:rsidRDefault="00DF2B80" w14:paraId="00D17AE3" w14:textId="77777777">
                  <w:pPr>
                    <w:rPr>
                      <w:rFonts w:ascii="Verdana" w:hAnsi="Verdana"/>
                      <w:b/>
                      <w:bCs/>
                      <w:color w:val="000000"/>
                      <w:sz w:val="16"/>
                      <w:szCs w:val="16"/>
                    </w:rPr>
                  </w:pPr>
                  <w:r w:rsidRPr="002A1F9A">
                    <w:rPr>
                      <w:rFonts w:ascii="Verdana" w:hAnsi="Verdana"/>
                      <w:b/>
                      <w:bCs/>
                      <w:color w:val="000000"/>
                      <w:sz w:val="16"/>
                      <w:szCs w:val="16"/>
                    </w:rPr>
                    <w:t>2022</w:t>
                  </w:r>
                </w:p>
              </w:tc>
              <w:tc>
                <w:tcPr>
                  <w:tcW w:w="1191" w:type="dxa"/>
                  <w:noWrap/>
                  <w:vAlign w:val="bottom"/>
                  <w:hideMark/>
                </w:tcPr>
                <w:p w:rsidRPr="002A1F9A" w:rsidR="00DF2B80" w:rsidP="00DF2B80" w:rsidRDefault="00DF2B80" w14:paraId="7F641254" w14:textId="77777777">
                  <w:pPr>
                    <w:jc w:val="right"/>
                    <w:rPr>
                      <w:rFonts w:ascii="Verdana" w:hAnsi="Verdana"/>
                      <w:color w:val="000000"/>
                      <w:sz w:val="16"/>
                      <w:szCs w:val="16"/>
                    </w:rPr>
                  </w:pPr>
                  <w:r w:rsidRPr="002A1F9A">
                    <w:rPr>
                      <w:rFonts w:ascii="Verdana" w:hAnsi="Verdana"/>
                      <w:color w:val="000000"/>
                      <w:sz w:val="16"/>
                      <w:szCs w:val="16"/>
                    </w:rPr>
                    <w:t>17.168</w:t>
                  </w:r>
                </w:p>
              </w:tc>
            </w:tr>
            <w:tr w:rsidRPr="002A1F9A" w:rsidR="00DF2B80" w:rsidTr="0047315C" w14:paraId="6C5A4FF0" w14:textId="77777777">
              <w:trPr>
                <w:trHeight w:val="255"/>
              </w:trPr>
              <w:tc>
                <w:tcPr>
                  <w:tcW w:w="1191" w:type="dxa"/>
                  <w:noWrap/>
                  <w:vAlign w:val="bottom"/>
                  <w:hideMark/>
                </w:tcPr>
                <w:p w:rsidRPr="002A1F9A" w:rsidR="00DF2B80" w:rsidP="00DF2B80" w:rsidRDefault="00DF2B80" w14:paraId="1554A765" w14:textId="77777777">
                  <w:pPr>
                    <w:rPr>
                      <w:rFonts w:ascii="Verdana" w:hAnsi="Verdana"/>
                      <w:b/>
                      <w:bCs/>
                      <w:color w:val="000000"/>
                      <w:sz w:val="16"/>
                      <w:szCs w:val="16"/>
                    </w:rPr>
                  </w:pPr>
                  <w:r w:rsidRPr="002A1F9A">
                    <w:rPr>
                      <w:rFonts w:ascii="Verdana" w:hAnsi="Verdana"/>
                      <w:b/>
                      <w:bCs/>
                      <w:color w:val="000000"/>
                      <w:sz w:val="16"/>
                      <w:szCs w:val="16"/>
                    </w:rPr>
                    <w:t>2023</w:t>
                  </w:r>
                </w:p>
              </w:tc>
              <w:tc>
                <w:tcPr>
                  <w:tcW w:w="1191" w:type="dxa"/>
                  <w:noWrap/>
                  <w:vAlign w:val="bottom"/>
                  <w:hideMark/>
                </w:tcPr>
                <w:p w:rsidRPr="002A1F9A" w:rsidR="00DF2B80" w:rsidP="00DF2B80" w:rsidRDefault="00DF2B80" w14:paraId="6BA67819" w14:textId="77777777">
                  <w:pPr>
                    <w:jc w:val="right"/>
                    <w:rPr>
                      <w:rFonts w:ascii="Verdana" w:hAnsi="Verdana"/>
                      <w:color w:val="000000"/>
                      <w:sz w:val="16"/>
                      <w:szCs w:val="16"/>
                    </w:rPr>
                  </w:pPr>
                  <w:r w:rsidRPr="002A1F9A">
                    <w:rPr>
                      <w:rFonts w:ascii="Verdana" w:hAnsi="Verdana"/>
                      <w:color w:val="000000"/>
                      <w:sz w:val="16"/>
                      <w:szCs w:val="16"/>
                    </w:rPr>
                    <w:t>16.760</w:t>
                  </w:r>
                </w:p>
              </w:tc>
            </w:tr>
            <w:tr w:rsidRPr="002A1F9A" w:rsidR="00DF2B80" w:rsidTr="0047315C" w14:paraId="105F8DEB" w14:textId="77777777">
              <w:trPr>
                <w:trHeight w:val="255"/>
              </w:trPr>
              <w:tc>
                <w:tcPr>
                  <w:tcW w:w="1191" w:type="dxa"/>
                  <w:noWrap/>
                  <w:vAlign w:val="bottom"/>
                  <w:hideMark/>
                </w:tcPr>
                <w:p w:rsidRPr="002A1F9A" w:rsidR="00DF2B80" w:rsidP="00DF2B80" w:rsidRDefault="00DF2B80" w14:paraId="5FB9A9F0" w14:textId="77777777">
                  <w:pPr>
                    <w:rPr>
                      <w:rFonts w:ascii="Verdana" w:hAnsi="Verdana"/>
                      <w:b/>
                      <w:bCs/>
                      <w:color w:val="000000"/>
                      <w:sz w:val="16"/>
                      <w:szCs w:val="16"/>
                    </w:rPr>
                  </w:pPr>
                  <w:r w:rsidRPr="002A1F9A">
                    <w:rPr>
                      <w:rFonts w:ascii="Verdana" w:hAnsi="Verdana"/>
                      <w:b/>
                      <w:bCs/>
                      <w:color w:val="000000"/>
                      <w:sz w:val="16"/>
                      <w:szCs w:val="16"/>
                    </w:rPr>
                    <w:t>2024</w:t>
                  </w:r>
                </w:p>
              </w:tc>
              <w:tc>
                <w:tcPr>
                  <w:tcW w:w="1191" w:type="dxa"/>
                  <w:noWrap/>
                  <w:vAlign w:val="bottom"/>
                  <w:hideMark/>
                </w:tcPr>
                <w:p w:rsidRPr="002A1F9A" w:rsidR="00DF2B80" w:rsidP="00DF2B80" w:rsidRDefault="00DF2B80" w14:paraId="70B950D9" w14:textId="77777777">
                  <w:pPr>
                    <w:jc w:val="right"/>
                    <w:rPr>
                      <w:rFonts w:ascii="Verdana" w:hAnsi="Verdana"/>
                      <w:color w:val="000000"/>
                      <w:sz w:val="16"/>
                      <w:szCs w:val="16"/>
                    </w:rPr>
                  </w:pPr>
                  <w:r w:rsidRPr="002A1F9A">
                    <w:rPr>
                      <w:rFonts w:ascii="Verdana" w:hAnsi="Verdana"/>
                      <w:color w:val="000000"/>
                      <w:sz w:val="16"/>
                      <w:szCs w:val="16"/>
                    </w:rPr>
                    <w:t>17.241</w:t>
                  </w:r>
                </w:p>
              </w:tc>
            </w:tr>
          </w:tbl>
          <w:p w:rsidRPr="002A1F9A" w:rsidR="00DF2B80" w:rsidP="00DB2CBB" w:rsidRDefault="00DF2B80" w14:paraId="2B81C61D" w14:textId="77777777">
            <w:pPr>
              <w:rPr>
                <w:rFonts w:ascii="Verdana" w:hAnsi="Verdana"/>
                <w:sz w:val="18"/>
                <w:szCs w:val="18"/>
              </w:rPr>
            </w:pPr>
          </w:p>
          <w:p w:rsidRPr="002A1F9A" w:rsidR="0042407E" w:rsidP="00DB2CBB" w:rsidRDefault="0042407E" w14:paraId="4E188A1C" w14:textId="77777777">
            <w:pPr>
              <w:rPr>
                <w:rFonts w:ascii="Verdana" w:hAnsi="Verdana"/>
                <w:sz w:val="18"/>
                <w:szCs w:val="18"/>
              </w:rPr>
            </w:pPr>
          </w:p>
          <w:p w:rsidRPr="002A1F9A" w:rsidR="0042407E" w:rsidP="00DB2CBB" w:rsidRDefault="0042407E" w14:paraId="5FA83E2E" w14:textId="77777777">
            <w:pPr>
              <w:rPr>
                <w:rFonts w:ascii="Verdana" w:hAnsi="Verdana"/>
                <w:sz w:val="18"/>
                <w:szCs w:val="18"/>
              </w:rPr>
            </w:pPr>
          </w:p>
          <w:p w:rsidRPr="002A1F9A" w:rsidR="0042407E" w:rsidP="00DB2CBB" w:rsidRDefault="0042407E" w14:paraId="73CDB678" w14:textId="77777777">
            <w:pPr>
              <w:rPr>
                <w:rFonts w:ascii="Verdana" w:hAnsi="Verdana"/>
                <w:sz w:val="18"/>
                <w:szCs w:val="18"/>
              </w:rPr>
            </w:pPr>
          </w:p>
          <w:p w:rsidRPr="002A1F9A" w:rsidR="0042407E" w:rsidP="00DB2CBB" w:rsidRDefault="0042407E" w14:paraId="20CD841C" w14:textId="77777777">
            <w:pPr>
              <w:rPr>
                <w:rFonts w:ascii="Verdana" w:hAnsi="Verdana"/>
                <w:sz w:val="18"/>
                <w:szCs w:val="18"/>
              </w:rPr>
            </w:pPr>
          </w:p>
          <w:p w:rsidRPr="002A1F9A" w:rsidR="0042407E" w:rsidP="00DB2CBB" w:rsidRDefault="0042407E" w14:paraId="69F228A8" w14:textId="77777777">
            <w:pPr>
              <w:rPr>
                <w:rFonts w:ascii="Verdana" w:hAnsi="Verdana"/>
                <w:sz w:val="18"/>
                <w:szCs w:val="18"/>
              </w:rPr>
            </w:pPr>
          </w:p>
          <w:p w:rsidRPr="002A1F9A" w:rsidR="0042407E" w:rsidP="00DB2CBB" w:rsidRDefault="0042407E" w14:paraId="6DC21934" w14:textId="77777777">
            <w:pPr>
              <w:rPr>
                <w:rFonts w:ascii="Verdana" w:hAnsi="Verdana"/>
                <w:sz w:val="18"/>
                <w:szCs w:val="18"/>
              </w:rPr>
            </w:pPr>
          </w:p>
          <w:p w:rsidRPr="002A1F9A" w:rsidR="0042407E" w:rsidP="00DB2CBB" w:rsidRDefault="0042407E" w14:paraId="279AF60D" w14:textId="77777777">
            <w:pPr>
              <w:rPr>
                <w:rFonts w:ascii="Verdana" w:hAnsi="Verdana"/>
                <w:sz w:val="18"/>
                <w:szCs w:val="18"/>
              </w:rPr>
            </w:pPr>
          </w:p>
          <w:p w:rsidRPr="002A1F9A" w:rsidR="0042407E" w:rsidP="00DB2CBB" w:rsidRDefault="0042407E" w14:paraId="2B924DCE" w14:textId="77777777">
            <w:pPr>
              <w:rPr>
                <w:rFonts w:ascii="Verdana" w:hAnsi="Verdana"/>
                <w:sz w:val="18"/>
                <w:szCs w:val="18"/>
              </w:rPr>
            </w:pPr>
          </w:p>
          <w:p w:rsidRPr="002A1F9A" w:rsidR="0042407E" w:rsidP="00DB2CBB" w:rsidRDefault="0042407E" w14:paraId="220D5729" w14:textId="77777777">
            <w:pPr>
              <w:rPr>
                <w:rFonts w:ascii="Verdana" w:hAnsi="Verdana"/>
                <w:sz w:val="18"/>
                <w:szCs w:val="18"/>
              </w:rPr>
            </w:pPr>
          </w:p>
          <w:p w:rsidRPr="002A1F9A" w:rsidR="0042407E" w:rsidP="00DB2CBB" w:rsidRDefault="0042407E" w14:paraId="3F7DA9BB" w14:textId="77777777">
            <w:pPr>
              <w:rPr>
                <w:rFonts w:ascii="Verdana" w:hAnsi="Verdana"/>
                <w:sz w:val="18"/>
                <w:szCs w:val="18"/>
              </w:rPr>
            </w:pPr>
          </w:p>
          <w:p w:rsidRPr="002A1F9A" w:rsidR="0042407E" w:rsidP="00DB2CBB" w:rsidRDefault="0042407E" w14:paraId="3FF6B854" w14:textId="77777777">
            <w:pPr>
              <w:rPr>
                <w:rFonts w:ascii="Verdana" w:hAnsi="Verdana"/>
                <w:sz w:val="18"/>
                <w:szCs w:val="18"/>
              </w:rPr>
            </w:pPr>
          </w:p>
          <w:p w:rsidRPr="002A1F9A" w:rsidR="0042407E" w:rsidP="00DB2CBB" w:rsidRDefault="0042407E" w14:paraId="5E13F8EC" w14:textId="77777777">
            <w:pPr>
              <w:rPr>
                <w:rFonts w:ascii="Verdana" w:hAnsi="Verdana"/>
                <w:sz w:val="18"/>
                <w:szCs w:val="18"/>
              </w:rPr>
            </w:pPr>
          </w:p>
          <w:p w:rsidRPr="002A1F9A" w:rsidR="0042407E" w:rsidP="00DB2CBB" w:rsidRDefault="0042407E" w14:paraId="49EC712D" w14:textId="77777777">
            <w:pPr>
              <w:rPr>
                <w:rFonts w:ascii="Verdana" w:hAnsi="Verdana"/>
                <w:sz w:val="18"/>
                <w:szCs w:val="18"/>
              </w:rPr>
            </w:pPr>
          </w:p>
          <w:p w:rsidRPr="002A1F9A" w:rsidR="0042407E" w:rsidP="00DB2CBB" w:rsidRDefault="0042407E" w14:paraId="40C8CBA6" w14:textId="77777777">
            <w:pPr>
              <w:rPr>
                <w:rFonts w:ascii="Verdana" w:hAnsi="Verdana"/>
                <w:sz w:val="18"/>
                <w:szCs w:val="18"/>
              </w:rPr>
            </w:pPr>
          </w:p>
          <w:p w:rsidRPr="002A1F9A" w:rsidR="0042407E" w:rsidP="00DB2CBB" w:rsidRDefault="0042407E" w14:paraId="1F42F0A3" w14:textId="77777777">
            <w:pPr>
              <w:rPr>
                <w:rFonts w:ascii="Verdana" w:hAnsi="Verdana"/>
                <w:sz w:val="18"/>
                <w:szCs w:val="18"/>
              </w:rPr>
            </w:pPr>
          </w:p>
          <w:p w:rsidRPr="002A1F9A" w:rsidR="0042407E" w:rsidP="00DB2CBB" w:rsidRDefault="0042407E" w14:paraId="031C5137" w14:textId="77777777">
            <w:pPr>
              <w:rPr>
                <w:rFonts w:ascii="Verdana" w:hAnsi="Verdana"/>
                <w:sz w:val="18"/>
                <w:szCs w:val="18"/>
              </w:rPr>
            </w:pPr>
          </w:p>
          <w:p w:rsidRPr="002A1F9A" w:rsidR="0042407E" w:rsidP="00DB2CBB" w:rsidRDefault="0042407E" w14:paraId="56013ABF" w14:textId="77777777">
            <w:pPr>
              <w:rPr>
                <w:rFonts w:ascii="Verdana" w:hAnsi="Verdana"/>
                <w:sz w:val="18"/>
                <w:szCs w:val="18"/>
              </w:rPr>
            </w:pPr>
          </w:p>
          <w:p w:rsidRPr="002A1F9A" w:rsidR="0042407E" w:rsidP="00DB2CBB" w:rsidRDefault="0042407E" w14:paraId="5657FC91" w14:textId="77777777">
            <w:pPr>
              <w:rPr>
                <w:rFonts w:ascii="Verdana" w:hAnsi="Verdana"/>
                <w:sz w:val="18"/>
                <w:szCs w:val="18"/>
              </w:rPr>
            </w:pPr>
          </w:p>
          <w:p w:rsidRPr="002A1F9A" w:rsidR="00DF2B80" w:rsidP="00DB2CBB" w:rsidRDefault="00DF2B80" w14:paraId="63897F37" w14:textId="378B4339">
            <w:pPr>
              <w:rPr>
                <w:rFonts w:ascii="Verdana" w:hAnsi="Verdana"/>
                <w:sz w:val="18"/>
                <w:szCs w:val="18"/>
              </w:rPr>
            </w:pPr>
          </w:p>
        </w:tc>
        <w:tc>
          <w:tcPr>
            <w:tcW w:w="850" w:type="dxa"/>
            <w:gridSpan w:val="2"/>
          </w:tcPr>
          <w:p w:rsidRPr="002A1F9A" w:rsidR="00DB2CBB" w:rsidP="00DB2CBB" w:rsidRDefault="00DB2CBB" w14:paraId="2CE25E30"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03441EEC"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67630226"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45374A17" w14:textId="77777777">
        <w:tc>
          <w:tcPr>
            <w:tcW w:w="567" w:type="dxa"/>
          </w:tcPr>
          <w:p w:rsidRPr="002A1F9A" w:rsidR="00DB2CBB" w:rsidP="00DB2CBB" w:rsidRDefault="00DB2CBB" w14:paraId="767DFF4F" w14:textId="77777777">
            <w:pPr>
              <w:rPr>
                <w:rFonts w:ascii="Verdana" w:hAnsi="Verdana"/>
                <w:sz w:val="18"/>
                <w:szCs w:val="18"/>
              </w:rPr>
            </w:pPr>
            <w:r w:rsidRPr="002A1F9A">
              <w:rPr>
                <w:rFonts w:ascii="Verdana" w:hAnsi="Verdana"/>
                <w:sz w:val="18"/>
                <w:szCs w:val="18"/>
              </w:rPr>
              <w:lastRenderedPageBreak/>
              <w:t>68</w:t>
            </w:r>
          </w:p>
        </w:tc>
        <w:tc>
          <w:tcPr>
            <w:tcW w:w="6521" w:type="dxa"/>
            <w:gridSpan w:val="7"/>
          </w:tcPr>
          <w:p w:rsidRPr="002A1F9A" w:rsidR="00DB2CBB" w:rsidP="00DB2CBB" w:rsidRDefault="00DB2CBB" w14:paraId="452B4CA9" w14:textId="77777777">
            <w:pPr>
              <w:rPr>
                <w:rFonts w:ascii="Verdana" w:hAnsi="Verdana"/>
                <w:sz w:val="18"/>
                <w:szCs w:val="18"/>
              </w:rPr>
            </w:pPr>
            <w:r w:rsidRPr="002A1F9A">
              <w:rPr>
                <w:rFonts w:ascii="Verdana" w:hAnsi="Verdana"/>
                <w:sz w:val="18"/>
                <w:szCs w:val="18"/>
              </w:rPr>
              <w:t>Kunt u een overzicht geven van het aantal studenten dat per jaar een lerarenopleiding met succes heeft afgerond van de afgelopen twintig jaar?</w:t>
            </w:r>
          </w:p>
          <w:p w:rsidRPr="002A1F9A" w:rsidR="00DF2B80" w:rsidP="00DB2CBB" w:rsidRDefault="00DF2B80" w14:paraId="1D244FD1" w14:textId="77777777">
            <w:pPr>
              <w:rPr>
                <w:rFonts w:ascii="Verdana" w:hAnsi="Verdana"/>
                <w:sz w:val="18"/>
                <w:szCs w:val="18"/>
              </w:rPr>
            </w:pPr>
          </w:p>
          <w:p w:rsidRPr="002A1F9A" w:rsidR="00DF2B80" w:rsidP="00DF2B80" w:rsidRDefault="00DF2B80" w14:paraId="3248B434" w14:textId="77777777">
            <w:pPr>
              <w:rPr>
                <w:rFonts w:ascii="Verdana" w:hAnsi="Verdana"/>
                <w:sz w:val="18"/>
                <w:szCs w:val="18"/>
              </w:rPr>
            </w:pPr>
            <w:r w:rsidRPr="002A1F9A">
              <w:rPr>
                <w:rFonts w:ascii="Verdana" w:hAnsi="Verdana"/>
                <w:sz w:val="18"/>
                <w:szCs w:val="18"/>
              </w:rPr>
              <w:t>Het aantal studenten dat per jaar een lerarenopleiding met succes heeft afgerond de afgelopen twintig jaar is als volgt:</w:t>
            </w:r>
          </w:p>
          <w:p w:rsidRPr="002A1F9A" w:rsidR="00DF2B80" w:rsidP="00DF2B80" w:rsidRDefault="00DF2B80" w14:paraId="2A36050F" w14:textId="77777777">
            <w:pPr>
              <w:rPr>
                <w:rFonts w:ascii="Verdana" w:hAnsi="Verdana"/>
                <w:sz w:val="18"/>
                <w:szCs w:val="18"/>
              </w:rPr>
            </w:pPr>
            <w:r w:rsidRPr="002A1F9A">
              <w:rPr>
                <w:rFonts w:ascii="Verdana" w:hAnsi="Verdana"/>
                <w:noProof/>
                <w:sz w:val="18"/>
                <w:szCs w:val="18"/>
              </w:rPr>
              <w:drawing>
                <wp:inline distT="0" distB="0" distL="0" distR="0" wp14:anchorId="6DBE320E" wp14:editId="34932551">
                  <wp:extent cx="3883660" cy="3213100"/>
                  <wp:effectExtent l="0" t="0" r="2540" b="6350"/>
                  <wp:docPr id="497579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798" name="Afbeelding 1" descr="Afbeelding met tekst, schermopname, Lettertype, lijn&#10;&#10;Door AI gegenereerde inhoud is mogelijk onjuis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83660" cy="3213100"/>
                          </a:xfrm>
                          <a:prstGeom prst="rect">
                            <a:avLst/>
                          </a:prstGeom>
                          <a:noFill/>
                        </pic:spPr>
                      </pic:pic>
                    </a:graphicData>
                  </a:graphic>
                </wp:inline>
              </w:drawing>
            </w:r>
          </w:p>
          <w:p w:rsidRPr="002A1F9A" w:rsidR="00DF2B80" w:rsidP="00DF2B80" w:rsidRDefault="00DF2B80" w14:paraId="756CE5F1" w14:textId="77777777">
            <w:pPr>
              <w:rPr>
                <w:rFonts w:ascii="Verdana" w:hAnsi="Verdana"/>
                <w:sz w:val="18"/>
                <w:szCs w:val="18"/>
              </w:rPr>
            </w:pPr>
          </w:p>
          <w:tbl>
            <w:tblPr>
              <w:tblW w:w="3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44"/>
              <w:gridCol w:w="1898"/>
            </w:tblGrid>
            <w:tr w:rsidRPr="002A1F9A" w:rsidR="00DF2B80" w:rsidTr="00DF2B80" w14:paraId="641A6E73" w14:textId="77777777">
              <w:trPr>
                <w:trHeight w:val="255"/>
              </w:trPr>
              <w:tc>
                <w:tcPr>
                  <w:tcW w:w="1644" w:type="dxa"/>
                  <w:noWrap/>
                  <w:vAlign w:val="bottom"/>
                  <w:hideMark/>
                </w:tcPr>
                <w:p w:rsidRPr="002A1F9A" w:rsidR="00DF2B80" w:rsidP="00DF2B80" w:rsidRDefault="00DF2B80" w14:paraId="4A67B7C9" w14:textId="77777777">
                  <w:pPr>
                    <w:rPr>
                      <w:rFonts w:ascii="Verdana" w:hAnsi="Verdana"/>
                      <w:b/>
                      <w:bCs/>
                      <w:color w:val="000000"/>
                      <w:sz w:val="16"/>
                      <w:szCs w:val="16"/>
                    </w:rPr>
                  </w:pPr>
                  <w:r w:rsidRPr="002A1F9A">
                    <w:rPr>
                      <w:rFonts w:ascii="Verdana" w:hAnsi="Verdana"/>
                      <w:b/>
                      <w:bCs/>
                      <w:color w:val="000000"/>
                      <w:sz w:val="16"/>
                      <w:szCs w:val="16"/>
                    </w:rPr>
                    <w:t>Studiejaar</w:t>
                  </w:r>
                </w:p>
              </w:tc>
              <w:tc>
                <w:tcPr>
                  <w:tcW w:w="1898" w:type="dxa"/>
                  <w:noWrap/>
                  <w:vAlign w:val="bottom"/>
                  <w:hideMark/>
                </w:tcPr>
                <w:p w:rsidRPr="002A1F9A" w:rsidR="00DF2B80" w:rsidP="00DF2B80" w:rsidRDefault="00DF2B80" w14:paraId="080287A5" w14:textId="77777777">
                  <w:pPr>
                    <w:rPr>
                      <w:rFonts w:ascii="Verdana" w:hAnsi="Verdana"/>
                      <w:b/>
                      <w:bCs/>
                      <w:color w:val="000000"/>
                      <w:sz w:val="16"/>
                      <w:szCs w:val="16"/>
                    </w:rPr>
                  </w:pPr>
                  <w:r w:rsidRPr="002A1F9A">
                    <w:rPr>
                      <w:rFonts w:ascii="Verdana" w:hAnsi="Verdana"/>
                      <w:b/>
                      <w:bCs/>
                      <w:color w:val="000000"/>
                      <w:sz w:val="16"/>
                      <w:szCs w:val="16"/>
                    </w:rPr>
                    <w:t>Gediplomeerden</w:t>
                  </w:r>
                </w:p>
              </w:tc>
            </w:tr>
            <w:tr w:rsidRPr="002A1F9A" w:rsidR="00DF2B80" w:rsidTr="00DF2B80" w14:paraId="065082BA" w14:textId="77777777">
              <w:trPr>
                <w:trHeight w:val="255"/>
              </w:trPr>
              <w:tc>
                <w:tcPr>
                  <w:tcW w:w="1644" w:type="dxa"/>
                  <w:noWrap/>
                  <w:vAlign w:val="bottom"/>
                  <w:hideMark/>
                </w:tcPr>
                <w:p w:rsidRPr="002A1F9A" w:rsidR="00DF2B80" w:rsidP="00DF2B80" w:rsidRDefault="00DF2B80" w14:paraId="650C23BE" w14:textId="77777777">
                  <w:pPr>
                    <w:rPr>
                      <w:rFonts w:ascii="Verdana" w:hAnsi="Verdana"/>
                      <w:b/>
                      <w:bCs/>
                      <w:color w:val="000000"/>
                      <w:sz w:val="16"/>
                      <w:szCs w:val="16"/>
                    </w:rPr>
                  </w:pPr>
                  <w:r w:rsidRPr="002A1F9A">
                    <w:rPr>
                      <w:rFonts w:ascii="Verdana" w:hAnsi="Verdana"/>
                      <w:b/>
                      <w:bCs/>
                      <w:color w:val="000000"/>
                      <w:sz w:val="16"/>
                      <w:szCs w:val="16"/>
                    </w:rPr>
                    <w:t>2004</w:t>
                  </w:r>
                </w:p>
              </w:tc>
              <w:tc>
                <w:tcPr>
                  <w:tcW w:w="1898" w:type="dxa"/>
                  <w:noWrap/>
                  <w:vAlign w:val="bottom"/>
                  <w:hideMark/>
                </w:tcPr>
                <w:p w:rsidRPr="002A1F9A" w:rsidR="00DF2B80" w:rsidP="00DF2B80" w:rsidRDefault="00DF2B80" w14:paraId="1DC4146E" w14:textId="77777777">
                  <w:pPr>
                    <w:jc w:val="right"/>
                    <w:rPr>
                      <w:rFonts w:ascii="Verdana" w:hAnsi="Verdana"/>
                      <w:color w:val="000000"/>
                      <w:sz w:val="16"/>
                      <w:szCs w:val="16"/>
                    </w:rPr>
                  </w:pPr>
                  <w:r w:rsidRPr="002A1F9A">
                    <w:rPr>
                      <w:rFonts w:ascii="Verdana" w:hAnsi="Verdana"/>
                      <w:color w:val="000000"/>
                      <w:sz w:val="16"/>
                      <w:szCs w:val="16"/>
                    </w:rPr>
                    <w:t>11.971</w:t>
                  </w:r>
                </w:p>
              </w:tc>
            </w:tr>
            <w:tr w:rsidRPr="002A1F9A" w:rsidR="00DF2B80" w:rsidTr="00DF2B80" w14:paraId="560EE627" w14:textId="77777777">
              <w:trPr>
                <w:trHeight w:val="255"/>
              </w:trPr>
              <w:tc>
                <w:tcPr>
                  <w:tcW w:w="1644" w:type="dxa"/>
                  <w:noWrap/>
                  <w:vAlign w:val="bottom"/>
                  <w:hideMark/>
                </w:tcPr>
                <w:p w:rsidRPr="002A1F9A" w:rsidR="00DF2B80" w:rsidP="00DF2B80" w:rsidRDefault="00DF2B80" w14:paraId="59B3C6FA" w14:textId="77777777">
                  <w:pPr>
                    <w:rPr>
                      <w:rFonts w:ascii="Verdana" w:hAnsi="Verdana"/>
                      <w:b/>
                      <w:bCs/>
                      <w:color w:val="000000"/>
                      <w:sz w:val="16"/>
                      <w:szCs w:val="16"/>
                    </w:rPr>
                  </w:pPr>
                  <w:r w:rsidRPr="002A1F9A">
                    <w:rPr>
                      <w:rFonts w:ascii="Verdana" w:hAnsi="Verdana"/>
                      <w:b/>
                      <w:bCs/>
                      <w:color w:val="000000"/>
                      <w:sz w:val="16"/>
                      <w:szCs w:val="16"/>
                    </w:rPr>
                    <w:t>2005</w:t>
                  </w:r>
                </w:p>
              </w:tc>
              <w:tc>
                <w:tcPr>
                  <w:tcW w:w="1898" w:type="dxa"/>
                  <w:noWrap/>
                  <w:vAlign w:val="bottom"/>
                  <w:hideMark/>
                </w:tcPr>
                <w:p w:rsidRPr="002A1F9A" w:rsidR="00DF2B80" w:rsidP="00DF2B80" w:rsidRDefault="00DF2B80" w14:paraId="60E54181" w14:textId="77777777">
                  <w:pPr>
                    <w:jc w:val="right"/>
                    <w:rPr>
                      <w:rFonts w:ascii="Verdana" w:hAnsi="Verdana"/>
                      <w:color w:val="000000"/>
                      <w:sz w:val="16"/>
                      <w:szCs w:val="16"/>
                    </w:rPr>
                  </w:pPr>
                  <w:r w:rsidRPr="002A1F9A">
                    <w:rPr>
                      <w:rFonts w:ascii="Verdana" w:hAnsi="Verdana"/>
                      <w:color w:val="000000"/>
                      <w:sz w:val="16"/>
                      <w:szCs w:val="16"/>
                    </w:rPr>
                    <w:t>11.876</w:t>
                  </w:r>
                </w:p>
              </w:tc>
            </w:tr>
            <w:tr w:rsidRPr="002A1F9A" w:rsidR="00DF2B80" w:rsidTr="00DF2B80" w14:paraId="75326DB0" w14:textId="77777777">
              <w:trPr>
                <w:trHeight w:val="255"/>
              </w:trPr>
              <w:tc>
                <w:tcPr>
                  <w:tcW w:w="1644" w:type="dxa"/>
                  <w:noWrap/>
                  <w:vAlign w:val="bottom"/>
                  <w:hideMark/>
                </w:tcPr>
                <w:p w:rsidRPr="002A1F9A" w:rsidR="00DF2B80" w:rsidP="00DF2B80" w:rsidRDefault="00DF2B80" w14:paraId="14A03C6A" w14:textId="77777777">
                  <w:pPr>
                    <w:rPr>
                      <w:rFonts w:ascii="Verdana" w:hAnsi="Verdana"/>
                      <w:b/>
                      <w:bCs/>
                      <w:color w:val="000000"/>
                      <w:sz w:val="16"/>
                      <w:szCs w:val="16"/>
                    </w:rPr>
                  </w:pPr>
                  <w:r w:rsidRPr="002A1F9A">
                    <w:rPr>
                      <w:rFonts w:ascii="Verdana" w:hAnsi="Verdana"/>
                      <w:b/>
                      <w:bCs/>
                      <w:color w:val="000000"/>
                      <w:sz w:val="16"/>
                      <w:szCs w:val="16"/>
                    </w:rPr>
                    <w:t>2006</w:t>
                  </w:r>
                </w:p>
              </w:tc>
              <w:tc>
                <w:tcPr>
                  <w:tcW w:w="1898" w:type="dxa"/>
                  <w:noWrap/>
                  <w:vAlign w:val="bottom"/>
                  <w:hideMark/>
                </w:tcPr>
                <w:p w:rsidRPr="002A1F9A" w:rsidR="00DF2B80" w:rsidP="00DF2B80" w:rsidRDefault="00DF2B80" w14:paraId="623A649B" w14:textId="77777777">
                  <w:pPr>
                    <w:jc w:val="right"/>
                    <w:rPr>
                      <w:rFonts w:ascii="Verdana" w:hAnsi="Verdana"/>
                      <w:color w:val="000000"/>
                      <w:sz w:val="16"/>
                      <w:szCs w:val="16"/>
                    </w:rPr>
                  </w:pPr>
                  <w:r w:rsidRPr="002A1F9A">
                    <w:rPr>
                      <w:rFonts w:ascii="Verdana" w:hAnsi="Verdana"/>
                      <w:color w:val="000000"/>
                      <w:sz w:val="16"/>
                      <w:szCs w:val="16"/>
                    </w:rPr>
                    <w:t>11.953</w:t>
                  </w:r>
                </w:p>
              </w:tc>
            </w:tr>
            <w:tr w:rsidRPr="002A1F9A" w:rsidR="00DF2B80" w:rsidTr="00DF2B80" w14:paraId="14E8235A" w14:textId="77777777">
              <w:trPr>
                <w:trHeight w:val="255"/>
              </w:trPr>
              <w:tc>
                <w:tcPr>
                  <w:tcW w:w="1644" w:type="dxa"/>
                  <w:noWrap/>
                  <w:vAlign w:val="bottom"/>
                  <w:hideMark/>
                </w:tcPr>
                <w:p w:rsidRPr="002A1F9A" w:rsidR="00DF2B80" w:rsidP="00DF2B80" w:rsidRDefault="00DF2B80" w14:paraId="2AA701E8" w14:textId="77777777">
                  <w:pPr>
                    <w:rPr>
                      <w:rFonts w:ascii="Verdana" w:hAnsi="Verdana"/>
                      <w:b/>
                      <w:bCs/>
                      <w:color w:val="000000"/>
                      <w:sz w:val="16"/>
                      <w:szCs w:val="16"/>
                    </w:rPr>
                  </w:pPr>
                  <w:r w:rsidRPr="002A1F9A">
                    <w:rPr>
                      <w:rFonts w:ascii="Verdana" w:hAnsi="Verdana"/>
                      <w:b/>
                      <w:bCs/>
                      <w:color w:val="000000"/>
                      <w:sz w:val="16"/>
                      <w:szCs w:val="16"/>
                    </w:rPr>
                    <w:t>2007</w:t>
                  </w:r>
                </w:p>
              </w:tc>
              <w:tc>
                <w:tcPr>
                  <w:tcW w:w="1898" w:type="dxa"/>
                  <w:noWrap/>
                  <w:vAlign w:val="bottom"/>
                  <w:hideMark/>
                </w:tcPr>
                <w:p w:rsidRPr="002A1F9A" w:rsidR="00DF2B80" w:rsidP="00DF2B80" w:rsidRDefault="00DF2B80" w14:paraId="6400FC9E" w14:textId="77777777">
                  <w:pPr>
                    <w:jc w:val="right"/>
                    <w:rPr>
                      <w:rFonts w:ascii="Verdana" w:hAnsi="Verdana"/>
                      <w:color w:val="000000"/>
                      <w:sz w:val="16"/>
                      <w:szCs w:val="16"/>
                    </w:rPr>
                  </w:pPr>
                  <w:r w:rsidRPr="002A1F9A">
                    <w:rPr>
                      <w:rFonts w:ascii="Verdana" w:hAnsi="Verdana"/>
                      <w:color w:val="000000"/>
                      <w:sz w:val="16"/>
                      <w:szCs w:val="16"/>
                    </w:rPr>
                    <w:t>11.632</w:t>
                  </w:r>
                </w:p>
              </w:tc>
            </w:tr>
            <w:tr w:rsidRPr="002A1F9A" w:rsidR="00DF2B80" w:rsidTr="00DF2B80" w14:paraId="0A1B9F64" w14:textId="77777777">
              <w:trPr>
                <w:trHeight w:val="255"/>
              </w:trPr>
              <w:tc>
                <w:tcPr>
                  <w:tcW w:w="1644" w:type="dxa"/>
                  <w:noWrap/>
                  <w:vAlign w:val="bottom"/>
                  <w:hideMark/>
                </w:tcPr>
                <w:p w:rsidRPr="002A1F9A" w:rsidR="00DF2B80" w:rsidP="00DF2B80" w:rsidRDefault="00DF2B80" w14:paraId="28A0E107" w14:textId="77777777">
                  <w:pPr>
                    <w:rPr>
                      <w:rFonts w:ascii="Verdana" w:hAnsi="Verdana"/>
                      <w:b/>
                      <w:bCs/>
                      <w:color w:val="000000"/>
                      <w:sz w:val="16"/>
                      <w:szCs w:val="16"/>
                    </w:rPr>
                  </w:pPr>
                  <w:r w:rsidRPr="002A1F9A">
                    <w:rPr>
                      <w:rFonts w:ascii="Verdana" w:hAnsi="Verdana"/>
                      <w:b/>
                      <w:bCs/>
                      <w:color w:val="000000"/>
                      <w:sz w:val="16"/>
                      <w:szCs w:val="16"/>
                    </w:rPr>
                    <w:t>2008</w:t>
                  </w:r>
                </w:p>
              </w:tc>
              <w:tc>
                <w:tcPr>
                  <w:tcW w:w="1898" w:type="dxa"/>
                  <w:noWrap/>
                  <w:vAlign w:val="bottom"/>
                  <w:hideMark/>
                </w:tcPr>
                <w:p w:rsidRPr="002A1F9A" w:rsidR="00DF2B80" w:rsidP="00DF2B80" w:rsidRDefault="00DF2B80" w14:paraId="3EE59F43" w14:textId="77777777">
                  <w:pPr>
                    <w:jc w:val="right"/>
                    <w:rPr>
                      <w:rFonts w:ascii="Verdana" w:hAnsi="Verdana"/>
                      <w:color w:val="000000"/>
                      <w:sz w:val="16"/>
                      <w:szCs w:val="16"/>
                    </w:rPr>
                  </w:pPr>
                  <w:r w:rsidRPr="002A1F9A">
                    <w:rPr>
                      <w:rFonts w:ascii="Verdana" w:hAnsi="Verdana"/>
                      <w:color w:val="000000"/>
                      <w:sz w:val="16"/>
                      <w:szCs w:val="16"/>
                    </w:rPr>
                    <w:t>11.116</w:t>
                  </w:r>
                </w:p>
              </w:tc>
            </w:tr>
            <w:tr w:rsidRPr="002A1F9A" w:rsidR="00DF2B80" w:rsidTr="00DF2B80" w14:paraId="3F3CDA69" w14:textId="77777777">
              <w:trPr>
                <w:trHeight w:val="255"/>
              </w:trPr>
              <w:tc>
                <w:tcPr>
                  <w:tcW w:w="1644" w:type="dxa"/>
                  <w:noWrap/>
                  <w:vAlign w:val="bottom"/>
                  <w:hideMark/>
                </w:tcPr>
                <w:p w:rsidRPr="002A1F9A" w:rsidR="00DF2B80" w:rsidP="00DF2B80" w:rsidRDefault="00DF2B80" w14:paraId="60BE6ED5" w14:textId="77777777">
                  <w:pPr>
                    <w:rPr>
                      <w:rFonts w:ascii="Verdana" w:hAnsi="Verdana"/>
                      <w:b/>
                      <w:bCs/>
                      <w:color w:val="000000"/>
                      <w:sz w:val="16"/>
                      <w:szCs w:val="16"/>
                    </w:rPr>
                  </w:pPr>
                  <w:r w:rsidRPr="002A1F9A">
                    <w:rPr>
                      <w:rFonts w:ascii="Verdana" w:hAnsi="Verdana"/>
                      <w:b/>
                      <w:bCs/>
                      <w:color w:val="000000"/>
                      <w:sz w:val="16"/>
                      <w:szCs w:val="16"/>
                    </w:rPr>
                    <w:t>2009</w:t>
                  </w:r>
                </w:p>
              </w:tc>
              <w:tc>
                <w:tcPr>
                  <w:tcW w:w="1898" w:type="dxa"/>
                  <w:noWrap/>
                  <w:vAlign w:val="bottom"/>
                  <w:hideMark/>
                </w:tcPr>
                <w:p w:rsidRPr="002A1F9A" w:rsidR="00DF2B80" w:rsidP="00DF2B80" w:rsidRDefault="00DF2B80" w14:paraId="04AEC15E" w14:textId="77777777">
                  <w:pPr>
                    <w:jc w:val="right"/>
                    <w:rPr>
                      <w:rFonts w:ascii="Verdana" w:hAnsi="Verdana"/>
                      <w:color w:val="000000"/>
                      <w:sz w:val="16"/>
                      <w:szCs w:val="16"/>
                    </w:rPr>
                  </w:pPr>
                  <w:r w:rsidRPr="002A1F9A">
                    <w:rPr>
                      <w:rFonts w:ascii="Verdana" w:hAnsi="Verdana"/>
                      <w:color w:val="000000"/>
                      <w:sz w:val="16"/>
                      <w:szCs w:val="16"/>
                    </w:rPr>
                    <w:t>11.009</w:t>
                  </w:r>
                </w:p>
              </w:tc>
            </w:tr>
            <w:tr w:rsidRPr="002A1F9A" w:rsidR="00DF2B80" w:rsidTr="00DF2B80" w14:paraId="22D3ABAD" w14:textId="77777777">
              <w:trPr>
                <w:trHeight w:val="255"/>
              </w:trPr>
              <w:tc>
                <w:tcPr>
                  <w:tcW w:w="1644" w:type="dxa"/>
                  <w:noWrap/>
                  <w:vAlign w:val="bottom"/>
                  <w:hideMark/>
                </w:tcPr>
                <w:p w:rsidRPr="002A1F9A" w:rsidR="00DF2B80" w:rsidP="00DF2B80" w:rsidRDefault="00DF2B80" w14:paraId="1C93CEE1" w14:textId="77777777">
                  <w:pPr>
                    <w:rPr>
                      <w:rFonts w:ascii="Verdana" w:hAnsi="Verdana"/>
                      <w:b/>
                      <w:bCs/>
                      <w:color w:val="000000"/>
                      <w:sz w:val="16"/>
                      <w:szCs w:val="16"/>
                    </w:rPr>
                  </w:pPr>
                  <w:r w:rsidRPr="002A1F9A">
                    <w:rPr>
                      <w:rFonts w:ascii="Verdana" w:hAnsi="Verdana"/>
                      <w:b/>
                      <w:bCs/>
                      <w:color w:val="000000"/>
                      <w:sz w:val="16"/>
                      <w:szCs w:val="16"/>
                    </w:rPr>
                    <w:t>2010</w:t>
                  </w:r>
                </w:p>
              </w:tc>
              <w:tc>
                <w:tcPr>
                  <w:tcW w:w="1898" w:type="dxa"/>
                  <w:noWrap/>
                  <w:vAlign w:val="bottom"/>
                  <w:hideMark/>
                </w:tcPr>
                <w:p w:rsidRPr="002A1F9A" w:rsidR="00DF2B80" w:rsidP="00DF2B80" w:rsidRDefault="00DF2B80" w14:paraId="6D745451" w14:textId="77777777">
                  <w:pPr>
                    <w:jc w:val="right"/>
                    <w:rPr>
                      <w:rFonts w:ascii="Verdana" w:hAnsi="Verdana"/>
                      <w:color w:val="000000"/>
                      <w:sz w:val="16"/>
                      <w:szCs w:val="16"/>
                    </w:rPr>
                  </w:pPr>
                  <w:r w:rsidRPr="002A1F9A">
                    <w:rPr>
                      <w:rFonts w:ascii="Verdana" w:hAnsi="Verdana"/>
                      <w:color w:val="000000"/>
                      <w:sz w:val="16"/>
                      <w:szCs w:val="16"/>
                    </w:rPr>
                    <w:t>11.271</w:t>
                  </w:r>
                </w:p>
              </w:tc>
            </w:tr>
            <w:tr w:rsidRPr="002A1F9A" w:rsidR="00DF2B80" w:rsidTr="00DF2B80" w14:paraId="35579E96" w14:textId="77777777">
              <w:trPr>
                <w:trHeight w:val="255"/>
              </w:trPr>
              <w:tc>
                <w:tcPr>
                  <w:tcW w:w="1644" w:type="dxa"/>
                  <w:noWrap/>
                  <w:vAlign w:val="bottom"/>
                  <w:hideMark/>
                </w:tcPr>
                <w:p w:rsidRPr="002A1F9A" w:rsidR="00DF2B80" w:rsidP="00DF2B80" w:rsidRDefault="00DF2B80" w14:paraId="2D6DD641" w14:textId="77777777">
                  <w:pPr>
                    <w:rPr>
                      <w:rFonts w:ascii="Verdana" w:hAnsi="Verdana"/>
                      <w:b/>
                      <w:bCs/>
                      <w:color w:val="000000"/>
                      <w:sz w:val="16"/>
                      <w:szCs w:val="16"/>
                    </w:rPr>
                  </w:pPr>
                  <w:r w:rsidRPr="002A1F9A">
                    <w:rPr>
                      <w:rFonts w:ascii="Verdana" w:hAnsi="Verdana"/>
                      <w:b/>
                      <w:bCs/>
                      <w:color w:val="000000"/>
                      <w:sz w:val="16"/>
                      <w:szCs w:val="16"/>
                    </w:rPr>
                    <w:t>2011</w:t>
                  </w:r>
                </w:p>
              </w:tc>
              <w:tc>
                <w:tcPr>
                  <w:tcW w:w="1898" w:type="dxa"/>
                  <w:noWrap/>
                  <w:vAlign w:val="bottom"/>
                  <w:hideMark/>
                </w:tcPr>
                <w:p w:rsidRPr="002A1F9A" w:rsidR="00DF2B80" w:rsidP="00DF2B80" w:rsidRDefault="00DF2B80" w14:paraId="69C13D40" w14:textId="77777777">
                  <w:pPr>
                    <w:jc w:val="right"/>
                    <w:rPr>
                      <w:rFonts w:ascii="Verdana" w:hAnsi="Verdana"/>
                      <w:color w:val="000000"/>
                      <w:sz w:val="16"/>
                      <w:szCs w:val="16"/>
                    </w:rPr>
                  </w:pPr>
                  <w:r w:rsidRPr="002A1F9A">
                    <w:rPr>
                      <w:rFonts w:ascii="Verdana" w:hAnsi="Verdana"/>
                      <w:color w:val="000000"/>
                      <w:sz w:val="16"/>
                      <w:szCs w:val="16"/>
                    </w:rPr>
                    <w:t>11.933</w:t>
                  </w:r>
                </w:p>
              </w:tc>
            </w:tr>
            <w:tr w:rsidRPr="002A1F9A" w:rsidR="00DF2B80" w:rsidTr="00DF2B80" w14:paraId="2C1D024B" w14:textId="77777777">
              <w:trPr>
                <w:trHeight w:val="255"/>
              </w:trPr>
              <w:tc>
                <w:tcPr>
                  <w:tcW w:w="1644" w:type="dxa"/>
                  <w:noWrap/>
                  <w:vAlign w:val="bottom"/>
                  <w:hideMark/>
                </w:tcPr>
                <w:p w:rsidRPr="002A1F9A" w:rsidR="00DF2B80" w:rsidP="00DF2B80" w:rsidRDefault="00DF2B80" w14:paraId="7D6BAE44" w14:textId="77777777">
                  <w:pPr>
                    <w:rPr>
                      <w:rFonts w:ascii="Verdana" w:hAnsi="Verdana"/>
                      <w:b/>
                      <w:bCs/>
                      <w:color w:val="000000"/>
                      <w:sz w:val="16"/>
                      <w:szCs w:val="16"/>
                    </w:rPr>
                  </w:pPr>
                  <w:r w:rsidRPr="002A1F9A">
                    <w:rPr>
                      <w:rFonts w:ascii="Verdana" w:hAnsi="Verdana"/>
                      <w:b/>
                      <w:bCs/>
                      <w:color w:val="000000"/>
                      <w:sz w:val="16"/>
                      <w:szCs w:val="16"/>
                    </w:rPr>
                    <w:t>2012</w:t>
                  </w:r>
                </w:p>
              </w:tc>
              <w:tc>
                <w:tcPr>
                  <w:tcW w:w="1898" w:type="dxa"/>
                  <w:noWrap/>
                  <w:vAlign w:val="bottom"/>
                  <w:hideMark/>
                </w:tcPr>
                <w:p w:rsidRPr="002A1F9A" w:rsidR="00DF2B80" w:rsidP="00DF2B80" w:rsidRDefault="00DF2B80" w14:paraId="27095560" w14:textId="77777777">
                  <w:pPr>
                    <w:jc w:val="right"/>
                    <w:rPr>
                      <w:rFonts w:ascii="Verdana" w:hAnsi="Verdana"/>
                      <w:color w:val="000000"/>
                      <w:sz w:val="16"/>
                      <w:szCs w:val="16"/>
                    </w:rPr>
                  </w:pPr>
                  <w:r w:rsidRPr="002A1F9A">
                    <w:rPr>
                      <w:rFonts w:ascii="Verdana" w:hAnsi="Verdana"/>
                      <w:color w:val="000000"/>
                      <w:sz w:val="16"/>
                      <w:szCs w:val="16"/>
                    </w:rPr>
                    <w:t>10.378</w:t>
                  </w:r>
                </w:p>
              </w:tc>
            </w:tr>
            <w:tr w:rsidRPr="002A1F9A" w:rsidR="00DF2B80" w:rsidTr="00DF2B80" w14:paraId="4CB01E09" w14:textId="77777777">
              <w:trPr>
                <w:trHeight w:val="255"/>
              </w:trPr>
              <w:tc>
                <w:tcPr>
                  <w:tcW w:w="1644" w:type="dxa"/>
                  <w:noWrap/>
                  <w:vAlign w:val="bottom"/>
                  <w:hideMark/>
                </w:tcPr>
                <w:p w:rsidRPr="002A1F9A" w:rsidR="00DF2B80" w:rsidP="00DF2B80" w:rsidRDefault="00DF2B80" w14:paraId="6FEDB67C" w14:textId="77777777">
                  <w:pPr>
                    <w:rPr>
                      <w:rFonts w:ascii="Verdana" w:hAnsi="Verdana"/>
                      <w:b/>
                      <w:bCs/>
                      <w:color w:val="000000"/>
                      <w:sz w:val="16"/>
                      <w:szCs w:val="16"/>
                    </w:rPr>
                  </w:pPr>
                  <w:r w:rsidRPr="002A1F9A">
                    <w:rPr>
                      <w:rFonts w:ascii="Verdana" w:hAnsi="Verdana"/>
                      <w:b/>
                      <w:bCs/>
                      <w:color w:val="000000"/>
                      <w:sz w:val="16"/>
                      <w:szCs w:val="16"/>
                    </w:rPr>
                    <w:t>2013</w:t>
                  </w:r>
                </w:p>
              </w:tc>
              <w:tc>
                <w:tcPr>
                  <w:tcW w:w="1898" w:type="dxa"/>
                  <w:noWrap/>
                  <w:vAlign w:val="bottom"/>
                  <w:hideMark/>
                </w:tcPr>
                <w:p w:rsidRPr="002A1F9A" w:rsidR="00DF2B80" w:rsidP="00DF2B80" w:rsidRDefault="00DF2B80" w14:paraId="0D7E9894" w14:textId="77777777">
                  <w:pPr>
                    <w:jc w:val="right"/>
                    <w:rPr>
                      <w:rFonts w:ascii="Verdana" w:hAnsi="Verdana"/>
                      <w:color w:val="000000"/>
                      <w:sz w:val="16"/>
                      <w:szCs w:val="16"/>
                    </w:rPr>
                  </w:pPr>
                  <w:r w:rsidRPr="002A1F9A">
                    <w:rPr>
                      <w:rFonts w:ascii="Verdana" w:hAnsi="Verdana"/>
                      <w:color w:val="000000"/>
                      <w:sz w:val="16"/>
                      <w:szCs w:val="16"/>
                    </w:rPr>
                    <w:t>10.215</w:t>
                  </w:r>
                </w:p>
              </w:tc>
            </w:tr>
            <w:tr w:rsidRPr="002A1F9A" w:rsidR="00DF2B80" w:rsidTr="00DF2B80" w14:paraId="728436C9" w14:textId="77777777">
              <w:trPr>
                <w:trHeight w:val="255"/>
              </w:trPr>
              <w:tc>
                <w:tcPr>
                  <w:tcW w:w="1644" w:type="dxa"/>
                  <w:noWrap/>
                  <w:vAlign w:val="bottom"/>
                  <w:hideMark/>
                </w:tcPr>
                <w:p w:rsidRPr="002A1F9A" w:rsidR="00DF2B80" w:rsidP="00DF2B80" w:rsidRDefault="00DF2B80" w14:paraId="1B7D28EC" w14:textId="77777777">
                  <w:pPr>
                    <w:rPr>
                      <w:rFonts w:ascii="Verdana" w:hAnsi="Verdana"/>
                      <w:b/>
                      <w:bCs/>
                      <w:color w:val="000000"/>
                      <w:sz w:val="16"/>
                      <w:szCs w:val="16"/>
                    </w:rPr>
                  </w:pPr>
                  <w:r w:rsidRPr="002A1F9A">
                    <w:rPr>
                      <w:rFonts w:ascii="Verdana" w:hAnsi="Verdana"/>
                      <w:b/>
                      <w:bCs/>
                      <w:color w:val="000000"/>
                      <w:sz w:val="16"/>
                      <w:szCs w:val="16"/>
                    </w:rPr>
                    <w:t>2014</w:t>
                  </w:r>
                </w:p>
              </w:tc>
              <w:tc>
                <w:tcPr>
                  <w:tcW w:w="1898" w:type="dxa"/>
                  <w:noWrap/>
                  <w:vAlign w:val="bottom"/>
                  <w:hideMark/>
                </w:tcPr>
                <w:p w:rsidRPr="002A1F9A" w:rsidR="00DF2B80" w:rsidP="00DF2B80" w:rsidRDefault="00DF2B80" w14:paraId="2B979D8F" w14:textId="77777777">
                  <w:pPr>
                    <w:jc w:val="right"/>
                    <w:rPr>
                      <w:rFonts w:ascii="Verdana" w:hAnsi="Verdana"/>
                      <w:color w:val="000000"/>
                      <w:sz w:val="16"/>
                      <w:szCs w:val="16"/>
                    </w:rPr>
                  </w:pPr>
                  <w:r w:rsidRPr="002A1F9A">
                    <w:rPr>
                      <w:rFonts w:ascii="Verdana" w:hAnsi="Verdana"/>
                      <w:color w:val="000000"/>
                      <w:sz w:val="16"/>
                      <w:szCs w:val="16"/>
                    </w:rPr>
                    <w:t>10.113</w:t>
                  </w:r>
                </w:p>
              </w:tc>
            </w:tr>
            <w:tr w:rsidRPr="002A1F9A" w:rsidR="00DF2B80" w:rsidTr="00DF2B80" w14:paraId="07F0C90F" w14:textId="77777777">
              <w:trPr>
                <w:trHeight w:val="255"/>
              </w:trPr>
              <w:tc>
                <w:tcPr>
                  <w:tcW w:w="1644" w:type="dxa"/>
                  <w:noWrap/>
                  <w:vAlign w:val="bottom"/>
                  <w:hideMark/>
                </w:tcPr>
                <w:p w:rsidRPr="002A1F9A" w:rsidR="00DF2B80" w:rsidP="00DF2B80" w:rsidRDefault="00DF2B80" w14:paraId="5536B3EE" w14:textId="77777777">
                  <w:pPr>
                    <w:rPr>
                      <w:rFonts w:ascii="Verdana" w:hAnsi="Verdana"/>
                      <w:b/>
                      <w:bCs/>
                      <w:color w:val="000000"/>
                      <w:sz w:val="16"/>
                      <w:szCs w:val="16"/>
                    </w:rPr>
                  </w:pPr>
                  <w:r w:rsidRPr="002A1F9A">
                    <w:rPr>
                      <w:rFonts w:ascii="Verdana" w:hAnsi="Verdana"/>
                      <w:b/>
                      <w:bCs/>
                      <w:color w:val="000000"/>
                      <w:sz w:val="16"/>
                      <w:szCs w:val="16"/>
                    </w:rPr>
                    <w:t>2015</w:t>
                  </w:r>
                </w:p>
              </w:tc>
              <w:tc>
                <w:tcPr>
                  <w:tcW w:w="1898" w:type="dxa"/>
                  <w:noWrap/>
                  <w:vAlign w:val="bottom"/>
                  <w:hideMark/>
                </w:tcPr>
                <w:p w:rsidRPr="002A1F9A" w:rsidR="00DF2B80" w:rsidP="00DF2B80" w:rsidRDefault="00DF2B80" w14:paraId="2EA1957E" w14:textId="77777777">
                  <w:pPr>
                    <w:jc w:val="right"/>
                    <w:rPr>
                      <w:rFonts w:ascii="Verdana" w:hAnsi="Verdana"/>
                      <w:color w:val="000000"/>
                      <w:sz w:val="16"/>
                      <w:szCs w:val="16"/>
                    </w:rPr>
                  </w:pPr>
                  <w:r w:rsidRPr="002A1F9A">
                    <w:rPr>
                      <w:rFonts w:ascii="Verdana" w:hAnsi="Verdana"/>
                      <w:color w:val="000000"/>
                      <w:sz w:val="16"/>
                      <w:szCs w:val="16"/>
                    </w:rPr>
                    <w:t>9.792</w:t>
                  </w:r>
                </w:p>
              </w:tc>
            </w:tr>
            <w:tr w:rsidRPr="002A1F9A" w:rsidR="00DF2B80" w:rsidTr="00DF2B80" w14:paraId="7ED56DBE" w14:textId="77777777">
              <w:trPr>
                <w:trHeight w:val="255"/>
              </w:trPr>
              <w:tc>
                <w:tcPr>
                  <w:tcW w:w="1644" w:type="dxa"/>
                  <w:noWrap/>
                  <w:vAlign w:val="bottom"/>
                  <w:hideMark/>
                </w:tcPr>
                <w:p w:rsidRPr="002A1F9A" w:rsidR="00DF2B80" w:rsidP="00DF2B80" w:rsidRDefault="00DF2B80" w14:paraId="3B5E0676" w14:textId="77777777">
                  <w:pPr>
                    <w:rPr>
                      <w:rFonts w:ascii="Verdana" w:hAnsi="Verdana"/>
                      <w:b/>
                      <w:bCs/>
                      <w:color w:val="000000"/>
                      <w:sz w:val="16"/>
                      <w:szCs w:val="16"/>
                    </w:rPr>
                  </w:pPr>
                  <w:r w:rsidRPr="002A1F9A">
                    <w:rPr>
                      <w:rFonts w:ascii="Verdana" w:hAnsi="Verdana"/>
                      <w:b/>
                      <w:bCs/>
                      <w:color w:val="000000"/>
                      <w:sz w:val="16"/>
                      <w:szCs w:val="16"/>
                    </w:rPr>
                    <w:t>2016</w:t>
                  </w:r>
                </w:p>
              </w:tc>
              <w:tc>
                <w:tcPr>
                  <w:tcW w:w="1898" w:type="dxa"/>
                  <w:noWrap/>
                  <w:vAlign w:val="bottom"/>
                  <w:hideMark/>
                </w:tcPr>
                <w:p w:rsidRPr="002A1F9A" w:rsidR="00DF2B80" w:rsidP="00DF2B80" w:rsidRDefault="00DF2B80" w14:paraId="212AB7AF" w14:textId="77777777">
                  <w:pPr>
                    <w:jc w:val="right"/>
                    <w:rPr>
                      <w:rFonts w:ascii="Verdana" w:hAnsi="Verdana"/>
                      <w:color w:val="000000"/>
                      <w:sz w:val="16"/>
                      <w:szCs w:val="16"/>
                    </w:rPr>
                  </w:pPr>
                  <w:r w:rsidRPr="002A1F9A">
                    <w:rPr>
                      <w:rFonts w:ascii="Verdana" w:hAnsi="Verdana"/>
                      <w:color w:val="000000"/>
                      <w:sz w:val="16"/>
                      <w:szCs w:val="16"/>
                    </w:rPr>
                    <w:t>9.912</w:t>
                  </w:r>
                </w:p>
              </w:tc>
            </w:tr>
            <w:tr w:rsidRPr="002A1F9A" w:rsidR="00DF2B80" w:rsidTr="00DF2B80" w14:paraId="6306FB01" w14:textId="77777777">
              <w:trPr>
                <w:trHeight w:val="255"/>
              </w:trPr>
              <w:tc>
                <w:tcPr>
                  <w:tcW w:w="1644" w:type="dxa"/>
                  <w:noWrap/>
                  <w:vAlign w:val="bottom"/>
                  <w:hideMark/>
                </w:tcPr>
                <w:p w:rsidRPr="002A1F9A" w:rsidR="00DF2B80" w:rsidP="00DF2B80" w:rsidRDefault="00DF2B80" w14:paraId="5CE00290" w14:textId="77777777">
                  <w:pPr>
                    <w:rPr>
                      <w:rFonts w:ascii="Verdana" w:hAnsi="Verdana"/>
                      <w:b/>
                      <w:bCs/>
                      <w:color w:val="000000"/>
                      <w:sz w:val="16"/>
                      <w:szCs w:val="16"/>
                    </w:rPr>
                  </w:pPr>
                  <w:r w:rsidRPr="002A1F9A">
                    <w:rPr>
                      <w:rFonts w:ascii="Verdana" w:hAnsi="Verdana"/>
                      <w:b/>
                      <w:bCs/>
                      <w:color w:val="000000"/>
                      <w:sz w:val="16"/>
                      <w:szCs w:val="16"/>
                    </w:rPr>
                    <w:t>2017</w:t>
                  </w:r>
                </w:p>
              </w:tc>
              <w:tc>
                <w:tcPr>
                  <w:tcW w:w="1898" w:type="dxa"/>
                  <w:noWrap/>
                  <w:vAlign w:val="bottom"/>
                  <w:hideMark/>
                </w:tcPr>
                <w:p w:rsidRPr="002A1F9A" w:rsidR="00DF2B80" w:rsidP="00DF2B80" w:rsidRDefault="00DF2B80" w14:paraId="18CF47ED" w14:textId="77777777">
                  <w:pPr>
                    <w:jc w:val="right"/>
                    <w:rPr>
                      <w:rFonts w:ascii="Verdana" w:hAnsi="Verdana"/>
                      <w:color w:val="000000"/>
                      <w:sz w:val="16"/>
                      <w:szCs w:val="16"/>
                    </w:rPr>
                  </w:pPr>
                  <w:r w:rsidRPr="002A1F9A">
                    <w:rPr>
                      <w:rFonts w:ascii="Verdana" w:hAnsi="Verdana"/>
                      <w:color w:val="000000"/>
                      <w:sz w:val="16"/>
                      <w:szCs w:val="16"/>
                    </w:rPr>
                    <w:t>10.125</w:t>
                  </w:r>
                </w:p>
              </w:tc>
            </w:tr>
            <w:tr w:rsidRPr="002A1F9A" w:rsidR="00DF2B80" w:rsidTr="00DF2B80" w14:paraId="75607BFD" w14:textId="77777777">
              <w:trPr>
                <w:trHeight w:val="255"/>
              </w:trPr>
              <w:tc>
                <w:tcPr>
                  <w:tcW w:w="1644" w:type="dxa"/>
                  <w:noWrap/>
                  <w:vAlign w:val="bottom"/>
                  <w:hideMark/>
                </w:tcPr>
                <w:p w:rsidRPr="002A1F9A" w:rsidR="00DF2B80" w:rsidP="00DF2B80" w:rsidRDefault="00DF2B80" w14:paraId="1DD84023" w14:textId="77777777">
                  <w:pPr>
                    <w:rPr>
                      <w:rFonts w:ascii="Verdana" w:hAnsi="Verdana"/>
                      <w:b/>
                      <w:bCs/>
                      <w:color w:val="000000"/>
                      <w:sz w:val="16"/>
                      <w:szCs w:val="16"/>
                    </w:rPr>
                  </w:pPr>
                  <w:r w:rsidRPr="002A1F9A">
                    <w:rPr>
                      <w:rFonts w:ascii="Verdana" w:hAnsi="Verdana"/>
                      <w:b/>
                      <w:bCs/>
                      <w:color w:val="000000"/>
                      <w:sz w:val="16"/>
                      <w:szCs w:val="16"/>
                    </w:rPr>
                    <w:t>2018</w:t>
                  </w:r>
                </w:p>
              </w:tc>
              <w:tc>
                <w:tcPr>
                  <w:tcW w:w="1898" w:type="dxa"/>
                  <w:noWrap/>
                  <w:vAlign w:val="bottom"/>
                  <w:hideMark/>
                </w:tcPr>
                <w:p w:rsidRPr="002A1F9A" w:rsidR="00DF2B80" w:rsidP="00DF2B80" w:rsidRDefault="00DF2B80" w14:paraId="0C215257" w14:textId="77777777">
                  <w:pPr>
                    <w:jc w:val="right"/>
                    <w:rPr>
                      <w:rFonts w:ascii="Verdana" w:hAnsi="Verdana"/>
                      <w:color w:val="000000"/>
                      <w:sz w:val="16"/>
                      <w:szCs w:val="16"/>
                    </w:rPr>
                  </w:pPr>
                  <w:r w:rsidRPr="002A1F9A">
                    <w:rPr>
                      <w:rFonts w:ascii="Verdana" w:hAnsi="Verdana"/>
                      <w:color w:val="000000"/>
                      <w:sz w:val="16"/>
                      <w:szCs w:val="16"/>
                    </w:rPr>
                    <w:t>9.553</w:t>
                  </w:r>
                </w:p>
              </w:tc>
            </w:tr>
            <w:tr w:rsidRPr="002A1F9A" w:rsidR="00DF2B80" w:rsidTr="00DF2B80" w14:paraId="74CEA8BD" w14:textId="77777777">
              <w:trPr>
                <w:trHeight w:val="255"/>
              </w:trPr>
              <w:tc>
                <w:tcPr>
                  <w:tcW w:w="1644" w:type="dxa"/>
                  <w:noWrap/>
                  <w:vAlign w:val="bottom"/>
                  <w:hideMark/>
                </w:tcPr>
                <w:p w:rsidRPr="002A1F9A" w:rsidR="00DF2B80" w:rsidP="00DF2B80" w:rsidRDefault="00DF2B80" w14:paraId="11819572" w14:textId="77777777">
                  <w:pPr>
                    <w:rPr>
                      <w:rFonts w:ascii="Verdana" w:hAnsi="Verdana"/>
                      <w:b/>
                      <w:bCs/>
                      <w:color w:val="000000"/>
                      <w:sz w:val="16"/>
                      <w:szCs w:val="16"/>
                    </w:rPr>
                  </w:pPr>
                  <w:r w:rsidRPr="002A1F9A">
                    <w:rPr>
                      <w:rFonts w:ascii="Verdana" w:hAnsi="Verdana"/>
                      <w:b/>
                      <w:bCs/>
                      <w:color w:val="000000"/>
                      <w:sz w:val="16"/>
                      <w:szCs w:val="16"/>
                    </w:rPr>
                    <w:t>2019</w:t>
                  </w:r>
                </w:p>
              </w:tc>
              <w:tc>
                <w:tcPr>
                  <w:tcW w:w="1898" w:type="dxa"/>
                  <w:noWrap/>
                  <w:vAlign w:val="bottom"/>
                  <w:hideMark/>
                </w:tcPr>
                <w:p w:rsidRPr="002A1F9A" w:rsidR="00DF2B80" w:rsidP="00DF2B80" w:rsidRDefault="00DF2B80" w14:paraId="334EE5B2" w14:textId="77777777">
                  <w:pPr>
                    <w:jc w:val="right"/>
                    <w:rPr>
                      <w:rFonts w:ascii="Verdana" w:hAnsi="Verdana"/>
                      <w:color w:val="000000"/>
                      <w:sz w:val="16"/>
                      <w:szCs w:val="16"/>
                    </w:rPr>
                  </w:pPr>
                  <w:r w:rsidRPr="002A1F9A">
                    <w:rPr>
                      <w:rFonts w:ascii="Verdana" w:hAnsi="Verdana"/>
                      <w:color w:val="000000"/>
                      <w:sz w:val="16"/>
                      <w:szCs w:val="16"/>
                    </w:rPr>
                    <w:t>9.682</w:t>
                  </w:r>
                </w:p>
              </w:tc>
            </w:tr>
            <w:tr w:rsidRPr="002A1F9A" w:rsidR="00DF2B80" w:rsidTr="00DF2B80" w14:paraId="5F2FC10B" w14:textId="77777777">
              <w:trPr>
                <w:trHeight w:val="255"/>
              </w:trPr>
              <w:tc>
                <w:tcPr>
                  <w:tcW w:w="1644" w:type="dxa"/>
                  <w:noWrap/>
                  <w:vAlign w:val="bottom"/>
                  <w:hideMark/>
                </w:tcPr>
                <w:p w:rsidRPr="002A1F9A" w:rsidR="00DF2B80" w:rsidP="00DF2B80" w:rsidRDefault="00DF2B80" w14:paraId="372C5B03" w14:textId="77777777">
                  <w:pPr>
                    <w:rPr>
                      <w:rFonts w:ascii="Verdana" w:hAnsi="Verdana"/>
                      <w:b/>
                      <w:bCs/>
                      <w:color w:val="000000"/>
                      <w:sz w:val="16"/>
                      <w:szCs w:val="16"/>
                    </w:rPr>
                  </w:pPr>
                  <w:r w:rsidRPr="002A1F9A">
                    <w:rPr>
                      <w:rFonts w:ascii="Verdana" w:hAnsi="Verdana"/>
                      <w:b/>
                      <w:bCs/>
                      <w:color w:val="000000"/>
                      <w:sz w:val="16"/>
                      <w:szCs w:val="16"/>
                    </w:rPr>
                    <w:t>2020</w:t>
                  </w:r>
                </w:p>
              </w:tc>
              <w:tc>
                <w:tcPr>
                  <w:tcW w:w="1898" w:type="dxa"/>
                  <w:noWrap/>
                  <w:vAlign w:val="bottom"/>
                  <w:hideMark/>
                </w:tcPr>
                <w:p w:rsidRPr="002A1F9A" w:rsidR="00DF2B80" w:rsidP="00DF2B80" w:rsidRDefault="00DF2B80" w14:paraId="3BAC61C6" w14:textId="77777777">
                  <w:pPr>
                    <w:jc w:val="right"/>
                    <w:rPr>
                      <w:rFonts w:ascii="Verdana" w:hAnsi="Verdana"/>
                      <w:color w:val="000000"/>
                      <w:sz w:val="16"/>
                      <w:szCs w:val="16"/>
                    </w:rPr>
                  </w:pPr>
                  <w:r w:rsidRPr="002A1F9A">
                    <w:rPr>
                      <w:rFonts w:ascii="Verdana" w:hAnsi="Verdana"/>
                      <w:color w:val="000000"/>
                      <w:sz w:val="16"/>
                      <w:szCs w:val="16"/>
                    </w:rPr>
                    <w:t>10.073</w:t>
                  </w:r>
                </w:p>
              </w:tc>
            </w:tr>
            <w:tr w:rsidRPr="002A1F9A" w:rsidR="00DF2B80" w:rsidTr="00DF2B80" w14:paraId="7AC9BCC8" w14:textId="77777777">
              <w:trPr>
                <w:trHeight w:val="255"/>
              </w:trPr>
              <w:tc>
                <w:tcPr>
                  <w:tcW w:w="1644" w:type="dxa"/>
                  <w:noWrap/>
                  <w:vAlign w:val="bottom"/>
                  <w:hideMark/>
                </w:tcPr>
                <w:p w:rsidRPr="002A1F9A" w:rsidR="00DF2B80" w:rsidP="00DF2B80" w:rsidRDefault="00DF2B80" w14:paraId="460DB436" w14:textId="77777777">
                  <w:pPr>
                    <w:rPr>
                      <w:rFonts w:ascii="Verdana" w:hAnsi="Verdana"/>
                      <w:b/>
                      <w:bCs/>
                      <w:color w:val="000000"/>
                      <w:sz w:val="16"/>
                      <w:szCs w:val="16"/>
                    </w:rPr>
                  </w:pPr>
                  <w:r w:rsidRPr="002A1F9A">
                    <w:rPr>
                      <w:rFonts w:ascii="Verdana" w:hAnsi="Verdana"/>
                      <w:b/>
                      <w:bCs/>
                      <w:color w:val="000000"/>
                      <w:sz w:val="16"/>
                      <w:szCs w:val="16"/>
                    </w:rPr>
                    <w:t>2021</w:t>
                  </w:r>
                </w:p>
              </w:tc>
              <w:tc>
                <w:tcPr>
                  <w:tcW w:w="1898" w:type="dxa"/>
                  <w:noWrap/>
                  <w:vAlign w:val="bottom"/>
                  <w:hideMark/>
                </w:tcPr>
                <w:p w:rsidRPr="002A1F9A" w:rsidR="00DF2B80" w:rsidP="00DF2B80" w:rsidRDefault="00DF2B80" w14:paraId="16C76711" w14:textId="77777777">
                  <w:pPr>
                    <w:jc w:val="right"/>
                    <w:rPr>
                      <w:rFonts w:ascii="Verdana" w:hAnsi="Verdana"/>
                      <w:color w:val="000000"/>
                      <w:sz w:val="16"/>
                      <w:szCs w:val="16"/>
                    </w:rPr>
                  </w:pPr>
                  <w:r w:rsidRPr="002A1F9A">
                    <w:rPr>
                      <w:rFonts w:ascii="Verdana" w:hAnsi="Verdana"/>
                      <w:color w:val="000000"/>
                      <w:sz w:val="16"/>
                      <w:szCs w:val="16"/>
                    </w:rPr>
                    <w:t>9.275</w:t>
                  </w:r>
                </w:p>
              </w:tc>
            </w:tr>
            <w:tr w:rsidRPr="002A1F9A" w:rsidR="00DF2B80" w:rsidTr="00DF2B80" w14:paraId="6338D9EE" w14:textId="77777777">
              <w:trPr>
                <w:trHeight w:val="255"/>
              </w:trPr>
              <w:tc>
                <w:tcPr>
                  <w:tcW w:w="1644" w:type="dxa"/>
                  <w:noWrap/>
                  <w:vAlign w:val="bottom"/>
                  <w:hideMark/>
                </w:tcPr>
                <w:p w:rsidRPr="002A1F9A" w:rsidR="00DF2B80" w:rsidP="00DF2B80" w:rsidRDefault="00DF2B80" w14:paraId="285C3B0B" w14:textId="77777777">
                  <w:pPr>
                    <w:rPr>
                      <w:rFonts w:ascii="Verdana" w:hAnsi="Verdana"/>
                      <w:b/>
                      <w:bCs/>
                      <w:color w:val="000000"/>
                      <w:sz w:val="16"/>
                      <w:szCs w:val="16"/>
                    </w:rPr>
                  </w:pPr>
                  <w:r w:rsidRPr="002A1F9A">
                    <w:rPr>
                      <w:rFonts w:ascii="Verdana" w:hAnsi="Verdana"/>
                      <w:b/>
                      <w:bCs/>
                      <w:color w:val="000000"/>
                      <w:sz w:val="16"/>
                      <w:szCs w:val="16"/>
                    </w:rPr>
                    <w:t>2022</w:t>
                  </w:r>
                </w:p>
              </w:tc>
              <w:tc>
                <w:tcPr>
                  <w:tcW w:w="1898" w:type="dxa"/>
                  <w:noWrap/>
                  <w:vAlign w:val="bottom"/>
                  <w:hideMark/>
                </w:tcPr>
                <w:p w:rsidRPr="002A1F9A" w:rsidR="00DF2B80" w:rsidP="00DF2B80" w:rsidRDefault="00DF2B80" w14:paraId="7551EE88" w14:textId="77777777">
                  <w:pPr>
                    <w:jc w:val="right"/>
                    <w:rPr>
                      <w:rFonts w:ascii="Verdana" w:hAnsi="Verdana"/>
                      <w:color w:val="000000"/>
                      <w:sz w:val="16"/>
                      <w:szCs w:val="16"/>
                    </w:rPr>
                  </w:pPr>
                  <w:r w:rsidRPr="002A1F9A">
                    <w:rPr>
                      <w:rFonts w:ascii="Verdana" w:hAnsi="Verdana"/>
                      <w:color w:val="000000"/>
                      <w:sz w:val="16"/>
                      <w:szCs w:val="16"/>
                    </w:rPr>
                    <w:t>9.559</w:t>
                  </w:r>
                </w:p>
              </w:tc>
            </w:tr>
            <w:tr w:rsidRPr="002A1F9A" w:rsidR="00DF2B80" w:rsidTr="00DF2B80" w14:paraId="7719DBB6" w14:textId="77777777">
              <w:trPr>
                <w:trHeight w:val="255"/>
              </w:trPr>
              <w:tc>
                <w:tcPr>
                  <w:tcW w:w="1644" w:type="dxa"/>
                  <w:noWrap/>
                  <w:vAlign w:val="bottom"/>
                  <w:hideMark/>
                </w:tcPr>
                <w:p w:rsidRPr="002A1F9A" w:rsidR="00DF2B80" w:rsidP="00DF2B80" w:rsidRDefault="00DF2B80" w14:paraId="170D697D" w14:textId="77777777">
                  <w:pPr>
                    <w:rPr>
                      <w:rFonts w:ascii="Verdana" w:hAnsi="Verdana"/>
                      <w:b/>
                      <w:bCs/>
                      <w:color w:val="000000"/>
                      <w:sz w:val="16"/>
                      <w:szCs w:val="16"/>
                    </w:rPr>
                  </w:pPr>
                  <w:r w:rsidRPr="002A1F9A">
                    <w:rPr>
                      <w:rFonts w:ascii="Verdana" w:hAnsi="Verdana"/>
                      <w:b/>
                      <w:bCs/>
                      <w:color w:val="000000"/>
                      <w:sz w:val="16"/>
                      <w:szCs w:val="16"/>
                    </w:rPr>
                    <w:t>2023</w:t>
                  </w:r>
                </w:p>
              </w:tc>
              <w:tc>
                <w:tcPr>
                  <w:tcW w:w="1898" w:type="dxa"/>
                  <w:noWrap/>
                  <w:vAlign w:val="bottom"/>
                  <w:hideMark/>
                </w:tcPr>
                <w:p w:rsidRPr="002A1F9A" w:rsidR="00DF2B80" w:rsidP="00DF2B80" w:rsidRDefault="00DF2B80" w14:paraId="789494B5" w14:textId="77777777">
                  <w:pPr>
                    <w:jc w:val="right"/>
                    <w:rPr>
                      <w:rFonts w:ascii="Verdana" w:hAnsi="Verdana"/>
                      <w:color w:val="000000"/>
                      <w:sz w:val="16"/>
                      <w:szCs w:val="16"/>
                    </w:rPr>
                  </w:pPr>
                  <w:r w:rsidRPr="002A1F9A">
                    <w:rPr>
                      <w:rFonts w:ascii="Verdana" w:hAnsi="Verdana"/>
                      <w:color w:val="000000"/>
                      <w:sz w:val="16"/>
                      <w:szCs w:val="16"/>
                    </w:rPr>
                    <w:t>9.872</w:t>
                  </w:r>
                </w:p>
              </w:tc>
            </w:tr>
          </w:tbl>
          <w:p w:rsidRPr="002A1F9A" w:rsidR="00DF2B80" w:rsidP="00DB2CBB" w:rsidRDefault="00DF2B80" w14:paraId="5AB8758E" w14:textId="29D38375">
            <w:pPr>
              <w:rPr>
                <w:rFonts w:ascii="Verdana" w:hAnsi="Verdana"/>
                <w:sz w:val="18"/>
                <w:szCs w:val="18"/>
              </w:rPr>
            </w:pPr>
          </w:p>
        </w:tc>
        <w:tc>
          <w:tcPr>
            <w:tcW w:w="850" w:type="dxa"/>
            <w:gridSpan w:val="2"/>
          </w:tcPr>
          <w:p w:rsidRPr="002A1F9A" w:rsidR="00DB2CBB" w:rsidP="00DB2CBB" w:rsidRDefault="00DB2CBB" w14:paraId="7182AC2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D13B075"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3765533E"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26531B3" w14:textId="77777777">
        <w:tc>
          <w:tcPr>
            <w:tcW w:w="567" w:type="dxa"/>
          </w:tcPr>
          <w:p w:rsidRPr="002A1F9A" w:rsidR="00DB2CBB" w:rsidP="00DB2CBB" w:rsidRDefault="00DB2CBB" w14:paraId="752222A7" w14:textId="77777777">
            <w:pPr>
              <w:rPr>
                <w:rFonts w:ascii="Verdana" w:hAnsi="Verdana"/>
                <w:sz w:val="18"/>
                <w:szCs w:val="18"/>
              </w:rPr>
            </w:pPr>
            <w:r w:rsidRPr="002A1F9A">
              <w:rPr>
                <w:rFonts w:ascii="Verdana" w:hAnsi="Verdana"/>
                <w:sz w:val="18"/>
                <w:szCs w:val="18"/>
              </w:rPr>
              <w:lastRenderedPageBreak/>
              <w:t>69</w:t>
            </w:r>
          </w:p>
        </w:tc>
        <w:tc>
          <w:tcPr>
            <w:tcW w:w="6521" w:type="dxa"/>
            <w:gridSpan w:val="7"/>
          </w:tcPr>
          <w:p w:rsidRPr="002A1F9A" w:rsidR="00DB2CBB" w:rsidP="00DB2CBB" w:rsidRDefault="00DB2CBB" w14:paraId="74BE6FD9" w14:textId="77777777">
            <w:pPr>
              <w:rPr>
                <w:rFonts w:ascii="Verdana" w:hAnsi="Verdana"/>
                <w:sz w:val="18"/>
                <w:szCs w:val="18"/>
              </w:rPr>
            </w:pPr>
            <w:r w:rsidRPr="002A1F9A">
              <w:rPr>
                <w:rFonts w:ascii="Verdana" w:hAnsi="Verdana"/>
                <w:sz w:val="18"/>
                <w:szCs w:val="18"/>
              </w:rPr>
              <w:t>Hoeveel bevoegde leraren zijn er op dit moment niet werkzaam in het onderwijs?</w:t>
            </w:r>
          </w:p>
          <w:p w:rsidRPr="002A1F9A" w:rsidR="00DB2CBB" w:rsidP="00DB2CBB" w:rsidRDefault="00DB2CBB" w14:paraId="4F54BD03" w14:textId="77777777">
            <w:pPr>
              <w:rPr>
                <w:rFonts w:ascii="Verdana" w:hAnsi="Verdana"/>
                <w:sz w:val="18"/>
                <w:szCs w:val="18"/>
              </w:rPr>
            </w:pPr>
          </w:p>
          <w:p w:rsidRPr="002A1F9A" w:rsidR="00DB2CBB" w:rsidP="00DB2CBB" w:rsidRDefault="00DB2CBB" w14:paraId="00E4018C" w14:textId="58ABC322">
            <w:pPr>
              <w:rPr>
                <w:rFonts w:ascii="Verdana" w:hAnsi="Verdana"/>
                <w:sz w:val="18"/>
                <w:szCs w:val="18"/>
              </w:rPr>
            </w:pPr>
            <w:r w:rsidRPr="002A1F9A">
              <w:rPr>
                <w:rFonts w:ascii="Verdana" w:hAnsi="Verdana"/>
                <w:sz w:val="18"/>
                <w:szCs w:val="18"/>
              </w:rPr>
              <w:t xml:space="preserve">Bevoegde leraren die niet (langer) werkzaam zijn in het onderwijs worden ook wel de stille reserve genoemd. In 2017 is in opdracht van </w:t>
            </w:r>
            <w:r w:rsidRPr="002A1F9A" w:rsidR="009A3C2E">
              <w:rPr>
                <w:rFonts w:ascii="Verdana" w:hAnsi="Verdana"/>
                <w:sz w:val="18"/>
                <w:szCs w:val="18"/>
              </w:rPr>
              <w:t xml:space="preserve">het ministerie van </w:t>
            </w:r>
            <w:r w:rsidRPr="002A1F9A">
              <w:rPr>
                <w:rFonts w:ascii="Verdana" w:hAnsi="Verdana"/>
                <w:sz w:val="18"/>
                <w:szCs w:val="18"/>
              </w:rPr>
              <w:t>OCW onderzoek gedaan om de stille reserve in beeld te brengen. Hieruit bleek dat de stille reserve in het po ca. 31.000 personen was en ca. 51.000 personen in het vo, een totaal van 82.000 personen. DUO doet op dit moment onderzoek naar de huidige omvang van de stille reserve in het po en vo. De resultaten worden in het voorjaar van 2026 verwacht. Op basis van de resultaten van dit onderzoek wordt in de brief over de lerarenstrategie van juni 2026 beschreven welke ontwikkelingen er zijn tussen 2017 en 2026.</w:t>
            </w:r>
          </w:p>
          <w:p w:rsidRPr="002A1F9A" w:rsidR="00DB2CBB" w:rsidP="00DB2CBB" w:rsidRDefault="00DB2CBB" w14:paraId="399859C1" w14:textId="77777777">
            <w:pPr>
              <w:rPr>
                <w:rFonts w:ascii="Verdana" w:hAnsi="Verdana"/>
                <w:sz w:val="18"/>
                <w:szCs w:val="18"/>
              </w:rPr>
            </w:pPr>
          </w:p>
        </w:tc>
        <w:tc>
          <w:tcPr>
            <w:tcW w:w="850" w:type="dxa"/>
            <w:gridSpan w:val="2"/>
          </w:tcPr>
          <w:p w:rsidRPr="002A1F9A" w:rsidR="00DB2CBB" w:rsidP="00DB2CBB" w:rsidRDefault="00DB2CBB" w14:paraId="24B808F9"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433CF35A"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145094B2"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649E56DE" w14:textId="77777777">
        <w:tc>
          <w:tcPr>
            <w:tcW w:w="567" w:type="dxa"/>
          </w:tcPr>
          <w:p w:rsidRPr="002A1F9A" w:rsidR="00DB2CBB" w:rsidP="00DB2CBB" w:rsidRDefault="00DB2CBB" w14:paraId="2F309358" w14:textId="77777777">
            <w:pPr>
              <w:rPr>
                <w:rFonts w:ascii="Verdana" w:hAnsi="Verdana"/>
                <w:sz w:val="18"/>
                <w:szCs w:val="18"/>
              </w:rPr>
            </w:pPr>
            <w:r w:rsidRPr="002A1F9A">
              <w:rPr>
                <w:rFonts w:ascii="Verdana" w:hAnsi="Verdana"/>
                <w:sz w:val="18"/>
                <w:szCs w:val="18"/>
              </w:rPr>
              <w:t>70</w:t>
            </w:r>
          </w:p>
        </w:tc>
        <w:tc>
          <w:tcPr>
            <w:tcW w:w="6521" w:type="dxa"/>
            <w:gridSpan w:val="7"/>
          </w:tcPr>
          <w:p w:rsidRPr="002A1F9A" w:rsidR="00DB2CBB" w:rsidP="00DB2CBB" w:rsidRDefault="00DB2CBB" w14:paraId="1FBDC24A" w14:textId="77777777">
            <w:pPr>
              <w:rPr>
                <w:rFonts w:ascii="Verdana" w:hAnsi="Verdana"/>
                <w:sz w:val="18"/>
                <w:szCs w:val="18"/>
              </w:rPr>
            </w:pPr>
            <w:r w:rsidRPr="002A1F9A">
              <w:rPr>
                <w:rFonts w:ascii="Verdana" w:hAnsi="Verdana"/>
                <w:sz w:val="18"/>
                <w:szCs w:val="18"/>
              </w:rPr>
              <w:t>Hoe heeft het aantal bevoegde leraren dat niet werkzaam is in het onderwijs zich in de afgelopen twintig jaar ontwikkeld?</w:t>
            </w:r>
          </w:p>
          <w:p w:rsidRPr="002A1F9A" w:rsidR="00DB2CBB" w:rsidP="00DB2CBB" w:rsidRDefault="00DB2CBB" w14:paraId="3E0EE24A" w14:textId="77777777">
            <w:pPr>
              <w:rPr>
                <w:rFonts w:ascii="Verdana" w:hAnsi="Verdana"/>
                <w:sz w:val="18"/>
                <w:szCs w:val="18"/>
              </w:rPr>
            </w:pPr>
          </w:p>
          <w:p w:rsidRPr="002A1F9A" w:rsidR="00DB2CBB" w:rsidP="00DB2CBB" w:rsidRDefault="00DB2CBB" w14:paraId="5C0C1848" w14:textId="77807756">
            <w:pPr>
              <w:rPr>
                <w:rFonts w:ascii="Verdana" w:hAnsi="Verdana"/>
                <w:sz w:val="18"/>
                <w:szCs w:val="18"/>
              </w:rPr>
            </w:pPr>
            <w:r w:rsidRPr="002A1F9A">
              <w:rPr>
                <w:rFonts w:ascii="Verdana" w:hAnsi="Verdana"/>
                <w:sz w:val="18"/>
                <w:szCs w:val="18"/>
              </w:rPr>
              <w:t xml:space="preserve">Zie </w:t>
            </w:r>
            <w:r w:rsidRPr="002A1F9A" w:rsidR="002C1B1D">
              <w:rPr>
                <w:rFonts w:ascii="Verdana" w:hAnsi="Verdana"/>
                <w:sz w:val="18"/>
                <w:szCs w:val="18"/>
              </w:rPr>
              <w:t xml:space="preserve">het antwoord op </w:t>
            </w:r>
            <w:r w:rsidRPr="002A1F9A">
              <w:rPr>
                <w:rFonts w:ascii="Verdana" w:hAnsi="Verdana"/>
                <w:sz w:val="18"/>
                <w:szCs w:val="18"/>
              </w:rPr>
              <w:t xml:space="preserve">vraag 69. Over de periode 2005-2016 zijn geen gegevens beschikbaar. In het voorjaar van 2026 wordt </w:t>
            </w:r>
            <w:r w:rsidRPr="002A1F9A" w:rsidR="002C1B1D">
              <w:rPr>
                <w:rFonts w:ascii="Verdana" w:hAnsi="Verdana"/>
                <w:sz w:val="18"/>
                <w:szCs w:val="18"/>
              </w:rPr>
              <w:t>uw Kamer</w:t>
            </w:r>
            <w:r w:rsidRPr="002A1F9A">
              <w:rPr>
                <w:rFonts w:ascii="Verdana" w:hAnsi="Verdana"/>
                <w:sz w:val="18"/>
                <w:szCs w:val="18"/>
              </w:rPr>
              <w:t xml:space="preserve"> geïnformeerd over de ontwikkelingen tussen 2017 en 2026. </w:t>
            </w:r>
          </w:p>
          <w:p w:rsidRPr="002A1F9A" w:rsidR="00DB2CBB" w:rsidP="00DB2CBB" w:rsidRDefault="00DB2CBB" w14:paraId="75915F6C" w14:textId="12362CC9">
            <w:pPr>
              <w:rPr>
                <w:rFonts w:ascii="Verdana" w:hAnsi="Verdana"/>
                <w:sz w:val="18"/>
                <w:szCs w:val="18"/>
              </w:rPr>
            </w:pPr>
          </w:p>
        </w:tc>
        <w:tc>
          <w:tcPr>
            <w:tcW w:w="850" w:type="dxa"/>
            <w:gridSpan w:val="2"/>
          </w:tcPr>
          <w:p w:rsidRPr="002A1F9A" w:rsidR="00DB2CBB" w:rsidP="00DB2CBB" w:rsidRDefault="00DB2CBB" w14:paraId="6506A4D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4AEFFBEB"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73A03857"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09DE71D2" w14:textId="77777777">
        <w:tc>
          <w:tcPr>
            <w:tcW w:w="567" w:type="dxa"/>
          </w:tcPr>
          <w:p w:rsidRPr="002A1F9A" w:rsidR="00DB2CBB" w:rsidP="00DB2CBB" w:rsidRDefault="00DB2CBB" w14:paraId="297766D4" w14:textId="77777777">
            <w:pPr>
              <w:rPr>
                <w:rFonts w:ascii="Verdana" w:hAnsi="Verdana"/>
                <w:sz w:val="18"/>
                <w:szCs w:val="18"/>
              </w:rPr>
            </w:pPr>
            <w:r w:rsidRPr="002A1F9A">
              <w:rPr>
                <w:rFonts w:ascii="Verdana" w:hAnsi="Verdana"/>
                <w:sz w:val="18"/>
                <w:szCs w:val="18"/>
              </w:rPr>
              <w:t>71</w:t>
            </w:r>
          </w:p>
        </w:tc>
        <w:tc>
          <w:tcPr>
            <w:tcW w:w="6521" w:type="dxa"/>
            <w:gridSpan w:val="7"/>
          </w:tcPr>
          <w:p w:rsidRPr="002A1F9A" w:rsidR="00DB2CBB" w:rsidP="00DB2CBB" w:rsidRDefault="00DB2CBB" w14:paraId="3F0740D1" w14:textId="77777777">
            <w:pPr>
              <w:rPr>
                <w:rFonts w:ascii="Verdana" w:hAnsi="Verdana"/>
                <w:sz w:val="18"/>
                <w:szCs w:val="18"/>
              </w:rPr>
            </w:pPr>
            <w:r w:rsidRPr="002A1F9A">
              <w:rPr>
                <w:rFonts w:ascii="Verdana" w:hAnsi="Verdana"/>
                <w:sz w:val="18"/>
                <w:szCs w:val="18"/>
              </w:rPr>
              <w:t>Hoeveel extra personeelskosten zou gepaard gaan met het instellen van een wettelijke klassengrootte van maximaal dertig leerlingen in het primair onderwijs?</w:t>
            </w:r>
          </w:p>
          <w:p w:rsidRPr="002A1F9A" w:rsidR="00DB2CBB" w:rsidP="00DB2CBB" w:rsidRDefault="00DB2CBB" w14:paraId="21D3757F" w14:textId="77777777">
            <w:pPr>
              <w:rPr>
                <w:rFonts w:ascii="Verdana" w:hAnsi="Verdana"/>
                <w:sz w:val="18"/>
                <w:szCs w:val="18"/>
              </w:rPr>
            </w:pPr>
          </w:p>
          <w:p w:rsidRPr="00D13EC2" w:rsidR="00D13EC2" w:rsidP="00D13EC2" w:rsidRDefault="00D13EC2" w14:paraId="04218EB9" w14:textId="585AA27C">
            <w:pPr>
              <w:rPr>
                <w:rFonts w:ascii="Verdana" w:hAnsi="Verdana"/>
                <w:sz w:val="18"/>
                <w:szCs w:val="18"/>
              </w:rPr>
            </w:pPr>
            <w:r w:rsidRPr="00D13EC2">
              <w:rPr>
                <w:rFonts w:ascii="Verdana" w:hAnsi="Verdana"/>
                <w:sz w:val="18"/>
                <w:szCs w:val="18"/>
              </w:rPr>
              <w:t>Dit is afhankelijk van de uitwerking. De klassengrootte op scholen hangt namelijk ook samen met de pedagogische visie en soms ook praktische zaken. Scholen kunnen zelf kiezen welke inrichting het beste past. Dit in combinatie met een mogelijk verhoogde vraag naar leraren en huisvesting maakt een wettelijke norm voor de klassengrootte niet wenselijk.</w:t>
            </w:r>
          </w:p>
          <w:p w:rsidRPr="002A1F9A" w:rsidR="00D13EC2" w:rsidP="00D13EC2" w:rsidRDefault="00D13EC2" w14:paraId="1833D1BE" w14:textId="04091E2B">
            <w:pPr>
              <w:rPr>
                <w:rFonts w:ascii="Verdana" w:hAnsi="Verdana"/>
                <w:sz w:val="18"/>
                <w:szCs w:val="18"/>
              </w:rPr>
            </w:pPr>
            <w:r w:rsidRPr="00D13EC2">
              <w:rPr>
                <w:rFonts w:ascii="Verdana" w:hAnsi="Verdana"/>
                <w:sz w:val="18"/>
                <w:szCs w:val="18"/>
              </w:rPr>
              <w:t>In 2024/25 lag de gemiddelde groepsgrootte in het primair onderwijs op 22,6 leerlingen en in 2024 was het aandeel groepen met meer dan dertig leerlingen 5,3% in het basisonderwijs. Bijna alle scholen kunnen dus met de huidige bekostiging groepen van maximaal 30 leerlingen bekostigen.</w:t>
            </w:r>
          </w:p>
          <w:p w:rsidRPr="002A1F9A" w:rsidR="00DB2CBB" w:rsidP="00DB2CBB" w:rsidRDefault="00DB2CBB" w14:paraId="64B0A73C" w14:textId="4655999D">
            <w:pPr>
              <w:rPr>
                <w:rFonts w:ascii="Verdana" w:hAnsi="Verdana"/>
                <w:sz w:val="18"/>
                <w:szCs w:val="18"/>
              </w:rPr>
            </w:pPr>
          </w:p>
        </w:tc>
        <w:tc>
          <w:tcPr>
            <w:tcW w:w="850" w:type="dxa"/>
            <w:gridSpan w:val="2"/>
          </w:tcPr>
          <w:p w:rsidRPr="002A1F9A" w:rsidR="00DB2CBB" w:rsidP="00DB2CBB" w:rsidRDefault="00DB2CBB" w14:paraId="680C88E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43EDEE06"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19D134AC"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02AFE34" w14:textId="77777777">
        <w:tc>
          <w:tcPr>
            <w:tcW w:w="567" w:type="dxa"/>
          </w:tcPr>
          <w:p w:rsidRPr="002A1F9A" w:rsidR="00DB2CBB" w:rsidP="00DB2CBB" w:rsidRDefault="00DB2CBB" w14:paraId="35C135C5" w14:textId="77777777">
            <w:pPr>
              <w:rPr>
                <w:rFonts w:ascii="Verdana" w:hAnsi="Verdana"/>
                <w:sz w:val="18"/>
                <w:szCs w:val="18"/>
              </w:rPr>
            </w:pPr>
            <w:r w:rsidRPr="002A1F9A">
              <w:rPr>
                <w:rFonts w:ascii="Verdana" w:hAnsi="Verdana"/>
                <w:sz w:val="18"/>
                <w:szCs w:val="18"/>
              </w:rPr>
              <w:t>72</w:t>
            </w:r>
          </w:p>
        </w:tc>
        <w:tc>
          <w:tcPr>
            <w:tcW w:w="6521" w:type="dxa"/>
            <w:gridSpan w:val="7"/>
          </w:tcPr>
          <w:p w:rsidRPr="002A1F9A" w:rsidR="00DB2CBB" w:rsidP="00DB2CBB" w:rsidRDefault="00DB2CBB" w14:paraId="23692AA8" w14:textId="77777777">
            <w:pPr>
              <w:rPr>
                <w:rFonts w:ascii="Verdana" w:hAnsi="Verdana"/>
                <w:sz w:val="18"/>
                <w:szCs w:val="18"/>
              </w:rPr>
            </w:pPr>
            <w:r w:rsidRPr="002A1F9A">
              <w:rPr>
                <w:rFonts w:ascii="Verdana" w:hAnsi="Verdana"/>
                <w:sz w:val="18"/>
                <w:szCs w:val="18"/>
              </w:rPr>
              <w:t>Kunt u een overzicht geven van de ontwikkeling van het startsalaris van docenten in het primair en voortgezet onderwijs de afgelopen tien jaar?</w:t>
            </w:r>
          </w:p>
          <w:p w:rsidRPr="002A1F9A" w:rsidR="00DB2CBB" w:rsidP="00DB2CBB" w:rsidRDefault="00DB2CBB" w14:paraId="5EAE0749" w14:textId="77777777">
            <w:pPr>
              <w:rPr>
                <w:rFonts w:ascii="Verdana" w:hAnsi="Verdana"/>
                <w:sz w:val="18"/>
                <w:szCs w:val="18"/>
              </w:rPr>
            </w:pPr>
          </w:p>
          <w:p w:rsidRPr="002A1F9A" w:rsidR="00DB2CBB" w:rsidP="00DB2CBB" w:rsidRDefault="00DB2CBB" w14:paraId="555A6145" w14:textId="6380BB9C">
            <w:pPr>
              <w:rPr>
                <w:rFonts w:ascii="Verdana" w:hAnsi="Verdana"/>
                <w:sz w:val="18"/>
                <w:szCs w:val="18"/>
              </w:rPr>
            </w:pPr>
            <w:r w:rsidRPr="002A1F9A">
              <w:rPr>
                <w:rFonts w:ascii="Verdana" w:hAnsi="Verdana"/>
                <w:sz w:val="18"/>
                <w:szCs w:val="18"/>
              </w:rPr>
              <w:t>Werkgevers en werknemers maken afspraken over schaal en treden. De taken van een leraar bepalen of de leraar in LB, LC of LD start. Kijkend naar de gewogen gemiddelde beloning van de eerste trede van LB, LC en LD, wordt het volgende beeld zichtbaar. De eerste trede van de schalen voor leraren in het primair onderwijs is in de afgelopen tien jaar gemiddeld met 43</w:t>
            </w:r>
            <w:r w:rsidRPr="002A1F9A" w:rsidR="002C1B1D">
              <w:rPr>
                <w:rFonts w:ascii="Verdana" w:hAnsi="Verdana"/>
                <w:sz w:val="18"/>
                <w:szCs w:val="18"/>
              </w:rPr>
              <w:t xml:space="preserve">% </w:t>
            </w:r>
            <w:r w:rsidRPr="002A1F9A">
              <w:rPr>
                <w:rFonts w:ascii="Verdana" w:hAnsi="Verdana"/>
                <w:sz w:val="18"/>
                <w:szCs w:val="18"/>
              </w:rPr>
              <w:t>gestegen van € 2.700 naar € 3.900 bij een voltijdsbaan. Voor leraren in het voortgezet onderwijs is de eerste trede in de afgelopen tien jaar gemiddeld 34</w:t>
            </w:r>
            <w:r w:rsidRPr="002A1F9A" w:rsidR="002C1B1D">
              <w:rPr>
                <w:rFonts w:ascii="Verdana" w:hAnsi="Verdana"/>
                <w:sz w:val="18"/>
                <w:szCs w:val="18"/>
              </w:rPr>
              <w:t xml:space="preserve">% </w:t>
            </w:r>
            <w:r w:rsidRPr="002A1F9A">
              <w:rPr>
                <w:rFonts w:ascii="Verdana" w:hAnsi="Verdana"/>
                <w:sz w:val="18"/>
                <w:szCs w:val="18"/>
              </w:rPr>
              <w:t>gestegen van € 2.900 naar € 3.900. De loonstijging kan in de praktijk hoger zijn door, bijvoorbeeld eenmalige uitkeringen.</w:t>
            </w:r>
          </w:p>
          <w:p w:rsidRPr="002A1F9A" w:rsidR="00DB2CBB" w:rsidP="00DB2CBB" w:rsidRDefault="00DB2CBB" w14:paraId="042642BA" w14:textId="56641971">
            <w:pPr>
              <w:rPr>
                <w:rFonts w:ascii="Verdana" w:hAnsi="Verdana"/>
                <w:sz w:val="18"/>
                <w:szCs w:val="18"/>
              </w:rPr>
            </w:pPr>
            <w:r w:rsidRPr="002A1F9A">
              <w:rPr>
                <w:rFonts w:ascii="Verdana" w:hAnsi="Verdana"/>
                <w:sz w:val="18"/>
                <w:szCs w:val="18"/>
              </w:rPr>
              <w:t xml:space="preserve">In de onderstaande grafiek is de toename in de afgelopen tien jaar in het po en vo te zien (dus op basis van de beloning in de eerste treden van schalen LB, LC en LD). </w:t>
            </w:r>
          </w:p>
          <w:p w:rsidRPr="002A1F9A" w:rsidR="00DB2CBB" w:rsidP="00DB2CBB" w:rsidRDefault="00D032A7" w14:paraId="4ADA96A3" w14:textId="511A17B3">
            <w:pPr>
              <w:rPr>
                <w:rFonts w:ascii="Verdana" w:hAnsi="Verdana"/>
                <w:sz w:val="18"/>
                <w:szCs w:val="18"/>
              </w:rPr>
            </w:pPr>
            <w:r w:rsidRPr="002A1F9A">
              <w:rPr>
                <w:rFonts w:ascii="Verdana" w:hAnsi="Verdana"/>
                <w:noProof/>
                <w:sz w:val="18"/>
                <w:szCs w:val="18"/>
              </w:rPr>
              <w:lastRenderedPageBreak/>
              <w:drawing>
                <wp:inline distT="0" distB="0" distL="0" distR="0" wp14:anchorId="710C0099" wp14:editId="747FD953">
                  <wp:extent cx="4046561" cy="1872289"/>
                  <wp:effectExtent l="0" t="0" r="0" b="0"/>
                  <wp:docPr id="1753102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64341" cy="1880515"/>
                          </a:xfrm>
                          <a:prstGeom prst="rect">
                            <a:avLst/>
                          </a:prstGeom>
                          <a:noFill/>
                        </pic:spPr>
                      </pic:pic>
                    </a:graphicData>
                  </a:graphic>
                </wp:inline>
              </w:drawing>
            </w:r>
          </w:p>
          <w:p w:rsidRPr="002A1F9A" w:rsidR="00DB2CBB" w:rsidP="00DB2CBB" w:rsidRDefault="00DB2CBB" w14:paraId="65859E95" w14:textId="77777777">
            <w:pPr>
              <w:rPr>
                <w:rFonts w:ascii="Verdana" w:hAnsi="Verdana"/>
                <w:sz w:val="16"/>
                <w:szCs w:val="16"/>
              </w:rPr>
            </w:pPr>
            <w:r w:rsidRPr="002A1F9A">
              <w:rPr>
                <w:rFonts w:ascii="Verdana" w:hAnsi="Verdana"/>
                <w:sz w:val="16"/>
                <w:szCs w:val="16"/>
              </w:rPr>
              <w:t>In 2022 is voor po de loonkloof met het vo gedicht. Leraren zijn een schaal hoger ingeschaald.</w:t>
            </w:r>
          </w:p>
          <w:p w:rsidRPr="002A1F9A" w:rsidR="00DB2CBB" w:rsidP="00DB2CBB" w:rsidRDefault="00DB2CBB" w14:paraId="50388E0C" w14:textId="3ED1C67A">
            <w:pPr>
              <w:rPr>
                <w:rFonts w:ascii="Verdana" w:hAnsi="Verdana"/>
                <w:sz w:val="18"/>
                <w:szCs w:val="18"/>
              </w:rPr>
            </w:pPr>
          </w:p>
        </w:tc>
        <w:tc>
          <w:tcPr>
            <w:tcW w:w="850" w:type="dxa"/>
            <w:gridSpan w:val="2"/>
          </w:tcPr>
          <w:p w:rsidRPr="002A1F9A" w:rsidR="00DB2CBB" w:rsidP="00DB2CBB" w:rsidRDefault="00DB2CBB" w14:paraId="24AE4724"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4CEBEF51"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1248DBF5"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0404E8C1" w14:textId="77777777">
        <w:tc>
          <w:tcPr>
            <w:tcW w:w="567" w:type="dxa"/>
          </w:tcPr>
          <w:p w:rsidRPr="002A1F9A" w:rsidR="00DB2CBB" w:rsidP="00DB2CBB" w:rsidRDefault="00DB2CBB" w14:paraId="5C66CD35" w14:textId="77777777">
            <w:pPr>
              <w:rPr>
                <w:rFonts w:ascii="Verdana" w:hAnsi="Verdana"/>
                <w:sz w:val="18"/>
                <w:szCs w:val="18"/>
              </w:rPr>
            </w:pPr>
            <w:r w:rsidRPr="002A1F9A">
              <w:rPr>
                <w:rFonts w:ascii="Verdana" w:hAnsi="Verdana"/>
                <w:sz w:val="18"/>
                <w:szCs w:val="18"/>
              </w:rPr>
              <w:t>73</w:t>
            </w:r>
          </w:p>
        </w:tc>
        <w:tc>
          <w:tcPr>
            <w:tcW w:w="6521" w:type="dxa"/>
            <w:gridSpan w:val="7"/>
          </w:tcPr>
          <w:p w:rsidRPr="002A1F9A" w:rsidR="00DB2CBB" w:rsidP="00DB2CBB" w:rsidRDefault="00DB2CBB" w14:paraId="39325EA7" w14:textId="77777777">
            <w:pPr>
              <w:rPr>
                <w:rFonts w:ascii="Verdana" w:hAnsi="Verdana"/>
                <w:sz w:val="18"/>
                <w:szCs w:val="18"/>
              </w:rPr>
            </w:pPr>
            <w:r w:rsidRPr="002A1F9A">
              <w:rPr>
                <w:rFonts w:ascii="Verdana" w:hAnsi="Verdana"/>
                <w:sz w:val="18"/>
                <w:szCs w:val="18"/>
              </w:rPr>
              <w:t>Hoeveel uitzendkrachten en zzp’ers</w:t>
            </w:r>
            <w:r w:rsidRPr="002A1F9A">
              <w:rPr>
                <w:rStyle w:val="Voetnootmarkering"/>
                <w:rFonts w:ascii="Verdana" w:hAnsi="Verdana"/>
                <w:sz w:val="18"/>
                <w:szCs w:val="18"/>
              </w:rPr>
              <w:footnoteReference w:id="9"/>
            </w:r>
            <w:r w:rsidRPr="002A1F9A">
              <w:rPr>
                <w:rFonts w:ascii="Verdana" w:hAnsi="Verdana"/>
                <w:sz w:val="18"/>
                <w:szCs w:val="18"/>
              </w:rPr>
              <w:t xml:space="preserve"> werken er in het primair en voortgezet onderwijs?</w:t>
            </w:r>
          </w:p>
          <w:p w:rsidRPr="002A1F9A" w:rsidR="00DB2CBB" w:rsidP="00DB2CBB" w:rsidRDefault="00DB2CBB" w14:paraId="4FA1AB95" w14:textId="77777777">
            <w:pPr>
              <w:rPr>
                <w:rFonts w:ascii="Verdana" w:hAnsi="Verdana"/>
                <w:sz w:val="18"/>
                <w:szCs w:val="18"/>
              </w:rPr>
            </w:pPr>
          </w:p>
          <w:p w:rsidRPr="002A1F9A" w:rsidR="00DB2CBB" w:rsidP="00DB2CBB" w:rsidRDefault="00DB2CBB" w14:paraId="5A14C043" w14:textId="77777777">
            <w:pPr>
              <w:rPr>
                <w:rFonts w:ascii="Verdana" w:hAnsi="Verdana"/>
                <w:sz w:val="18"/>
                <w:szCs w:val="18"/>
              </w:rPr>
            </w:pPr>
            <w:r w:rsidRPr="002A1F9A">
              <w:rPr>
                <w:rFonts w:ascii="Verdana" w:hAnsi="Verdana"/>
                <w:sz w:val="18"/>
                <w:szCs w:val="18"/>
              </w:rPr>
              <w:t>Het is niet bekend hoeveel uitzendkrachten en zzp’ers er in het funderend onderwijs werken. Uit de financiële jaarverslagen van schoolbesturen weten we welk bedrag er aan personeel niet in loondienst (PNIL) wordt uitgegeven, niet om hoeveel personen het gaat. Zie verder het antwoord op vraag 26.</w:t>
            </w:r>
          </w:p>
          <w:p w:rsidRPr="002A1F9A" w:rsidR="00DB2CBB" w:rsidP="00DB2CBB" w:rsidRDefault="00DB2CBB" w14:paraId="6EDB4C8F" w14:textId="0840470D">
            <w:pPr>
              <w:rPr>
                <w:rFonts w:ascii="Verdana" w:hAnsi="Verdana"/>
                <w:sz w:val="18"/>
                <w:szCs w:val="18"/>
              </w:rPr>
            </w:pPr>
          </w:p>
        </w:tc>
        <w:tc>
          <w:tcPr>
            <w:tcW w:w="850" w:type="dxa"/>
            <w:gridSpan w:val="2"/>
          </w:tcPr>
          <w:p w:rsidRPr="002A1F9A" w:rsidR="00DB2CBB" w:rsidP="00DB2CBB" w:rsidRDefault="00DB2CBB" w14:paraId="6E14EFC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43F7970"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022296EE"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E604A53" w14:textId="77777777">
        <w:tc>
          <w:tcPr>
            <w:tcW w:w="567" w:type="dxa"/>
          </w:tcPr>
          <w:p w:rsidRPr="002A1F9A" w:rsidR="00DB2CBB" w:rsidP="00DB2CBB" w:rsidRDefault="00DB2CBB" w14:paraId="4B61E1BF" w14:textId="77777777">
            <w:pPr>
              <w:rPr>
                <w:rFonts w:ascii="Verdana" w:hAnsi="Verdana"/>
                <w:sz w:val="18"/>
                <w:szCs w:val="18"/>
              </w:rPr>
            </w:pPr>
            <w:r w:rsidRPr="002A1F9A">
              <w:rPr>
                <w:rFonts w:ascii="Verdana" w:hAnsi="Verdana"/>
                <w:sz w:val="18"/>
                <w:szCs w:val="18"/>
              </w:rPr>
              <w:t>74</w:t>
            </w:r>
          </w:p>
        </w:tc>
        <w:tc>
          <w:tcPr>
            <w:tcW w:w="6521" w:type="dxa"/>
            <w:gridSpan w:val="7"/>
          </w:tcPr>
          <w:p w:rsidRPr="002A1F9A" w:rsidR="00DB2CBB" w:rsidP="00DB2CBB" w:rsidRDefault="00DB2CBB" w14:paraId="4118DCA7" w14:textId="77777777">
            <w:pPr>
              <w:rPr>
                <w:rFonts w:ascii="Verdana" w:hAnsi="Verdana"/>
                <w:sz w:val="18"/>
                <w:szCs w:val="18"/>
              </w:rPr>
            </w:pPr>
            <w:r w:rsidRPr="002A1F9A">
              <w:rPr>
                <w:rFonts w:ascii="Verdana" w:hAnsi="Verdana"/>
                <w:sz w:val="18"/>
                <w:szCs w:val="18"/>
              </w:rPr>
              <w:t>Hoe staat het met de uitwerking van de motie over de stem van de leraar wettelijk verankeren door middel van een lerarentoets</w:t>
            </w:r>
            <w:r w:rsidRPr="002A1F9A">
              <w:rPr>
                <w:rStyle w:val="Voetnootmarkering"/>
                <w:rFonts w:ascii="Verdana" w:hAnsi="Verdana"/>
                <w:sz w:val="18"/>
                <w:szCs w:val="18"/>
              </w:rPr>
              <w:footnoteReference w:id="10"/>
            </w:r>
            <w:r w:rsidRPr="002A1F9A">
              <w:rPr>
                <w:rFonts w:ascii="Verdana" w:hAnsi="Verdana"/>
                <w:sz w:val="18"/>
                <w:szCs w:val="18"/>
              </w:rPr>
              <w:t>?</w:t>
            </w:r>
          </w:p>
          <w:p w:rsidRPr="002A1F9A" w:rsidR="00DB2CBB" w:rsidP="00DB2CBB" w:rsidRDefault="00DB2CBB" w14:paraId="3280A3FC" w14:textId="77777777">
            <w:pPr>
              <w:rPr>
                <w:rFonts w:ascii="Verdana" w:hAnsi="Verdana"/>
                <w:sz w:val="18"/>
                <w:szCs w:val="18"/>
              </w:rPr>
            </w:pPr>
          </w:p>
          <w:p w:rsidRPr="002A1F9A" w:rsidR="00DB2CBB" w:rsidP="00DB2CBB" w:rsidRDefault="00DB2CBB" w14:paraId="0C1FD0CB" w14:textId="4CFFAAB1">
            <w:pPr>
              <w:rPr>
                <w:rFonts w:ascii="Verdana" w:hAnsi="Verdana"/>
                <w:sz w:val="18"/>
                <w:szCs w:val="18"/>
              </w:rPr>
            </w:pPr>
            <w:r w:rsidRPr="002A1F9A">
              <w:rPr>
                <w:rFonts w:ascii="Verdana" w:hAnsi="Verdana"/>
                <w:sz w:val="18"/>
                <w:szCs w:val="18"/>
              </w:rPr>
              <w:t>De motie snijdt een belangrijk thema aan: de betrokkenheid van leraren bij het onderwijsbeleid. De kracht van een wettelijke verankering van de stem van de leraar hangt af van duidelijke afspraken over reikwijdte, vormgeving en representatie. Cruciaal hierbij is dat elke leraar de kans krijgt deel te nemen, dat de verschillende perspectieven die er in het veld zijn worden meegenomen en dat de stem van de leraar echt impact heeft op het beleid. Dit zijn wij op dit moment aan het vormgeven. We geven in de Lerarenbrief in december een uitgebreidere toelichting.</w:t>
            </w:r>
            <w:r w:rsidRPr="002A1F9A" w:rsidR="00462742">
              <w:rPr>
                <w:rFonts w:ascii="Verdana" w:hAnsi="Verdana"/>
                <w:sz w:val="18"/>
                <w:szCs w:val="18"/>
              </w:rPr>
              <w:t xml:space="preserve">            </w:t>
            </w:r>
          </w:p>
          <w:p w:rsidRPr="002A1F9A" w:rsidR="00DB2CBB" w:rsidP="00DB2CBB" w:rsidRDefault="00DB2CBB" w14:paraId="051E3E9D" w14:textId="449A8D2F">
            <w:pPr>
              <w:rPr>
                <w:rFonts w:ascii="Verdana" w:hAnsi="Verdana"/>
                <w:sz w:val="18"/>
                <w:szCs w:val="18"/>
              </w:rPr>
            </w:pPr>
          </w:p>
        </w:tc>
        <w:tc>
          <w:tcPr>
            <w:tcW w:w="850" w:type="dxa"/>
            <w:gridSpan w:val="2"/>
          </w:tcPr>
          <w:p w:rsidRPr="002A1F9A" w:rsidR="00DB2CBB" w:rsidP="00DB2CBB" w:rsidRDefault="00DB2CBB" w14:paraId="7454B63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70E064FA"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6B8EBFC8"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E995F91" w14:textId="77777777">
        <w:tc>
          <w:tcPr>
            <w:tcW w:w="567" w:type="dxa"/>
          </w:tcPr>
          <w:p w:rsidRPr="002A1F9A" w:rsidR="00DB2CBB" w:rsidP="00DB2CBB" w:rsidRDefault="00DB2CBB" w14:paraId="2F1036EF" w14:textId="77777777">
            <w:pPr>
              <w:rPr>
                <w:rFonts w:ascii="Verdana" w:hAnsi="Verdana"/>
                <w:sz w:val="18"/>
                <w:szCs w:val="18"/>
              </w:rPr>
            </w:pPr>
            <w:r w:rsidRPr="002A1F9A">
              <w:rPr>
                <w:rFonts w:ascii="Verdana" w:hAnsi="Verdana"/>
                <w:sz w:val="18"/>
                <w:szCs w:val="18"/>
              </w:rPr>
              <w:t>75</w:t>
            </w:r>
          </w:p>
        </w:tc>
        <w:tc>
          <w:tcPr>
            <w:tcW w:w="6521" w:type="dxa"/>
            <w:gridSpan w:val="7"/>
          </w:tcPr>
          <w:p w:rsidRPr="002A1F9A" w:rsidR="00DB2CBB" w:rsidP="00DB2CBB" w:rsidRDefault="00DB2CBB" w14:paraId="24CB8243" w14:textId="77777777">
            <w:pPr>
              <w:rPr>
                <w:rFonts w:ascii="Verdana" w:hAnsi="Verdana"/>
                <w:sz w:val="18"/>
                <w:szCs w:val="18"/>
              </w:rPr>
            </w:pPr>
            <w:r w:rsidRPr="002A1F9A">
              <w:rPr>
                <w:rFonts w:ascii="Verdana" w:hAnsi="Verdana"/>
                <w:sz w:val="18"/>
                <w:szCs w:val="18"/>
              </w:rPr>
              <w:t>Hoe vaak worden in het po en vo onbevoegde leraren (waaronder ook vallen een ‘anders bevoegde’ of ‘andere professionals’) voor de klas gezet?</w:t>
            </w:r>
          </w:p>
          <w:p w:rsidRPr="002A1F9A" w:rsidR="00DB2CBB" w:rsidP="00DB2CBB" w:rsidRDefault="00DB2CBB" w14:paraId="760B9E64" w14:textId="77777777">
            <w:pPr>
              <w:rPr>
                <w:rFonts w:ascii="Verdana" w:hAnsi="Verdana"/>
                <w:sz w:val="18"/>
                <w:szCs w:val="18"/>
              </w:rPr>
            </w:pPr>
          </w:p>
          <w:p w:rsidRPr="002A1F9A" w:rsidR="00DB2CBB" w:rsidP="00DB2CBB" w:rsidRDefault="00DB2CBB" w14:paraId="36C86BBF" w14:textId="67C8F6C8">
            <w:pPr>
              <w:rPr>
                <w:rFonts w:ascii="Verdana" w:hAnsi="Verdana"/>
                <w:sz w:val="18"/>
                <w:szCs w:val="18"/>
              </w:rPr>
            </w:pPr>
            <w:r w:rsidRPr="002A1F9A">
              <w:rPr>
                <w:rFonts w:ascii="Verdana" w:hAnsi="Verdana"/>
                <w:sz w:val="18"/>
                <w:szCs w:val="18"/>
              </w:rPr>
              <w:t xml:space="preserve">Uit het jaarlijkse door </w:t>
            </w:r>
            <w:r w:rsidRPr="002A1F9A" w:rsidR="009A3C2E">
              <w:rPr>
                <w:rFonts w:ascii="Verdana" w:hAnsi="Verdana"/>
                <w:sz w:val="18"/>
                <w:szCs w:val="18"/>
              </w:rPr>
              <w:t xml:space="preserve">het ministerie van </w:t>
            </w:r>
            <w:r w:rsidRPr="002A1F9A">
              <w:rPr>
                <w:rFonts w:ascii="Verdana" w:hAnsi="Verdana"/>
                <w:sz w:val="18"/>
                <w:szCs w:val="18"/>
              </w:rPr>
              <w:t>OCW uitgezette IPTO-onderzoek blijkt dat in het vo in schooljaar 2023/2024 4,4% van de lessen wordt gegeven door mensen die daar niet toe bevoegd zijn (maar wel vaak een andere bevoegdheid hebben). Daarnaast wordt 9,9% van de lessen gegeven door iemand die (nog) niet de formele bevoegdheid heeft maar wel onder de toegestane uitzonderingsregels valt. Voornamelijk zal dit gaan om mensen die in met een opleiding bezig zijn.</w:t>
            </w:r>
          </w:p>
          <w:p w:rsidRPr="002A1F9A" w:rsidR="00DB2CBB" w:rsidP="00DB2CBB" w:rsidRDefault="00DB2CBB" w14:paraId="41DA5D52" w14:textId="77777777">
            <w:pPr>
              <w:rPr>
                <w:rFonts w:ascii="Verdana" w:hAnsi="Verdana"/>
                <w:sz w:val="18"/>
                <w:szCs w:val="18"/>
              </w:rPr>
            </w:pPr>
            <w:r w:rsidRPr="002A1F9A">
              <w:rPr>
                <w:rFonts w:ascii="Verdana" w:hAnsi="Verdana"/>
                <w:sz w:val="18"/>
                <w:szCs w:val="18"/>
              </w:rPr>
              <w:t>In het po heeft DUO op basis van de beschikbare bestanden berekend dat in schooljaar 2023/2024 1,9% van de leraren onbevoegd lesgeeft. Verder is 6,2% niet in het bezit van het pabo-diploma maar wel benoembaar om les te geven (ook hier voornamelijk mensen in opleiding).</w:t>
            </w:r>
          </w:p>
          <w:p w:rsidRPr="002A1F9A" w:rsidR="00DB2CBB" w:rsidP="00DB2CBB" w:rsidRDefault="00DB2CBB" w14:paraId="713AF1F2" w14:textId="6FC23CA5">
            <w:pPr>
              <w:rPr>
                <w:rFonts w:ascii="Verdana" w:hAnsi="Verdana"/>
                <w:sz w:val="18"/>
                <w:szCs w:val="18"/>
              </w:rPr>
            </w:pPr>
            <w:r w:rsidRPr="002A1F9A">
              <w:rPr>
                <w:rFonts w:ascii="Verdana" w:hAnsi="Verdana"/>
                <w:sz w:val="18"/>
                <w:szCs w:val="18"/>
              </w:rPr>
              <w:lastRenderedPageBreak/>
              <w:t xml:space="preserve">De gegevens van beide onderwijssoorten zijn opgenomen in de </w:t>
            </w:r>
            <w:r w:rsidRPr="002A1F9A">
              <w:rPr>
                <w:rFonts w:ascii="Verdana" w:hAnsi="Verdana"/>
                <w:i/>
                <w:iCs/>
                <w:sz w:val="18"/>
                <w:szCs w:val="18"/>
              </w:rPr>
              <w:t>Trendrapportage arbeidsmarkt leraren po, vo en mbo</w:t>
            </w:r>
            <w:r w:rsidRPr="002A1F9A">
              <w:rPr>
                <w:rFonts w:ascii="Verdana" w:hAnsi="Verdana"/>
                <w:sz w:val="18"/>
                <w:szCs w:val="18"/>
              </w:rPr>
              <w:t xml:space="preserve">. Hiervan ontvangt </w:t>
            </w:r>
            <w:r w:rsidRPr="002A1F9A" w:rsidR="002F2EE7">
              <w:rPr>
                <w:rFonts w:ascii="Verdana" w:hAnsi="Verdana"/>
                <w:sz w:val="18"/>
                <w:szCs w:val="18"/>
              </w:rPr>
              <w:t>uw</w:t>
            </w:r>
            <w:r w:rsidRPr="002A1F9A">
              <w:rPr>
                <w:rFonts w:ascii="Verdana" w:hAnsi="Verdana"/>
                <w:sz w:val="18"/>
                <w:szCs w:val="18"/>
              </w:rPr>
              <w:t xml:space="preserve"> Kamer in december 2025 een nieuwe versie met cijfers over het schooljaar 2024/2025.</w:t>
            </w:r>
          </w:p>
          <w:p w:rsidRPr="002A1F9A" w:rsidR="00DB2CBB" w:rsidP="00DB2CBB" w:rsidRDefault="00DB2CBB" w14:paraId="1C182E11" w14:textId="00480B69">
            <w:pPr>
              <w:rPr>
                <w:rFonts w:ascii="Verdana" w:hAnsi="Verdana"/>
                <w:sz w:val="18"/>
                <w:szCs w:val="18"/>
              </w:rPr>
            </w:pPr>
          </w:p>
        </w:tc>
        <w:tc>
          <w:tcPr>
            <w:tcW w:w="850" w:type="dxa"/>
            <w:gridSpan w:val="2"/>
          </w:tcPr>
          <w:p w:rsidRPr="002A1F9A" w:rsidR="00DB2CBB" w:rsidP="00DB2CBB" w:rsidRDefault="00DB2CBB" w14:paraId="66AC0157"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6FBC452A"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24B63EF1"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3962C98A" w14:textId="77777777">
        <w:tc>
          <w:tcPr>
            <w:tcW w:w="567" w:type="dxa"/>
          </w:tcPr>
          <w:p w:rsidRPr="002A1F9A" w:rsidR="00DB2CBB" w:rsidP="00DB2CBB" w:rsidRDefault="00DB2CBB" w14:paraId="5CF42A78" w14:textId="77777777">
            <w:pPr>
              <w:rPr>
                <w:rFonts w:ascii="Verdana" w:hAnsi="Verdana"/>
                <w:sz w:val="18"/>
                <w:szCs w:val="18"/>
              </w:rPr>
            </w:pPr>
            <w:r w:rsidRPr="002A1F9A">
              <w:rPr>
                <w:rFonts w:ascii="Verdana" w:hAnsi="Verdana"/>
                <w:sz w:val="18"/>
                <w:szCs w:val="18"/>
              </w:rPr>
              <w:t>76</w:t>
            </w:r>
          </w:p>
        </w:tc>
        <w:tc>
          <w:tcPr>
            <w:tcW w:w="6521" w:type="dxa"/>
            <w:gridSpan w:val="7"/>
          </w:tcPr>
          <w:p w:rsidRPr="002A1F9A" w:rsidR="00DB2CBB" w:rsidP="00DB2CBB" w:rsidRDefault="00DB2CBB" w14:paraId="2B7ECEEE" w14:textId="77777777">
            <w:pPr>
              <w:rPr>
                <w:rFonts w:ascii="Verdana" w:hAnsi="Verdana"/>
                <w:sz w:val="18"/>
                <w:szCs w:val="18"/>
              </w:rPr>
            </w:pPr>
            <w:r w:rsidRPr="002A1F9A">
              <w:rPr>
                <w:rFonts w:ascii="Verdana" w:hAnsi="Verdana"/>
                <w:sz w:val="18"/>
                <w:szCs w:val="18"/>
              </w:rPr>
              <w:t>Wanneer komt het wetsvoorstel Strategisch personeelsbeleid en arbeidsmarktmaatregelen naar de Kamer?</w:t>
            </w:r>
          </w:p>
          <w:p w:rsidRPr="002A1F9A" w:rsidR="00DB2CBB" w:rsidP="00DB2CBB" w:rsidRDefault="00DB2CBB" w14:paraId="2183C0DC" w14:textId="77777777">
            <w:pPr>
              <w:rPr>
                <w:rFonts w:ascii="Verdana" w:hAnsi="Verdana"/>
                <w:sz w:val="18"/>
                <w:szCs w:val="18"/>
              </w:rPr>
            </w:pPr>
          </w:p>
          <w:p w:rsidRPr="002A1F9A" w:rsidR="00DB2CBB" w:rsidP="00DB2CBB" w:rsidRDefault="00DB2CBB" w14:paraId="7A7DEEC7" w14:textId="6DFC3282">
            <w:pPr>
              <w:rPr>
                <w:rFonts w:ascii="Verdana" w:hAnsi="Verdana"/>
                <w:sz w:val="18"/>
                <w:szCs w:val="18"/>
              </w:rPr>
            </w:pPr>
            <w:r w:rsidRPr="002A1F9A">
              <w:rPr>
                <w:rFonts w:ascii="Verdana" w:hAnsi="Verdana"/>
                <w:sz w:val="18"/>
                <w:szCs w:val="18"/>
              </w:rPr>
              <w:t xml:space="preserve">Zoals toegezegd in het commissiedebat funderend onderwijs van 30 september 2025, is het streven om het wetsvoorstel Strategisch personeelsbeleid en arbeidsmarktmaatregelen in het voorjaar van 2026 naar </w:t>
            </w:r>
            <w:r w:rsidRPr="002A1F9A" w:rsidR="002F2EE7">
              <w:rPr>
                <w:rFonts w:ascii="Verdana" w:hAnsi="Verdana"/>
                <w:sz w:val="18"/>
                <w:szCs w:val="18"/>
              </w:rPr>
              <w:t>uw</w:t>
            </w:r>
            <w:r w:rsidRPr="002A1F9A">
              <w:rPr>
                <w:rFonts w:ascii="Verdana" w:hAnsi="Verdana"/>
                <w:sz w:val="18"/>
                <w:szCs w:val="18"/>
              </w:rPr>
              <w:t xml:space="preserve"> Kamer te sturen.</w:t>
            </w:r>
          </w:p>
          <w:p w:rsidRPr="002A1F9A" w:rsidR="00DB2CBB" w:rsidP="00DB2CBB" w:rsidRDefault="00DB2CBB" w14:paraId="1E0E33E8" w14:textId="568A7FA1">
            <w:pPr>
              <w:rPr>
                <w:rFonts w:ascii="Verdana" w:hAnsi="Verdana"/>
                <w:sz w:val="18"/>
                <w:szCs w:val="18"/>
              </w:rPr>
            </w:pPr>
          </w:p>
        </w:tc>
        <w:tc>
          <w:tcPr>
            <w:tcW w:w="850" w:type="dxa"/>
            <w:gridSpan w:val="2"/>
          </w:tcPr>
          <w:p w:rsidRPr="002A1F9A" w:rsidR="00DB2CBB" w:rsidP="00DB2CBB" w:rsidRDefault="00DB2CBB" w14:paraId="21EA1DD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2D88147B"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588675D1"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03C962DA" w14:textId="77777777">
        <w:tc>
          <w:tcPr>
            <w:tcW w:w="567" w:type="dxa"/>
          </w:tcPr>
          <w:p w:rsidRPr="002A1F9A" w:rsidR="00DB2CBB" w:rsidP="00DB2CBB" w:rsidRDefault="00DB2CBB" w14:paraId="1DDA7B37" w14:textId="77777777">
            <w:pPr>
              <w:rPr>
                <w:rFonts w:ascii="Verdana" w:hAnsi="Verdana"/>
                <w:sz w:val="18"/>
                <w:szCs w:val="18"/>
              </w:rPr>
            </w:pPr>
            <w:r w:rsidRPr="002A1F9A">
              <w:rPr>
                <w:rFonts w:ascii="Verdana" w:hAnsi="Verdana"/>
                <w:sz w:val="18"/>
                <w:szCs w:val="18"/>
              </w:rPr>
              <w:t>77</w:t>
            </w:r>
          </w:p>
        </w:tc>
        <w:tc>
          <w:tcPr>
            <w:tcW w:w="6521" w:type="dxa"/>
            <w:gridSpan w:val="7"/>
          </w:tcPr>
          <w:p w:rsidRPr="002A1F9A" w:rsidR="00DB2CBB" w:rsidP="00DB2CBB" w:rsidRDefault="00DB2CBB" w14:paraId="0E999E25" w14:textId="77777777">
            <w:pPr>
              <w:rPr>
                <w:rFonts w:ascii="Verdana" w:hAnsi="Verdana"/>
                <w:sz w:val="18"/>
                <w:szCs w:val="18"/>
              </w:rPr>
            </w:pPr>
            <w:r w:rsidRPr="002A1F9A">
              <w:rPr>
                <w:rFonts w:ascii="Verdana" w:hAnsi="Verdana"/>
                <w:sz w:val="18"/>
                <w:szCs w:val="18"/>
              </w:rPr>
              <w:t>Wat is de einddatum voor de G5-noodmaatregel?</w:t>
            </w:r>
          </w:p>
          <w:p w:rsidRPr="002A1F9A" w:rsidR="00DB2CBB" w:rsidP="00DB2CBB" w:rsidRDefault="00DB2CBB" w14:paraId="6BB175BA" w14:textId="77777777">
            <w:pPr>
              <w:rPr>
                <w:rFonts w:ascii="Verdana" w:hAnsi="Verdana"/>
                <w:sz w:val="18"/>
                <w:szCs w:val="18"/>
              </w:rPr>
            </w:pPr>
          </w:p>
          <w:p w:rsidRPr="002A1F9A" w:rsidR="00DB2CBB" w:rsidP="00DB2CBB" w:rsidRDefault="00DB2CBB" w14:paraId="11FE4726" w14:textId="77777777">
            <w:pPr>
              <w:rPr>
                <w:rFonts w:ascii="Verdana" w:hAnsi="Verdana"/>
                <w:sz w:val="18"/>
                <w:szCs w:val="18"/>
              </w:rPr>
            </w:pPr>
            <w:r w:rsidRPr="002A1F9A">
              <w:rPr>
                <w:rFonts w:ascii="Verdana" w:hAnsi="Verdana"/>
                <w:sz w:val="18"/>
                <w:szCs w:val="18"/>
              </w:rPr>
              <w:t>Zoals aangegeven in de Kamerbrief voortgang lerarenstrategie van juli 2025 wordt de regeling ‘Andere dag- en weekindeling’ (G5 noodmaatregel) verlengd. Dit is onderdeel van een breder onderzoek om meer zicht te krijgen op de relatie tussen de wettelijke eisen aan onderwijstijd in het po en de kwaliteit, continuïteit en kansengelijkheid van onderwijs. Ook het experiment ‘Ruimte in Onderwijstijd’ (</w:t>
            </w:r>
            <w:proofErr w:type="spellStart"/>
            <w:r w:rsidRPr="002A1F9A">
              <w:rPr>
                <w:rFonts w:ascii="Verdana" w:hAnsi="Verdana"/>
                <w:sz w:val="18"/>
                <w:szCs w:val="18"/>
              </w:rPr>
              <w:t>ERiO</w:t>
            </w:r>
            <w:proofErr w:type="spellEnd"/>
            <w:r w:rsidRPr="002A1F9A">
              <w:rPr>
                <w:rFonts w:ascii="Verdana" w:hAnsi="Verdana"/>
                <w:sz w:val="18"/>
                <w:szCs w:val="18"/>
              </w:rPr>
              <w:t>) wordt verlengd. Deze experimenten zullen tot 2030 lopen. Door de planning van deze experimenten op elkaar af te stemmen kan na afloop over het geheel van onderwijstijd in het po besluitvorming plaatsvinden.</w:t>
            </w:r>
          </w:p>
          <w:p w:rsidRPr="002A1F9A" w:rsidR="00DB2CBB" w:rsidP="00DB2CBB" w:rsidRDefault="00DB2CBB" w14:paraId="61B5BCC7" w14:textId="77777777">
            <w:pPr>
              <w:rPr>
                <w:rFonts w:ascii="Verdana" w:hAnsi="Verdana"/>
                <w:sz w:val="18"/>
                <w:szCs w:val="18"/>
              </w:rPr>
            </w:pPr>
          </w:p>
        </w:tc>
        <w:tc>
          <w:tcPr>
            <w:tcW w:w="850" w:type="dxa"/>
            <w:gridSpan w:val="2"/>
          </w:tcPr>
          <w:p w:rsidRPr="002A1F9A" w:rsidR="00DB2CBB" w:rsidP="00DB2CBB" w:rsidRDefault="00DB2CBB" w14:paraId="1418094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79294468"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3F323288"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7E41675" w14:textId="77777777">
        <w:tc>
          <w:tcPr>
            <w:tcW w:w="567" w:type="dxa"/>
          </w:tcPr>
          <w:p w:rsidRPr="002A1F9A" w:rsidR="00DB2CBB" w:rsidP="00DB2CBB" w:rsidRDefault="00DB2CBB" w14:paraId="5FE1F7B2" w14:textId="77777777">
            <w:pPr>
              <w:rPr>
                <w:rFonts w:ascii="Verdana" w:hAnsi="Verdana"/>
                <w:sz w:val="18"/>
                <w:szCs w:val="18"/>
              </w:rPr>
            </w:pPr>
            <w:r w:rsidRPr="002A1F9A">
              <w:rPr>
                <w:rFonts w:ascii="Verdana" w:hAnsi="Verdana"/>
                <w:sz w:val="18"/>
                <w:szCs w:val="18"/>
              </w:rPr>
              <w:t>78</w:t>
            </w:r>
          </w:p>
        </w:tc>
        <w:tc>
          <w:tcPr>
            <w:tcW w:w="6521" w:type="dxa"/>
            <w:gridSpan w:val="7"/>
          </w:tcPr>
          <w:p w:rsidRPr="002A1F9A" w:rsidR="00DB2CBB" w:rsidP="00DB2CBB" w:rsidRDefault="00DB2CBB" w14:paraId="755F6183" w14:textId="77777777">
            <w:pPr>
              <w:rPr>
                <w:rFonts w:ascii="Verdana" w:hAnsi="Verdana"/>
                <w:sz w:val="18"/>
                <w:szCs w:val="18"/>
              </w:rPr>
            </w:pPr>
            <w:r w:rsidRPr="002A1F9A">
              <w:rPr>
                <w:rFonts w:ascii="Verdana" w:hAnsi="Verdana"/>
                <w:sz w:val="18"/>
                <w:szCs w:val="18"/>
              </w:rPr>
              <w:t>In hoeverre wordt met de G5-noodmaatregel rekening gehouden met het bevoegdhedenstelsel in het onderwijs?</w:t>
            </w:r>
          </w:p>
          <w:p w:rsidRPr="002A1F9A" w:rsidR="00DB2CBB" w:rsidP="00DB2CBB" w:rsidRDefault="00DB2CBB" w14:paraId="3EC80AF1" w14:textId="77777777">
            <w:pPr>
              <w:rPr>
                <w:rFonts w:ascii="Verdana" w:hAnsi="Verdana"/>
                <w:sz w:val="18"/>
                <w:szCs w:val="18"/>
              </w:rPr>
            </w:pPr>
          </w:p>
          <w:p w:rsidRPr="002A1F9A" w:rsidR="00DB2CBB" w:rsidP="00DB2CBB" w:rsidRDefault="00DB2CBB" w14:paraId="1B58853D" w14:textId="77777777">
            <w:pPr>
              <w:rPr>
                <w:rFonts w:ascii="Verdana" w:hAnsi="Verdana"/>
                <w:sz w:val="18"/>
                <w:szCs w:val="18"/>
              </w:rPr>
            </w:pPr>
            <w:r w:rsidRPr="002A1F9A">
              <w:rPr>
                <w:rFonts w:ascii="Verdana" w:hAnsi="Verdana"/>
                <w:sz w:val="18"/>
                <w:szCs w:val="18"/>
              </w:rPr>
              <w:t>De beleidsregel ‘Andere dag- en weekindeling’ geeft scholen in de G5 die zich hiervoor aanmelden de mogelijkheid andere professionals dan bevoegde leraren in te zetten, voor maximaal 22 uur per maand. Dit, omdat op een deel van de scholen in de G5 de tekorten zo hoog zijn dat niet alle uren gegeven kunnen worden door bevoegde leraren. In de beleidsregel staat van welke wet- en regelgeving kan worden afgeweken door scholen die deelnemen aan het experiment en welke voorwaarden daarbij gelden. Zo moet de medezeggenschapsraad instemmen met een plan op schoolniveau en zijn de vakken Nederlands, rekenen, wiskunde en bewegingsonderwijs uitgesloten.</w:t>
            </w:r>
          </w:p>
          <w:p w:rsidRPr="002A1F9A" w:rsidR="00DB2CBB" w:rsidP="00DB2CBB" w:rsidRDefault="00DB2CBB" w14:paraId="7AE851D6" w14:textId="77777777">
            <w:pPr>
              <w:rPr>
                <w:rFonts w:ascii="Verdana" w:hAnsi="Verdana"/>
                <w:sz w:val="18"/>
                <w:szCs w:val="18"/>
              </w:rPr>
            </w:pPr>
          </w:p>
        </w:tc>
        <w:tc>
          <w:tcPr>
            <w:tcW w:w="850" w:type="dxa"/>
            <w:gridSpan w:val="2"/>
          </w:tcPr>
          <w:p w:rsidRPr="002A1F9A" w:rsidR="00DB2CBB" w:rsidP="00DB2CBB" w:rsidRDefault="00DB2CBB" w14:paraId="3D98675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1AC16453"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08329754"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396846F5" w14:textId="77777777">
        <w:tc>
          <w:tcPr>
            <w:tcW w:w="567" w:type="dxa"/>
          </w:tcPr>
          <w:p w:rsidRPr="002A1F9A" w:rsidR="00DB2CBB" w:rsidP="00DB2CBB" w:rsidRDefault="00DB2CBB" w14:paraId="243E4F09" w14:textId="77777777">
            <w:pPr>
              <w:rPr>
                <w:rFonts w:ascii="Verdana" w:hAnsi="Verdana"/>
                <w:sz w:val="18"/>
                <w:szCs w:val="18"/>
              </w:rPr>
            </w:pPr>
            <w:r w:rsidRPr="002A1F9A">
              <w:rPr>
                <w:rFonts w:ascii="Verdana" w:hAnsi="Verdana"/>
                <w:sz w:val="18"/>
                <w:szCs w:val="18"/>
              </w:rPr>
              <w:t>79</w:t>
            </w:r>
          </w:p>
        </w:tc>
        <w:tc>
          <w:tcPr>
            <w:tcW w:w="6521" w:type="dxa"/>
            <w:gridSpan w:val="7"/>
          </w:tcPr>
          <w:p w:rsidRPr="002A1F9A" w:rsidR="00DB2CBB" w:rsidP="00DB2CBB" w:rsidRDefault="00DB2CBB" w14:paraId="369BB356" w14:textId="77777777">
            <w:pPr>
              <w:rPr>
                <w:rFonts w:ascii="Verdana" w:hAnsi="Verdana"/>
                <w:sz w:val="18"/>
                <w:szCs w:val="18"/>
              </w:rPr>
            </w:pPr>
            <w:r w:rsidRPr="002A1F9A">
              <w:rPr>
                <w:rFonts w:ascii="Verdana" w:hAnsi="Verdana"/>
                <w:sz w:val="18"/>
                <w:szCs w:val="18"/>
              </w:rPr>
              <w:t>In hoeverre wordt de kwaliteit van het onderwijs geborgd door het inzetten van de G5-noodmaatregel?</w:t>
            </w:r>
          </w:p>
          <w:p w:rsidRPr="002A1F9A" w:rsidR="00DB2CBB" w:rsidP="00DB2CBB" w:rsidRDefault="00DB2CBB" w14:paraId="24403DED" w14:textId="77777777">
            <w:pPr>
              <w:rPr>
                <w:rFonts w:ascii="Verdana" w:hAnsi="Verdana"/>
                <w:sz w:val="18"/>
                <w:szCs w:val="18"/>
              </w:rPr>
            </w:pPr>
          </w:p>
          <w:p w:rsidRPr="002A1F9A" w:rsidR="00DB2CBB" w:rsidP="00DB2CBB" w:rsidRDefault="00DB2CBB" w14:paraId="4F94721B" w14:textId="7F2AA2A7">
            <w:pPr>
              <w:rPr>
                <w:rFonts w:ascii="Verdana" w:hAnsi="Verdana"/>
                <w:sz w:val="18"/>
                <w:szCs w:val="18"/>
              </w:rPr>
            </w:pPr>
            <w:r w:rsidRPr="002A1F9A">
              <w:rPr>
                <w:rFonts w:ascii="Verdana" w:hAnsi="Verdana"/>
                <w:sz w:val="18"/>
                <w:szCs w:val="18"/>
              </w:rPr>
              <w:t xml:space="preserve">Uit de </w:t>
            </w:r>
            <w:hyperlink w:history="1" r:id="rId45">
              <w:r w:rsidRPr="002A1F9A">
                <w:rPr>
                  <w:rStyle w:val="Hyperlink"/>
                  <w:rFonts w:ascii="Verdana" w:hAnsi="Verdana"/>
                  <w:sz w:val="18"/>
                  <w:szCs w:val="18"/>
                </w:rPr>
                <w:t>evaluatie</w:t>
              </w:r>
            </w:hyperlink>
            <w:r w:rsidRPr="002A1F9A">
              <w:rPr>
                <w:rFonts w:ascii="Verdana" w:hAnsi="Verdana"/>
                <w:sz w:val="18"/>
                <w:szCs w:val="18"/>
              </w:rPr>
              <w:t xml:space="preserve"> van de beleidsregel ‘Andere dag- en weekindeling’ komt naar voren dat de betrokken actoren (schoolleiders, bestuurders, </w:t>
            </w:r>
            <w:proofErr w:type="spellStart"/>
            <w:r w:rsidRPr="002A1F9A">
              <w:rPr>
                <w:rFonts w:ascii="Verdana" w:hAnsi="Verdana"/>
                <w:sz w:val="18"/>
                <w:szCs w:val="18"/>
              </w:rPr>
              <w:t>onderwijsgevend</w:t>
            </w:r>
            <w:proofErr w:type="spellEnd"/>
            <w:r w:rsidRPr="002A1F9A">
              <w:rPr>
                <w:rFonts w:ascii="Verdana" w:hAnsi="Verdana"/>
                <w:sz w:val="18"/>
                <w:szCs w:val="18"/>
              </w:rPr>
              <w:t xml:space="preserve"> personeel, ouders, leerlingen en andere professionals) over het algemeen tevreden zijn met de inzet van de andere professionals. Door de regeling ervaren de meeste schoolleiders en </w:t>
            </w:r>
            <w:proofErr w:type="spellStart"/>
            <w:r w:rsidRPr="002A1F9A">
              <w:rPr>
                <w:rFonts w:ascii="Verdana" w:hAnsi="Verdana"/>
                <w:sz w:val="18"/>
                <w:szCs w:val="18"/>
              </w:rPr>
              <w:t>onderwijsgevend</w:t>
            </w:r>
            <w:proofErr w:type="spellEnd"/>
            <w:r w:rsidRPr="002A1F9A">
              <w:rPr>
                <w:rFonts w:ascii="Verdana" w:hAnsi="Verdana"/>
                <w:sz w:val="18"/>
                <w:szCs w:val="18"/>
              </w:rPr>
              <w:t xml:space="preserve"> personeel positieve gevolgen voor de continuïteit van het onderwijs en het verminderen van het personeelstekort. De (gerapporteerde) impact van de regeling op de onderwijskwaliteit is deels positief. Daarnaast verzorgen andere professionals verrijkende vakken met een rijker curriculum tot gevolg, maar daardoor kunnen leraren zich ook richten op de kernvakken.</w:t>
            </w:r>
          </w:p>
          <w:p w:rsidRPr="002A1F9A" w:rsidR="00DB2CBB" w:rsidP="00DB2CBB" w:rsidRDefault="00DB2CBB" w14:paraId="0CEA5AD1" w14:textId="77777777">
            <w:pPr>
              <w:rPr>
                <w:rFonts w:ascii="Verdana" w:hAnsi="Verdana"/>
                <w:sz w:val="18"/>
                <w:szCs w:val="18"/>
              </w:rPr>
            </w:pPr>
            <w:r w:rsidRPr="002A1F9A">
              <w:rPr>
                <w:rFonts w:ascii="Verdana" w:hAnsi="Verdana"/>
                <w:sz w:val="18"/>
                <w:szCs w:val="18"/>
              </w:rPr>
              <w:t>De pedagogische en didactische vaardigheden van de externe professional blijken bepalend voor de kwaliteit van de lessen. De G5-</w:t>
            </w:r>
            <w:r w:rsidRPr="002A1F9A">
              <w:rPr>
                <w:rFonts w:ascii="Verdana" w:hAnsi="Verdana"/>
                <w:sz w:val="18"/>
                <w:szCs w:val="18"/>
              </w:rPr>
              <w:lastRenderedPageBreak/>
              <w:t>gemeenten bieden daarom scholingstrajecten pedagogisch en didactisch handelen aan voor de professionals.</w:t>
            </w:r>
          </w:p>
          <w:p w:rsidRPr="002A1F9A" w:rsidR="00DB2CBB" w:rsidP="00DB2CBB" w:rsidRDefault="00DB2CBB" w14:paraId="056ADF85" w14:textId="77777777">
            <w:pPr>
              <w:rPr>
                <w:rFonts w:ascii="Verdana" w:hAnsi="Verdana"/>
                <w:sz w:val="18"/>
                <w:szCs w:val="18"/>
              </w:rPr>
            </w:pPr>
          </w:p>
        </w:tc>
        <w:tc>
          <w:tcPr>
            <w:tcW w:w="850" w:type="dxa"/>
            <w:gridSpan w:val="2"/>
          </w:tcPr>
          <w:p w:rsidRPr="002A1F9A" w:rsidR="00DB2CBB" w:rsidP="00DB2CBB" w:rsidRDefault="00DB2CBB" w14:paraId="700D9D39"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55557E7B"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4BE20861"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0A89F51D" w14:textId="77777777">
        <w:tc>
          <w:tcPr>
            <w:tcW w:w="567" w:type="dxa"/>
          </w:tcPr>
          <w:p w:rsidRPr="002A1F9A" w:rsidR="00DB2CBB" w:rsidP="00DB2CBB" w:rsidRDefault="00DB2CBB" w14:paraId="7076F70C" w14:textId="77777777">
            <w:pPr>
              <w:rPr>
                <w:rFonts w:ascii="Verdana" w:hAnsi="Verdana"/>
                <w:sz w:val="18"/>
                <w:szCs w:val="18"/>
              </w:rPr>
            </w:pPr>
            <w:r w:rsidRPr="002A1F9A">
              <w:rPr>
                <w:rFonts w:ascii="Verdana" w:hAnsi="Verdana"/>
                <w:sz w:val="18"/>
                <w:szCs w:val="18"/>
              </w:rPr>
              <w:t>80</w:t>
            </w:r>
          </w:p>
        </w:tc>
        <w:tc>
          <w:tcPr>
            <w:tcW w:w="6521" w:type="dxa"/>
            <w:gridSpan w:val="7"/>
          </w:tcPr>
          <w:p w:rsidRPr="002A1F9A" w:rsidR="00DB2CBB" w:rsidP="00DB2CBB" w:rsidRDefault="00DB2CBB" w14:paraId="462507C0" w14:textId="77777777">
            <w:pPr>
              <w:rPr>
                <w:rFonts w:ascii="Verdana" w:hAnsi="Verdana"/>
                <w:sz w:val="18"/>
                <w:szCs w:val="18"/>
              </w:rPr>
            </w:pPr>
            <w:r w:rsidRPr="002A1F9A">
              <w:rPr>
                <w:rFonts w:ascii="Verdana" w:hAnsi="Verdana"/>
                <w:sz w:val="18"/>
                <w:szCs w:val="18"/>
              </w:rPr>
              <w:t>Is de beroepsgroep betrokken (geweest) bij de invoering en evaluatie van de G5-noodmaatregel?</w:t>
            </w:r>
          </w:p>
          <w:p w:rsidRPr="002A1F9A" w:rsidR="00DB2CBB" w:rsidP="00DB2CBB" w:rsidRDefault="00DB2CBB" w14:paraId="4C0512E7" w14:textId="77777777">
            <w:pPr>
              <w:rPr>
                <w:rFonts w:ascii="Verdana" w:hAnsi="Verdana"/>
                <w:sz w:val="18"/>
                <w:szCs w:val="18"/>
              </w:rPr>
            </w:pPr>
          </w:p>
          <w:p w:rsidRPr="002A1F9A" w:rsidR="00DB2CBB" w:rsidP="00DB2CBB" w:rsidRDefault="00DB2CBB" w14:paraId="79B30400" w14:textId="77777777">
            <w:pPr>
              <w:rPr>
                <w:rFonts w:ascii="Verdana" w:hAnsi="Verdana"/>
                <w:sz w:val="18"/>
                <w:szCs w:val="18"/>
              </w:rPr>
            </w:pPr>
            <w:r w:rsidRPr="002A1F9A">
              <w:rPr>
                <w:rFonts w:ascii="Verdana" w:hAnsi="Verdana"/>
                <w:sz w:val="18"/>
                <w:szCs w:val="18"/>
              </w:rPr>
              <w:t xml:space="preserve">De beroepsgroep is en wordt op verschillende manieren betrokken. Zo dient een school vóórdat zij gebruik mogen maken van de regeling een uitgewerkt plan te hebben, waar de medezeggenschapraad mee heeft ingestemd. Voor de evaluatie van de regeling zijn schoolleiders, </w:t>
            </w:r>
            <w:proofErr w:type="spellStart"/>
            <w:r w:rsidRPr="002A1F9A">
              <w:rPr>
                <w:rFonts w:ascii="Verdana" w:hAnsi="Verdana"/>
                <w:sz w:val="18"/>
                <w:szCs w:val="18"/>
              </w:rPr>
              <w:t>onderwijsgevend</w:t>
            </w:r>
            <w:proofErr w:type="spellEnd"/>
            <w:r w:rsidRPr="002A1F9A">
              <w:rPr>
                <w:rFonts w:ascii="Verdana" w:hAnsi="Verdana"/>
                <w:sz w:val="18"/>
                <w:szCs w:val="18"/>
              </w:rPr>
              <w:t xml:space="preserve"> personeel, ouders en de andere professionals geïnterviewd, en zijn ook schoolbezoeken gebracht. Daarnaast is gebruik gemaakt van een begeleidingscommissie, waar ook de (georganiseerde) beroepsgroep in deelnam. Tot slot organiseren de G5-gemeenten zelf met enige regelmaat bijeenkomsten om met onder andere leraren en schoolleiders in gesprek te gaan over de regeling.</w:t>
            </w:r>
          </w:p>
          <w:p w:rsidRPr="002A1F9A" w:rsidR="00DB2CBB" w:rsidP="00DB2CBB" w:rsidRDefault="00DB2CBB" w14:paraId="1EF08398" w14:textId="77777777">
            <w:pPr>
              <w:rPr>
                <w:rFonts w:ascii="Verdana" w:hAnsi="Verdana"/>
                <w:sz w:val="18"/>
                <w:szCs w:val="18"/>
              </w:rPr>
            </w:pPr>
          </w:p>
        </w:tc>
        <w:tc>
          <w:tcPr>
            <w:tcW w:w="850" w:type="dxa"/>
            <w:gridSpan w:val="2"/>
          </w:tcPr>
          <w:p w:rsidRPr="002A1F9A" w:rsidR="00DB2CBB" w:rsidP="00DB2CBB" w:rsidRDefault="00DB2CBB" w14:paraId="0BF517F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54A62079"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04389A74"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58EC099" w14:textId="77777777">
        <w:tc>
          <w:tcPr>
            <w:tcW w:w="567" w:type="dxa"/>
          </w:tcPr>
          <w:p w:rsidRPr="002A1F9A" w:rsidR="00DB2CBB" w:rsidP="00DB2CBB" w:rsidRDefault="00DB2CBB" w14:paraId="698D0A03" w14:textId="77777777">
            <w:pPr>
              <w:rPr>
                <w:rFonts w:ascii="Verdana" w:hAnsi="Verdana"/>
                <w:sz w:val="18"/>
                <w:szCs w:val="18"/>
              </w:rPr>
            </w:pPr>
            <w:r w:rsidRPr="002A1F9A">
              <w:rPr>
                <w:rFonts w:ascii="Verdana" w:hAnsi="Verdana"/>
                <w:sz w:val="18"/>
                <w:szCs w:val="18"/>
              </w:rPr>
              <w:t>81</w:t>
            </w:r>
          </w:p>
        </w:tc>
        <w:tc>
          <w:tcPr>
            <w:tcW w:w="6521" w:type="dxa"/>
            <w:gridSpan w:val="7"/>
          </w:tcPr>
          <w:p w:rsidRPr="002A1F9A" w:rsidR="00DB2CBB" w:rsidP="00DB2CBB" w:rsidRDefault="00DB2CBB" w14:paraId="17C34480" w14:textId="77777777">
            <w:pPr>
              <w:rPr>
                <w:rFonts w:ascii="Verdana" w:hAnsi="Verdana"/>
                <w:sz w:val="18"/>
                <w:szCs w:val="18"/>
              </w:rPr>
            </w:pPr>
            <w:r w:rsidRPr="002A1F9A">
              <w:rPr>
                <w:rFonts w:ascii="Verdana" w:hAnsi="Verdana"/>
                <w:sz w:val="18"/>
                <w:szCs w:val="18"/>
              </w:rPr>
              <w:t>Waar in deze begroting is rekening gehouden met het genoemde wetsvoorstel Versterken inspraak leraren en schoolleiders?</w:t>
            </w:r>
          </w:p>
          <w:p w:rsidRPr="002A1F9A" w:rsidR="00DB2CBB" w:rsidP="00DB2CBB" w:rsidRDefault="00DB2CBB" w14:paraId="3DC893F8" w14:textId="77777777">
            <w:pPr>
              <w:rPr>
                <w:rFonts w:ascii="Verdana" w:hAnsi="Verdana"/>
                <w:sz w:val="18"/>
                <w:szCs w:val="18"/>
              </w:rPr>
            </w:pPr>
          </w:p>
          <w:p w:rsidRPr="002A1F9A" w:rsidR="00DB2CBB" w:rsidP="00DB2CBB" w:rsidRDefault="00DB2CBB" w14:paraId="52E15F05" w14:textId="77777777">
            <w:pPr>
              <w:rPr>
                <w:rFonts w:ascii="Verdana" w:hAnsi="Verdana"/>
                <w:sz w:val="18"/>
                <w:szCs w:val="18"/>
              </w:rPr>
            </w:pPr>
            <w:bookmarkStart w:name="_Hlk212041783" w:id="27"/>
            <w:r w:rsidRPr="002A1F9A">
              <w:rPr>
                <w:rFonts w:ascii="Verdana" w:hAnsi="Verdana"/>
                <w:sz w:val="18"/>
                <w:szCs w:val="18"/>
              </w:rPr>
              <w:t xml:space="preserve">Op dit moment is nog niet duidelijk wat de exacte inhoud van het wetsvoorstel gaat zijn, daarom is er nog geen concrete post opgenomen in de OCW-begroting. Bij het uitwerken van het wetsvoorstel zal worden bezien op welke wijze financiële consequenties kunnen worden gedekt op de OCW-begroting. </w:t>
            </w:r>
          </w:p>
          <w:bookmarkEnd w:id="27"/>
          <w:p w:rsidRPr="002A1F9A" w:rsidR="00DB2CBB" w:rsidP="00DB2CBB" w:rsidRDefault="00DB2CBB" w14:paraId="62C602EF" w14:textId="53D1D031">
            <w:pPr>
              <w:rPr>
                <w:rFonts w:ascii="Verdana" w:hAnsi="Verdana"/>
                <w:sz w:val="18"/>
                <w:szCs w:val="18"/>
              </w:rPr>
            </w:pPr>
          </w:p>
        </w:tc>
        <w:tc>
          <w:tcPr>
            <w:tcW w:w="850" w:type="dxa"/>
            <w:gridSpan w:val="2"/>
          </w:tcPr>
          <w:p w:rsidRPr="002A1F9A" w:rsidR="00DB2CBB" w:rsidP="00DB2CBB" w:rsidRDefault="00DB2CBB" w14:paraId="616B6F9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71A54C8C"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6D767C63"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5AD2CCB" w14:textId="77777777">
        <w:tc>
          <w:tcPr>
            <w:tcW w:w="567" w:type="dxa"/>
          </w:tcPr>
          <w:p w:rsidRPr="002A1F9A" w:rsidR="00DB2CBB" w:rsidP="00DB2CBB" w:rsidRDefault="00DB2CBB" w14:paraId="007F974F" w14:textId="77777777">
            <w:pPr>
              <w:rPr>
                <w:rFonts w:ascii="Verdana" w:hAnsi="Verdana"/>
                <w:sz w:val="18"/>
                <w:szCs w:val="18"/>
              </w:rPr>
            </w:pPr>
            <w:r w:rsidRPr="002A1F9A">
              <w:rPr>
                <w:rFonts w:ascii="Verdana" w:hAnsi="Verdana"/>
                <w:sz w:val="18"/>
                <w:szCs w:val="18"/>
              </w:rPr>
              <w:t>82</w:t>
            </w:r>
          </w:p>
        </w:tc>
        <w:tc>
          <w:tcPr>
            <w:tcW w:w="6521" w:type="dxa"/>
            <w:gridSpan w:val="7"/>
          </w:tcPr>
          <w:p w:rsidRPr="002A1F9A" w:rsidR="00DB2CBB" w:rsidP="00DB2CBB" w:rsidRDefault="00DB2CBB" w14:paraId="700E830E" w14:textId="77777777">
            <w:pPr>
              <w:rPr>
                <w:rFonts w:ascii="Verdana" w:hAnsi="Verdana"/>
                <w:sz w:val="18"/>
                <w:szCs w:val="18"/>
              </w:rPr>
            </w:pPr>
            <w:r w:rsidRPr="002A1F9A">
              <w:rPr>
                <w:rFonts w:ascii="Verdana" w:hAnsi="Verdana"/>
                <w:sz w:val="18"/>
                <w:szCs w:val="18"/>
              </w:rPr>
              <w:t>Wat is de planning van het wetsvoorstel Versterken inspraak leraren en schoolleiders en wie uit het veld worden erbij betrokken?</w:t>
            </w:r>
          </w:p>
          <w:p w:rsidRPr="002A1F9A" w:rsidR="00DB2CBB" w:rsidP="00DB2CBB" w:rsidRDefault="00DB2CBB" w14:paraId="19CAF6A3" w14:textId="77777777">
            <w:pPr>
              <w:rPr>
                <w:rFonts w:ascii="Verdana" w:hAnsi="Verdana"/>
                <w:sz w:val="18"/>
                <w:szCs w:val="18"/>
              </w:rPr>
            </w:pPr>
          </w:p>
          <w:p w:rsidRPr="002A1F9A" w:rsidR="00DB2CBB" w:rsidP="00DB2CBB" w:rsidRDefault="00DB2CBB" w14:paraId="1A64824A" w14:textId="2BC8767E">
            <w:pPr>
              <w:rPr>
                <w:rFonts w:ascii="Verdana" w:hAnsi="Verdana"/>
                <w:sz w:val="18"/>
                <w:szCs w:val="18"/>
              </w:rPr>
            </w:pPr>
            <w:r w:rsidRPr="002A1F9A">
              <w:rPr>
                <w:rFonts w:ascii="Verdana" w:hAnsi="Verdana"/>
                <w:sz w:val="18"/>
                <w:szCs w:val="18"/>
              </w:rPr>
              <w:t>Het wetsvoorstel ‘Versterken inspraak leraren en schoolleiders’ bevindt zich, zoals uiteengezet bij vraag 51, in de ontwikkelingsfase. In deze fase zal met een brede groep aan belanghebbenden en experts gesproken worden over hoe de doelen van het wetsvoorstel te bereiken. Te denken valt aan leraren en schoolleiders, besturen, intern toezichthouders, sociale partners en de Inspectie van het Onderwijs. Via de halfjaarlijkse Lerarenbrief zal u</w:t>
            </w:r>
            <w:r w:rsidRPr="002A1F9A" w:rsidR="002F2EE7">
              <w:rPr>
                <w:rFonts w:ascii="Verdana" w:hAnsi="Verdana"/>
                <w:sz w:val="18"/>
                <w:szCs w:val="18"/>
              </w:rPr>
              <w:t>w Kamer</w:t>
            </w:r>
            <w:r w:rsidRPr="002A1F9A">
              <w:rPr>
                <w:rFonts w:ascii="Verdana" w:hAnsi="Verdana"/>
                <w:sz w:val="18"/>
                <w:szCs w:val="18"/>
              </w:rPr>
              <w:t xml:space="preserve"> geïnformeerd worden over de voorgang van het wetsvoorstel.</w:t>
            </w:r>
          </w:p>
          <w:p w:rsidRPr="002A1F9A" w:rsidR="00DB2CBB" w:rsidP="00DB2CBB" w:rsidRDefault="00DB2CBB" w14:paraId="39DC7091" w14:textId="77777777">
            <w:pPr>
              <w:rPr>
                <w:rFonts w:ascii="Verdana" w:hAnsi="Verdana"/>
                <w:sz w:val="18"/>
                <w:szCs w:val="18"/>
              </w:rPr>
            </w:pPr>
          </w:p>
        </w:tc>
        <w:tc>
          <w:tcPr>
            <w:tcW w:w="850" w:type="dxa"/>
            <w:gridSpan w:val="2"/>
          </w:tcPr>
          <w:p w:rsidRPr="002A1F9A" w:rsidR="00DB2CBB" w:rsidP="00DB2CBB" w:rsidRDefault="00DB2CBB" w14:paraId="58D72D5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51F4210D"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1DA4C884"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666551C6" w14:textId="77777777">
        <w:tc>
          <w:tcPr>
            <w:tcW w:w="567" w:type="dxa"/>
          </w:tcPr>
          <w:p w:rsidRPr="002A1F9A" w:rsidR="00DB2CBB" w:rsidP="00DB2CBB" w:rsidRDefault="00DB2CBB" w14:paraId="6F9C5477" w14:textId="77777777">
            <w:pPr>
              <w:rPr>
                <w:rFonts w:ascii="Verdana" w:hAnsi="Verdana"/>
                <w:sz w:val="18"/>
                <w:szCs w:val="18"/>
              </w:rPr>
            </w:pPr>
            <w:r w:rsidRPr="002A1F9A">
              <w:rPr>
                <w:rFonts w:ascii="Verdana" w:hAnsi="Verdana"/>
                <w:sz w:val="18"/>
                <w:szCs w:val="18"/>
              </w:rPr>
              <w:t>83</w:t>
            </w:r>
          </w:p>
        </w:tc>
        <w:tc>
          <w:tcPr>
            <w:tcW w:w="6521" w:type="dxa"/>
            <w:gridSpan w:val="7"/>
          </w:tcPr>
          <w:p w:rsidRPr="002A1F9A" w:rsidR="00DB2CBB" w:rsidP="00DB2CBB" w:rsidRDefault="00DB2CBB" w14:paraId="61BADF1C" w14:textId="77777777">
            <w:pPr>
              <w:rPr>
                <w:rFonts w:ascii="Verdana" w:hAnsi="Verdana"/>
                <w:sz w:val="18"/>
                <w:szCs w:val="18"/>
              </w:rPr>
            </w:pPr>
            <w:r w:rsidRPr="002A1F9A">
              <w:rPr>
                <w:rFonts w:ascii="Verdana" w:hAnsi="Verdana"/>
                <w:sz w:val="18"/>
                <w:szCs w:val="18"/>
              </w:rPr>
              <w:t xml:space="preserve">Hoeveel leraren worden in 2026 via de pilot </w:t>
            </w:r>
            <w:proofErr w:type="spellStart"/>
            <w:r w:rsidRPr="002A1F9A">
              <w:rPr>
                <w:rFonts w:ascii="Verdana" w:hAnsi="Verdana"/>
                <w:sz w:val="18"/>
                <w:szCs w:val="18"/>
              </w:rPr>
              <w:t>meerurenmaatwerk</w:t>
            </w:r>
            <w:proofErr w:type="spellEnd"/>
            <w:r w:rsidRPr="002A1F9A">
              <w:rPr>
                <w:rFonts w:ascii="Verdana" w:hAnsi="Verdana"/>
                <w:sz w:val="18"/>
                <w:szCs w:val="18"/>
              </w:rPr>
              <w:t xml:space="preserve"> extra ingezet en hoe wordt de effectiviteit hiervan gemeten?</w:t>
            </w:r>
          </w:p>
          <w:p w:rsidRPr="002A1F9A" w:rsidR="00DB2CBB" w:rsidP="00DB2CBB" w:rsidRDefault="00DB2CBB" w14:paraId="100E81F7" w14:textId="77777777">
            <w:pPr>
              <w:rPr>
                <w:rFonts w:ascii="Verdana" w:hAnsi="Verdana"/>
                <w:sz w:val="18"/>
                <w:szCs w:val="18"/>
              </w:rPr>
            </w:pPr>
          </w:p>
          <w:p w:rsidRPr="002A1F9A" w:rsidR="00DB2CBB" w:rsidP="00DB2CBB" w:rsidRDefault="00DB2CBB" w14:paraId="179C9FBF" w14:textId="77777777">
            <w:pPr>
              <w:rPr>
                <w:rFonts w:ascii="Verdana" w:hAnsi="Verdana"/>
                <w:sz w:val="18"/>
                <w:szCs w:val="18"/>
              </w:rPr>
            </w:pPr>
            <w:r w:rsidRPr="002A1F9A">
              <w:rPr>
                <w:rFonts w:ascii="Verdana" w:hAnsi="Verdana"/>
                <w:sz w:val="18"/>
                <w:szCs w:val="18"/>
              </w:rPr>
              <w:t xml:space="preserve">Dit aantal leraren is nog niet bekend. De aanvraagtermijn voor de subsidie van de pilot is op 1 september gesloten. De Dienst Uitvoering Subsidies aan Instellingen (DUS-I) beoordeelt momenteel de aanvragen. </w:t>
            </w:r>
          </w:p>
          <w:p w:rsidRPr="002A1F9A" w:rsidR="00DB2CBB" w:rsidP="00DB2CBB" w:rsidRDefault="00DB2CBB" w14:paraId="64659E39" w14:textId="1121307A">
            <w:pPr>
              <w:rPr>
                <w:rFonts w:ascii="Verdana" w:hAnsi="Verdana"/>
                <w:sz w:val="18"/>
                <w:szCs w:val="18"/>
              </w:rPr>
            </w:pPr>
            <w:r w:rsidRPr="002A1F9A">
              <w:rPr>
                <w:rFonts w:ascii="Verdana" w:hAnsi="Verdana"/>
                <w:sz w:val="18"/>
                <w:szCs w:val="18"/>
              </w:rPr>
              <w:t xml:space="preserve">Een onderzoeksbureau monitort en evalueert de pilot </w:t>
            </w:r>
            <w:proofErr w:type="spellStart"/>
            <w:r w:rsidRPr="002A1F9A">
              <w:rPr>
                <w:rFonts w:ascii="Verdana" w:hAnsi="Verdana"/>
                <w:sz w:val="18"/>
                <w:szCs w:val="18"/>
              </w:rPr>
              <w:t>meerurenmaatwerk</w:t>
            </w:r>
            <w:proofErr w:type="spellEnd"/>
            <w:r w:rsidRPr="002A1F9A">
              <w:rPr>
                <w:rFonts w:ascii="Verdana" w:hAnsi="Verdana"/>
                <w:sz w:val="18"/>
                <w:szCs w:val="18"/>
              </w:rPr>
              <w:t xml:space="preserve">. Het bureau kijkt allereerst in hoeverre het aanbieden aan leraren van keuzeopties zoals geld </w:t>
            </w:r>
            <w:r w:rsidRPr="002A1F9A" w:rsidR="002F2EE7">
              <w:rPr>
                <w:rFonts w:ascii="Verdana" w:hAnsi="Verdana"/>
                <w:sz w:val="18"/>
                <w:szCs w:val="18"/>
              </w:rPr>
              <w:t>boven op</w:t>
            </w:r>
            <w:r w:rsidRPr="002A1F9A">
              <w:rPr>
                <w:rFonts w:ascii="Verdana" w:hAnsi="Verdana"/>
                <w:sz w:val="18"/>
                <w:szCs w:val="18"/>
              </w:rPr>
              <w:t xml:space="preserve"> het salaris, snipperdagen en een flexibel rooster kan bijdragen aan het behoud van leraren en hen stimuleert om meer uren te gaan werken of te blijven werken. Ten tweede onderzoekt het bureau welke factoren bijgedragen aan het slagen van </w:t>
            </w:r>
            <w:proofErr w:type="spellStart"/>
            <w:r w:rsidRPr="002A1F9A">
              <w:rPr>
                <w:rFonts w:ascii="Verdana" w:hAnsi="Verdana"/>
                <w:sz w:val="18"/>
                <w:szCs w:val="18"/>
              </w:rPr>
              <w:t>meerurenmaatwerk</w:t>
            </w:r>
            <w:proofErr w:type="spellEnd"/>
            <w:r w:rsidRPr="002A1F9A">
              <w:rPr>
                <w:rFonts w:ascii="Verdana" w:hAnsi="Verdana"/>
                <w:sz w:val="18"/>
                <w:szCs w:val="18"/>
              </w:rPr>
              <w:t xml:space="preserve"> als pilot instrument. De eerste tussenrapportage wordt verwacht in Q4 2026.</w:t>
            </w:r>
          </w:p>
          <w:p w:rsidRPr="002A1F9A" w:rsidR="00DB2CBB" w:rsidP="00DB2CBB" w:rsidRDefault="00DB2CBB" w14:paraId="5B614893" w14:textId="6EA93302">
            <w:pPr>
              <w:rPr>
                <w:rFonts w:ascii="Verdana" w:hAnsi="Verdana"/>
                <w:sz w:val="18"/>
                <w:szCs w:val="18"/>
              </w:rPr>
            </w:pPr>
          </w:p>
        </w:tc>
        <w:tc>
          <w:tcPr>
            <w:tcW w:w="850" w:type="dxa"/>
            <w:gridSpan w:val="2"/>
          </w:tcPr>
          <w:p w:rsidRPr="002A1F9A" w:rsidR="00DB2CBB" w:rsidP="00DB2CBB" w:rsidRDefault="00DB2CBB" w14:paraId="3E2A063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D3E665E" w14:textId="77777777">
            <w:pPr>
              <w:jc w:val="right"/>
              <w:rPr>
                <w:rFonts w:ascii="Verdana" w:hAnsi="Verdana"/>
                <w:sz w:val="18"/>
                <w:szCs w:val="18"/>
              </w:rPr>
            </w:pPr>
            <w:r w:rsidRPr="002A1F9A">
              <w:rPr>
                <w:rFonts w:ascii="Verdana" w:hAnsi="Verdana"/>
                <w:sz w:val="18"/>
                <w:szCs w:val="18"/>
              </w:rPr>
              <w:t>13</w:t>
            </w:r>
          </w:p>
        </w:tc>
        <w:tc>
          <w:tcPr>
            <w:tcW w:w="567" w:type="dxa"/>
            <w:tcBorders>
              <w:left w:val="nil"/>
            </w:tcBorders>
          </w:tcPr>
          <w:p w:rsidRPr="002A1F9A" w:rsidR="00DB2CBB" w:rsidP="00DB2CBB" w:rsidRDefault="00DB2CBB" w14:paraId="0DEA08EE"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D9548DE" w14:textId="77777777">
        <w:tc>
          <w:tcPr>
            <w:tcW w:w="567" w:type="dxa"/>
          </w:tcPr>
          <w:p w:rsidRPr="002A1F9A" w:rsidR="00DB2CBB" w:rsidP="00DB2CBB" w:rsidRDefault="00DB2CBB" w14:paraId="57FF056D" w14:textId="77777777">
            <w:pPr>
              <w:rPr>
                <w:rFonts w:ascii="Verdana" w:hAnsi="Verdana"/>
                <w:sz w:val="18"/>
                <w:szCs w:val="18"/>
              </w:rPr>
            </w:pPr>
            <w:r w:rsidRPr="002A1F9A">
              <w:rPr>
                <w:rFonts w:ascii="Verdana" w:hAnsi="Verdana"/>
                <w:sz w:val="18"/>
                <w:szCs w:val="18"/>
              </w:rPr>
              <w:lastRenderedPageBreak/>
              <w:t>84</w:t>
            </w:r>
          </w:p>
        </w:tc>
        <w:tc>
          <w:tcPr>
            <w:tcW w:w="6521" w:type="dxa"/>
            <w:gridSpan w:val="7"/>
          </w:tcPr>
          <w:p w:rsidRPr="002A1F9A" w:rsidR="00DB2CBB" w:rsidP="00DB2CBB" w:rsidRDefault="00DB2CBB" w14:paraId="477FEFF1" w14:textId="77777777">
            <w:pPr>
              <w:rPr>
                <w:rFonts w:ascii="Verdana" w:hAnsi="Verdana"/>
                <w:sz w:val="18"/>
                <w:szCs w:val="18"/>
              </w:rPr>
            </w:pPr>
            <w:r w:rsidRPr="002A1F9A">
              <w:rPr>
                <w:rFonts w:ascii="Verdana" w:hAnsi="Verdana"/>
                <w:sz w:val="18"/>
                <w:szCs w:val="18"/>
              </w:rPr>
              <w:t>Hoeveel gewonden door ingrijpen van politie of beveiliging zijn er de afgelopen tien jaar per jaar geweest bij demonstraties op universiteiten?</w:t>
            </w:r>
          </w:p>
          <w:p w:rsidRPr="002A1F9A" w:rsidR="00DF2B80" w:rsidP="00DB2CBB" w:rsidRDefault="00DF2B80" w14:paraId="2A695980" w14:textId="77777777">
            <w:pPr>
              <w:rPr>
                <w:rFonts w:ascii="Verdana" w:hAnsi="Verdana"/>
                <w:sz w:val="18"/>
                <w:szCs w:val="18"/>
              </w:rPr>
            </w:pPr>
          </w:p>
          <w:p w:rsidRPr="002A1F9A" w:rsidR="00DF2B80" w:rsidP="00DF2B80" w:rsidRDefault="00DF2B80" w14:paraId="269B425E" w14:textId="6058072C">
            <w:pPr>
              <w:rPr>
                <w:rFonts w:ascii="Verdana" w:hAnsi="Verdana"/>
                <w:sz w:val="18"/>
                <w:szCs w:val="18"/>
              </w:rPr>
            </w:pPr>
            <w:r w:rsidRPr="002A1F9A">
              <w:rPr>
                <w:rFonts w:ascii="Verdana" w:hAnsi="Verdana"/>
                <w:sz w:val="18"/>
                <w:szCs w:val="18"/>
              </w:rPr>
              <w:t xml:space="preserve">Het ministerie </w:t>
            </w:r>
            <w:r w:rsidRPr="002A1F9A" w:rsidR="002F2EE7">
              <w:rPr>
                <w:rFonts w:ascii="Verdana" w:hAnsi="Verdana"/>
                <w:sz w:val="18"/>
                <w:szCs w:val="18"/>
              </w:rPr>
              <w:t xml:space="preserve">van OCW </w:t>
            </w:r>
            <w:r w:rsidRPr="002A1F9A">
              <w:rPr>
                <w:rFonts w:ascii="Verdana" w:hAnsi="Verdana"/>
                <w:sz w:val="18"/>
                <w:szCs w:val="18"/>
              </w:rPr>
              <w:t>beschikt niet over dergelijke gegevens.</w:t>
            </w:r>
          </w:p>
          <w:p w:rsidRPr="002A1F9A" w:rsidR="00DF2B80" w:rsidP="00DB2CBB" w:rsidRDefault="00DF2B80" w14:paraId="6D800109" w14:textId="77777777">
            <w:pPr>
              <w:rPr>
                <w:rFonts w:ascii="Verdana" w:hAnsi="Verdana"/>
                <w:sz w:val="18"/>
                <w:szCs w:val="18"/>
              </w:rPr>
            </w:pPr>
          </w:p>
        </w:tc>
        <w:tc>
          <w:tcPr>
            <w:tcW w:w="850" w:type="dxa"/>
            <w:gridSpan w:val="2"/>
          </w:tcPr>
          <w:p w:rsidRPr="002A1F9A" w:rsidR="00DB2CBB" w:rsidP="00DB2CBB" w:rsidRDefault="00DB2CBB" w14:paraId="62B4995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456AE416" w14:textId="77777777">
            <w:pPr>
              <w:jc w:val="right"/>
              <w:rPr>
                <w:rFonts w:ascii="Verdana" w:hAnsi="Verdana"/>
                <w:sz w:val="18"/>
                <w:szCs w:val="18"/>
              </w:rPr>
            </w:pPr>
            <w:r w:rsidRPr="002A1F9A">
              <w:rPr>
                <w:rFonts w:ascii="Verdana" w:hAnsi="Verdana"/>
                <w:sz w:val="18"/>
                <w:szCs w:val="18"/>
              </w:rPr>
              <w:t>15</w:t>
            </w:r>
          </w:p>
        </w:tc>
        <w:tc>
          <w:tcPr>
            <w:tcW w:w="567" w:type="dxa"/>
            <w:tcBorders>
              <w:left w:val="nil"/>
            </w:tcBorders>
          </w:tcPr>
          <w:p w:rsidRPr="002A1F9A" w:rsidR="00DB2CBB" w:rsidP="00DB2CBB" w:rsidRDefault="00DB2CBB" w14:paraId="30BCFF27"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03625C6C" w14:textId="77777777">
        <w:tc>
          <w:tcPr>
            <w:tcW w:w="567" w:type="dxa"/>
          </w:tcPr>
          <w:p w:rsidRPr="002A1F9A" w:rsidR="00DB2CBB" w:rsidP="00DB2CBB" w:rsidRDefault="00DB2CBB" w14:paraId="43195459" w14:textId="77777777">
            <w:pPr>
              <w:rPr>
                <w:rFonts w:ascii="Verdana" w:hAnsi="Verdana"/>
                <w:sz w:val="18"/>
                <w:szCs w:val="18"/>
              </w:rPr>
            </w:pPr>
            <w:r w:rsidRPr="002A1F9A">
              <w:rPr>
                <w:rFonts w:ascii="Verdana" w:hAnsi="Verdana"/>
                <w:sz w:val="18"/>
                <w:szCs w:val="18"/>
              </w:rPr>
              <w:t>85</w:t>
            </w:r>
          </w:p>
        </w:tc>
        <w:tc>
          <w:tcPr>
            <w:tcW w:w="6521" w:type="dxa"/>
            <w:gridSpan w:val="7"/>
          </w:tcPr>
          <w:p w:rsidRPr="002A1F9A" w:rsidR="00DB2CBB" w:rsidP="00DB2CBB" w:rsidRDefault="00DB2CBB" w14:paraId="44AF8615" w14:textId="77777777">
            <w:pPr>
              <w:rPr>
                <w:rFonts w:ascii="Verdana" w:hAnsi="Verdana"/>
                <w:sz w:val="18"/>
                <w:szCs w:val="18"/>
              </w:rPr>
            </w:pPr>
            <w:r w:rsidRPr="002A1F9A">
              <w:rPr>
                <w:rFonts w:ascii="Verdana" w:hAnsi="Verdana"/>
                <w:sz w:val="18"/>
                <w:szCs w:val="18"/>
              </w:rPr>
              <w:t>Kunt u aangeven hoeveel studenten stagelopen, welk aandeel daarvan een stagevergoeding krijgt en dit uitsplitsen naar type onderwijs?</w:t>
            </w:r>
          </w:p>
          <w:p w:rsidRPr="002A1F9A" w:rsidR="00DB2CBB" w:rsidP="00DB2CBB" w:rsidRDefault="00DB2CBB" w14:paraId="4C58D3D8" w14:textId="77777777">
            <w:pPr>
              <w:rPr>
                <w:rFonts w:ascii="Verdana" w:hAnsi="Verdana"/>
                <w:sz w:val="18"/>
                <w:szCs w:val="18"/>
              </w:rPr>
            </w:pPr>
          </w:p>
          <w:p w:rsidRPr="002A1F9A" w:rsidR="00DB2CBB" w:rsidP="00DB2CBB" w:rsidRDefault="00DB2CBB" w14:paraId="06C3E994" w14:textId="77777777">
            <w:pPr>
              <w:rPr>
                <w:rFonts w:ascii="Verdana" w:hAnsi="Verdana"/>
                <w:sz w:val="18"/>
                <w:szCs w:val="18"/>
              </w:rPr>
            </w:pPr>
            <w:r w:rsidRPr="002A1F9A">
              <w:rPr>
                <w:rFonts w:ascii="Verdana" w:hAnsi="Verdana"/>
                <w:sz w:val="18"/>
                <w:szCs w:val="18"/>
              </w:rPr>
              <w:t xml:space="preserve">Er zijn geen eenduidige data beschikbaar over stages in het hbo en wo. Hierdoor kan niet worden vastgesteld hoeveel studenten precies stage lopen in deze sectoren en hoeveel daarvan een stagevergoeding ontvangen. Onderzoek van </w:t>
            </w:r>
            <w:proofErr w:type="spellStart"/>
            <w:r w:rsidRPr="002A1F9A">
              <w:rPr>
                <w:rFonts w:ascii="Verdana" w:hAnsi="Verdana"/>
                <w:sz w:val="18"/>
                <w:szCs w:val="18"/>
              </w:rPr>
              <w:t>Researchned</w:t>
            </w:r>
            <w:proofErr w:type="spellEnd"/>
            <w:r w:rsidRPr="002A1F9A">
              <w:rPr>
                <w:rFonts w:ascii="Verdana" w:hAnsi="Verdana"/>
                <w:sz w:val="18"/>
                <w:szCs w:val="18"/>
              </w:rPr>
              <w:t xml:space="preserve"> (</w:t>
            </w:r>
            <w:hyperlink w:history="1" r:id="rId46">
              <w:r w:rsidRPr="002A1F9A">
                <w:rPr>
                  <w:rStyle w:val="Hyperlink"/>
                  <w:rFonts w:ascii="Verdana" w:hAnsi="Verdana"/>
                  <w:i/>
                  <w:iCs/>
                  <w:sz w:val="18"/>
                  <w:szCs w:val="18"/>
                </w:rPr>
                <w:t>stages in het hoger onderwijs eindrapportage</w:t>
              </w:r>
            </w:hyperlink>
            <w:r w:rsidRPr="002A1F9A">
              <w:rPr>
                <w:rFonts w:ascii="Verdana" w:hAnsi="Verdana"/>
                <w:sz w:val="18"/>
                <w:szCs w:val="18"/>
              </w:rPr>
              <w:t>) geeft een inschatting. Van de hbo- en wo-studenten die deelnamen aan het onderzoek liep ongeveer de helft stage in de periode september 2022 - februari 2023. Van de hbo-studenten ontving 75% in 2023 een stagevergoeding. Voor de wo-studenten bleek dat 65% te zijn voor studenten die een verplichte stage liepen en 91% voor studenten die een facultatieve stage liepen. Het gaat bij deze data om metingen met een beperkt aantal respondenten.</w:t>
            </w:r>
          </w:p>
          <w:p w:rsidRPr="002A1F9A" w:rsidR="00DB2CBB" w:rsidP="00DB2CBB" w:rsidRDefault="00DB2CBB" w14:paraId="24E479A8" w14:textId="77777777">
            <w:pPr>
              <w:rPr>
                <w:rFonts w:ascii="Verdana" w:hAnsi="Verdana"/>
                <w:sz w:val="18"/>
                <w:szCs w:val="18"/>
              </w:rPr>
            </w:pPr>
          </w:p>
          <w:p w:rsidRPr="002A1F9A" w:rsidR="00DB2CBB" w:rsidP="00DB2CBB" w:rsidRDefault="00DB2CBB" w14:paraId="6C1BDFEB" w14:textId="744149DC">
            <w:pPr>
              <w:rPr>
                <w:rFonts w:ascii="Verdana" w:hAnsi="Verdana"/>
                <w:sz w:val="18"/>
                <w:szCs w:val="18"/>
              </w:rPr>
            </w:pPr>
            <w:r w:rsidRPr="002A1F9A">
              <w:rPr>
                <w:rFonts w:ascii="Verdana" w:hAnsi="Verdana"/>
                <w:sz w:val="18"/>
                <w:szCs w:val="18"/>
              </w:rPr>
              <w:t xml:space="preserve">In het mbo liepen in studiejaar 2024/2025 in totaal zo’n 220.000 bol-studenten stage volgens de </w:t>
            </w:r>
            <w:hyperlink w:history="1" r:id="rId47">
              <w:r w:rsidRPr="002A1F9A">
                <w:rPr>
                  <w:rStyle w:val="Hyperlink"/>
                  <w:rFonts w:ascii="Verdana" w:hAnsi="Verdana"/>
                  <w:sz w:val="18"/>
                  <w:szCs w:val="18"/>
                </w:rPr>
                <w:t>SBB barometer</w:t>
              </w:r>
            </w:hyperlink>
            <w:r w:rsidRPr="002A1F9A">
              <w:rPr>
                <w:rFonts w:ascii="Verdana" w:hAnsi="Verdana"/>
                <w:sz w:val="18"/>
                <w:szCs w:val="18"/>
              </w:rPr>
              <w:t xml:space="preserve">. Volgens het </w:t>
            </w:r>
            <w:hyperlink w:history="1" r:id="rId48">
              <w:r w:rsidRPr="002A1F9A">
                <w:rPr>
                  <w:rStyle w:val="Hyperlink"/>
                  <w:rFonts w:ascii="Verdana" w:hAnsi="Verdana"/>
                  <w:sz w:val="18"/>
                  <w:szCs w:val="18"/>
                </w:rPr>
                <w:t>CBS</w:t>
              </w:r>
            </w:hyperlink>
            <w:r w:rsidRPr="002A1F9A">
              <w:rPr>
                <w:rFonts w:ascii="Verdana" w:hAnsi="Verdana"/>
                <w:sz w:val="18"/>
                <w:szCs w:val="18"/>
              </w:rPr>
              <w:t xml:space="preserve"> ontvingen 42% </w:t>
            </w:r>
            <w:r w:rsidRPr="002A1F9A" w:rsidR="002F2EE7">
              <w:rPr>
                <w:rFonts w:ascii="Verdana" w:hAnsi="Verdana"/>
                <w:sz w:val="18"/>
                <w:szCs w:val="18"/>
              </w:rPr>
              <w:t>v</w:t>
            </w:r>
            <w:r w:rsidRPr="002A1F9A">
              <w:rPr>
                <w:rFonts w:ascii="Verdana" w:hAnsi="Verdana"/>
                <w:sz w:val="18"/>
                <w:szCs w:val="18"/>
              </w:rPr>
              <w:t>an de mbo-studenten die stage liepen een stagevergoeding.</w:t>
            </w:r>
          </w:p>
          <w:p w:rsidRPr="002A1F9A" w:rsidR="00DB2CBB" w:rsidP="00DB2CBB" w:rsidRDefault="00DB2CBB" w14:paraId="3DC5C328" w14:textId="7633B887">
            <w:pPr>
              <w:rPr>
                <w:rFonts w:ascii="Verdana" w:hAnsi="Verdana"/>
                <w:sz w:val="18"/>
                <w:szCs w:val="18"/>
              </w:rPr>
            </w:pPr>
          </w:p>
        </w:tc>
        <w:tc>
          <w:tcPr>
            <w:tcW w:w="850" w:type="dxa"/>
            <w:gridSpan w:val="2"/>
          </w:tcPr>
          <w:p w:rsidRPr="002A1F9A" w:rsidR="00DB2CBB" w:rsidP="00DB2CBB" w:rsidRDefault="00DB2CBB" w14:paraId="66DCB3C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BEA398E" w14:textId="77777777">
            <w:pPr>
              <w:jc w:val="right"/>
              <w:rPr>
                <w:rFonts w:ascii="Verdana" w:hAnsi="Verdana"/>
                <w:sz w:val="18"/>
                <w:szCs w:val="18"/>
              </w:rPr>
            </w:pPr>
            <w:r w:rsidRPr="002A1F9A">
              <w:rPr>
                <w:rFonts w:ascii="Verdana" w:hAnsi="Verdana"/>
                <w:sz w:val="18"/>
                <w:szCs w:val="18"/>
              </w:rPr>
              <w:t>16</w:t>
            </w:r>
          </w:p>
        </w:tc>
        <w:tc>
          <w:tcPr>
            <w:tcW w:w="567" w:type="dxa"/>
            <w:tcBorders>
              <w:left w:val="nil"/>
            </w:tcBorders>
          </w:tcPr>
          <w:p w:rsidRPr="002A1F9A" w:rsidR="00DB2CBB" w:rsidP="00DB2CBB" w:rsidRDefault="00DB2CBB" w14:paraId="23AEC904"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6E49CE50" w14:textId="77777777">
        <w:tc>
          <w:tcPr>
            <w:tcW w:w="567" w:type="dxa"/>
          </w:tcPr>
          <w:p w:rsidRPr="002A1F9A" w:rsidR="00DB2CBB" w:rsidP="00DB2CBB" w:rsidRDefault="00DB2CBB" w14:paraId="6F805706" w14:textId="77777777">
            <w:pPr>
              <w:rPr>
                <w:rFonts w:ascii="Verdana" w:hAnsi="Verdana"/>
                <w:sz w:val="18"/>
                <w:szCs w:val="18"/>
              </w:rPr>
            </w:pPr>
            <w:r w:rsidRPr="002A1F9A">
              <w:rPr>
                <w:rFonts w:ascii="Verdana" w:hAnsi="Verdana"/>
                <w:sz w:val="18"/>
                <w:szCs w:val="18"/>
              </w:rPr>
              <w:t>86</w:t>
            </w:r>
          </w:p>
        </w:tc>
        <w:tc>
          <w:tcPr>
            <w:tcW w:w="6521" w:type="dxa"/>
            <w:gridSpan w:val="7"/>
          </w:tcPr>
          <w:p w:rsidRPr="002A1F9A" w:rsidR="00DB2CBB" w:rsidP="00DB2CBB" w:rsidRDefault="00DB2CBB" w14:paraId="5FCEFB85" w14:textId="77777777">
            <w:pPr>
              <w:rPr>
                <w:rFonts w:ascii="Verdana" w:hAnsi="Verdana"/>
                <w:sz w:val="18"/>
                <w:szCs w:val="18"/>
              </w:rPr>
            </w:pPr>
            <w:r w:rsidRPr="002A1F9A">
              <w:rPr>
                <w:rFonts w:ascii="Verdana" w:hAnsi="Verdana"/>
                <w:sz w:val="18"/>
                <w:szCs w:val="18"/>
              </w:rPr>
              <w:t>Hoeveel zou het kosten om alle stagevergoedingen gelijk te trekken met het minimumloon?</w:t>
            </w:r>
          </w:p>
          <w:p w:rsidRPr="002A1F9A" w:rsidR="00DB2CBB" w:rsidP="00DB2CBB" w:rsidRDefault="00DB2CBB" w14:paraId="216F2BDA" w14:textId="77777777">
            <w:pPr>
              <w:rPr>
                <w:rFonts w:ascii="Verdana" w:hAnsi="Verdana"/>
                <w:sz w:val="18"/>
                <w:szCs w:val="18"/>
              </w:rPr>
            </w:pPr>
          </w:p>
          <w:p w:rsidRPr="002A1F9A" w:rsidR="00DB2CBB" w:rsidP="00DB2CBB" w:rsidRDefault="00DB2CBB" w14:paraId="40F211D4" w14:textId="77777777">
            <w:pPr>
              <w:rPr>
                <w:rFonts w:ascii="Verdana" w:hAnsi="Verdana"/>
                <w:sz w:val="18"/>
                <w:szCs w:val="18"/>
              </w:rPr>
            </w:pPr>
            <w:r w:rsidRPr="002A1F9A">
              <w:rPr>
                <w:rFonts w:ascii="Verdana" w:hAnsi="Verdana"/>
                <w:sz w:val="18"/>
                <w:szCs w:val="18"/>
              </w:rPr>
              <w:t>Voor het hbo en wo is er geen inzicht in hoeveel en hoe lang studenten stagelopen, hierdoor is niet mogelijk om een schatting te geven over hoeveel het zou kosten om voor de gehele stagelopende populatie de stagevergoeding gelijk te trekken met het minimumloon.</w:t>
            </w:r>
          </w:p>
          <w:p w:rsidRPr="002A1F9A" w:rsidR="00DB2CBB" w:rsidP="00DB2CBB" w:rsidRDefault="00DB2CBB" w14:paraId="21A2BE5F" w14:textId="78F19CA7">
            <w:pPr>
              <w:rPr>
                <w:rFonts w:ascii="Verdana" w:hAnsi="Verdana"/>
                <w:sz w:val="18"/>
                <w:szCs w:val="18"/>
              </w:rPr>
            </w:pPr>
            <w:r w:rsidRPr="002A1F9A">
              <w:rPr>
                <w:rFonts w:ascii="Verdana" w:hAnsi="Verdana"/>
                <w:sz w:val="18"/>
                <w:szCs w:val="18"/>
              </w:rPr>
              <w:t>Voor het mbo zijn de kosten ruim €</w:t>
            </w:r>
            <w:r w:rsidRPr="002A1F9A" w:rsidR="002F2EE7">
              <w:rPr>
                <w:rFonts w:ascii="Verdana" w:hAnsi="Verdana"/>
                <w:sz w:val="18"/>
                <w:szCs w:val="18"/>
              </w:rPr>
              <w:t xml:space="preserve"> </w:t>
            </w:r>
            <w:r w:rsidRPr="002A1F9A">
              <w:rPr>
                <w:rFonts w:ascii="Verdana" w:hAnsi="Verdana"/>
                <w:sz w:val="18"/>
                <w:szCs w:val="18"/>
              </w:rPr>
              <w:t>300 miljoen oplopend tot €</w:t>
            </w:r>
            <w:r w:rsidRPr="002A1F9A" w:rsidR="002F2EE7">
              <w:rPr>
                <w:rFonts w:ascii="Verdana" w:hAnsi="Verdana"/>
                <w:sz w:val="18"/>
                <w:szCs w:val="18"/>
              </w:rPr>
              <w:t xml:space="preserve"> </w:t>
            </w:r>
            <w:r w:rsidRPr="002A1F9A">
              <w:rPr>
                <w:rFonts w:ascii="Verdana" w:hAnsi="Verdana"/>
                <w:sz w:val="18"/>
                <w:szCs w:val="18"/>
              </w:rPr>
              <w:t>700 miljoen. Dit bedrag is een schatting op basis van een aantal aannames. Zo is gerekend met het minimale aantal uren dat een mbo-bol student stage moet lopen. Het daadwerkelijk aantal uren stage ligt vaak hoger. Tevens weten we dat van de studenten die een stagevergoeding ontvangen (42% van alle studenten) het mediaan uurloon €</w:t>
            </w:r>
            <w:r w:rsidRPr="002A1F9A" w:rsidR="002F2EE7">
              <w:rPr>
                <w:rFonts w:ascii="Verdana" w:hAnsi="Verdana"/>
                <w:sz w:val="18"/>
                <w:szCs w:val="18"/>
              </w:rPr>
              <w:t xml:space="preserve"> </w:t>
            </w:r>
            <w:r w:rsidRPr="002A1F9A">
              <w:rPr>
                <w:rFonts w:ascii="Verdana" w:hAnsi="Verdana"/>
                <w:sz w:val="18"/>
                <w:szCs w:val="18"/>
              </w:rPr>
              <w:t>3,04 is. Dit betekent dat bedrijven op dit moment circa €</w:t>
            </w:r>
            <w:r w:rsidRPr="002A1F9A" w:rsidR="002F2EE7">
              <w:rPr>
                <w:rFonts w:ascii="Verdana" w:hAnsi="Verdana"/>
                <w:sz w:val="18"/>
                <w:szCs w:val="18"/>
              </w:rPr>
              <w:t xml:space="preserve"> </w:t>
            </w:r>
            <w:r w:rsidRPr="002A1F9A">
              <w:rPr>
                <w:rFonts w:ascii="Verdana" w:hAnsi="Verdana"/>
                <w:sz w:val="18"/>
                <w:szCs w:val="18"/>
              </w:rPr>
              <w:t>200 miljoen aan stagevergoedingen betalen. Dit is een groot verschil met circa €</w:t>
            </w:r>
            <w:r w:rsidRPr="002A1F9A" w:rsidR="002F2EE7">
              <w:rPr>
                <w:rFonts w:ascii="Verdana" w:hAnsi="Verdana"/>
                <w:sz w:val="18"/>
                <w:szCs w:val="18"/>
              </w:rPr>
              <w:t xml:space="preserve"> </w:t>
            </w:r>
            <w:r w:rsidRPr="002A1F9A">
              <w:rPr>
                <w:rFonts w:ascii="Verdana" w:hAnsi="Verdana"/>
                <w:sz w:val="18"/>
                <w:szCs w:val="18"/>
              </w:rPr>
              <w:t>500 miljoen kosten voor bedrijven als alle studenten het gemiddelde minimumloon €</w:t>
            </w:r>
            <w:r w:rsidRPr="002A1F9A" w:rsidR="002F2EE7">
              <w:rPr>
                <w:rFonts w:ascii="Verdana" w:hAnsi="Verdana"/>
                <w:sz w:val="18"/>
                <w:szCs w:val="18"/>
              </w:rPr>
              <w:t xml:space="preserve"> </w:t>
            </w:r>
            <w:r w:rsidRPr="002A1F9A">
              <w:rPr>
                <w:rFonts w:ascii="Verdana" w:hAnsi="Verdana"/>
                <w:sz w:val="18"/>
                <w:szCs w:val="18"/>
              </w:rPr>
              <w:t>7,91 per betreffende leeftijdscategorie of de circa €</w:t>
            </w:r>
            <w:r w:rsidRPr="002A1F9A" w:rsidR="002F2EE7">
              <w:rPr>
                <w:rFonts w:ascii="Verdana" w:hAnsi="Verdana"/>
                <w:sz w:val="18"/>
                <w:szCs w:val="18"/>
              </w:rPr>
              <w:t xml:space="preserve"> </w:t>
            </w:r>
            <w:r w:rsidRPr="002A1F9A">
              <w:rPr>
                <w:rFonts w:ascii="Verdana" w:hAnsi="Verdana"/>
                <w:sz w:val="18"/>
                <w:szCs w:val="18"/>
              </w:rPr>
              <w:t>900 miljoen kosten voor bedrijven als alle studenten een minimumuurloon voor 21-jarigen van €</w:t>
            </w:r>
            <w:r w:rsidRPr="002A1F9A" w:rsidR="002F2EE7">
              <w:rPr>
                <w:rFonts w:ascii="Verdana" w:hAnsi="Verdana"/>
                <w:sz w:val="18"/>
                <w:szCs w:val="18"/>
              </w:rPr>
              <w:t xml:space="preserve"> </w:t>
            </w:r>
            <w:r w:rsidRPr="002A1F9A">
              <w:rPr>
                <w:rFonts w:ascii="Verdana" w:hAnsi="Verdana"/>
                <w:sz w:val="18"/>
                <w:szCs w:val="18"/>
              </w:rPr>
              <w:t xml:space="preserve">14,40 per uur ontvangen voor hun stage. </w:t>
            </w:r>
          </w:p>
          <w:p w:rsidRPr="002A1F9A" w:rsidR="00DB2CBB" w:rsidP="00DB2CBB" w:rsidRDefault="00DB2CBB" w14:paraId="29977F70" w14:textId="77777777">
            <w:pPr>
              <w:rPr>
                <w:rFonts w:ascii="Verdana" w:hAnsi="Verdana"/>
                <w:sz w:val="18"/>
                <w:szCs w:val="18"/>
              </w:rPr>
            </w:pPr>
          </w:p>
        </w:tc>
        <w:tc>
          <w:tcPr>
            <w:tcW w:w="850" w:type="dxa"/>
            <w:gridSpan w:val="2"/>
          </w:tcPr>
          <w:p w:rsidRPr="002A1F9A" w:rsidR="00DB2CBB" w:rsidP="00DB2CBB" w:rsidRDefault="00DB2CBB" w14:paraId="3400A1B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17489B89" w14:textId="77777777">
            <w:pPr>
              <w:jc w:val="right"/>
              <w:rPr>
                <w:rFonts w:ascii="Verdana" w:hAnsi="Verdana"/>
                <w:sz w:val="18"/>
                <w:szCs w:val="18"/>
              </w:rPr>
            </w:pPr>
            <w:r w:rsidRPr="002A1F9A">
              <w:rPr>
                <w:rFonts w:ascii="Verdana" w:hAnsi="Verdana"/>
                <w:sz w:val="18"/>
                <w:szCs w:val="18"/>
              </w:rPr>
              <w:t>16</w:t>
            </w:r>
          </w:p>
        </w:tc>
        <w:tc>
          <w:tcPr>
            <w:tcW w:w="567" w:type="dxa"/>
            <w:tcBorders>
              <w:left w:val="nil"/>
            </w:tcBorders>
          </w:tcPr>
          <w:p w:rsidRPr="002A1F9A" w:rsidR="00DB2CBB" w:rsidP="00DB2CBB" w:rsidRDefault="00DB2CBB" w14:paraId="57839722"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4B0CFBB7" w14:textId="77777777">
        <w:tc>
          <w:tcPr>
            <w:tcW w:w="567" w:type="dxa"/>
          </w:tcPr>
          <w:p w:rsidRPr="002A1F9A" w:rsidR="00DB2CBB" w:rsidP="00DB2CBB" w:rsidRDefault="00DB2CBB" w14:paraId="207CC089" w14:textId="77777777">
            <w:pPr>
              <w:rPr>
                <w:rFonts w:ascii="Verdana" w:hAnsi="Verdana"/>
                <w:sz w:val="18"/>
                <w:szCs w:val="18"/>
              </w:rPr>
            </w:pPr>
            <w:r w:rsidRPr="002A1F9A">
              <w:rPr>
                <w:rFonts w:ascii="Verdana" w:hAnsi="Verdana"/>
                <w:sz w:val="18"/>
                <w:szCs w:val="18"/>
              </w:rPr>
              <w:t>87</w:t>
            </w:r>
          </w:p>
        </w:tc>
        <w:tc>
          <w:tcPr>
            <w:tcW w:w="6521" w:type="dxa"/>
            <w:gridSpan w:val="7"/>
          </w:tcPr>
          <w:p w:rsidRPr="002A1F9A" w:rsidR="00DB2CBB" w:rsidP="00DB2CBB" w:rsidRDefault="00DB2CBB" w14:paraId="194EBC95" w14:textId="77777777">
            <w:pPr>
              <w:rPr>
                <w:rFonts w:ascii="Verdana" w:hAnsi="Verdana"/>
                <w:sz w:val="18"/>
                <w:szCs w:val="18"/>
              </w:rPr>
            </w:pPr>
            <w:r w:rsidRPr="002A1F9A">
              <w:rPr>
                <w:rFonts w:ascii="Verdana" w:hAnsi="Verdana"/>
                <w:sz w:val="18"/>
                <w:szCs w:val="18"/>
              </w:rPr>
              <w:t>Welke mogelijkheden kent de wet zodat scholen voor praktijkonderwijs hun leerlingen nog binnen hun instelling entree-opleidingen aanbieden?</w:t>
            </w:r>
          </w:p>
          <w:p w:rsidRPr="002A1F9A" w:rsidR="00DB2CBB" w:rsidP="00DB2CBB" w:rsidRDefault="00DB2CBB" w14:paraId="71D7E130" w14:textId="77777777">
            <w:pPr>
              <w:rPr>
                <w:rFonts w:ascii="Verdana" w:hAnsi="Verdana"/>
                <w:sz w:val="18"/>
                <w:szCs w:val="18"/>
              </w:rPr>
            </w:pPr>
          </w:p>
          <w:p w:rsidRPr="002A1F9A" w:rsidR="00DB2CBB" w:rsidP="00DB2CBB" w:rsidRDefault="00DB2CBB" w14:paraId="27A61F1D" w14:textId="77777777">
            <w:pPr>
              <w:rPr>
                <w:rFonts w:ascii="Verdana" w:hAnsi="Verdana"/>
                <w:sz w:val="18"/>
                <w:szCs w:val="18"/>
              </w:rPr>
            </w:pPr>
            <w:r w:rsidRPr="002A1F9A">
              <w:rPr>
                <w:rFonts w:ascii="Verdana" w:hAnsi="Verdana"/>
                <w:sz w:val="18"/>
                <w:szCs w:val="18"/>
              </w:rPr>
              <w:t xml:space="preserve">Op dit moment kent de wet geen mogelijkheden voor scholen voor praktijkonderwijs om een entreeopleiding aan te bieden. In de praktijk gebeurt dit wel. Zoals reeds aangekondigd aan uw Kamer is het voornemen om deze praktijk wettelijk te verankeren (zie </w:t>
            </w:r>
            <w:hyperlink w:history="1" r:id="rId49">
              <w:r w:rsidRPr="002A1F9A">
                <w:rPr>
                  <w:rStyle w:val="Hyperlink"/>
                  <w:rFonts w:ascii="Verdana" w:hAnsi="Verdana"/>
                  <w:i/>
                  <w:iCs/>
                  <w:sz w:val="18"/>
                  <w:szCs w:val="18"/>
                </w:rPr>
                <w:t>Kamerstukken II</w:t>
              </w:r>
              <w:r w:rsidRPr="002A1F9A">
                <w:rPr>
                  <w:rStyle w:val="Hyperlink"/>
                  <w:rFonts w:ascii="Verdana" w:hAnsi="Verdana"/>
                  <w:sz w:val="18"/>
                  <w:szCs w:val="18"/>
                </w:rPr>
                <w:t xml:space="preserve"> 2023/24, 31 293, nr. 743</w:t>
              </w:r>
            </w:hyperlink>
            <w:r w:rsidRPr="002A1F9A">
              <w:rPr>
                <w:rFonts w:ascii="Verdana" w:hAnsi="Verdana"/>
                <w:sz w:val="18"/>
                <w:szCs w:val="18"/>
              </w:rPr>
              <w:t xml:space="preserve">, </w:t>
            </w:r>
            <w:hyperlink w:history="1" r:id="rId50">
              <w:r w:rsidRPr="002A1F9A">
                <w:rPr>
                  <w:rStyle w:val="Hyperlink"/>
                  <w:rFonts w:ascii="Verdana" w:hAnsi="Verdana"/>
                  <w:i/>
                  <w:iCs/>
                  <w:sz w:val="18"/>
                  <w:szCs w:val="18"/>
                </w:rPr>
                <w:t>Kamerstukken II 2022/23</w:t>
              </w:r>
              <w:r w:rsidRPr="002A1F9A">
                <w:rPr>
                  <w:rStyle w:val="Hyperlink"/>
                  <w:rFonts w:ascii="Verdana" w:hAnsi="Verdana"/>
                  <w:sz w:val="18"/>
                  <w:szCs w:val="18"/>
                </w:rPr>
                <w:t>, 31 524</w:t>
              </w:r>
            </w:hyperlink>
            <w:hyperlink w:history="1" r:id="rId51">
              <w:r w:rsidRPr="002A1F9A">
                <w:rPr>
                  <w:rStyle w:val="Hyperlink"/>
                  <w:rFonts w:ascii="Verdana" w:hAnsi="Verdana"/>
                  <w:sz w:val="18"/>
                  <w:szCs w:val="18"/>
                </w:rPr>
                <w:t>, nr. 570</w:t>
              </w:r>
            </w:hyperlink>
            <w:r w:rsidRPr="002A1F9A">
              <w:rPr>
                <w:rFonts w:ascii="Verdana" w:hAnsi="Verdana"/>
                <w:sz w:val="18"/>
                <w:szCs w:val="18"/>
              </w:rPr>
              <w:t xml:space="preserve"> en </w:t>
            </w:r>
            <w:hyperlink w:history="1" r:id="rId52">
              <w:r w:rsidRPr="002A1F9A">
                <w:rPr>
                  <w:rStyle w:val="Hyperlink"/>
                  <w:rFonts w:ascii="Verdana" w:hAnsi="Verdana"/>
                  <w:i/>
                  <w:iCs/>
                  <w:sz w:val="18"/>
                  <w:szCs w:val="18"/>
                </w:rPr>
                <w:t>Kamerstukken II 2020/21</w:t>
              </w:r>
              <w:r w:rsidRPr="002A1F9A">
                <w:rPr>
                  <w:rStyle w:val="Hyperlink"/>
                  <w:rFonts w:ascii="Verdana" w:hAnsi="Verdana"/>
                  <w:sz w:val="18"/>
                  <w:szCs w:val="18"/>
                </w:rPr>
                <w:t>, 31 289, nr. 436</w:t>
              </w:r>
            </w:hyperlink>
            <w:r w:rsidRPr="002A1F9A">
              <w:rPr>
                <w:rFonts w:ascii="Verdana" w:hAnsi="Verdana"/>
                <w:sz w:val="18"/>
                <w:szCs w:val="18"/>
              </w:rPr>
              <w:t>).</w:t>
            </w:r>
          </w:p>
          <w:p w:rsidRPr="002A1F9A" w:rsidR="00DB2CBB" w:rsidP="00DB2CBB" w:rsidRDefault="00DB2CBB" w14:paraId="6CF309C7" w14:textId="01E6E08F">
            <w:pPr>
              <w:rPr>
                <w:rFonts w:ascii="Verdana" w:hAnsi="Verdana"/>
                <w:sz w:val="18"/>
                <w:szCs w:val="18"/>
              </w:rPr>
            </w:pPr>
          </w:p>
        </w:tc>
        <w:tc>
          <w:tcPr>
            <w:tcW w:w="850" w:type="dxa"/>
            <w:gridSpan w:val="2"/>
          </w:tcPr>
          <w:p w:rsidRPr="002A1F9A" w:rsidR="00DB2CBB" w:rsidP="00DB2CBB" w:rsidRDefault="00DB2CBB" w14:paraId="42CB187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04769322" w14:textId="77777777">
            <w:pPr>
              <w:jc w:val="right"/>
              <w:rPr>
                <w:rFonts w:ascii="Verdana" w:hAnsi="Verdana"/>
                <w:sz w:val="18"/>
                <w:szCs w:val="18"/>
              </w:rPr>
            </w:pPr>
            <w:r w:rsidRPr="002A1F9A">
              <w:rPr>
                <w:rFonts w:ascii="Verdana" w:hAnsi="Verdana"/>
                <w:sz w:val="18"/>
                <w:szCs w:val="18"/>
              </w:rPr>
              <w:t>16</w:t>
            </w:r>
          </w:p>
        </w:tc>
        <w:tc>
          <w:tcPr>
            <w:tcW w:w="567" w:type="dxa"/>
            <w:tcBorders>
              <w:left w:val="nil"/>
            </w:tcBorders>
          </w:tcPr>
          <w:p w:rsidRPr="002A1F9A" w:rsidR="00DB2CBB" w:rsidP="00DB2CBB" w:rsidRDefault="00DB2CBB" w14:paraId="53F7232B"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C1A97DF" w14:textId="77777777">
        <w:tc>
          <w:tcPr>
            <w:tcW w:w="567" w:type="dxa"/>
          </w:tcPr>
          <w:p w:rsidRPr="002A1F9A" w:rsidR="00DB2CBB" w:rsidP="00DB2CBB" w:rsidRDefault="00DB2CBB" w14:paraId="4C21862E" w14:textId="77777777">
            <w:pPr>
              <w:rPr>
                <w:rFonts w:ascii="Verdana" w:hAnsi="Verdana"/>
                <w:sz w:val="18"/>
                <w:szCs w:val="18"/>
              </w:rPr>
            </w:pPr>
            <w:r w:rsidRPr="002A1F9A">
              <w:rPr>
                <w:rFonts w:ascii="Verdana" w:hAnsi="Verdana"/>
                <w:sz w:val="18"/>
                <w:szCs w:val="18"/>
              </w:rPr>
              <w:lastRenderedPageBreak/>
              <w:t>88</w:t>
            </w:r>
          </w:p>
        </w:tc>
        <w:tc>
          <w:tcPr>
            <w:tcW w:w="6521" w:type="dxa"/>
            <w:gridSpan w:val="7"/>
          </w:tcPr>
          <w:p w:rsidRPr="002A1F9A" w:rsidR="00DB2CBB" w:rsidP="00DB2CBB" w:rsidRDefault="00DB2CBB" w14:paraId="44DAF4A2" w14:textId="77777777">
            <w:pPr>
              <w:rPr>
                <w:rFonts w:ascii="Verdana" w:hAnsi="Verdana"/>
                <w:sz w:val="18"/>
                <w:szCs w:val="18"/>
              </w:rPr>
            </w:pPr>
            <w:r w:rsidRPr="002A1F9A">
              <w:rPr>
                <w:rFonts w:ascii="Verdana" w:hAnsi="Verdana"/>
                <w:sz w:val="18"/>
                <w:szCs w:val="18"/>
              </w:rPr>
              <w:t>Wat zijn de financiële gevolgen voor scholen van het wetsvoorstel Van school naar duurzaam werk als naar aanleiding hiervan verschillende bestaande regelingen worden samengevoegd in één regeling?</w:t>
            </w:r>
          </w:p>
          <w:p w:rsidRPr="002A1F9A" w:rsidR="00DB2CBB" w:rsidP="00DB2CBB" w:rsidRDefault="00DB2CBB" w14:paraId="3AC81F1D" w14:textId="77777777">
            <w:pPr>
              <w:rPr>
                <w:rFonts w:ascii="Verdana" w:hAnsi="Verdana"/>
                <w:sz w:val="18"/>
                <w:szCs w:val="18"/>
              </w:rPr>
            </w:pPr>
          </w:p>
          <w:p w:rsidRPr="002A1F9A" w:rsidR="00DB2CBB" w:rsidP="00DB2CBB" w:rsidRDefault="00DB2CBB" w14:paraId="1E956781" w14:textId="77777777">
            <w:pPr>
              <w:rPr>
                <w:rFonts w:ascii="Verdana" w:hAnsi="Verdana"/>
                <w:sz w:val="18"/>
                <w:szCs w:val="18"/>
              </w:rPr>
            </w:pPr>
            <w:r w:rsidRPr="002A1F9A">
              <w:rPr>
                <w:rFonts w:ascii="Verdana" w:hAnsi="Verdana"/>
                <w:sz w:val="18"/>
                <w:szCs w:val="18"/>
              </w:rPr>
              <w:t>Deze wet heeft positieve financiële consequenties voor mbo-instellingen. In de Kamerbrief van 3 oktober 2025 (</w:t>
            </w:r>
            <w:hyperlink w:history="1" r:id="rId53">
              <w:r w:rsidRPr="002A1F9A">
                <w:rPr>
                  <w:rStyle w:val="Hyperlink"/>
                  <w:rFonts w:ascii="Verdana" w:hAnsi="Verdana"/>
                  <w:sz w:val="18"/>
                  <w:szCs w:val="18"/>
                </w:rPr>
                <w:t xml:space="preserve">Kamerstukken II, 2025/2026, </w:t>
              </w:r>
              <w:proofErr w:type="spellStart"/>
              <w:r w:rsidRPr="002A1F9A">
                <w:rPr>
                  <w:rStyle w:val="Hyperlink"/>
                  <w:rFonts w:ascii="Verdana" w:hAnsi="Verdana"/>
                  <w:sz w:val="18"/>
                  <w:szCs w:val="18"/>
                </w:rPr>
                <w:t>nr</w:t>
              </w:r>
              <w:proofErr w:type="spellEnd"/>
              <w:r w:rsidRPr="002A1F9A">
                <w:rPr>
                  <w:rStyle w:val="Hyperlink"/>
                  <w:rFonts w:ascii="Verdana" w:hAnsi="Verdana"/>
                  <w:sz w:val="18"/>
                  <w:szCs w:val="18"/>
                </w:rPr>
                <w:t xml:space="preserve"> 2025Z18720</w:t>
              </w:r>
            </w:hyperlink>
            <w:r w:rsidRPr="002A1F9A">
              <w:rPr>
                <w:rFonts w:ascii="Verdana" w:hAnsi="Verdana"/>
                <w:sz w:val="18"/>
                <w:szCs w:val="18"/>
              </w:rPr>
              <w:t>) is uiteengezet welke effecten deze wet heeft voor mbo-instellingen.</w:t>
            </w:r>
          </w:p>
          <w:p w:rsidRPr="002A1F9A" w:rsidR="00DB2CBB" w:rsidP="00DB2CBB" w:rsidRDefault="00DB2CBB" w14:paraId="3D255F5D" w14:textId="2A5E7108">
            <w:pPr>
              <w:rPr>
                <w:rFonts w:ascii="Verdana" w:hAnsi="Verdana"/>
                <w:sz w:val="18"/>
                <w:szCs w:val="18"/>
              </w:rPr>
            </w:pPr>
          </w:p>
        </w:tc>
        <w:tc>
          <w:tcPr>
            <w:tcW w:w="850" w:type="dxa"/>
            <w:gridSpan w:val="2"/>
          </w:tcPr>
          <w:p w:rsidRPr="002A1F9A" w:rsidR="00DB2CBB" w:rsidP="00DB2CBB" w:rsidRDefault="00DB2CBB" w14:paraId="5DC845A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72513D2" w14:textId="77777777">
            <w:pPr>
              <w:jc w:val="right"/>
              <w:rPr>
                <w:rFonts w:ascii="Verdana" w:hAnsi="Verdana"/>
                <w:sz w:val="18"/>
                <w:szCs w:val="18"/>
              </w:rPr>
            </w:pPr>
            <w:r w:rsidRPr="002A1F9A">
              <w:rPr>
                <w:rFonts w:ascii="Verdana" w:hAnsi="Verdana"/>
                <w:sz w:val="18"/>
                <w:szCs w:val="18"/>
              </w:rPr>
              <w:t>16</w:t>
            </w:r>
          </w:p>
        </w:tc>
        <w:tc>
          <w:tcPr>
            <w:tcW w:w="567" w:type="dxa"/>
            <w:tcBorders>
              <w:left w:val="nil"/>
            </w:tcBorders>
          </w:tcPr>
          <w:p w:rsidRPr="002A1F9A" w:rsidR="00DB2CBB" w:rsidP="00DB2CBB" w:rsidRDefault="00DB2CBB" w14:paraId="14765EAC"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42717696" w14:textId="77777777">
        <w:tc>
          <w:tcPr>
            <w:tcW w:w="567" w:type="dxa"/>
          </w:tcPr>
          <w:p w:rsidRPr="002A1F9A" w:rsidR="00DB2CBB" w:rsidP="00DB2CBB" w:rsidRDefault="00DB2CBB" w14:paraId="43410002" w14:textId="77777777">
            <w:pPr>
              <w:rPr>
                <w:rFonts w:ascii="Verdana" w:hAnsi="Verdana"/>
                <w:sz w:val="18"/>
                <w:szCs w:val="18"/>
              </w:rPr>
            </w:pPr>
            <w:r w:rsidRPr="002A1F9A">
              <w:rPr>
                <w:rFonts w:ascii="Verdana" w:hAnsi="Verdana"/>
                <w:sz w:val="18"/>
                <w:szCs w:val="18"/>
              </w:rPr>
              <w:t>89</w:t>
            </w:r>
          </w:p>
        </w:tc>
        <w:tc>
          <w:tcPr>
            <w:tcW w:w="6521" w:type="dxa"/>
            <w:gridSpan w:val="7"/>
          </w:tcPr>
          <w:p w:rsidRPr="002A1F9A" w:rsidR="00DB2CBB" w:rsidP="00DB2CBB" w:rsidRDefault="00DB2CBB" w14:paraId="02E1141A" w14:textId="77777777">
            <w:pPr>
              <w:rPr>
                <w:rFonts w:ascii="Verdana" w:hAnsi="Verdana"/>
                <w:sz w:val="18"/>
                <w:szCs w:val="18"/>
              </w:rPr>
            </w:pPr>
            <w:r w:rsidRPr="002A1F9A">
              <w:rPr>
                <w:rFonts w:ascii="Verdana" w:hAnsi="Verdana"/>
                <w:sz w:val="18"/>
                <w:szCs w:val="18"/>
              </w:rPr>
              <w:t>Kunt u een overzicht geven van de ontwikkeling van de genderverdeling in het hoger onderwijs onder studenten, promovendi, docenten en hoogleraren van de afgelopen twintig jaar?</w:t>
            </w:r>
          </w:p>
          <w:p w:rsidRPr="002A1F9A" w:rsidR="00DF2B80" w:rsidP="00DB2CBB" w:rsidRDefault="00DF2B80" w14:paraId="4346A442" w14:textId="77777777">
            <w:pPr>
              <w:rPr>
                <w:rFonts w:ascii="Verdana" w:hAnsi="Verdana"/>
                <w:sz w:val="18"/>
                <w:szCs w:val="18"/>
              </w:rPr>
            </w:pPr>
          </w:p>
          <w:p w:rsidRPr="002A1F9A" w:rsidR="00490707" w:rsidP="00490707" w:rsidRDefault="00490707" w14:paraId="586CDF85" w14:textId="77777777">
            <w:pPr>
              <w:rPr>
                <w:rFonts w:ascii="Verdana" w:hAnsi="Verdana"/>
                <w:sz w:val="18"/>
                <w:szCs w:val="18"/>
                <w:u w:val="single"/>
              </w:rPr>
            </w:pPr>
            <w:r w:rsidRPr="002A1F9A">
              <w:rPr>
                <w:rFonts w:ascii="Verdana" w:hAnsi="Verdana"/>
                <w:sz w:val="18"/>
                <w:szCs w:val="18"/>
                <w:u w:val="single"/>
              </w:rPr>
              <w:t>Studenten hbo en wo</w:t>
            </w:r>
          </w:p>
          <w:p w:rsidRPr="002A1F9A" w:rsidR="00490707" w:rsidP="00490707" w:rsidRDefault="00490707" w14:paraId="63C7D6B1" w14:textId="77777777">
            <w:pPr>
              <w:rPr>
                <w:rFonts w:ascii="Verdana" w:hAnsi="Verdana"/>
                <w:sz w:val="18"/>
                <w:szCs w:val="18"/>
              </w:rPr>
            </w:pPr>
            <w:r w:rsidRPr="002A1F9A">
              <w:rPr>
                <w:rFonts w:ascii="Verdana" w:hAnsi="Verdana"/>
                <w:sz w:val="18"/>
                <w:szCs w:val="18"/>
              </w:rPr>
              <w:t xml:space="preserve">In de afgelopen twintig jaar waren in vrijwel alle studiejaren de meeste studenten in zowel het hbo als het wo vrouw (gemiddeld 52% in het hbo, en bijna 52% in het wo). </w:t>
            </w:r>
          </w:p>
          <w:p w:rsidRPr="002A1F9A" w:rsidR="00490707" w:rsidP="00490707" w:rsidRDefault="00490707" w14:paraId="04843B4A" w14:textId="77777777">
            <w:pPr>
              <w:rPr>
                <w:rFonts w:ascii="Verdana" w:hAnsi="Verdana"/>
                <w:sz w:val="18"/>
                <w:szCs w:val="18"/>
              </w:rPr>
            </w:pPr>
            <w:r w:rsidRPr="002A1F9A">
              <w:rPr>
                <w:rFonts w:ascii="Verdana" w:hAnsi="Verdana"/>
                <w:sz w:val="18"/>
                <w:szCs w:val="18"/>
              </w:rPr>
              <w:t>Het aandeel vrouwelijke studenten is in het hbo in de jaren 2017-2023 onafgebroken gestegen: van ruim 51% in 2017, naar ruim 53% in 2023. In studiejaar 2024-2025 was 53% van alle hbo studenten vrouw.</w:t>
            </w:r>
          </w:p>
          <w:p w:rsidRPr="002A1F9A" w:rsidR="00490707" w:rsidP="00490707" w:rsidRDefault="00490707" w14:paraId="02B030B1" w14:textId="77777777">
            <w:pPr>
              <w:rPr>
                <w:rFonts w:ascii="Verdana" w:hAnsi="Verdana"/>
                <w:sz w:val="18"/>
                <w:szCs w:val="18"/>
              </w:rPr>
            </w:pPr>
            <w:r w:rsidRPr="002A1F9A">
              <w:rPr>
                <w:rFonts w:ascii="Verdana" w:hAnsi="Verdana"/>
                <w:sz w:val="18"/>
                <w:szCs w:val="18"/>
              </w:rPr>
              <w:t>Het aandeel vrouwelijke studenten is in het wo in de jaren 2015-2024 onafgebroken gestegen: van bijna 51% in 2015, naar bijna 54% in 2024.</w:t>
            </w:r>
          </w:p>
          <w:p w:rsidRPr="002A1F9A" w:rsidR="00DF2B80" w:rsidP="00490707" w:rsidRDefault="00490707" w14:paraId="580F5C3D" w14:textId="19559134">
            <w:pPr>
              <w:rPr>
                <w:rFonts w:ascii="Verdana" w:hAnsi="Verdana"/>
                <w:sz w:val="18"/>
                <w:szCs w:val="18"/>
              </w:rPr>
            </w:pPr>
            <w:r w:rsidRPr="002A1F9A">
              <w:rPr>
                <w:rFonts w:ascii="Verdana" w:hAnsi="Verdana"/>
                <w:b/>
                <w:bCs/>
                <w:noProof/>
              </w:rPr>
              <w:drawing>
                <wp:anchor distT="0" distB="0" distL="114300" distR="114300" simplePos="0" relativeHeight="251659264" behindDoc="0" locked="0" layoutInCell="1" allowOverlap="1" wp14:editId="46B8F75E" wp14:anchorId="2EEFD12E">
                  <wp:simplePos x="0" y="0"/>
                  <wp:positionH relativeFrom="column">
                    <wp:posOffset>0</wp:posOffset>
                  </wp:positionH>
                  <wp:positionV relativeFrom="paragraph">
                    <wp:posOffset>179705</wp:posOffset>
                  </wp:positionV>
                  <wp:extent cx="4173855" cy="2354580"/>
                  <wp:effectExtent l="0" t="0" r="0" b="7620"/>
                  <wp:wrapThrough wrapText="bothSides">
                    <wp:wrapPolygon edited="0">
                      <wp:start x="0" y="0"/>
                      <wp:lineTo x="0" y="21495"/>
                      <wp:lineTo x="21492" y="21495"/>
                      <wp:lineTo x="21492" y="0"/>
                      <wp:lineTo x="0" y="0"/>
                    </wp:wrapPolygon>
                  </wp:wrapThrough>
                  <wp:docPr id="1172620279" name="Afbeelding 1" descr="Afbeelding met tekst, ontvangst,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20279" name="Afbeelding 1" descr="Afbeelding met tekst, ontvangst, lijn, Perceel&#10;&#10;Door AI gegenereerde inhoud is mogelijk onjuist."/>
                          <pic:cNvPicPr/>
                        </pic:nvPicPr>
                        <pic:blipFill>
                          <a:blip r:embed="rId54"/>
                          <a:stretch>
                            <a:fillRect/>
                          </a:stretch>
                        </pic:blipFill>
                        <pic:spPr>
                          <a:xfrm>
                            <a:off x="0" y="0"/>
                            <a:ext cx="4173855" cy="2354580"/>
                          </a:xfrm>
                          <a:prstGeom prst="rect">
                            <a:avLst/>
                          </a:prstGeom>
                        </pic:spPr>
                      </pic:pic>
                    </a:graphicData>
                  </a:graphic>
                  <wp14:sizeRelH relativeFrom="margin">
                    <wp14:pctWidth>0</wp14:pctWidth>
                  </wp14:sizeRelH>
                  <wp14:sizeRelV relativeFrom="margin">
                    <wp14:pctHeight>0</wp14:pctHeight>
                  </wp14:sizeRelV>
                </wp:anchor>
              </w:drawing>
            </w:r>
          </w:p>
          <w:p w:rsidRPr="002A1F9A" w:rsidR="00DF2B80" w:rsidP="00DB2CBB" w:rsidRDefault="00490707" w14:paraId="570807E4" w14:textId="0BB69D87">
            <w:pPr>
              <w:rPr>
                <w:rFonts w:ascii="Verdana" w:hAnsi="Verdana"/>
                <w:sz w:val="18"/>
                <w:szCs w:val="18"/>
              </w:rPr>
            </w:pPr>
            <w:r w:rsidRPr="002A1F9A">
              <w:rPr>
                <w:rFonts w:ascii="Verdana" w:hAnsi="Verdana"/>
                <w:sz w:val="18"/>
                <w:szCs w:val="18"/>
              </w:rPr>
              <w:t>Bron: DUO Informatieproducten</w:t>
            </w:r>
          </w:p>
          <w:p w:rsidRPr="002A1F9A" w:rsidR="00490707" w:rsidP="00DB2CBB" w:rsidRDefault="00490707" w14:paraId="01A13063" w14:textId="77777777">
            <w:pPr>
              <w:rPr>
                <w:rFonts w:ascii="Verdana" w:hAnsi="Verdana"/>
                <w:sz w:val="18"/>
                <w:szCs w:val="18"/>
              </w:rPr>
            </w:pPr>
          </w:p>
          <w:p w:rsidRPr="002A1F9A" w:rsidR="00490707" w:rsidP="00490707" w:rsidRDefault="00490707" w14:paraId="0831E70B" w14:textId="77777777">
            <w:pPr>
              <w:rPr>
                <w:rFonts w:ascii="Verdana" w:hAnsi="Verdana"/>
                <w:sz w:val="18"/>
                <w:szCs w:val="18"/>
                <w:u w:val="single"/>
              </w:rPr>
            </w:pPr>
            <w:r w:rsidRPr="002A1F9A">
              <w:rPr>
                <w:rFonts w:ascii="Verdana" w:hAnsi="Verdana"/>
                <w:sz w:val="18"/>
                <w:szCs w:val="18"/>
                <w:u w:val="single"/>
              </w:rPr>
              <w:t>Docenten hbo</w:t>
            </w:r>
          </w:p>
          <w:p w:rsidRPr="002A1F9A" w:rsidR="00490707" w:rsidP="00490707" w:rsidRDefault="00490707" w14:paraId="7D793542" w14:textId="77777777">
            <w:pPr>
              <w:rPr>
                <w:rFonts w:ascii="Verdana" w:hAnsi="Verdana"/>
                <w:sz w:val="18"/>
                <w:szCs w:val="18"/>
              </w:rPr>
            </w:pPr>
            <w:r w:rsidRPr="002A1F9A">
              <w:rPr>
                <w:rFonts w:ascii="Verdana" w:hAnsi="Verdana"/>
                <w:sz w:val="18"/>
                <w:szCs w:val="18"/>
              </w:rPr>
              <w:t xml:space="preserve">Het aandeel vrouwen onder het totaal aantal </w:t>
            </w:r>
            <w:proofErr w:type="spellStart"/>
            <w:r w:rsidRPr="002A1F9A">
              <w:rPr>
                <w:rFonts w:ascii="Verdana" w:hAnsi="Verdana"/>
                <w:sz w:val="18"/>
                <w:szCs w:val="18"/>
              </w:rPr>
              <w:t>FTE’s</w:t>
            </w:r>
            <w:proofErr w:type="spellEnd"/>
            <w:r w:rsidRPr="002A1F9A">
              <w:rPr>
                <w:rFonts w:ascii="Verdana" w:hAnsi="Verdana"/>
                <w:sz w:val="18"/>
                <w:szCs w:val="18"/>
              </w:rPr>
              <w:t xml:space="preserve"> van onderwijzend personeel is in het hbo in de jaren 2009-2023 onafgebroken gestegen: van ruim 42% in 2009, naar bijna 53% in 2023.</w:t>
            </w:r>
          </w:p>
          <w:p w:rsidRPr="002A1F9A" w:rsidR="00490707" w:rsidP="00490707" w:rsidRDefault="00490707" w14:paraId="2DFD21E2" w14:textId="77777777">
            <w:pPr>
              <w:rPr>
                <w:rFonts w:ascii="Verdana" w:hAnsi="Verdana"/>
                <w:sz w:val="18"/>
                <w:szCs w:val="18"/>
              </w:rPr>
            </w:pPr>
            <w:r w:rsidRPr="002A1F9A">
              <w:rPr>
                <w:rFonts w:ascii="Verdana" w:hAnsi="Verdana"/>
                <w:sz w:val="18"/>
                <w:szCs w:val="18"/>
              </w:rPr>
              <w:t>Bron: DUO op basis van RAHO (Vereniging Hogescholen), geraadpleegd via OCW-in-Cijfers (</w:t>
            </w:r>
            <w:hyperlink w:history="1" r:id="rId55">
              <w:r w:rsidRPr="002A1F9A">
                <w:rPr>
                  <w:rStyle w:val="Hyperlink"/>
                  <w:rFonts w:ascii="Verdana" w:hAnsi="Verdana"/>
                  <w:sz w:val="18"/>
                  <w:szCs w:val="18"/>
                </w:rPr>
                <w:t>link</w:t>
              </w:r>
            </w:hyperlink>
            <w:r w:rsidRPr="002A1F9A">
              <w:rPr>
                <w:rFonts w:ascii="Verdana" w:hAnsi="Verdana"/>
                <w:sz w:val="18"/>
                <w:szCs w:val="18"/>
              </w:rPr>
              <w:t>).</w:t>
            </w:r>
          </w:p>
          <w:p w:rsidRPr="002A1F9A" w:rsidR="00490707" w:rsidP="00490707" w:rsidRDefault="00490707" w14:paraId="6309AD25" w14:textId="2021A425">
            <w:pPr>
              <w:ind w:left="708"/>
              <w:rPr>
                <w:rFonts w:ascii="Verdana" w:hAnsi="Verdana"/>
              </w:rPr>
            </w:pPr>
          </w:p>
          <w:p w:rsidRPr="002A1F9A" w:rsidR="00490707" w:rsidP="00490707" w:rsidRDefault="00490707" w14:paraId="054460AD" w14:textId="77777777">
            <w:pPr>
              <w:rPr>
                <w:rFonts w:ascii="Verdana" w:hAnsi="Verdana"/>
                <w:sz w:val="18"/>
                <w:szCs w:val="18"/>
              </w:rPr>
            </w:pPr>
          </w:p>
          <w:p w:rsidRPr="002A1F9A" w:rsidR="00490707" w:rsidP="00DB2CBB" w:rsidRDefault="00490707" w14:paraId="725F5860" w14:textId="77777777">
            <w:pPr>
              <w:rPr>
                <w:rFonts w:ascii="Verdana" w:hAnsi="Verdana"/>
                <w:sz w:val="18"/>
                <w:szCs w:val="18"/>
              </w:rPr>
            </w:pPr>
          </w:p>
          <w:p w:rsidRPr="002A1F9A" w:rsidR="00490707" w:rsidP="00DB2CBB" w:rsidRDefault="00490707" w14:paraId="5BABB57B" w14:textId="77777777">
            <w:pPr>
              <w:rPr>
                <w:rFonts w:ascii="Verdana" w:hAnsi="Verdana"/>
                <w:sz w:val="18"/>
                <w:szCs w:val="18"/>
              </w:rPr>
            </w:pPr>
          </w:p>
          <w:p w:rsidRPr="002A1F9A" w:rsidR="00490707" w:rsidP="00DB2CBB" w:rsidRDefault="00490707" w14:paraId="63A30B38" w14:textId="45A2D4F1">
            <w:pPr>
              <w:rPr>
                <w:rFonts w:ascii="Verdana" w:hAnsi="Verdana"/>
                <w:sz w:val="18"/>
                <w:szCs w:val="18"/>
              </w:rPr>
            </w:pPr>
            <w:r w:rsidRPr="002A1F9A">
              <w:rPr>
                <w:rFonts w:ascii="Verdana" w:hAnsi="Verdana"/>
                <w:noProof/>
              </w:rPr>
              <w:lastRenderedPageBreak/>
              <w:drawing>
                <wp:anchor distT="0" distB="0" distL="114300" distR="114300" simplePos="0" relativeHeight="251661312" behindDoc="1" locked="0" layoutInCell="1" allowOverlap="1" wp14:editId="3911F592" wp14:anchorId="2B3D8678">
                  <wp:simplePos x="0" y="0"/>
                  <wp:positionH relativeFrom="column">
                    <wp:posOffset>0</wp:posOffset>
                  </wp:positionH>
                  <wp:positionV relativeFrom="paragraph">
                    <wp:posOffset>254000</wp:posOffset>
                  </wp:positionV>
                  <wp:extent cx="4023360" cy="2413635"/>
                  <wp:effectExtent l="0" t="0" r="0" b="5715"/>
                  <wp:wrapSquare wrapText="bothSides"/>
                  <wp:docPr id="996955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55892" name="Afbeelding 1"/>
                          <pic:cNvPicPr>
                            <a:picLocks noChangeAspect="1" noChangeArrowheads="1"/>
                          </pic:cNvPicPr>
                        </pic:nvPicPr>
                        <pic:blipFill>
                          <a:blip r:embed="rId56">
                            <a:extLst>
                              <a:ext uri="{96DAC541-7B7A-43D3-8B79-37D633B846F1}">
                                <asvg:svgBlip xmlns:asvg="http://schemas.microsoft.com/office/drawing/2016/SVG/main" r:embed="rId57"/>
                              </a:ext>
                            </a:extLst>
                          </a:blip>
                          <a:stretch>
                            <a:fillRect/>
                          </a:stretch>
                        </pic:blipFill>
                        <pic:spPr bwMode="auto">
                          <a:xfrm>
                            <a:off x="0" y="0"/>
                            <a:ext cx="4023360" cy="2413635"/>
                          </a:xfrm>
                          <a:prstGeom prst="rect">
                            <a:avLst/>
                          </a:prstGeom>
                        </pic:spPr>
                      </pic:pic>
                    </a:graphicData>
                  </a:graphic>
                  <wp14:sizeRelH relativeFrom="margin">
                    <wp14:pctWidth>0</wp14:pctWidth>
                  </wp14:sizeRelH>
                  <wp14:sizeRelV relativeFrom="margin">
                    <wp14:pctHeight>0</wp14:pctHeight>
                  </wp14:sizeRelV>
                </wp:anchor>
              </w:drawing>
            </w:r>
          </w:p>
          <w:p w:rsidRPr="002A1F9A" w:rsidR="00490707" w:rsidP="00490707" w:rsidRDefault="00490707" w14:paraId="4E25D16F" w14:textId="77777777">
            <w:pPr>
              <w:rPr>
                <w:rFonts w:ascii="Verdana" w:hAnsi="Verdana"/>
                <w:sz w:val="18"/>
                <w:szCs w:val="18"/>
              </w:rPr>
            </w:pPr>
            <w:r w:rsidRPr="002A1F9A">
              <w:rPr>
                <w:rFonts w:ascii="Verdana" w:hAnsi="Verdana"/>
                <w:sz w:val="18"/>
                <w:szCs w:val="18"/>
              </w:rPr>
              <w:t>Bron: DUO op basis van RAHO (Vereniging Hogescholen), geraadpleegd via OCW-in-Cijfers (</w:t>
            </w:r>
            <w:hyperlink w:history="1" r:id="rId58">
              <w:r w:rsidRPr="002A1F9A">
                <w:rPr>
                  <w:rStyle w:val="Hyperlink"/>
                  <w:rFonts w:ascii="Verdana" w:hAnsi="Verdana"/>
                  <w:sz w:val="18"/>
                  <w:szCs w:val="18"/>
                </w:rPr>
                <w:t>link</w:t>
              </w:r>
            </w:hyperlink>
            <w:r w:rsidRPr="002A1F9A">
              <w:rPr>
                <w:rFonts w:ascii="Verdana" w:hAnsi="Verdana"/>
                <w:sz w:val="18"/>
                <w:szCs w:val="18"/>
              </w:rPr>
              <w:t>).</w:t>
            </w:r>
          </w:p>
          <w:p w:rsidRPr="002A1F9A" w:rsidR="00490707" w:rsidP="00DB2CBB" w:rsidRDefault="00490707" w14:paraId="76D34167" w14:textId="77777777">
            <w:pPr>
              <w:rPr>
                <w:rFonts w:ascii="Verdana" w:hAnsi="Verdana"/>
                <w:sz w:val="18"/>
                <w:szCs w:val="18"/>
              </w:rPr>
            </w:pPr>
          </w:p>
          <w:p w:rsidRPr="002A1F9A" w:rsidR="00FE14A2" w:rsidP="00DB2CBB" w:rsidRDefault="00FE14A2" w14:paraId="1CF3EAFE" w14:textId="77777777">
            <w:pPr>
              <w:rPr>
                <w:rFonts w:ascii="Verdana" w:hAnsi="Verdana"/>
                <w:sz w:val="18"/>
                <w:szCs w:val="18"/>
              </w:rPr>
            </w:pPr>
          </w:p>
          <w:p w:rsidRPr="002A1F9A" w:rsidR="00FE14A2" w:rsidP="00FE14A2" w:rsidRDefault="00FE14A2" w14:paraId="18347F1A" w14:textId="77777777">
            <w:pPr>
              <w:rPr>
                <w:rFonts w:ascii="Verdana" w:hAnsi="Verdana"/>
                <w:sz w:val="18"/>
                <w:szCs w:val="18"/>
                <w:u w:val="single"/>
              </w:rPr>
            </w:pPr>
            <w:r w:rsidRPr="002A1F9A">
              <w:rPr>
                <w:rFonts w:ascii="Verdana" w:hAnsi="Verdana"/>
                <w:sz w:val="18"/>
                <w:szCs w:val="18"/>
                <w:u w:val="single"/>
              </w:rPr>
              <w:t>Promovendi, docenten en hoogleraren universiteiten</w:t>
            </w:r>
          </w:p>
          <w:p w:rsidRPr="002A1F9A" w:rsidR="00FE14A2" w:rsidP="00FE14A2" w:rsidRDefault="00FE14A2" w14:paraId="6BB15E55" w14:textId="30FCD459">
            <w:pPr>
              <w:rPr>
                <w:rFonts w:ascii="Verdana" w:hAnsi="Verdana"/>
                <w:sz w:val="18"/>
                <w:szCs w:val="18"/>
              </w:rPr>
            </w:pPr>
            <w:r w:rsidRPr="002A1F9A">
              <w:rPr>
                <w:rFonts w:ascii="Verdana" w:hAnsi="Verdana"/>
                <w:sz w:val="18"/>
                <w:szCs w:val="18"/>
              </w:rPr>
              <w:t>Aandeel vrouwelijke werknemers aan de Nederlandse universiteiten (%)</w:t>
            </w:r>
          </w:p>
          <w:tbl>
            <w:tblPr>
              <w:tblStyle w:val="Tabelraster"/>
              <w:tblW w:w="6473" w:type="dxa"/>
              <w:tblLayout w:type="fixed"/>
              <w:tblLook w:val="04A0" w:firstRow="1" w:lastRow="0" w:firstColumn="1" w:lastColumn="0" w:noHBand="0" w:noVBand="1"/>
            </w:tblPr>
            <w:tblGrid>
              <w:gridCol w:w="633"/>
              <w:gridCol w:w="584"/>
              <w:gridCol w:w="584"/>
              <w:gridCol w:w="584"/>
              <w:gridCol w:w="584"/>
              <w:gridCol w:w="584"/>
              <w:gridCol w:w="584"/>
              <w:gridCol w:w="584"/>
              <w:gridCol w:w="584"/>
              <w:gridCol w:w="584"/>
              <w:gridCol w:w="584"/>
            </w:tblGrid>
            <w:tr w:rsidRPr="002A1F9A" w:rsidR="00FE14A2" w:rsidTr="00FE14A2" w14:paraId="58E7A58E" w14:textId="361EF158">
              <w:trPr>
                <w:trHeight w:val="299"/>
              </w:trPr>
              <w:tc>
                <w:tcPr>
                  <w:tcW w:w="633" w:type="dxa"/>
                  <w:noWrap/>
                  <w:hideMark/>
                </w:tcPr>
                <w:p w:rsidRPr="002A1F9A" w:rsidR="00FE14A2" w:rsidP="00FE14A2" w:rsidRDefault="00FE14A2" w14:paraId="6534B21D" w14:textId="77777777">
                  <w:pPr>
                    <w:rPr>
                      <w:rFonts w:ascii="Verdana" w:hAnsi="Verdana"/>
                      <w:b/>
                      <w:bCs/>
                      <w:sz w:val="10"/>
                      <w:szCs w:val="10"/>
                    </w:rPr>
                  </w:pPr>
                  <w:r w:rsidRPr="002A1F9A">
                    <w:rPr>
                      <w:rFonts w:ascii="Verdana" w:hAnsi="Verdana"/>
                      <w:b/>
                      <w:bCs/>
                      <w:sz w:val="10"/>
                      <w:szCs w:val="10"/>
                    </w:rPr>
                    <w:t> </w:t>
                  </w:r>
                </w:p>
              </w:tc>
              <w:tc>
                <w:tcPr>
                  <w:tcW w:w="584" w:type="dxa"/>
                  <w:noWrap/>
                  <w:hideMark/>
                </w:tcPr>
                <w:p w:rsidRPr="002A1F9A" w:rsidR="00FE14A2" w:rsidP="00FE14A2" w:rsidRDefault="00FE14A2" w14:paraId="31A1DEA0" w14:textId="77777777">
                  <w:pPr>
                    <w:rPr>
                      <w:rFonts w:ascii="Verdana" w:hAnsi="Verdana"/>
                      <w:b/>
                      <w:bCs/>
                      <w:sz w:val="10"/>
                      <w:szCs w:val="10"/>
                    </w:rPr>
                  </w:pPr>
                  <w:r w:rsidRPr="002A1F9A">
                    <w:rPr>
                      <w:rFonts w:ascii="Verdana" w:hAnsi="Verdana"/>
                      <w:b/>
                      <w:bCs/>
                      <w:sz w:val="10"/>
                      <w:szCs w:val="10"/>
                    </w:rPr>
                    <w:t>2005</w:t>
                  </w:r>
                </w:p>
              </w:tc>
              <w:tc>
                <w:tcPr>
                  <w:tcW w:w="584" w:type="dxa"/>
                  <w:noWrap/>
                  <w:hideMark/>
                </w:tcPr>
                <w:p w:rsidRPr="002A1F9A" w:rsidR="00FE14A2" w:rsidP="00FE14A2" w:rsidRDefault="00FE14A2" w14:paraId="29E65CAB" w14:textId="77777777">
                  <w:pPr>
                    <w:rPr>
                      <w:rFonts w:ascii="Verdana" w:hAnsi="Verdana"/>
                      <w:b/>
                      <w:bCs/>
                      <w:sz w:val="10"/>
                      <w:szCs w:val="10"/>
                    </w:rPr>
                  </w:pPr>
                  <w:r w:rsidRPr="002A1F9A">
                    <w:rPr>
                      <w:rFonts w:ascii="Verdana" w:hAnsi="Verdana"/>
                      <w:b/>
                      <w:bCs/>
                      <w:sz w:val="10"/>
                      <w:szCs w:val="10"/>
                    </w:rPr>
                    <w:t>2006</w:t>
                  </w:r>
                </w:p>
              </w:tc>
              <w:tc>
                <w:tcPr>
                  <w:tcW w:w="584" w:type="dxa"/>
                  <w:noWrap/>
                  <w:hideMark/>
                </w:tcPr>
                <w:p w:rsidRPr="002A1F9A" w:rsidR="00FE14A2" w:rsidP="00FE14A2" w:rsidRDefault="00FE14A2" w14:paraId="057DDCF9" w14:textId="77777777">
                  <w:pPr>
                    <w:rPr>
                      <w:rFonts w:ascii="Verdana" w:hAnsi="Verdana"/>
                      <w:b/>
                      <w:bCs/>
                      <w:sz w:val="10"/>
                      <w:szCs w:val="10"/>
                    </w:rPr>
                  </w:pPr>
                  <w:r w:rsidRPr="002A1F9A">
                    <w:rPr>
                      <w:rFonts w:ascii="Verdana" w:hAnsi="Verdana"/>
                      <w:b/>
                      <w:bCs/>
                      <w:sz w:val="10"/>
                      <w:szCs w:val="10"/>
                    </w:rPr>
                    <w:t>2007</w:t>
                  </w:r>
                </w:p>
              </w:tc>
              <w:tc>
                <w:tcPr>
                  <w:tcW w:w="584" w:type="dxa"/>
                  <w:noWrap/>
                  <w:hideMark/>
                </w:tcPr>
                <w:p w:rsidRPr="002A1F9A" w:rsidR="00FE14A2" w:rsidP="00FE14A2" w:rsidRDefault="00FE14A2" w14:paraId="4892EF8F" w14:textId="77777777">
                  <w:pPr>
                    <w:rPr>
                      <w:rFonts w:ascii="Verdana" w:hAnsi="Verdana"/>
                      <w:b/>
                      <w:bCs/>
                      <w:sz w:val="10"/>
                      <w:szCs w:val="10"/>
                    </w:rPr>
                  </w:pPr>
                  <w:r w:rsidRPr="002A1F9A">
                    <w:rPr>
                      <w:rFonts w:ascii="Verdana" w:hAnsi="Verdana"/>
                      <w:b/>
                      <w:bCs/>
                      <w:sz w:val="10"/>
                      <w:szCs w:val="10"/>
                    </w:rPr>
                    <w:t>2008</w:t>
                  </w:r>
                </w:p>
              </w:tc>
              <w:tc>
                <w:tcPr>
                  <w:tcW w:w="584" w:type="dxa"/>
                  <w:noWrap/>
                  <w:hideMark/>
                </w:tcPr>
                <w:p w:rsidRPr="002A1F9A" w:rsidR="00FE14A2" w:rsidP="00FE14A2" w:rsidRDefault="00FE14A2" w14:paraId="47FD1624" w14:textId="77777777">
                  <w:pPr>
                    <w:rPr>
                      <w:rFonts w:ascii="Verdana" w:hAnsi="Verdana"/>
                      <w:b/>
                      <w:bCs/>
                      <w:sz w:val="10"/>
                      <w:szCs w:val="10"/>
                    </w:rPr>
                  </w:pPr>
                  <w:r w:rsidRPr="002A1F9A">
                    <w:rPr>
                      <w:rFonts w:ascii="Verdana" w:hAnsi="Verdana"/>
                      <w:b/>
                      <w:bCs/>
                      <w:sz w:val="10"/>
                      <w:szCs w:val="10"/>
                    </w:rPr>
                    <w:t>2009</w:t>
                  </w:r>
                </w:p>
              </w:tc>
              <w:tc>
                <w:tcPr>
                  <w:tcW w:w="584" w:type="dxa"/>
                  <w:noWrap/>
                  <w:hideMark/>
                </w:tcPr>
                <w:p w:rsidRPr="002A1F9A" w:rsidR="00FE14A2" w:rsidP="00FE14A2" w:rsidRDefault="00FE14A2" w14:paraId="53475112" w14:textId="77777777">
                  <w:pPr>
                    <w:rPr>
                      <w:rFonts w:ascii="Verdana" w:hAnsi="Verdana"/>
                      <w:b/>
                      <w:bCs/>
                      <w:sz w:val="10"/>
                      <w:szCs w:val="10"/>
                    </w:rPr>
                  </w:pPr>
                  <w:r w:rsidRPr="002A1F9A">
                    <w:rPr>
                      <w:rFonts w:ascii="Verdana" w:hAnsi="Verdana"/>
                      <w:b/>
                      <w:bCs/>
                      <w:sz w:val="10"/>
                      <w:szCs w:val="10"/>
                    </w:rPr>
                    <w:t>2010</w:t>
                  </w:r>
                </w:p>
              </w:tc>
              <w:tc>
                <w:tcPr>
                  <w:tcW w:w="584" w:type="dxa"/>
                  <w:noWrap/>
                  <w:hideMark/>
                </w:tcPr>
                <w:p w:rsidRPr="002A1F9A" w:rsidR="00FE14A2" w:rsidP="00FE14A2" w:rsidRDefault="00FE14A2" w14:paraId="71FE1240" w14:textId="77777777">
                  <w:pPr>
                    <w:rPr>
                      <w:rFonts w:ascii="Verdana" w:hAnsi="Verdana"/>
                      <w:b/>
                      <w:bCs/>
                      <w:sz w:val="10"/>
                      <w:szCs w:val="10"/>
                    </w:rPr>
                  </w:pPr>
                  <w:r w:rsidRPr="002A1F9A">
                    <w:rPr>
                      <w:rFonts w:ascii="Verdana" w:hAnsi="Verdana"/>
                      <w:b/>
                      <w:bCs/>
                      <w:sz w:val="10"/>
                      <w:szCs w:val="10"/>
                    </w:rPr>
                    <w:t>2011</w:t>
                  </w:r>
                </w:p>
              </w:tc>
              <w:tc>
                <w:tcPr>
                  <w:tcW w:w="584" w:type="dxa"/>
                  <w:noWrap/>
                  <w:hideMark/>
                </w:tcPr>
                <w:p w:rsidRPr="002A1F9A" w:rsidR="00FE14A2" w:rsidP="00FE14A2" w:rsidRDefault="00FE14A2" w14:paraId="3B0F24F9" w14:textId="77777777">
                  <w:pPr>
                    <w:rPr>
                      <w:rFonts w:ascii="Verdana" w:hAnsi="Verdana"/>
                      <w:b/>
                      <w:bCs/>
                      <w:sz w:val="10"/>
                      <w:szCs w:val="10"/>
                    </w:rPr>
                  </w:pPr>
                  <w:r w:rsidRPr="002A1F9A">
                    <w:rPr>
                      <w:rFonts w:ascii="Verdana" w:hAnsi="Verdana"/>
                      <w:b/>
                      <w:bCs/>
                      <w:sz w:val="10"/>
                      <w:szCs w:val="10"/>
                    </w:rPr>
                    <w:t>2012</w:t>
                  </w:r>
                </w:p>
              </w:tc>
              <w:tc>
                <w:tcPr>
                  <w:tcW w:w="584" w:type="dxa"/>
                  <w:noWrap/>
                  <w:hideMark/>
                </w:tcPr>
                <w:p w:rsidRPr="002A1F9A" w:rsidR="00FE14A2" w:rsidP="00FE14A2" w:rsidRDefault="00FE14A2" w14:paraId="4F0A4AE2" w14:textId="77777777">
                  <w:pPr>
                    <w:rPr>
                      <w:rFonts w:ascii="Verdana" w:hAnsi="Verdana"/>
                      <w:b/>
                      <w:bCs/>
                      <w:sz w:val="10"/>
                      <w:szCs w:val="10"/>
                    </w:rPr>
                  </w:pPr>
                  <w:r w:rsidRPr="002A1F9A">
                    <w:rPr>
                      <w:rFonts w:ascii="Verdana" w:hAnsi="Verdana"/>
                      <w:b/>
                      <w:bCs/>
                      <w:sz w:val="10"/>
                      <w:szCs w:val="10"/>
                    </w:rPr>
                    <w:t>2013</w:t>
                  </w:r>
                </w:p>
              </w:tc>
              <w:tc>
                <w:tcPr>
                  <w:tcW w:w="584" w:type="dxa"/>
                </w:tcPr>
                <w:p w:rsidRPr="002A1F9A" w:rsidR="00FE14A2" w:rsidP="00FE14A2" w:rsidRDefault="00FE14A2" w14:paraId="6550F167" w14:textId="3ACC8FFE">
                  <w:pPr>
                    <w:rPr>
                      <w:rFonts w:ascii="Verdana" w:hAnsi="Verdana"/>
                      <w:b/>
                      <w:bCs/>
                      <w:sz w:val="10"/>
                      <w:szCs w:val="10"/>
                    </w:rPr>
                  </w:pPr>
                  <w:r w:rsidRPr="002A1F9A">
                    <w:rPr>
                      <w:rFonts w:ascii="Verdana" w:hAnsi="Verdana"/>
                      <w:b/>
                      <w:bCs/>
                      <w:sz w:val="10"/>
                      <w:szCs w:val="10"/>
                    </w:rPr>
                    <w:t>2014</w:t>
                  </w:r>
                </w:p>
              </w:tc>
            </w:tr>
            <w:tr w:rsidRPr="002A1F9A" w:rsidR="00FE14A2" w:rsidTr="00FE14A2" w14:paraId="43C19D90" w14:textId="77182A65">
              <w:trPr>
                <w:trHeight w:val="299"/>
              </w:trPr>
              <w:tc>
                <w:tcPr>
                  <w:tcW w:w="633" w:type="dxa"/>
                  <w:noWrap/>
                  <w:hideMark/>
                </w:tcPr>
                <w:p w:rsidRPr="002A1F9A" w:rsidR="00FE14A2" w:rsidP="00FE14A2" w:rsidRDefault="00FE14A2" w14:paraId="49C7102D" w14:textId="77777777">
                  <w:pPr>
                    <w:rPr>
                      <w:rFonts w:ascii="Verdana" w:hAnsi="Verdana"/>
                      <w:sz w:val="10"/>
                      <w:szCs w:val="10"/>
                    </w:rPr>
                  </w:pPr>
                  <w:r w:rsidRPr="002A1F9A">
                    <w:rPr>
                      <w:rFonts w:ascii="Verdana" w:hAnsi="Verdana"/>
                      <w:sz w:val="10"/>
                      <w:szCs w:val="10"/>
                    </w:rPr>
                    <w:t>Hoogleraar</w:t>
                  </w:r>
                </w:p>
              </w:tc>
              <w:tc>
                <w:tcPr>
                  <w:tcW w:w="584" w:type="dxa"/>
                  <w:noWrap/>
                  <w:hideMark/>
                </w:tcPr>
                <w:p w:rsidRPr="002A1F9A" w:rsidR="00FE14A2" w:rsidP="00FE14A2" w:rsidRDefault="00FE14A2" w14:paraId="74C47525" w14:textId="77777777">
                  <w:pPr>
                    <w:rPr>
                      <w:rFonts w:ascii="Verdana" w:hAnsi="Verdana"/>
                      <w:sz w:val="10"/>
                      <w:szCs w:val="10"/>
                    </w:rPr>
                  </w:pPr>
                  <w:r w:rsidRPr="002A1F9A">
                    <w:rPr>
                      <w:rFonts w:ascii="Verdana" w:hAnsi="Verdana"/>
                      <w:sz w:val="10"/>
                      <w:szCs w:val="10"/>
                    </w:rPr>
                    <w:t>9,6%</w:t>
                  </w:r>
                </w:p>
              </w:tc>
              <w:tc>
                <w:tcPr>
                  <w:tcW w:w="584" w:type="dxa"/>
                  <w:noWrap/>
                  <w:hideMark/>
                </w:tcPr>
                <w:p w:rsidRPr="002A1F9A" w:rsidR="00FE14A2" w:rsidP="00FE14A2" w:rsidRDefault="00FE14A2" w14:paraId="2FCF14BD" w14:textId="77777777">
                  <w:pPr>
                    <w:rPr>
                      <w:rFonts w:ascii="Verdana" w:hAnsi="Verdana"/>
                      <w:sz w:val="10"/>
                      <w:szCs w:val="10"/>
                    </w:rPr>
                  </w:pPr>
                  <w:r w:rsidRPr="002A1F9A">
                    <w:rPr>
                      <w:rFonts w:ascii="Verdana" w:hAnsi="Verdana"/>
                      <w:sz w:val="10"/>
                      <w:szCs w:val="10"/>
                    </w:rPr>
                    <w:t>10,2%</w:t>
                  </w:r>
                </w:p>
              </w:tc>
              <w:tc>
                <w:tcPr>
                  <w:tcW w:w="584" w:type="dxa"/>
                  <w:noWrap/>
                  <w:hideMark/>
                </w:tcPr>
                <w:p w:rsidRPr="002A1F9A" w:rsidR="00FE14A2" w:rsidP="00FE14A2" w:rsidRDefault="00FE14A2" w14:paraId="365B59B9" w14:textId="77777777">
                  <w:pPr>
                    <w:rPr>
                      <w:rFonts w:ascii="Verdana" w:hAnsi="Verdana"/>
                      <w:sz w:val="10"/>
                      <w:szCs w:val="10"/>
                    </w:rPr>
                  </w:pPr>
                  <w:r w:rsidRPr="002A1F9A">
                    <w:rPr>
                      <w:rFonts w:ascii="Verdana" w:hAnsi="Verdana"/>
                      <w:sz w:val="10"/>
                      <w:szCs w:val="10"/>
                    </w:rPr>
                    <w:t>11,1%</w:t>
                  </w:r>
                </w:p>
              </w:tc>
              <w:tc>
                <w:tcPr>
                  <w:tcW w:w="584" w:type="dxa"/>
                  <w:noWrap/>
                  <w:hideMark/>
                </w:tcPr>
                <w:p w:rsidRPr="002A1F9A" w:rsidR="00FE14A2" w:rsidP="00FE14A2" w:rsidRDefault="00FE14A2" w14:paraId="698DD77C" w14:textId="77777777">
                  <w:pPr>
                    <w:rPr>
                      <w:rFonts w:ascii="Verdana" w:hAnsi="Verdana"/>
                      <w:sz w:val="10"/>
                      <w:szCs w:val="10"/>
                    </w:rPr>
                  </w:pPr>
                  <w:r w:rsidRPr="002A1F9A">
                    <w:rPr>
                      <w:rFonts w:ascii="Verdana" w:hAnsi="Verdana"/>
                      <w:sz w:val="10"/>
                      <w:szCs w:val="10"/>
                    </w:rPr>
                    <w:t>11,7%</w:t>
                  </w:r>
                </w:p>
              </w:tc>
              <w:tc>
                <w:tcPr>
                  <w:tcW w:w="584" w:type="dxa"/>
                  <w:noWrap/>
                  <w:hideMark/>
                </w:tcPr>
                <w:p w:rsidRPr="002A1F9A" w:rsidR="00FE14A2" w:rsidP="00FE14A2" w:rsidRDefault="00FE14A2" w14:paraId="0190A29E" w14:textId="77777777">
                  <w:pPr>
                    <w:rPr>
                      <w:rFonts w:ascii="Verdana" w:hAnsi="Verdana"/>
                      <w:sz w:val="10"/>
                      <w:szCs w:val="10"/>
                    </w:rPr>
                  </w:pPr>
                  <w:r w:rsidRPr="002A1F9A">
                    <w:rPr>
                      <w:rFonts w:ascii="Verdana" w:hAnsi="Verdana"/>
                      <w:sz w:val="10"/>
                      <w:szCs w:val="10"/>
                    </w:rPr>
                    <w:t>12,2%</w:t>
                  </w:r>
                </w:p>
              </w:tc>
              <w:tc>
                <w:tcPr>
                  <w:tcW w:w="584" w:type="dxa"/>
                  <w:noWrap/>
                  <w:hideMark/>
                </w:tcPr>
                <w:p w:rsidRPr="002A1F9A" w:rsidR="00FE14A2" w:rsidP="00FE14A2" w:rsidRDefault="00FE14A2" w14:paraId="24BB3076" w14:textId="77777777">
                  <w:pPr>
                    <w:rPr>
                      <w:rFonts w:ascii="Verdana" w:hAnsi="Verdana"/>
                      <w:sz w:val="10"/>
                      <w:szCs w:val="10"/>
                    </w:rPr>
                  </w:pPr>
                  <w:r w:rsidRPr="002A1F9A">
                    <w:rPr>
                      <w:rFonts w:ascii="Verdana" w:hAnsi="Verdana"/>
                      <w:sz w:val="10"/>
                      <w:szCs w:val="10"/>
                    </w:rPr>
                    <w:t>13,2%</w:t>
                  </w:r>
                </w:p>
              </w:tc>
              <w:tc>
                <w:tcPr>
                  <w:tcW w:w="584" w:type="dxa"/>
                  <w:noWrap/>
                  <w:hideMark/>
                </w:tcPr>
                <w:p w:rsidRPr="002A1F9A" w:rsidR="00FE14A2" w:rsidP="00FE14A2" w:rsidRDefault="00FE14A2" w14:paraId="3C3EE706" w14:textId="77777777">
                  <w:pPr>
                    <w:rPr>
                      <w:rFonts w:ascii="Verdana" w:hAnsi="Verdana"/>
                      <w:sz w:val="10"/>
                      <w:szCs w:val="10"/>
                    </w:rPr>
                  </w:pPr>
                  <w:r w:rsidRPr="002A1F9A">
                    <w:rPr>
                      <w:rFonts w:ascii="Verdana" w:hAnsi="Verdana"/>
                      <w:sz w:val="10"/>
                      <w:szCs w:val="10"/>
                    </w:rPr>
                    <w:t>14,7%</w:t>
                  </w:r>
                </w:p>
              </w:tc>
              <w:tc>
                <w:tcPr>
                  <w:tcW w:w="584" w:type="dxa"/>
                  <w:noWrap/>
                  <w:hideMark/>
                </w:tcPr>
                <w:p w:rsidRPr="002A1F9A" w:rsidR="00FE14A2" w:rsidP="00FE14A2" w:rsidRDefault="00FE14A2" w14:paraId="5431B372" w14:textId="77777777">
                  <w:pPr>
                    <w:rPr>
                      <w:rFonts w:ascii="Verdana" w:hAnsi="Verdana"/>
                      <w:sz w:val="10"/>
                      <w:szCs w:val="10"/>
                    </w:rPr>
                  </w:pPr>
                  <w:r w:rsidRPr="002A1F9A">
                    <w:rPr>
                      <w:rFonts w:ascii="Verdana" w:hAnsi="Verdana"/>
                      <w:sz w:val="10"/>
                      <w:szCs w:val="10"/>
                    </w:rPr>
                    <w:t>15,5%</w:t>
                  </w:r>
                </w:p>
              </w:tc>
              <w:tc>
                <w:tcPr>
                  <w:tcW w:w="584" w:type="dxa"/>
                  <w:noWrap/>
                  <w:hideMark/>
                </w:tcPr>
                <w:p w:rsidRPr="002A1F9A" w:rsidR="00FE14A2" w:rsidP="00FE14A2" w:rsidRDefault="00FE14A2" w14:paraId="11BE11E8" w14:textId="77777777">
                  <w:pPr>
                    <w:rPr>
                      <w:rFonts w:ascii="Verdana" w:hAnsi="Verdana"/>
                      <w:sz w:val="10"/>
                      <w:szCs w:val="10"/>
                    </w:rPr>
                  </w:pPr>
                  <w:r w:rsidRPr="002A1F9A">
                    <w:rPr>
                      <w:rFonts w:ascii="Verdana" w:hAnsi="Verdana"/>
                      <w:sz w:val="10"/>
                      <w:szCs w:val="10"/>
                    </w:rPr>
                    <w:t>16,2%</w:t>
                  </w:r>
                </w:p>
              </w:tc>
              <w:tc>
                <w:tcPr>
                  <w:tcW w:w="584" w:type="dxa"/>
                </w:tcPr>
                <w:p w:rsidRPr="002A1F9A" w:rsidR="00FE14A2" w:rsidP="00FE14A2" w:rsidRDefault="00FE14A2" w14:paraId="49A9BA3A" w14:textId="54BCCBF4">
                  <w:pPr>
                    <w:rPr>
                      <w:rFonts w:ascii="Verdana" w:hAnsi="Verdana"/>
                      <w:sz w:val="10"/>
                      <w:szCs w:val="10"/>
                    </w:rPr>
                  </w:pPr>
                  <w:r w:rsidRPr="002A1F9A">
                    <w:rPr>
                      <w:rFonts w:ascii="Verdana" w:hAnsi="Verdana"/>
                      <w:sz w:val="10"/>
                      <w:szCs w:val="10"/>
                    </w:rPr>
                    <w:t>16,9%</w:t>
                  </w:r>
                </w:p>
              </w:tc>
            </w:tr>
            <w:tr w:rsidRPr="002A1F9A" w:rsidR="00FE14A2" w:rsidTr="00FE14A2" w14:paraId="2F9050BB" w14:textId="4C554637">
              <w:trPr>
                <w:trHeight w:val="299"/>
              </w:trPr>
              <w:tc>
                <w:tcPr>
                  <w:tcW w:w="633" w:type="dxa"/>
                  <w:noWrap/>
                  <w:hideMark/>
                </w:tcPr>
                <w:p w:rsidRPr="002A1F9A" w:rsidR="00FE14A2" w:rsidP="00FE14A2" w:rsidRDefault="00FE14A2" w14:paraId="75C68490" w14:textId="77777777">
                  <w:pPr>
                    <w:rPr>
                      <w:rFonts w:ascii="Verdana" w:hAnsi="Verdana"/>
                      <w:sz w:val="10"/>
                      <w:szCs w:val="10"/>
                    </w:rPr>
                  </w:pPr>
                  <w:r w:rsidRPr="002A1F9A">
                    <w:rPr>
                      <w:rFonts w:ascii="Verdana" w:hAnsi="Verdana"/>
                      <w:sz w:val="10"/>
                      <w:szCs w:val="10"/>
                    </w:rPr>
                    <w:t>Universitair hoofddocent</w:t>
                  </w:r>
                </w:p>
              </w:tc>
              <w:tc>
                <w:tcPr>
                  <w:tcW w:w="584" w:type="dxa"/>
                  <w:noWrap/>
                  <w:hideMark/>
                </w:tcPr>
                <w:p w:rsidRPr="002A1F9A" w:rsidR="00FE14A2" w:rsidP="00FE14A2" w:rsidRDefault="00FE14A2" w14:paraId="5BD86DB0" w14:textId="77777777">
                  <w:pPr>
                    <w:rPr>
                      <w:rFonts w:ascii="Verdana" w:hAnsi="Verdana"/>
                      <w:sz w:val="10"/>
                      <w:szCs w:val="10"/>
                    </w:rPr>
                  </w:pPr>
                  <w:r w:rsidRPr="002A1F9A">
                    <w:rPr>
                      <w:rFonts w:ascii="Verdana" w:hAnsi="Verdana"/>
                      <w:sz w:val="10"/>
                      <w:szCs w:val="10"/>
                    </w:rPr>
                    <w:t>16,2%</w:t>
                  </w:r>
                </w:p>
              </w:tc>
              <w:tc>
                <w:tcPr>
                  <w:tcW w:w="584" w:type="dxa"/>
                  <w:noWrap/>
                  <w:hideMark/>
                </w:tcPr>
                <w:p w:rsidRPr="002A1F9A" w:rsidR="00FE14A2" w:rsidP="00FE14A2" w:rsidRDefault="00FE14A2" w14:paraId="18F4F000" w14:textId="77777777">
                  <w:pPr>
                    <w:rPr>
                      <w:rFonts w:ascii="Verdana" w:hAnsi="Verdana"/>
                      <w:sz w:val="10"/>
                      <w:szCs w:val="10"/>
                    </w:rPr>
                  </w:pPr>
                  <w:r w:rsidRPr="002A1F9A">
                    <w:rPr>
                      <w:rFonts w:ascii="Verdana" w:hAnsi="Verdana"/>
                      <w:sz w:val="10"/>
                      <w:szCs w:val="10"/>
                    </w:rPr>
                    <w:t>17,3%</w:t>
                  </w:r>
                </w:p>
              </w:tc>
              <w:tc>
                <w:tcPr>
                  <w:tcW w:w="584" w:type="dxa"/>
                  <w:noWrap/>
                  <w:hideMark/>
                </w:tcPr>
                <w:p w:rsidRPr="002A1F9A" w:rsidR="00FE14A2" w:rsidP="00FE14A2" w:rsidRDefault="00FE14A2" w14:paraId="07A7FB88" w14:textId="77777777">
                  <w:pPr>
                    <w:rPr>
                      <w:rFonts w:ascii="Verdana" w:hAnsi="Verdana"/>
                      <w:sz w:val="10"/>
                      <w:szCs w:val="10"/>
                    </w:rPr>
                  </w:pPr>
                  <w:r w:rsidRPr="002A1F9A">
                    <w:rPr>
                      <w:rFonts w:ascii="Verdana" w:hAnsi="Verdana"/>
                      <w:sz w:val="10"/>
                      <w:szCs w:val="10"/>
                    </w:rPr>
                    <w:t>17,9%</w:t>
                  </w:r>
                </w:p>
              </w:tc>
              <w:tc>
                <w:tcPr>
                  <w:tcW w:w="584" w:type="dxa"/>
                  <w:noWrap/>
                  <w:hideMark/>
                </w:tcPr>
                <w:p w:rsidRPr="002A1F9A" w:rsidR="00FE14A2" w:rsidP="00FE14A2" w:rsidRDefault="00FE14A2" w14:paraId="5269477A" w14:textId="77777777">
                  <w:pPr>
                    <w:rPr>
                      <w:rFonts w:ascii="Verdana" w:hAnsi="Verdana"/>
                      <w:sz w:val="10"/>
                      <w:szCs w:val="10"/>
                    </w:rPr>
                  </w:pPr>
                  <w:r w:rsidRPr="002A1F9A">
                    <w:rPr>
                      <w:rFonts w:ascii="Verdana" w:hAnsi="Verdana"/>
                      <w:sz w:val="10"/>
                      <w:szCs w:val="10"/>
                    </w:rPr>
                    <w:t>18,8%</w:t>
                  </w:r>
                </w:p>
              </w:tc>
              <w:tc>
                <w:tcPr>
                  <w:tcW w:w="584" w:type="dxa"/>
                  <w:noWrap/>
                  <w:hideMark/>
                </w:tcPr>
                <w:p w:rsidRPr="002A1F9A" w:rsidR="00FE14A2" w:rsidP="00FE14A2" w:rsidRDefault="00FE14A2" w14:paraId="2BE80091" w14:textId="77777777">
                  <w:pPr>
                    <w:rPr>
                      <w:rFonts w:ascii="Verdana" w:hAnsi="Verdana"/>
                      <w:sz w:val="10"/>
                      <w:szCs w:val="10"/>
                    </w:rPr>
                  </w:pPr>
                  <w:r w:rsidRPr="002A1F9A">
                    <w:rPr>
                      <w:rFonts w:ascii="Verdana" w:hAnsi="Verdana"/>
                      <w:sz w:val="10"/>
                      <w:szCs w:val="10"/>
                    </w:rPr>
                    <w:t>20,0%</w:t>
                  </w:r>
                </w:p>
              </w:tc>
              <w:tc>
                <w:tcPr>
                  <w:tcW w:w="584" w:type="dxa"/>
                  <w:noWrap/>
                  <w:hideMark/>
                </w:tcPr>
                <w:p w:rsidRPr="002A1F9A" w:rsidR="00FE14A2" w:rsidP="00FE14A2" w:rsidRDefault="00FE14A2" w14:paraId="7E6A8E11" w14:textId="77777777">
                  <w:pPr>
                    <w:rPr>
                      <w:rFonts w:ascii="Verdana" w:hAnsi="Verdana"/>
                      <w:sz w:val="10"/>
                      <w:szCs w:val="10"/>
                    </w:rPr>
                  </w:pPr>
                  <w:r w:rsidRPr="002A1F9A">
                    <w:rPr>
                      <w:rFonts w:ascii="Verdana" w:hAnsi="Verdana"/>
                      <w:sz w:val="10"/>
                      <w:szCs w:val="10"/>
                    </w:rPr>
                    <w:t>20,9%</w:t>
                  </w:r>
                </w:p>
              </w:tc>
              <w:tc>
                <w:tcPr>
                  <w:tcW w:w="584" w:type="dxa"/>
                  <w:noWrap/>
                  <w:hideMark/>
                </w:tcPr>
                <w:p w:rsidRPr="002A1F9A" w:rsidR="00FE14A2" w:rsidP="00FE14A2" w:rsidRDefault="00FE14A2" w14:paraId="58D928BF" w14:textId="77777777">
                  <w:pPr>
                    <w:rPr>
                      <w:rFonts w:ascii="Verdana" w:hAnsi="Verdana"/>
                      <w:sz w:val="10"/>
                      <w:szCs w:val="10"/>
                    </w:rPr>
                  </w:pPr>
                  <w:r w:rsidRPr="002A1F9A">
                    <w:rPr>
                      <w:rFonts w:ascii="Verdana" w:hAnsi="Verdana"/>
                      <w:sz w:val="10"/>
                      <w:szCs w:val="10"/>
                    </w:rPr>
                    <w:t>22,3%</w:t>
                  </w:r>
                </w:p>
              </w:tc>
              <w:tc>
                <w:tcPr>
                  <w:tcW w:w="584" w:type="dxa"/>
                  <w:noWrap/>
                  <w:hideMark/>
                </w:tcPr>
                <w:p w:rsidRPr="002A1F9A" w:rsidR="00FE14A2" w:rsidP="00FE14A2" w:rsidRDefault="00FE14A2" w14:paraId="1DFD09EB" w14:textId="77777777">
                  <w:pPr>
                    <w:rPr>
                      <w:rFonts w:ascii="Verdana" w:hAnsi="Verdana"/>
                      <w:sz w:val="10"/>
                      <w:szCs w:val="10"/>
                    </w:rPr>
                  </w:pPr>
                  <w:r w:rsidRPr="002A1F9A">
                    <w:rPr>
                      <w:rFonts w:ascii="Verdana" w:hAnsi="Verdana"/>
                      <w:sz w:val="10"/>
                      <w:szCs w:val="10"/>
                    </w:rPr>
                    <w:t>22,8%</w:t>
                  </w:r>
                </w:p>
              </w:tc>
              <w:tc>
                <w:tcPr>
                  <w:tcW w:w="584" w:type="dxa"/>
                  <w:noWrap/>
                  <w:hideMark/>
                </w:tcPr>
                <w:p w:rsidRPr="002A1F9A" w:rsidR="00FE14A2" w:rsidP="00FE14A2" w:rsidRDefault="00FE14A2" w14:paraId="0F7250BE" w14:textId="77777777">
                  <w:pPr>
                    <w:rPr>
                      <w:rFonts w:ascii="Verdana" w:hAnsi="Verdana"/>
                      <w:sz w:val="10"/>
                      <w:szCs w:val="10"/>
                    </w:rPr>
                  </w:pPr>
                  <w:r w:rsidRPr="002A1F9A">
                    <w:rPr>
                      <w:rFonts w:ascii="Verdana" w:hAnsi="Verdana"/>
                      <w:sz w:val="10"/>
                      <w:szCs w:val="10"/>
                    </w:rPr>
                    <w:t>25,3%</w:t>
                  </w:r>
                </w:p>
              </w:tc>
              <w:tc>
                <w:tcPr>
                  <w:tcW w:w="584" w:type="dxa"/>
                </w:tcPr>
                <w:p w:rsidRPr="002A1F9A" w:rsidR="00FE14A2" w:rsidP="00FE14A2" w:rsidRDefault="00FE14A2" w14:paraId="10C8D4A9" w14:textId="69E930D2">
                  <w:pPr>
                    <w:rPr>
                      <w:rFonts w:ascii="Verdana" w:hAnsi="Verdana"/>
                      <w:sz w:val="10"/>
                      <w:szCs w:val="10"/>
                    </w:rPr>
                  </w:pPr>
                  <w:r w:rsidRPr="002A1F9A">
                    <w:rPr>
                      <w:rFonts w:ascii="Verdana" w:hAnsi="Verdana"/>
                      <w:sz w:val="10"/>
                      <w:szCs w:val="10"/>
                    </w:rPr>
                    <w:t>26,4%</w:t>
                  </w:r>
                </w:p>
              </w:tc>
            </w:tr>
            <w:tr w:rsidRPr="002A1F9A" w:rsidR="00FE14A2" w:rsidTr="00FE14A2" w14:paraId="12B85584" w14:textId="341D75B7">
              <w:trPr>
                <w:trHeight w:val="299"/>
              </w:trPr>
              <w:tc>
                <w:tcPr>
                  <w:tcW w:w="633" w:type="dxa"/>
                  <w:noWrap/>
                  <w:hideMark/>
                </w:tcPr>
                <w:p w:rsidRPr="002A1F9A" w:rsidR="00FE14A2" w:rsidP="00FE14A2" w:rsidRDefault="00FE14A2" w14:paraId="4E75E941" w14:textId="77777777">
                  <w:pPr>
                    <w:rPr>
                      <w:rFonts w:ascii="Verdana" w:hAnsi="Verdana"/>
                      <w:sz w:val="10"/>
                      <w:szCs w:val="10"/>
                    </w:rPr>
                  </w:pPr>
                  <w:r w:rsidRPr="002A1F9A">
                    <w:rPr>
                      <w:rFonts w:ascii="Verdana" w:hAnsi="Verdana"/>
                      <w:sz w:val="10"/>
                      <w:szCs w:val="10"/>
                    </w:rPr>
                    <w:t>Universitair docent</w:t>
                  </w:r>
                </w:p>
              </w:tc>
              <w:tc>
                <w:tcPr>
                  <w:tcW w:w="584" w:type="dxa"/>
                  <w:noWrap/>
                  <w:hideMark/>
                </w:tcPr>
                <w:p w:rsidRPr="002A1F9A" w:rsidR="00FE14A2" w:rsidP="00FE14A2" w:rsidRDefault="00FE14A2" w14:paraId="1C823BDB" w14:textId="77777777">
                  <w:pPr>
                    <w:rPr>
                      <w:rFonts w:ascii="Verdana" w:hAnsi="Verdana"/>
                      <w:sz w:val="10"/>
                      <w:szCs w:val="10"/>
                    </w:rPr>
                  </w:pPr>
                  <w:r w:rsidRPr="002A1F9A">
                    <w:rPr>
                      <w:rFonts w:ascii="Verdana" w:hAnsi="Verdana"/>
                      <w:sz w:val="10"/>
                      <w:szCs w:val="10"/>
                    </w:rPr>
                    <w:t>30%</w:t>
                  </w:r>
                </w:p>
              </w:tc>
              <w:tc>
                <w:tcPr>
                  <w:tcW w:w="584" w:type="dxa"/>
                  <w:noWrap/>
                  <w:hideMark/>
                </w:tcPr>
                <w:p w:rsidRPr="002A1F9A" w:rsidR="00FE14A2" w:rsidP="00FE14A2" w:rsidRDefault="00FE14A2" w14:paraId="4B3F00D9" w14:textId="77777777">
                  <w:pPr>
                    <w:rPr>
                      <w:rFonts w:ascii="Verdana" w:hAnsi="Verdana"/>
                      <w:sz w:val="10"/>
                      <w:szCs w:val="10"/>
                    </w:rPr>
                  </w:pPr>
                  <w:r w:rsidRPr="002A1F9A">
                    <w:rPr>
                      <w:rFonts w:ascii="Verdana" w:hAnsi="Verdana"/>
                      <w:sz w:val="10"/>
                      <w:szCs w:val="10"/>
                    </w:rPr>
                    <w:t>31%</w:t>
                  </w:r>
                </w:p>
              </w:tc>
              <w:tc>
                <w:tcPr>
                  <w:tcW w:w="584" w:type="dxa"/>
                  <w:noWrap/>
                  <w:hideMark/>
                </w:tcPr>
                <w:p w:rsidRPr="002A1F9A" w:rsidR="00FE14A2" w:rsidP="00FE14A2" w:rsidRDefault="00FE14A2" w14:paraId="4B1058D4" w14:textId="77777777">
                  <w:pPr>
                    <w:rPr>
                      <w:rFonts w:ascii="Verdana" w:hAnsi="Verdana"/>
                      <w:sz w:val="10"/>
                      <w:szCs w:val="10"/>
                    </w:rPr>
                  </w:pPr>
                  <w:r w:rsidRPr="002A1F9A">
                    <w:rPr>
                      <w:rFonts w:ascii="Verdana" w:hAnsi="Verdana"/>
                      <w:sz w:val="10"/>
                      <w:szCs w:val="10"/>
                    </w:rPr>
                    <w:t>32%</w:t>
                  </w:r>
                </w:p>
              </w:tc>
              <w:tc>
                <w:tcPr>
                  <w:tcW w:w="584" w:type="dxa"/>
                  <w:noWrap/>
                  <w:hideMark/>
                </w:tcPr>
                <w:p w:rsidRPr="002A1F9A" w:rsidR="00FE14A2" w:rsidP="00FE14A2" w:rsidRDefault="00FE14A2" w14:paraId="4D2C883E" w14:textId="77777777">
                  <w:pPr>
                    <w:rPr>
                      <w:rFonts w:ascii="Verdana" w:hAnsi="Verdana"/>
                      <w:sz w:val="10"/>
                      <w:szCs w:val="10"/>
                    </w:rPr>
                  </w:pPr>
                  <w:r w:rsidRPr="002A1F9A">
                    <w:rPr>
                      <w:rFonts w:ascii="Verdana" w:hAnsi="Verdana"/>
                      <w:sz w:val="10"/>
                      <w:szCs w:val="10"/>
                    </w:rPr>
                    <w:t>32,4%</w:t>
                  </w:r>
                </w:p>
              </w:tc>
              <w:tc>
                <w:tcPr>
                  <w:tcW w:w="584" w:type="dxa"/>
                  <w:noWrap/>
                  <w:hideMark/>
                </w:tcPr>
                <w:p w:rsidRPr="002A1F9A" w:rsidR="00FE14A2" w:rsidP="00FE14A2" w:rsidRDefault="00FE14A2" w14:paraId="40739A73" w14:textId="77777777">
                  <w:pPr>
                    <w:rPr>
                      <w:rFonts w:ascii="Verdana" w:hAnsi="Verdana"/>
                      <w:sz w:val="10"/>
                      <w:szCs w:val="10"/>
                    </w:rPr>
                  </w:pPr>
                  <w:r w:rsidRPr="002A1F9A">
                    <w:rPr>
                      <w:rFonts w:ascii="Verdana" w:hAnsi="Verdana"/>
                      <w:sz w:val="10"/>
                      <w:szCs w:val="10"/>
                    </w:rPr>
                    <w:t>33,3%</w:t>
                  </w:r>
                </w:p>
              </w:tc>
              <w:tc>
                <w:tcPr>
                  <w:tcW w:w="584" w:type="dxa"/>
                  <w:noWrap/>
                  <w:hideMark/>
                </w:tcPr>
                <w:p w:rsidRPr="002A1F9A" w:rsidR="00FE14A2" w:rsidP="00FE14A2" w:rsidRDefault="00FE14A2" w14:paraId="2DF90525" w14:textId="77777777">
                  <w:pPr>
                    <w:rPr>
                      <w:rFonts w:ascii="Verdana" w:hAnsi="Verdana"/>
                      <w:sz w:val="10"/>
                      <w:szCs w:val="10"/>
                    </w:rPr>
                  </w:pPr>
                  <w:r w:rsidRPr="002A1F9A">
                    <w:rPr>
                      <w:rFonts w:ascii="Verdana" w:hAnsi="Verdana"/>
                      <w:sz w:val="10"/>
                      <w:szCs w:val="10"/>
                    </w:rPr>
                    <w:t>34,1%</w:t>
                  </w:r>
                </w:p>
              </w:tc>
              <w:tc>
                <w:tcPr>
                  <w:tcW w:w="584" w:type="dxa"/>
                  <w:noWrap/>
                  <w:hideMark/>
                </w:tcPr>
                <w:p w:rsidRPr="002A1F9A" w:rsidR="00FE14A2" w:rsidP="00FE14A2" w:rsidRDefault="00FE14A2" w14:paraId="45472E57" w14:textId="77777777">
                  <w:pPr>
                    <w:rPr>
                      <w:rFonts w:ascii="Verdana" w:hAnsi="Verdana"/>
                      <w:sz w:val="10"/>
                      <w:szCs w:val="10"/>
                    </w:rPr>
                  </w:pPr>
                  <w:r w:rsidRPr="002A1F9A">
                    <w:rPr>
                      <w:rFonts w:ascii="Verdana" w:hAnsi="Verdana"/>
                      <w:sz w:val="10"/>
                      <w:szCs w:val="10"/>
                    </w:rPr>
                    <w:t>35,3%</w:t>
                  </w:r>
                </w:p>
              </w:tc>
              <w:tc>
                <w:tcPr>
                  <w:tcW w:w="584" w:type="dxa"/>
                  <w:noWrap/>
                  <w:hideMark/>
                </w:tcPr>
                <w:p w:rsidRPr="002A1F9A" w:rsidR="00FE14A2" w:rsidP="00FE14A2" w:rsidRDefault="00FE14A2" w14:paraId="56C98789" w14:textId="77777777">
                  <w:pPr>
                    <w:rPr>
                      <w:rFonts w:ascii="Verdana" w:hAnsi="Verdana"/>
                      <w:sz w:val="10"/>
                      <w:szCs w:val="10"/>
                    </w:rPr>
                  </w:pPr>
                  <w:r w:rsidRPr="002A1F9A">
                    <w:rPr>
                      <w:rFonts w:ascii="Verdana" w:hAnsi="Verdana"/>
                      <w:sz w:val="10"/>
                      <w:szCs w:val="10"/>
                    </w:rPr>
                    <w:t>36,3%</w:t>
                  </w:r>
                </w:p>
              </w:tc>
              <w:tc>
                <w:tcPr>
                  <w:tcW w:w="584" w:type="dxa"/>
                  <w:noWrap/>
                  <w:hideMark/>
                </w:tcPr>
                <w:p w:rsidRPr="002A1F9A" w:rsidR="00FE14A2" w:rsidP="00FE14A2" w:rsidRDefault="00FE14A2" w14:paraId="0C617B00" w14:textId="77777777">
                  <w:pPr>
                    <w:rPr>
                      <w:rFonts w:ascii="Verdana" w:hAnsi="Verdana"/>
                      <w:sz w:val="10"/>
                      <w:szCs w:val="10"/>
                    </w:rPr>
                  </w:pPr>
                  <w:r w:rsidRPr="002A1F9A">
                    <w:rPr>
                      <w:rFonts w:ascii="Verdana" w:hAnsi="Verdana"/>
                      <w:sz w:val="10"/>
                      <w:szCs w:val="10"/>
                    </w:rPr>
                    <w:t>37,1%</w:t>
                  </w:r>
                </w:p>
              </w:tc>
              <w:tc>
                <w:tcPr>
                  <w:tcW w:w="584" w:type="dxa"/>
                </w:tcPr>
                <w:p w:rsidRPr="002A1F9A" w:rsidR="00FE14A2" w:rsidP="00FE14A2" w:rsidRDefault="00FE14A2" w14:paraId="3EE072F9" w14:textId="3202D8AF">
                  <w:pPr>
                    <w:rPr>
                      <w:rFonts w:ascii="Verdana" w:hAnsi="Verdana"/>
                      <w:sz w:val="10"/>
                      <w:szCs w:val="10"/>
                    </w:rPr>
                  </w:pPr>
                  <w:r w:rsidRPr="002A1F9A">
                    <w:rPr>
                      <w:rFonts w:ascii="Verdana" w:hAnsi="Verdana"/>
                      <w:sz w:val="10"/>
                      <w:szCs w:val="10"/>
                    </w:rPr>
                    <w:t>37,9%</w:t>
                  </w:r>
                </w:p>
              </w:tc>
            </w:tr>
            <w:tr w:rsidRPr="002A1F9A" w:rsidR="00FE14A2" w:rsidTr="00FE14A2" w14:paraId="7B70F604" w14:textId="68F0E2D6">
              <w:trPr>
                <w:trHeight w:val="299"/>
              </w:trPr>
              <w:tc>
                <w:tcPr>
                  <w:tcW w:w="633" w:type="dxa"/>
                  <w:noWrap/>
                  <w:hideMark/>
                </w:tcPr>
                <w:p w:rsidRPr="002A1F9A" w:rsidR="00FE14A2" w:rsidP="00FE14A2" w:rsidRDefault="00FE14A2" w14:paraId="44B56A5E" w14:textId="77777777">
                  <w:pPr>
                    <w:rPr>
                      <w:rFonts w:ascii="Verdana" w:hAnsi="Verdana"/>
                      <w:sz w:val="10"/>
                      <w:szCs w:val="10"/>
                    </w:rPr>
                  </w:pPr>
                  <w:r w:rsidRPr="002A1F9A">
                    <w:rPr>
                      <w:rFonts w:ascii="Verdana" w:hAnsi="Verdana"/>
                      <w:sz w:val="10"/>
                      <w:szCs w:val="10"/>
                    </w:rPr>
                    <w:t>Docent</w:t>
                  </w:r>
                </w:p>
              </w:tc>
              <w:tc>
                <w:tcPr>
                  <w:tcW w:w="584" w:type="dxa"/>
                  <w:noWrap/>
                  <w:hideMark/>
                </w:tcPr>
                <w:p w:rsidRPr="002A1F9A" w:rsidR="00FE14A2" w:rsidP="00FE14A2" w:rsidRDefault="00FE14A2" w14:paraId="7EBE6193" w14:textId="77777777">
                  <w:pPr>
                    <w:rPr>
                      <w:rFonts w:ascii="Verdana" w:hAnsi="Verdana"/>
                      <w:sz w:val="10"/>
                      <w:szCs w:val="10"/>
                    </w:rPr>
                  </w:pPr>
                  <w:r w:rsidRPr="002A1F9A">
                    <w:rPr>
                      <w:rFonts w:ascii="Verdana" w:hAnsi="Verdana"/>
                      <w:sz w:val="10"/>
                      <w:szCs w:val="10"/>
                    </w:rPr>
                    <w:t>42,5%</w:t>
                  </w:r>
                </w:p>
              </w:tc>
              <w:tc>
                <w:tcPr>
                  <w:tcW w:w="584" w:type="dxa"/>
                  <w:noWrap/>
                  <w:hideMark/>
                </w:tcPr>
                <w:p w:rsidRPr="002A1F9A" w:rsidR="00FE14A2" w:rsidP="00FE14A2" w:rsidRDefault="00FE14A2" w14:paraId="68B244E7" w14:textId="77777777">
                  <w:pPr>
                    <w:rPr>
                      <w:rFonts w:ascii="Verdana" w:hAnsi="Verdana"/>
                      <w:sz w:val="10"/>
                      <w:szCs w:val="10"/>
                    </w:rPr>
                  </w:pPr>
                  <w:r w:rsidRPr="002A1F9A">
                    <w:rPr>
                      <w:rFonts w:ascii="Verdana" w:hAnsi="Verdana"/>
                      <w:sz w:val="10"/>
                      <w:szCs w:val="10"/>
                    </w:rPr>
                    <w:t>44,8%</w:t>
                  </w:r>
                </w:p>
              </w:tc>
              <w:tc>
                <w:tcPr>
                  <w:tcW w:w="584" w:type="dxa"/>
                  <w:noWrap/>
                  <w:hideMark/>
                </w:tcPr>
                <w:p w:rsidRPr="002A1F9A" w:rsidR="00FE14A2" w:rsidP="00FE14A2" w:rsidRDefault="00FE14A2" w14:paraId="1A0A3F8A" w14:textId="77777777">
                  <w:pPr>
                    <w:rPr>
                      <w:rFonts w:ascii="Verdana" w:hAnsi="Verdana"/>
                      <w:sz w:val="10"/>
                      <w:szCs w:val="10"/>
                    </w:rPr>
                  </w:pPr>
                  <w:r w:rsidRPr="002A1F9A">
                    <w:rPr>
                      <w:rFonts w:ascii="Verdana" w:hAnsi="Verdana"/>
                      <w:sz w:val="10"/>
                      <w:szCs w:val="10"/>
                    </w:rPr>
                    <w:t>45,4%</w:t>
                  </w:r>
                </w:p>
              </w:tc>
              <w:tc>
                <w:tcPr>
                  <w:tcW w:w="584" w:type="dxa"/>
                  <w:noWrap/>
                  <w:hideMark/>
                </w:tcPr>
                <w:p w:rsidRPr="002A1F9A" w:rsidR="00FE14A2" w:rsidP="00FE14A2" w:rsidRDefault="00FE14A2" w14:paraId="16346102" w14:textId="77777777">
                  <w:pPr>
                    <w:rPr>
                      <w:rFonts w:ascii="Verdana" w:hAnsi="Verdana"/>
                      <w:sz w:val="10"/>
                      <w:szCs w:val="10"/>
                    </w:rPr>
                  </w:pPr>
                  <w:r w:rsidRPr="002A1F9A">
                    <w:rPr>
                      <w:rFonts w:ascii="Verdana" w:hAnsi="Verdana"/>
                      <w:sz w:val="10"/>
                      <w:szCs w:val="10"/>
                    </w:rPr>
                    <w:t>45,8%</w:t>
                  </w:r>
                </w:p>
              </w:tc>
              <w:tc>
                <w:tcPr>
                  <w:tcW w:w="584" w:type="dxa"/>
                  <w:noWrap/>
                  <w:hideMark/>
                </w:tcPr>
                <w:p w:rsidRPr="002A1F9A" w:rsidR="00FE14A2" w:rsidP="00FE14A2" w:rsidRDefault="00FE14A2" w14:paraId="727A5554" w14:textId="77777777">
                  <w:pPr>
                    <w:rPr>
                      <w:rFonts w:ascii="Verdana" w:hAnsi="Verdana"/>
                      <w:sz w:val="10"/>
                      <w:szCs w:val="10"/>
                    </w:rPr>
                  </w:pPr>
                  <w:r w:rsidRPr="002A1F9A">
                    <w:rPr>
                      <w:rFonts w:ascii="Verdana" w:hAnsi="Verdana"/>
                      <w:sz w:val="10"/>
                      <w:szCs w:val="10"/>
                    </w:rPr>
                    <w:t>47,7%</w:t>
                  </w:r>
                </w:p>
              </w:tc>
              <w:tc>
                <w:tcPr>
                  <w:tcW w:w="584" w:type="dxa"/>
                  <w:noWrap/>
                  <w:hideMark/>
                </w:tcPr>
                <w:p w:rsidRPr="002A1F9A" w:rsidR="00FE14A2" w:rsidP="00FE14A2" w:rsidRDefault="00FE14A2" w14:paraId="5A285BEB" w14:textId="77777777">
                  <w:pPr>
                    <w:rPr>
                      <w:rFonts w:ascii="Verdana" w:hAnsi="Verdana"/>
                      <w:sz w:val="10"/>
                      <w:szCs w:val="10"/>
                    </w:rPr>
                  </w:pPr>
                  <w:r w:rsidRPr="002A1F9A">
                    <w:rPr>
                      <w:rFonts w:ascii="Verdana" w:hAnsi="Verdana"/>
                      <w:sz w:val="10"/>
                      <w:szCs w:val="10"/>
                    </w:rPr>
                    <w:t>47,4%</w:t>
                  </w:r>
                </w:p>
              </w:tc>
              <w:tc>
                <w:tcPr>
                  <w:tcW w:w="584" w:type="dxa"/>
                  <w:noWrap/>
                  <w:hideMark/>
                </w:tcPr>
                <w:p w:rsidRPr="002A1F9A" w:rsidR="00FE14A2" w:rsidP="00FE14A2" w:rsidRDefault="00FE14A2" w14:paraId="595B2F7F" w14:textId="77777777">
                  <w:pPr>
                    <w:rPr>
                      <w:rFonts w:ascii="Verdana" w:hAnsi="Verdana"/>
                      <w:sz w:val="10"/>
                      <w:szCs w:val="10"/>
                    </w:rPr>
                  </w:pPr>
                  <w:r w:rsidRPr="002A1F9A">
                    <w:rPr>
                      <w:rFonts w:ascii="Verdana" w:hAnsi="Verdana"/>
                      <w:sz w:val="10"/>
                      <w:szCs w:val="10"/>
                    </w:rPr>
                    <w:t>48,0%</w:t>
                  </w:r>
                </w:p>
              </w:tc>
              <w:tc>
                <w:tcPr>
                  <w:tcW w:w="584" w:type="dxa"/>
                  <w:noWrap/>
                  <w:hideMark/>
                </w:tcPr>
                <w:p w:rsidRPr="002A1F9A" w:rsidR="00FE14A2" w:rsidP="00FE14A2" w:rsidRDefault="00FE14A2" w14:paraId="1A39EEE9" w14:textId="77777777">
                  <w:pPr>
                    <w:rPr>
                      <w:rFonts w:ascii="Verdana" w:hAnsi="Verdana"/>
                      <w:sz w:val="10"/>
                      <w:szCs w:val="10"/>
                    </w:rPr>
                  </w:pPr>
                  <w:r w:rsidRPr="002A1F9A">
                    <w:rPr>
                      <w:rFonts w:ascii="Verdana" w:hAnsi="Verdana"/>
                      <w:sz w:val="10"/>
                      <w:szCs w:val="10"/>
                    </w:rPr>
                    <w:t>48,7%</w:t>
                  </w:r>
                </w:p>
              </w:tc>
              <w:tc>
                <w:tcPr>
                  <w:tcW w:w="584" w:type="dxa"/>
                  <w:noWrap/>
                  <w:hideMark/>
                </w:tcPr>
                <w:p w:rsidRPr="002A1F9A" w:rsidR="00FE14A2" w:rsidP="00FE14A2" w:rsidRDefault="00FE14A2" w14:paraId="3B8F16F8" w14:textId="77777777">
                  <w:pPr>
                    <w:rPr>
                      <w:rFonts w:ascii="Verdana" w:hAnsi="Verdana"/>
                      <w:sz w:val="10"/>
                      <w:szCs w:val="10"/>
                    </w:rPr>
                  </w:pPr>
                  <w:r w:rsidRPr="002A1F9A">
                    <w:rPr>
                      <w:rFonts w:ascii="Verdana" w:hAnsi="Verdana"/>
                      <w:sz w:val="10"/>
                      <w:szCs w:val="10"/>
                    </w:rPr>
                    <w:t>50,6%</w:t>
                  </w:r>
                </w:p>
              </w:tc>
              <w:tc>
                <w:tcPr>
                  <w:tcW w:w="584" w:type="dxa"/>
                </w:tcPr>
                <w:p w:rsidRPr="002A1F9A" w:rsidR="00FE14A2" w:rsidP="00FE14A2" w:rsidRDefault="00FE14A2" w14:paraId="0D198E7E" w14:textId="323F76BC">
                  <w:pPr>
                    <w:rPr>
                      <w:rFonts w:ascii="Verdana" w:hAnsi="Verdana"/>
                      <w:sz w:val="10"/>
                      <w:szCs w:val="10"/>
                    </w:rPr>
                  </w:pPr>
                  <w:r w:rsidRPr="002A1F9A">
                    <w:rPr>
                      <w:rFonts w:ascii="Verdana" w:hAnsi="Verdana"/>
                      <w:sz w:val="10"/>
                      <w:szCs w:val="10"/>
                    </w:rPr>
                    <w:t>51,8%</w:t>
                  </w:r>
                </w:p>
              </w:tc>
            </w:tr>
            <w:tr w:rsidRPr="002A1F9A" w:rsidR="00FE14A2" w:rsidTr="00FE14A2" w14:paraId="324272ED" w14:textId="04F4F5E2">
              <w:trPr>
                <w:trHeight w:val="299"/>
              </w:trPr>
              <w:tc>
                <w:tcPr>
                  <w:tcW w:w="633" w:type="dxa"/>
                  <w:noWrap/>
                  <w:hideMark/>
                </w:tcPr>
                <w:p w:rsidRPr="002A1F9A" w:rsidR="00FE14A2" w:rsidP="00FE14A2" w:rsidRDefault="00FE14A2" w14:paraId="379AF40F" w14:textId="77777777">
                  <w:pPr>
                    <w:rPr>
                      <w:rFonts w:ascii="Verdana" w:hAnsi="Verdana"/>
                      <w:sz w:val="10"/>
                      <w:szCs w:val="10"/>
                    </w:rPr>
                  </w:pPr>
                  <w:r w:rsidRPr="002A1F9A">
                    <w:rPr>
                      <w:rFonts w:ascii="Verdana" w:hAnsi="Verdana"/>
                      <w:sz w:val="10"/>
                      <w:szCs w:val="10"/>
                    </w:rPr>
                    <w:t>Promovendus</w:t>
                  </w:r>
                </w:p>
              </w:tc>
              <w:tc>
                <w:tcPr>
                  <w:tcW w:w="584" w:type="dxa"/>
                  <w:noWrap/>
                  <w:hideMark/>
                </w:tcPr>
                <w:p w:rsidRPr="002A1F9A" w:rsidR="00FE14A2" w:rsidP="00FE14A2" w:rsidRDefault="00FE14A2" w14:paraId="4E91BFFC" w14:textId="77777777">
                  <w:pPr>
                    <w:rPr>
                      <w:rFonts w:ascii="Verdana" w:hAnsi="Verdana"/>
                      <w:sz w:val="10"/>
                      <w:szCs w:val="10"/>
                    </w:rPr>
                  </w:pPr>
                  <w:r w:rsidRPr="002A1F9A">
                    <w:rPr>
                      <w:rFonts w:ascii="Verdana" w:hAnsi="Verdana"/>
                      <w:sz w:val="10"/>
                      <w:szCs w:val="10"/>
                    </w:rPr>
                    <w:t>39,0%</w:t>
                  </w:r>
                </w:p>
              </w:tc>
              <w:tc>
                <w:tcPr>
                  <w:tcW w:w="584" w:type="dxa"/>
                  <w:noWrap/>
                  <w:hideMark/>
                </w:tcPr>
                <w:p w:rsidRPr="002A1F9A" w:rsidR="00FE14A2" w:rsidP="00FE14A2" w:rsidRDefault="00FE14A2" w14:paraId="487F0CE6" w14:textId="77777777">
                  <w:pPr>
                    <w:rPr>
                      <w:rFonts w:ascii="Verdana" w:hAnsi="Verdana"/>
                      <w:sz w:val="10"/>
                      <w:szCs w:val="10"/>
                    </w:rPr>
                  </w:pPr>
                  <w:r w:rsidRPr="002A1F9A">
                    <w:rPr>
                      <w:rFonts w:ascii="Verdana" w:hAnsi="Verdana"/>
                      <w:sz w:val="10"/>
                      <w:szCs w:val="10"/>
                    </w:rPr>
                    <w:t>39,9%</w:t>
                  </w:r>
                </w:p>
              </w:tc>
              <w:tc>
                <w:tcPr>
                  <w:tcW w:w="584" w:type="dxa"/>
                  <w:noWrap/>
                  <w:hideMark/>
                </w:tcPr>
                <w:p w:rsidRPr="002A1F9A" w:rsidR="00FE14A2" w:rsidP="00FE14A2" w:rsidRDefault="00FE14A2" w14:paraId="4D1EB20A" w14:textId="77777777">
                  <w:pPr>
                    <w:rPr>
                      <w:rFonts w:ascii="Verdana" w:hAnsi="Verdana"/>
                      <w:sz w:val="10"/>
                      <w:szCs w:val="10"/>
                    </w:rPr>
                  </w:pPr>
                  <w:r w:rsidRPr="002A1F9A">
                    <w:rPr>
                      <w:rFonts w:ascii="Verdana" w:hAnsi="Verdana"/>
                      <w:sz w:val="10"/>
                      <w:szCs w:val="10"/>
                    </w:rPr>
                    <w:t>41,2%</w:t>
                  </w:r>
                </w:p>
              </w:tc>
              <w:tc>
                <w:tcPr>
                  <w:tcW w:w="584" w:type="dxa"/>
                  <w:noWrap/>
                  <w:hideMark/>
                </w:tcPr>
                <w:p w:rsidRPr="002A1F9A" w:rsidR="00FE14A2" w:rsidP="00FE14A2" w:rsidRDefault="00FE14A2" w14:paraId="2DA10559" w14:textId="77777777">
                  <w:pPr>
                    <w:rPr>
                      <w:rFonts w:ascii="Verdana" w:hAnsi="Verdana"/>
                      <w:sz w:val="10"/>
                      <w:szCs w:val="10"/>
                    </w:rPr>
                  </w:pPr>
                  <w:r w:rsidRPr="002A1F9A">
                    <w:rPr>
                      <w:rFonts w:ascii="Verdana" w:hAnsi="Verdana"/>
                      <w:sz w:val="10"/>
                      <w:szCs w:val="10"/>
                    </w:rPr>
                    <w:t>42,5%</w:t>
                  </w:r>
                </w:p>
              </w:tc>
              <w:tc>
                <w:tcPr>
                  <w:tcW w:w="584" w:type="dxa"/>
                  <w:noWrap/>
                  <w:hideMark/>
                </w:tcPr>
                <w:p w:rsidRPr="002A1F9A" w:rsidR="00FE14A2" w:rsidP="00FE14A2" w:rsidRDefault="00FE14A2" w14:paraId="1556E766" w14:textId="77777777">
                  <w:pPr>
                    <w:rPr>
                      <w:rFonts w:ascii="Verdana" w:hAnsi="Verdana"/>
                      <w:sz w:val="10"/>
                      <w:szCs w:val="10"/>
                    </w:rPr>
                  </w:pPr>
                  <w:r w:rsidRPr="002A1F9A">
                    <w:rPr>
                      <w:rFonts w:ascii="Verdana" w:hAnsi="Verdana"/>
                      <w:sz w:val="10"/>
                      <w:szCs w:val="10"/>
                    </w:rPr>
                    <w:t>44,2%</w:t>
                  </w:r>
                </w:p>
              </w:tc>
              <w:tc>
                <w:tcPr>
                  <w:tcW w:w="584" w:type="dxa"/>
                  <w:noWrap/>
                  <w:hideMark/>
                </w:tcPr>
                <w:p w:rsidRPr="002A1F9A" w:rsidR="00FE14A2" w:rsidP="00FE14A2" w:rsidRDefault="00FE14A2" w14:paraId="41F7F325" w14:textId="77777777">
                  <w:pPr>
                    <w:rPr>
                      <w:rFonts w:ascii="Verdana" w:hAnsi="Verdana"/>
                      <w:sz w:val="10"/>
                      <w:szCs w:val="10"/>
                    </w:rPr>
                  </w:pPr>
                  <w:r w:rsidRPr="002A1F9A">
                    <w:rPr>
                      <w:rFonts w:ascii="Verdana" w:hAnsi="Verdana"/>
                      <w:sz w:val="10"/>
                      <w:szCs w:val="10"/>
                    </w:rPr>
                    <w:t>45,0%</w:t>
                  </w:r>
                </w:p>
              </w:tc>
              <w:tc>
                <w:tcPr>
                  <w:tcW w:w="584" w:type="dxa"/>
                  <w:noWrap/>
                  <w:hideMark/>
                </w:tcPr>
                <w:p w:rsidRPr="002A1F9A" w:rsidR="00FE14A2" w:rsidP="00FE14A2" w:rsidRDefault="00FE14A2" w14:paraId="6037AA08" w14:textId="77777777">
                  <w:pPr>
                    <w:rPr>
                      <w:rFonts w:ascii="Verdana" w:hAnsi="Verdana"/>
                      <w:sz w:val="10"/>
                      <w:szCs w:val="10"/>
                    </w:rPr>
                  </w:pPr>
                  <w:r w:rsidRPr="002A1F9A">
                    <w:rPr>
                      <w:rFonts w:ascii="Verdana" w:hAnsi="Verdana"/>
                      <w:sz w:val="10"/>
                      <w:szCs w:val="10"/>
                    </w:rPr>
                    <w:t>45,4%</w:t>
                  </w:r>
                </w:p>
              </w:tc>
              <w:tc>
                <w:tcPr>
                  <w:tcW w:w="584" w:type="dxa"/>
                  <w:noWrap/>
                  <w:hideMark/>
                </w:tcPr>
                <w:p w:rsidRPr="002A1F9A" w:rsidR="00FE14A2" w:rsidP="00FE14A2" w:rsidRDefault="00FE14A2" w14:paraId="5282DBB5" w14:textId="77777777">
                  <w:pPr>
                    <w:rPr>
                      <w:rFonts w:ascii="Verdana" w:hAnsi="Verdana"/>
                      <w:sz w:val="10"/>
                      <w:szCs w:val="10"/>
                    </w:rPr>
                  </w:pPr>
                  <w:r w:rsidRPr="002A1F9A">
                    <w:rPr>
                      <w:rFonts w:ascii="Verdana" w:hAnsi="Verdana"/>
                      <w:sz w:val="10"/>
                      <w:szCs w:val="10"/>
                    </w:rPr>
                    <w:t>44,7%</w:t>
                  </w:r>
                </w:p>
              </w:tc>
              <w:tc>
                <w:tcPr>
                  <w:tcW w:w="584" w:type="dxa"/>
                  <w:noWrap/>
                  <w:hideMark/>
                </w:tcPr>
                <w:p w:rsidRPr="002A1F9A" w:rsidR="00FE14A2" w:rsidP="00FE14A2" w:rsidRDefault="00FE14A2" w14:paraId="013390B0" w14:textId="77777777">
                  <w:pPr>
                    <w:rPr>
                      <w:rFonts w:ascii="Verdana" w:hAnsi="Verdana"/>
                      <w:sz w:val="10"/>
                      <w:szCs w:val="10"/>
                    </w:rPr>
                  </w:pPr>
                  <w:r w:rsidRPr="002A1F9A">
                    <w:rPr>
                      <w:rFonts w:ascii="Verdana" w:hAnsi="Verdana"/>
                      <w:sz w:val="10"/>
                      <w:szCs w:val="10"/>
                    </w:rPr>
                    <w:t>44,6%</w:t>
                  </w:r>
                </w:p>
              </w:tc>
              <w:tc>
                <w:tcPr>
                  <w:tcW w:w="584" w:type="dxa"/>
                </w:tcPr>
                <w:p w:rsidRPr="002A1F9A" w:rsidR="00FE14A2" w:rsidP="00FE14A2" w:rsidRDefault="00FE14A2" w14:paraId="420F1FD5" w14:textId="47BAD6E0">
                  <w:pPr>
                    <w:rPr>
                      <w:rFonts w:ascii="Verdana" w:hAnsi="Verdana"/>
                      <w:sz w:val="10"/>
                      <w:szCs w:val="10"/>
                    </w:rPr>
                  </w:pPr>
                  <w:r w:rsidRPr="002A1F9A">
                    <w:rPr>
                      <w:rFonts w:ascii="Verdana" w:hAnsi="Verdana"/>
                      <w:sz w:val="10"/>
                      <w:szCs w:val="10"/>
                    </w:rPr>
                    <w:t>44,0%</w:t>
                  </w:r>
                </w:p>
              </w:tc>
            </w:tr>
          </w:tbl>
          <w:p w:rsidRPr="002A1F9A" w:rsidR="00490707" w:rsidP="00DB2CBB" w:rsidRDefault="00490707" w14:paraId="48D45DEB" w14:textId="77777777">
            <w:pPr>
              <w:rPr>
                <w:rFonts w:ascii="Verdana" w:hAnsi="Verdana"/>
                <w:sz w:val="16"/>
                <w:szCs w:val="16"/>
              </w:rPr>
            </w:pPr>
          </w:p>
          <w:tbl>
            <w:tblPr>
              <w:tblStyle w:val="Tabelraster"/>
              <w:tblW w:w="6472" w:type="dxa"/>
              <w:tblLayout w:type="fixed"/>
              <w:tblLook w:val="04A0" w:firstRow="1" w:lastRow="0" w:firstColumn="1" w:lastColumn="0" w:noHBand="0" w:noVBand="1"/>
            </w:tblPr>
            <w:tblGrid>
              <w:gridCol w:w="589"/>
              <w:gridCol w:w="588"/>
              <w:gridCol w:w="588"/>
              <w:gridCol w:w="588"/>
              <w:gridCol w:w="589"/>
              <w:gridCol w:w="588"/>
              <w:gridCol w:w="588"/>
              <w:gridCol w:w="589"/>
              <w:gridCol w:w="588"/>
              <w:gridCol w:w="588"/>
              <w:gridCol w:w="589"/>
            </w:tblGrid>
            <w:tr w:rsidRPr="002A1F9A" w:rsidR="00FE14A2" w:rsidTr="00FE14A2" w14:paraId="753DD746" w14:textId="77777777">
              <w:trPr>
                <w:trHeight w:val="281"/>
              </w:trPr>
              <w:tc>
                <w:tcPr>
                  <w:tcW w:w="589" w:type="dxa"/>
                </w:tcPr>
                <w:p w:rsidRPr="002A1F9A" w:rsidR="00FE14A2" w:rsidP="00FE14A2" w:rsidRDefault="00FE14A2" w14:paraId="0C3928A6" w14:textId="77777777">
                  <w:pPr>
                    <w:rPr>
                      <w:rFonts w:ascii="Verdana" w:hAnsi="Verdana"/>
                      <w:b/>
                      <w:bCs/>
                      <w:sz w:val="10"/>
                      <w:szCs w:val="10"/>
                    </w:rPr>
                  </w:pPr>
                </w:p>
              </w:tc>
              <w:tc>
                <w:tcPr>
                  <w:tcW w:w="588" w:type="dxa"/>
                  <w:noWrap/>
                  <w:hideMark/>
                </w:tcPr>
                <w:p w:rsidRPr="002A1F9A" w:rsidR="00FE14A2" w:rsidP="00FE14A2" w:rsidRDefault="00FE14A2" w14:paraId="253EFF62" w14:textId="77777777">
                  <w:pPr>
                    <w:rPr>
                      <w:rFonts w:ascii="Verdana" w:hAnsi="Verdana"/>
                      <w:b/>
                      <w:bCs/>
                      <w:sz w:val="10"/>
                      <w:szCs w:val="10"/>
                    </w:rPr>
                  </w:pPr>
                  <w:r w:rsidRPr="002A1F9A">
                    <w:rPr>
                      <w:rFonts w:ascii="Verdana" w:hAnsi="Verdana"/>
                      <w:b/>
                      <w:bCs/>
                      <w:sz w:val="10"/>
                      <w:szCs w:val="10"/>
                    </w:rPr>
                    <w:t>2015</w:t>
                  </w:r>
                </w:p>
              </w:tc>
              <w:tc>
                <w:tcPr>
                  <w:tcW w:w="588" w:type="dxa"/>
                  <w:noWrap/>
                  <w:hideMark/>
                </w:tcPr>
                <w:p w:rsidRPr="002A1F9A" w:rsidR="00FE14A2" w:rsidP="00FE14A2" w:rsidRDefault="00FE14A2" w14:paraId="7CD808FF" w14:textId="77777777">
                  <w:pPr>
                    <w:rPr>
                      <w:rFonts w:ascii="Verdana" w:hAnsi="Verdana"/>
                      <w:b/>
                      <w:bCs/>
                      <w:sz w:val="10"/>
                      <w:szCs w:val="10"/>
                    </w:rPr>
                  </w:pPr>
                  <w:r w:rsidRPr="002A1F9A">
                    <w:rPr>
                      <w:rFonts w:ascii="Verdana" w:hAnsi="Verdana"/>
                      <w:b/>
                      <w:bCs/>
                      <w:sz w:val="10"/>
                      <w:szCs w:val="10"/>
                    </w:rPr>
                    <w:t>2016</w:t>
                  </w:r>
                </w:p>
              </w:tc>
              <w:tc>
                <w:tcPr>
                  <w:tcW w:w="588" w:type="dxa"/>
                  <w:noWrap/>
                  <w:hideMark/>
                </w:tcPr>
                <w:p w:rsidRPr="002A1F9A" w:rsidR="00FE14A2" w:rsidP="00FE14A2" w:rsidRDefault="00FE14A2" w14:paraId="06DE19E6" w14:textId="77777777">
                  <w:pPr>
                    <w:rPr>
                      <w:rFonts w:ascii="Verdana" w:hAnsi="Verdana"/>
                      <w:b/>
                      <w:bCs/>
                      <w:sz w:val="10"/>
                      <w:szCs w:val="10"/>
                    </w:rPr>
                  </w:pPr>
                  <w:r w:rsidRPr="002A1F9A">
                    <w:rPr>
                      <w:rFonts w:ascii="Verdana" w:hAnsi="Verdana"/>
                      <w:b/>
                      <w:bCs/>
                      <w:sz w:val="10"/>
                      <w:szCs w:val="10"/>
                    </w:rPr>
                    <w:t>2017</w:t>
                  </w:r>
                </w:p>
              </w:tc>
              <w:tc>
                <w:tcPr>
                  <w:tcW w:w="589" w:type="dxa"/>
                  <w:noWrap/>
                  <w:hideMark/>
                </w:tcPr>
                <w:p w:rsidRPr="002A1F9A" w:rsidR="00FE14A2" w:rsidP="00FE14A2" w:rsidRDefault="00FE14A2" w14:paraId="11943864" w14:textId="77777777">
                  <w:pPr>
                    <w:rPr>
                      <w:rFonts w:ascii="Verdana" w:hAnsi="Verdana"/>
                      <w:b/>
                      <w:bCs/>
                      <w:sz w:val="10"/>
                      <w:szCs w:val="10"/>
                    </w:rPr>
                  </w:pPr>
                  <w:r w:rsidRPr="002A1F9A">
                    <w:rPr>
                      <w:rFonts w:ascii="Verdana" w:hAnsi="Verdana"/>
                      <w:b/>
                      <w:bCs/>
                      <w:sz w:val="10"/>
                      <w:szCs w:val="10"/>
                    </w:rPr>
                    <w:t>2018</w:t>
                  </w:r>
                </w:p>
              </w:tc>
              <w:tc>
                <w:tcPr>
                  <w:tcW w:w="588" w:type="dxa"/>
                  <w:noWrap/>
                  <w:hideMark/>
                </w:tcPr>
                <w:p w:rsidRPr="002A1F9A" w:rsidR="00FE14A2" w:rsidP="00FE14A2" w:rsidRDefault="00FE14A2" w14:paraId="7E4411C4" w14:textId="77777777">
                  <w:pPr>
                    <w:rPr>
                      <w:rFonts w:ascii="Verdana" w:hAnsi="Verdana"/>
                      <w:b/>
                      <w:bCs/>
                      <w:sz w:val="10"/>
                      <w:szCs w:val="10"/>
                    </w:rPr>
                  </w:pPr>
                  <w:r w:rsidRPr="002A1F9A">
                    <w:rPr>
                      <w:rFonts w:ascii="Verdana" w:hAnsi="Verdana"/>
                      <w:b/>
                      <w:bCs/>
                      <w:sz w:val="10"/>
                      <w:szCs w:val="10"/>
                    </w:rPr>
                    <w:t>2019</w:t>
                  </w:r>
                </w:p>
              </w:tc>
              <w:tc>
                <w:tcPr>
                  <w:tcW w:w="588" w:type="dxa"/>
                  <w:noWrap/>
                  <w:hideMark/>
                </w:tcPr>
                <w:p w:rsidRPr="002A1F9A" w:rsidR="00FE14A2" w:rsidP="00FE14A2" w:rsidRDefault="00FE14A2" w14:paraId="146A8A4F" w14:textId="77777777">
                  <w:pPr>
                    <w:rPr>
                      <w:rFonts w:ascii="Verdana" w:hAnsi="Verdana"/>
                      <w:b/>
                      <w:bCs/>
                      <w:sz w:val="10"/>
                      <w:szCs w:val="10"/>
                    </w:rPr>
                  </w:pPr>
                  <w:r w:rsidRPr="002A1F9A">
                    <w:rPr>
                      <w:rFonts w:ascii="Verdana" w:hAnsi="Verdana"/>
                      <w:b/>
                      <w:bCs/>
                      <w:sz w:val="10"/>
                      <w:szCs w:val="10"/>
                    </w:rPr>
                    <w:t>2020</w:t>
                  </w:r>
                </w:p>
              </w:tc>
              <w:tc>
                <w:tcPr>
                  <w:tcW w:w="589" w:type="dxa"/>
                  <w:noWrap/>
                  <w:hideMark/>
                </w:tcPr>
                <w:p w:rsidRPr="002A1F9A" w:rsidR="00FE14A2" w:rsidP="00FE14A2" w:rsidRDefault="00FE14A2" w14:paraId="5648C726" w14:textId="77777777">
                  <w:pPr>
                    <w:rPr>
                      <w:rFonts w:ascii="Verdana" w:hAnsi="Verdana"/>
                      <w:b/>
                      <w:bCs/>
                      <w:sz w:val="10"/>
                      <w:szCs w:val="10"/>
                    </w:rPr>
                  </w:pPr>
                  <w:r w:rsidRPr="002A1F9A">
                    <w:rPr>
                      <w:rFonts w:ascii="Verdana" w:hAnsi="Verdana"/>
                      <w:b/>
                      <w:bCs/>
                      <w:sz w:val="10"/>
                      <w:szCs w:val="10"/>
                    </w:rPr>
                    <w:t>2021</w:t>
                  </w:r>
                </w:p>
              </w:tc>
              <w:tc>
                <w:tcPr>
                  <w:tcW w:w="588" w:type="dxa"/>
                  <w:noWrap/>
                  <w:hideMark/>
                </w:tcPr>
                <w:p w:rsidRPr="002A1F9A" w:rsidR="00FE14A2" w:rsidP="00FE14A2" w:rsidRDefault="00FE14A2" w14:paraId="410CDD76" w14:textId="77777777">
                  <w:pPr>
                    <w:rPr>
                      <w:rFonts w:ascii="Verdana" w:hAnsi="Verdana"/>
                      <w:b/>
                      <w:bCs/>
                      <w:sz w:val="10"/>
                      <w:szCs w:val="10"/>
                    </w:rPr>
                  </w:pPr>
                  <w:r w:rsidRPr="002A1F9A">
                    <w:rPr>
                      <w:rFonts w:ascii="Verdana" w:hAnsi="Verdana"/>
                      <w:b/>
                      <w:bCs/>
                      <w:sz w:val="10"/>
                      <w:szCs w:val="10"/>
                    </w:rPr>
                    <w:t>2022</w:t>
                  </w:r>
                </w:p>
              </w:tc>
              <w:tc>
                <w:tcPr>
                  <w:tcW w:w="588" w:type="dxa"/>
                  <w:noWrap/>
                  <w:hideMark/>
                </w:tcPr>
                <w:p w:rsidRPr="002A1F9A" w:rsidR="00FE14A2" w:rsidP="00FE14A2" w:rsidRDefault="00FE14A2" w14:paraId="2598DDD9" w14:textId="77777777">
                  <w:pPr>
                    <w:rPr>
                      <w:rFonts w:ascii="Verdana" w:hAnsi="Verdana"/>
                      <w:b/>
                      <w:bCs/>
                      <w:sz w:val="10"/>
                      <w:szCs w:val="10"/>
                    </w:rPr>
                  </w:pPr>
                  <w:r w:rsidRPr="002A1F9A">
                    <w:rPr>
                      <w:rFonts w:ascii="Verdana" w:hAnsi="Verdana"/>
                      <w:b/>
                      <w:bCs/>
                      <w:sz w:val="10"/>
                      <w:szCs w:val="10"/>
                    </w:rPr>
                    <w:t>2023</w:t>
                  </w:r>
                </w:p>
              </w:tc>
              <w:tc>
                <w:tcPr>
                  <w:tcW w:w="589" w:type="dxa"/>
                  <w:noWrap/>
                  <w:hideMark/>
                </w:tcPr>
                <w:p w:rsidRPr="002A1F9A" w:rsidR="00FE14A2" w:rsidP="00FE14A2" w:rsidRDefault="00FE14A2" w14:paraId="74838979" w14:textId="77777777">
                  <w:pPr>
                    <w:rPr>
                      <w:rFonts w:ascii="Verdana" w:hAnsi="Verdana"/>
                      <w:b/>
                      <w:bCs/>
                      <w:sz w:val="10"/>
                      <w:szCs w:val="10"/>
                    </w:rPr>
                  </w:pPr>
                  <w:r w:rsidRPr="002A1F9A">
                    <w:rPr>
                      <w:rFonts w:ascii="Verdana" w:hAnsi="Verdana"/>
                      <w:b/>
                      <w:bCs/>
                      <w:sz w:val="10"/>
                      <w:szCs w:val="10"/>
                    </w:rPr>
                    <w:t>2024</w:t>
                  </w:r>
                </w:p>
              </w:tc>
            </w:tr>
            <w:tr w:rsidRPr="002A1F9A" w:rsidR="00FE14A2" w:rsidTr="00FE14A2" w14:paraId="786F7FEB" w14:textId="77777777">
              <w:trPr>
                <w:trHeight w:val="281"/>
              </w:trPr>
              <w:tc>
                <w:tcPr>
                  <w:tcW w:w="589" w:type="dxa"/>
                </w:tcPr>
                <w:p w:rsidRPr="002A1F9A" w:rsidR="00FE14A2" w:rsidP="00FE14A2" w:rsidRDefault="00FE14A2" w14:paraId="2FA6E0B9" w14:textId="04AFEC7C">
                  <w:pPr>
                    <w:rPr>
                      <w:rFonts w:ascii="Verdana" w:hAnsi="Verdana"/>
                      <w:sz w:val="10"/>
                      <w:szCs w:val="10"/>
                    </w:rPr>
                  </w:pPr>
                  <w:r w:rsidRPr="002A1F9A">
                    <w:rPr>
                      <w:rFonts w:ascii="Verdana" w:hAnsi="Verdana"/>
                      <w:sz w:val="10"/>
                      <w:szCs w:val="10"/>
                    </w:rPr>
                    <w:t>Hoogleraar</w:t>
                  </w:r>
                </w:p>
              </w:tc>
              <w:tc>
                <w:tcPr>
                  <w:tcW w:w="588" w:type="dxa"/>
                  <w:noWrap/>
                  <w:hideMark/>
                </w:tcPr>
                <w:p w:rsidRPr="002A1F9A" w:rsidR="00FE14A2" w:rsidP="00FE14A2" w:rsidRDefault="00FE14A2" w14:paraId="09628032" w14:textId="77777777">
                  <w:pPr>
                    <w:rPr>
                      <w:rFonts w:ascii="Verdana" w:hAnsi="Verdana"/>
                      <w:sz w:val="10"/>
                      <w:szCs w:val="10"/>
                    </w:rPr>
                  </w:pPr>
                  <w:r w:rsidRPr="002A1F9A">
                    <w:rPr>
                      <w:rFonts w:ascii="Verdana" w:hAnsi="Verdana"/>
                      <w:sz w:val="10"/>
                      <w:szCs w:val="10"/>
                    </w:rPr>
                    <w:t>18,0%</w:t>
                  </w:r>
                </w:p>
              </w:tc>
              <w:tc>
                <w:tcPr>
                  <w:tcW w:w="588" w:type="dxa"/>
                  <w:noWrap/>
                  <w:hideMark/>
                </w:tcPr>
                <w:p w:rsidRPr="002A1F9A" w:rsidR="00FE14A2" w:rsidP="00FE14A2" w:rsidRDefault="00FE14A2" w14:paraId="22DCA62E" w14:textId="77777777">
                  <w:pPr>
                    <w:rPr>
                      <w:rFonts w:ascii="Verdana" w:hAnsi="Verdana"/>
                      <w:sz w:val="10"/>
                      <w:szCs w:val="10"/>
                    </w:rPr>
                  </w:pPr>
                  <w:r w:rsidRPr="002A1F9A">
                    <w:rPr>
                      <w:rFonts w:ascii="Verdana" w:hAnsi="Verdana"/>
                      <w:sz w:val="10"/>
                      <w:szCs w:val="10"/>
                    </w:rPr>
                    <w:t>18,8%</w:t>
                  </w:r>
                </w:p>
              </w:tc>
              <w:tc>
                <w:tcPr>
                  <w:tcW w:w="588" w:type="dxa"/>
                  <w:noWrap/>
                  <w:hideMark/>
                </w:tcPr>
                <w:p w:rsidRPr="002A1F9A" w:rsidR="00FE14A2" w:rsidP="00FE14A2" w:rsidRDefault="00FE14A2" w14:paraId="05DFE60A" w14:textId="77777777">
                  <w:pPr>
                    <w:rPr>
                      <w:rFonts w:ascii="Verdana" w:hAnsi="Verdana"/>
                      <w:sz w:val="10"/>
                      <w:szCs w:val="10"/>
                    </w:rPr>
                  </w:pPr>
                  <w:r w:rsidRPr="002A1F9A">
                    <w:rPr>
                      <w:rFonts w:ascii="Verdana" w:hAnsi="Verdana"/>
                      <w:sz w:val="10"/>
                      <w:szCs w:val="10"/>
                    </w:rPr>
                    <w:t>20,2%</w:t>
                  </w:r>
                </w:p>
              </w:tc>
              <w:tc>
                <w:tcPr>
                  <w:tcW w:w="589" w:type="dxa"/>
                  <w:noWrap/>
                  <w:hideMark/>
                </w:tcPr>
                <w:p w:rsidRPr="002A1F9A" w:rsidR="00FE14A2" w:rsidP="00FE14A2" w:rsidRDefault="00FE14A2" w14:paraId="7988D15D" w14:textId="77777777">
                  <w:pPr>
                    <w:rPr>
                      <w:rFonts w:ascii="Verdana" w:hAnsi="Verdana"/>
                      <w:sz w:val="10"/>
                      <w:szCs w:val="10"/>
                    </w:rPr>
                  </w:pPr>
                  <w:r w:rsidRPr="002A1F9A">
                    <w:rPr>
                      <w:rFonts w:ascii="Verdana" w:hAnsi="Verdana"/>
                      <w:sz w:val="10"/>
                      <w:szCs w:val="10"/>
                    </w:rPr>
                    <w:t>22,2%</w:t>
                  </w:r>
                </w:p>
              </w:tc>
              <w:tc>
                <w:tcPr>
                  <w:tcW w:w="588" w:type="dxa"/>
                  <w:noWrap/>
                  <w:hideMark/>
                </w:tcPr>
                <w:p w:rsidRPr="002A1F9A" w:rsidR="00FE14A2" w:rsidP="00FE14A2" w:rsidRDefault="00FE14A2" w14:paraId="10D4E4C9" w14:textId="77777777">
                  <w:pPr>
                    <w:rPr>
                      <w:rFonts w:ascii="Verdana" w:hAnsi="Verdana"/>
                      <w:sz w:val="10"/>
                      <w:szCs w:val="10"/>
                    </w:rPr>
                  </w:pPr>
                  <w:r w:rsidRPr="002A1F9A">
                    <w:rPr>
                      <w:rFonts w:ascii="Verdana" w:hAnsi="Verdana"/>
                      <w:sz w:val="10"/>
                      <w:szCs w:val="10"/>
                    </w:rPr>
                    <w:t>23,5%</w:t>
                  </w:r>
                </w:p>
              </w:tc>
              <w:tc>
                <w:tcPr>
                  <w:tcW w:w="588" w:type="dxa"/>
                  <w:noWrap/>
                  <w:hideMark/>
                </w:tcPr>
                <w:p w:rsidRPr="002A1F9A" w:rsidR="00FE14A2" w:rsidP="00FE14A2" w:rsidRDefault="00FE14A2" w14:paraId="52599A35" w14:textId="77777777">
                  <w:pPr>
                    <w:rPr>
                      <w:rFonts w:ascii="Verdana" w:hAnsi="Verdana"/>
                      <w:sz w:val="10"/>
                      <w:szCs w:val="10"/>
                    </w:rPr>
                  </w:pPr>
                  <w:r w:rsidRPr="002A1F9A">
                    <w:rPr>
                      <w:rFonts w:ascii="Verdana" w:hAnsi="Verdana"/>
                      <w:sz w:val="10"/>
                      <w:szCs w:val="10"/>
                    </w:rPr>
                    <w:t>25,0%</w:t>
                  </w:r>
                </w:p>
              </w:tc>
              <w:tc>
                <w:tcPr>
                  <w:tcW w:w="589" w:type="dxa"/>
                  <w:noWrap/>
                  <w:hideMark/>
                </w:tcPr>
                <w:p w:rsidRPr="002A1F9A" w:rsidR="00FE14A2" w:rsidP="00FE14A2" w:rsidRDefault="00FE14A2" w14:paraId="527DBD04" w14:textId="77777777">
                  <w:pPr>
                    <w:rPr>
                      <w:rFonts w:ascii="Verdana" w:hAnsi="Verdana"/>
                      <w:sz w:val="10"/>
                      <w:szCs w:val="10"/>
                    </w:rPr>
                  </w:pPr>
                  <w:r w:rsidRPr="002A1F9A">
                    <w:rPr>
                      <w:rFonts w:ascii="Verdana" w:hAnsi="Verdana"/>
                      <w:sz w:val="10"/>
                      <w:szCs w:val="10"/>
                    </w:rPr>
                    <w:t>25,9%</w:t>
                  </w:r>
                </w:p>
              </w:tc>
              <w:tc>
                <w:tcPr>
                  <w:tcW w:w="588" w:type="dxa"/>
                  <w:noWrap/>
                  <w:hideMark/>
                </w:tcPr>
                <w:p w:rsidRPr="002A1F9A" w:rsidR="00FE14A2" w:rsidP="00FE14A2" w:rsidRDefault="00FE14A2" w14:paraId="3CC93385" w14:textId="77777777">
                  <w:pPr>
                    <w:rPr>
                      <w:rFonts w:ascii="Verdana" w:hAnsi="Verdana"/>
                      <w:sz w:val="10"/>
                      <w:szCs w:val="10"/>
                    </w:rPr>
                  </w:pPr>
                  <w:r w:rsidRPr="002A1F9A">
                    <w:rPr>
                      <w:rFonts w:ascii="Verdana" w:hAnsi="Verdana"/>
                      <w:sz w:val="10"/>
                      <w:szCs w:val="10"/>
                    </w:rPr>
                    <w:t>27,0%</w:t>
                  </w:r>
                </w:p>
              </w:tc>
              <w:tc>
                <w:tcPr>
                  <w:tcW w:w="588" w:type="dxa"/>
                  <w:noWrap/>
                  <w:hideMark/>
                </w:tcPr>
                <w:p w:rsidRPr="002A1F9A" w:rsidR="00FE14A2" w:rsidP="00FE14A2" w:rsidRDefault="00FE14A2" w14:paraId="0DCA52D5" w14:textId="77777777">
                  <w:pPr>
                    <w:rPr>
                      <w:rFonts w:ascii="Verdana" w:hAnsi="Verdana"/>
                      <w:sz w:val="10"/>
                      <w:szCs w:val="10"/>
                    </w:rPr>
                  </w:pPr>
                  <w:r w:rsidRPr="002A1F9A">
                    <w:rPr>
                      <w:rFonts w:ascii="Verdana" w:hAnsi="Verdana"/>
                      <w:sz w:val="10"/>
                      <w:szCs w:val="10"/>
                    </w:rPr>
                    <w:t>28,3%</w:t>
                  </w:r>
                </w:p>
              </w:tc>
              <w:tc>
                <w:tcPr>
                  <w:tcW w:w="589" w:type="dxa"/>
                  <w:noWrap/>
                  <w:hideMark/>
                </w:tcPr>
                <w:p w:rsidRPr="002A1F9A" w:rsidR="00FE14A2" w:rsidP="00FE14A2" w:rsidRDefault="00FE14A2" w14:paraId="25D85CDE" w14:textId="77777777">
                  <w:pPr>
                    <w:rPr>
                      <w:rFonts w:ascii="Verdana" w:hAnsi="Verdana"/>
                      <w:sz w:val="10"/>
                      <w:szCs w:val="10"/>
                    </w:rPr>
                  </w:pPr>
                  <w:r w:rsidRPr="002A1F9A">
                    <w:rPr>
                      <w:rFonts w:ascii="Verdana" w:hAnsi="Verdana"/>
                      <w:sz w:val="10"/>
                      <w:szCs w:val="10"/>
                    </w:rPr>
                    <w:t>29,5%</w:t>
                  </w:r>
                </w:p>
              </w:tc>
            </w:tr>
            <w:tr w:rsidRPr="002A1F9A" w:rsidR="00FE14A2" w:rsidTr="00FE14A2" w14:paraId="16FD1329" w14:textId="77777777">
              <w:trPr>
                <w:trHeight w:val="281"/>
              </w:trPr>
              <w:tc>
                <w:tcPr>
                  <w:tcW w:w="589" w:type="dxa"/>
                </w:tcPr>
                <w:p w:rsidRPr="002A1F9A" w:rsidR="00FE14A2" w:rsidP="00FE14A2" w:rsidRDefault="00FE14A2" w14:paraId="3A168F3D" w14:textId="6C0FF9CE">
                  <w:pPr>
                    <w:rPr>
                      <w:rFonts w:ascii="Verdana" w:hAnsi="Verdana"/>
                      <w:sz w:val="10"/>
                      <w:szCs w:val="10"/>
                    </w:rPr>
                  </w:pPr>
                  <w:r w:rsidRPr="002A1F9A">
                    <w:rPr>
                      <w:rFonts w:ascii="Verdana" w:hAnsi="Verdana"/>
                      <w:sz w:val="10"/>
                      <w:szCs w:val="10"/>
                    </w:rPr>
                    <w:t>Universitair hoofddocent</w:t>
                  </w:r>
                </w:p>
              </w:tc>
              <w:tc>
                <w:tcPr>
                  <w:tcW w:w="588" w:type="dxa"/>
                  <w:noWrap/>
                  <w:hideMark/>
                </w:tcPr>
                <w:p w:rsidRPr="002A1F9A" w:rsidR="00FE14A2" w:rsidP="00FE14A2" w:rsidRDefault="00FE14A2" w14:paraId="46213F82" w14:textId="77777777">
                  <w:pPr>
                    <w:rPr>
                      <w:rFonts w:ascii="Verdana" w:hAnsi="Verdana"/>
                      <w:sz w:val="10"/>
                      <w:szCs w:val="10"/>
                    </w:rPr>
                  </w:pPr>
                  <w:r w:rsidRPr="002A1F9A">
                    <w:rPr>
                      <w:rFonts w:ascii="Verdana" w:hAnsi="Verdana"/>
                      <w:sz w:val="10"/>
                      <w:szCs w:val="10"/>
                    </w:rPr>
                    <w:t>27,0%</w:t>
                  </w:r>
                </w:p>
              </w:tc>
              <w:tc>
                <w:tcPr>
                  <w:tcW w:w="588" w:type="dxa"/>
                  <w:noWrap/>
                  <w:hideMark/>
                </w:tcPr>
                <w:p w:rsidRPr="002A1F9A" w:rsidR="00FE14A2" w:rsidP="00FE14A2" w:rsidRDefault="00FE14A2" w14:paraId="048E4B53" w14:textId="77777777">
                  <w:pPr>
                    <w:rPr>
                      <w:rFonts w:ascii="Verdana" w:hAnsi="Verdana"/>
                      <w:sz w:val="10"/>
                      <w:szCs w:val="10"/>
                    </w:rPr>
                  </w:pPr>
                  <w:r w:rsidRPr="002A1F9A">
                    <w:rPr>
                      <w:rFonts w:ascii="Verdana" w:hAnsi="Verdana"/>
                      <w:sz w:val="10"/>
                      <w:szCs w:val="10"/>
                    </w:rPr>
                    <w:t>27,9%</w:t>
                  </w:r>
                </w:p>
              </w:tc>
              <w:tc>
                <w:tcPr>
                  <w:tcW w:w="588" w:type="dxa"/>
                  <w:noWrap/>
                  <w:hideMark/>
                </w:tcPr>
                <w:p w:rsidRPr="002A1F9A" w:rsidR="00FE14A2" w:rsidP="00FE14A2" w:rsidRDefault="00FE14A2" w14:paraId="61EC749C" w14:textId="77777777">
                  <w:pPr>
                    <w:rPr>
                      <w:rFonts w:ascii="Verdana" w:hAnsi="Verdana"/>
                      <w:sz w:val="10"/>
                      <w:szCs w:val="10"/>
                    </w:rPr>
                  </w:pPr>
                  <w:r w:rsidRPr="002A1F9A">
                    <w:rPr>
                      <w:rFonts w:ascii="Verdana" w:hAnsi="Verdana"/>
                      <w:sz w:val="10"/>
                      <w:szCs w:val="10"/>
                    </w:rPr>
                    <w:t>29,0%</w:t>
                  </w:r>
                </w:p>
              </w:tc>
              <w:tc>
                <w:tcPr>
                  <w:tcW w:w="589" w:type="dxa"/>
                  <w:noWrap/>
                  <w:hideMark/>
                </w:tcPr>
                <w:p w:rsidRPr="002A1F9A" w:rsidR="00FE14A2" w:rsidP="00FE14A2" w:rsidRDefault="00FE14A2" w14:paraId="47426D1F" w14:textId="77777777">
                  <w:pPr>
                    <w:rPr>
                      <w:rFonts w:ascii="Verdana" w:hAnsi="Verdana"/>
                      <w:sz w:val="10"/>
                      <w:szCs w:val="10"/>
                    </w:rPr>
                  </w:pPr>
                  <w:r w:rsidRPr="002A1F9A">
                    <w:rPr>
                      <w:rFonts w:ascii="Verdana" w:hAnsi="Verdana"/>
                      <w:sz w:val="10"/>
                      <w:szCs w:val="10"/>
                    </w:rPr>
                    <w:t>29,1%</w:t>
                  </w:r>
                </w:p>
              </w:tc>
              <w:tc>
                <w:tcPr>
                  <w:tcW w:w="588" w:type="dxa"/>
                  <w:noWrap/>
                  <w:hideMark/>
                </w:tcPr>
                <w:p w:rsidRPr="002A1F9A" w:rsidR="00FE14A2" w:rsidP="00FE14A2" w:rsidRDefault="00FE14A2" w14:paraId="5A61200B" w14:textId="77777777">
                  <w:pPr>
                    <w:rPr>
                      <w:rFonts w:ascii="Verdana" w:hAnsi="Verdana"/>
                      <w:sz w:val="10"/>
                      <w:szCs w:val="10"/>
                    </w:rPr>
                  </w:pPr>
                  <w:r w:rsidRPr="002A1F9A">
                    <w:rPr>
                      <w:rFonts w:ascii="Verdana" w:hAnsi="Verdana"/>
                      <w:sz w:val="10"/>
                      <w:szCs w:val="10"/>
                    </w:rPr>
                    <w:t>30,0%</w:t>
                  </w:r>
                </w:p>
              </w:tc>
              <w:tc>
                <w:tcPr>
                  <w:tcW w:w="588" w:type="dxa"/>
                  <w:noWrap/>
                  <w:hideMark/>
                </w:tcPr>
                <w:p w:rsidRPr="002A1F9A" w:rsidR="00FE14A2" w:rsidP="00FE14A2" w:rsidRDefault="00FE14A2" w14:paraId="5B172168" w14:textId="77777777">
                  <w:pPr>
                    <w:rPr>
                      <w:rFonts w:ascii="Verdana" w:hAnsi="Verdana"/>
                      <w:sz w:val="10"/>
                      <w:szCs w:val="10"/>
                    </w:rPr>
                  </w:pPr>
                  <w:r w:rsidRPr="002A1F9A">
                    <w:rPr>
                      <w:rFonts w:ascii="Verdana" w:hAnsi="Verdana"/>
                      <w:sz w:val="10"/>
                      <w:szCs w:val="10"/>
                    </w:rPr>
                    <w:t>31,2%</w:t>
                  </w:r>
                </w:p>
              </w:tc>
              <w:tc>
                <w:tcPr>
                  <w:tcW w:w="589" w:type="dxa"/>
                  <w:noWrap/>
                  <w:hideMark/>
                </w:tcPr>
                <w:p w:rsidRPr="002A1F9A" w:rsidR="00FE14A2" w:rsidP="00FE14A2" w:rsidRDefault="00FE14A2" w14:paraId="216983B3" w14:textId="77777777">
                  <w:pPr>
                    <w:rPr>
                      <w:rFonts w:ascii="Verdana" w:hAnsi="Verdana"/>
                      <w:sz w:val="10"/>
                      <w:szCs w:val="10"/>
                    </w:rPr>
                  </w:pPr>
                  <w:r w:rsidRPr="002A1F9A">
                    <w:rPr>
                      <w:rFonts w:ascii="Verdana" w:hAnsi="Verdana"/>
                      <w:sz w:val="10"/>
                      <w:szCs w:val="10"/>
                    </w:rPr>
                    <w:t>33,1%</w:t>
                  </w:r>
                </w:p>
              </w:tc>
              <w:tc>
                <w:tcPr>
                  <w:tcW w:w="588" w:type="dxa"/>
                  <w:noWrap/>
                  <w:hideMark/>
                </w:tcPr>
                <w:p w:rsidRPr="002A1F9A" w:rsidR="00FE14A2" w:rsidP="00FE14A2" w:rsidRDefault="00FE14A2" w14:paraId="67EE3999" w14:textId="77777777">
                  <w:pPr>
                    <w:rPr>
                      <w:rFonts w:ascii="Verdana" w:hAnsi="Verdana"/>
                      <w:sz w:val="10"/>
                      <w:szCs w:val="10"/>
                    </w:rPr>
                  </w:pPr>
                  <w:r w:rsidRPr="002A1F9A">
                    <w:rPr>
                      <w:rFonts w:ascii="Verdana" w:hAnsi="Verdana"/>
                      <w:sz w:val="10"/>
                      <w:szCs w:val="10"/>
                    </w:rPr>
                    <w:t>34,3%</w:t>
                  </w:r>
                </w:p>
              </w:tc>
              <w:tc>
                <w:tcPr>
                  <w:tcW w:w="588" w:type="dxa"/>
                  <w:noWrap/>
                  <w:hideMark/>
                </w:tcPr>
                <w:p w:rsidRPr="002A1F9A" w:rsidR="00FE14A2" w:rsidP="00FE14A2" w:rsidRDefault="00FE14A2" w14:paraId="39249F0A" w14:textId="77777777">
                  <w:pPr>
                    <w:rPr>
                      <w:rFonts w:ascii="Verdana" w:hAnsi="Verdana"/>
                      <w:sz w:val="10"/>
                      <w:szCs w:val="10"/>
                    </w:rPr>
                  </w:pPr>
                  <w:r w:rsidRPr="002A1F9A">
                    <w:rPr>
                      <w:rFonts w:ascii="Verdana" w:hAnsi="Verdana"/>
                      <w:sz w:val="10"/>
                      <w:szCs w:val="10"/>
                    </w:rPr>
                    <w:t>35,9%</w:t>
                  </w:r>
                </w:p>
              </w:tc>
              <w:tc>
                <w:tcPr>
                  <w:tcW w:w="589" w:type="dxa"/>
                  <w:noWrap/>
                  <w:hideMark/>
                </w:tcPr>
                <w:p w:rsidRPr="002A1F9A" w:rsidR="00FE14A2" w:rsidP="00FE14A2" w:rsidRDefault="00FE14A2" w14:paraId="4CF61128" w14:textId="77777777">
                  <w:pPr>
                    <w:rPr>
                      <w:rFonts w:ascii="Verdana" w:hAnsi="Verdana"/>
                      <w:sz w:val="10"/>
                      <w:szCs w:val="10"/>
                    </w:rPr>
                  </w:pPr>
                  <w:r w:rsidRPr="002A1F9A">
                    <w:rPr>
                      <w:rFonts w:ascii="Verdana" w:hAnsi="Verdana"/>
                      <w:sz w:val="10"/>
                      <w:szCs w:val="10"/>
                    </w:rPr>
                    <w:t>37,0%</w:t>
                  </w:r>
                </w:p>
              </w:tc>
            </w:tr>
            <w:tr w:rsidRPr="002A1F9A" w:rsidR="00FE14A2" w:rsidTr="00FE14A2" w14:paraId="10225608" w14:textId="77777777">
              <w:trPr>
                <w:trHeight w:val="281"/>
              </w:trPr>
              <w:tc>
                <w:tcPr>
                  <w:tcW w:w="589" w:type="dxa"/>
                </w:tcPr>
                <w:p w:rsidRPr="002A1F9A" w:rsidR="00FE14A2" w:rsidP="00FE14A2" w:rsidRDefault="00FE14A2" w14:paraId="26D9E346" w14:textId="3BEF4CD9">
                  <w:pPr>
                    <w:rPr>
                      <w:rFonts w:ascii="Verdana" w:hAnsi="Verdana"/>
                      <w:sz w:val="10"/>
                      <w:szCs w:val="10"/>
                    </w:rPr>
                  </w:pPr>
                  <w:r w:rsidRPr="002A1F9A">
                    <w:rPr>
                      <w:rFonts w:ascii="Verdana" w:hAnsi="Verdana"/>
                      <w:sz w:val="10"/>
                      <w:szCs w:val="10"/>
                    </w:rPr>
                    <w:t>Universitair docent</w:t>
                  </w:r>
                </w:p>
              </w:tc>
              <w:tc>
                <w:tcPr>
                  <w:tcW w:w="588" w:type="dxa"/>
                  <w:noWrap/>
                  <w:hideMark/>
                </w:tcPr>
                <w:p w:rsidRPr="002A1F9A" w:rsidR="00FE14A2" w:rsidP="00FE14A2" w:rsidRDefault="00FE14A2" w14:paraId="4EF20358" w14:textId="77777777">
                  <w:pPr>
                    <w:rPr>
                      <w:rFonts w:ascii="Verdana" w:hAnsi="Verdana"/>
                      <w:sz w:val="10"/>
                      <w:szCs w:val="10"/>
                    </w:rPr>
                  </w:pPr>
                  <w:r w:rsidRPr="002A1F9A">
                    <w:rPr>
                      <w:rFonts w:ascii="Verdana" w:hAnsi="Verdana"/>
                      <w:sz w:val="10"/>
                      <w:szCs w:val="10"/>
                    </w:rPr>
                    <w:t>39,4%</w:t>
                  </w:r>
                </w:p>
              </w:tc>
              <w:tc>
                <w:tcPr>
                  <w:tcW w:w="588" w:type="dxa"/>
                  <w:noWrap/>
                  <w:hideMark/>
                </w:tcPr>
                <w:p w:rsidRPr="002A1F9A" w:rsidR="00FE14A2" w:rsidP="00FE14A2" w:rsidRDefault="00FE14A2" w14:paraId="357733C4" w14:textId="77777777">
                  <w:pPr>
                    <w:rPr>
                      <w:rFonts w:ascii="Verdana" w:hAnsi="Verdana"/>
                      <w:sz w:val="10"/>
                      <w:szCs w:val="10"/>
                    </w:rPr>
                  </w:pPr>
                  <w:r w:rsidRPr="002A1F9A">
                    <w:rPr>
                      <w:rFonts w:ascii="Verdana" w:hAnsi="Verdana"/>
                      <w:sz w:val="10"/>
                      <w:szCs w:val="10"/>
                    </w:rPr>
                    <w:t>40,1%</w:t>
                  </w:r>
                </w:p>
              </w:tc>
              <w:tc>
                <w:tcPr>
                  <w:tcW w:w="588" w:type="dxa"/>
                  <w:noWrap/>
                  <w:hideMark/>
                </w:tcPr>
                <w:p w:rsidRPr="002A1F9A" w:rsidR="00FE14A2" w:rsidP="00FE14A2" w:rsidRDefault="00FE14A2" w14:paraId="3909B627" w14:textId="77777777">
                  <w:pPr>
                    <w:rPr>
                      <w:rFonts w:ascii="Verdana" w:hAnsi="Verdana"/>
                      <w:sz w:val="10"/>
                      <w:szCs w:val="10"/>
                    </w:rPr>
                  </w:pPr>
                  <w:r w:rsidRPr="002A1F9A">
                    <w:rPr>
                      <w:rFonts w:ascii="Verdana" w:hAnsi="Verdana"/>
                      <w:sz w:val="10"/>
                      <w:szCs w:val="10"/>
                    </w:rPr>
                    <w:t>41,3%</w:t>
                  </w:r>
                </w:p>
              </w:tc>
              <w:tc>
                <w:tcPr>
                  <w:tcW w:w="589" w:type="dxa"/>
                  <w:noWrap/>
                  <w:hideMark/>
                </w:tcPr>
                <w:p w:rsidRPr="002A1F9A" w:rsidR="00FE14A2" w:rsidP="00FE14A2" w:rsidRDefault="00FE14A2" w14:paraId="449DC8BD" w14:textId="77777777">
                  <w:pPr>
                    <w:rPr>
                      <w:rFonts w:ascii="Verdana" w:hAnsi="Verdana"/>
                      <w:sz w:val="10"/>
                      <w:szCs w:val="10"/>
                    </w:rPr>
                  </w:pPr>
                  <w:r w:rsidRPr="002A1F9A">
                    <w:rPr>
                      <w:rFonts w:ascii="Verdana" w:hAnsi="Verdana"/>
                      <w:sz w:val="10"/>
                      <w:szCs w:val="10"/>
                    </w:rPr>
                    <w:t>42,6%</w:t>
                  </w:r>
                </w:p>
              </w:tc>
              <w:tc>
                <w:tcPr>
                  <w:tcW w:w="588" w:type="dxa"/>
                  <w:noWrap/>
                  <w:hideMark/>
                </w:tcPr>
                <w:p w:rsidRPr="002A1F9A" w:rsidR="00FE14A2" w:rsidP="00FE14A2" w:rsidRDefault="00FE14A2" w14:paraId="742ADAF1" w14:textId="77777777">
                  <w:pPr>
                    <w:rPr>
                      <w:rFonts w:ascii="Verdana" w:hAnsi="Verdana"/>
                      <w:sz w:val="10"/>
                      <w:szCs w:val="10"/>
                    </w:rPr>
                  </w:pPr>
                  <w:r w:rsidRPr="002A1F9A">
                    <w:rPr>
                      <w:rFonts w:ascii="Verdana" w:hAnsi="Verdana"/>
                      <w:sz w:val="10"/>
                      <w:szCs w:val="10"/>
                    </w:rPr>
                    <w:t>42,7%</w:t>
                  </w:r>
                </w:p>
              </w:tc>
              <w:tc>
                <w:tcPr>
                  <w:tcW w:w="588" w:type="dxa"/>
                  <w:noWrap/>
                  <w:hideMark/>
                </w:tcPr>
                <w:p w:rsidRPr="002A1F9A" w:rsidR="00FE14A2" w:rsidP="00FE14A2" w:rsidRDefault="00FE14A2" w14:paraId="2B1E390D" w14:textId="77777777">
                  <w:pPr>
                    <w:rPr>
                      <w:rFonts w:ascii="Verdana" w:hAnsi="Verdana"/>
                      <w:sz w:val="10"/>
                      <w:szCs w:val="10"/>
                    </w:rPr>
                  </w:pPr>
                  <w:r w:rsidRPr="002A1F9A">
                    <w:rPr>
                      <w:rFonts w:ascii="Verdana" w:hAnsi="Verdana"/>
                      <w:sz w:val="10"/>
                      <w:szCs w:val="10"/>
                    </w:rPr>
                    <w:t>44,2%</w:t>
                  </w:r>
                </w:p>
              </w:tc>
              <w:tc>
                <w:tcPr>
                  <w:tcW w:w="589" w:type="dxa"/>
                  <w:noWrap/>
                  <w:hideMark/>
                </w:tcPr>
                <w:p w:rsidRPr="002A1F9A" w:rsidR="00FE14A2" w:rsidP="00FE14A2" w:rsidRDefault="00FE14A2" w14:paraId="417F77F9" w14:textId="77777777">
                  <w:pPr>
                    <w:rPr>
                      <w:rFonts w:ascii="Verdana" w:hAnsi="Verdana"/>
                      <w:sz w:val="10"/>
                      <w:szCs w:val="10"/>
                    </w:rPr>
                  </w:pPr>
                  <w:r w:rsidRPr="002A1F9A">
                    <w:rPr>
                      <w:rFonts w:ascii="Verdana" w:hAnsi="Verdana"/>
                      <w:sz w:val="10"/>
                      <w:szCs w:val="10"/>
                    </w:rPr>
                    <w:t>45,1%</w:t>
                  </w:r>
                </w:p>
              </w:tc>
              <w:tc>
                <w:tcPr>
                  <w:tcW w:w="588" w:type="dxa"/>
                  <w:noWrap/>
                  <w:hideMark/>
                </w:tcPr>
                <w:p w:rsidRPr="002A1F9A" w:rsidR="00FE14A2" w:rsidP="00FE14A2" w:rsidRDefault="00FE14A2" w14:paraId="522A538A" w14:textId="77777777">
                  <w:pPr>
                    <w:rPr>
                      <w:rFonts w:ascii="Verdana" w:hAnsi="Verdana"/>
                      <w:sz w:val="10"/>
                      <w:szCs w:val="10"/>
                    </w:rPr>
                  </w:pPr>
                  <w:r w:rsidRPr="002A1F9A">
                    <w:rPr>
                      <w:rFonts w:ascii="Verdana" w:hAnsi="Verdana"/>
                      <w:sz w:val="10"/>
                      <w:szCs w:val="10"/>
                    </w:rPr>
                    <w:t>46,3%</w:t>
                  </w:r>
                </w:p>
              </w:tc>
              <w:tc>
                <w:tcPr>
                  <w:tcW w:w="588" w:type="dxa"/>
                  <w:noWrap/>
                  <w:hideMark/>
                </w:tcPr>
                <w:p w:rsidRPr="002A1F9A" w:rsidR="00FE14A2" w:rsidP="00FE14A2" w:rsidRDefault="00FE14A2" w14:paraId="3CD3A4EF" w14:textId="77777777">
                  <w:pPr>
                    <w:rPr>
                      <w:rFonts w:ascii="Verdana" w:hAnsi="Verdana"/>
                      <w:sz w:val="10"/>
                      <w:szCs w:val="10"/>
                    </w:rPr>
                  </w:pPr>
                  <w:r w:rsidRPr="002A1F9A">
                    <w:rPr>
                      <w:rFonts w:ascii="Verdana" w:hAnsi="Verdana"/>
                      <w:sz w:val="10"/>
                      <w:szCs w:val="10"/>
                    </w:rPr>
                    <w:t>47,2%</w:t>
                  </w:r>
                </w:p>
              </w:tc>
              <w:tc>
                <w:tcPr>
                  <w:tcW w:w="589" w:type="dxa"/>
                  <w:noWrap/>
                  <w:hideMark/>
                </w:tcPr>
                <w:p w:rsidRPr="002A1F9A" w:rsidR="00FE14A2" w:rsidP="00FE14A2" w:rsidRDefault="00FE14A2" w14:paraId="1E6B2976" w14:textId="77777777">
                  <w:pPr>
                    <w:rPr>
                      <w:rFonts w:ascii="Verdana" w:hAnsi="Verdana"/>
                      <w:sz w:val="10"/>
                      <w:szCs w:val="10"/>
                    </w:rPr>
                  </w:pPr>
                  <w:r w:rsidRPr="002A1F9A">
                    <w:rPr>
                      <w:rFonts w:ascii="Verdana" w:hAnsi="Verdana"/>
                      <w:sz w:val="10"/>
                      <w:szCs w:val="10"/>
                    </w:rPr>
                    <w:t>47,9%</w:t>
                  </w:r>
                </w:p>
              </w:tc>
            </w:tr>
            <w:tr w:rsidRPr="002A1F9A" w:rsidR="00FE14A2" w:rsidTr="00FE14A2" w14:paraId="0947EE15" w14:textId="77777777">
              <w:trPr>
                <w:trHeight w:val="281"/>
              </w:trPr>
              <w:tc>
                <w:tcPr>
                  <w:tcW w:w="589" w:type="dxa"/>
                </w:tcPr>
                <w:p w:rsidRPr="002A1F9A" w:rsidR="00FE14A2" w:rsidP="00FE14A2" w:rsidRDefault="00FE14A2" w14:paraId="20A24738" w14:textId="6663E1CB">
                  <w:pPr>
                    <w:rPr>
                      <w:rFonts w:ascii="Verdana" w:hAnsi="Verdana"/>
                      <w:sz w:val="10"/>
                      <w:szCs w:val="10"/>
                    </w:rPr>
                  </w:pPr>
                  <w:r w:rsidRPr="002A1F9A">
                    <w:rPr>
                      <w:rFonts w:ascii="Verdana" w:hAnsi="Verdana"/>
                      <w:sz w:val="10"/>
                      <w:szCs w:val="10"/>
                    </w:rPr>
                    <w:t>Docent</w:t>
                  </w:r>
                </w:p>
              </w:tc>
              <w:tc>
                <w:tcPr>
                  <w:tcW w:w="588" w:type="dxa"/>
                  <w:noWrap/>
                  <w:hideMark/>
                </w:tcPr>
                <w:p w:rsidRPr="002A1F9A" w:rsidR="00FE14A2" w:rsidP="00FE14A2" w:rsidRDefault="00FE14A2" w14:paraId="2FFB9B8A" w14:textId="77777777">
                  <w:pPr>
                    <w:rPr>
                      <w:rFonts w:ascii="Verdana" w:hAnsi="Verdana"/>
                      <w:sz w:val="10"/>
                      <w:szCs w:val="10"/>
                    </w:rPr>
                  </w:pPr>
                  <w:r w:rsidRPr="002A1F9A">
                    <w:rPr>
                      <w:rFonts w:ascii="Verdana" w:hAnsi="Verdana"/>
                      <w:sz w:val="10"/>
                      <w:szCs w:val="10"/>
                    </w:rPr>
                    <w:t>52,5%</w:t>
                  </w:r>
                </w:p>
              </w:tc>
              <w:tc>
                <w:tcPr>
                  <w:tcW w:w="588" w:type="dxa"/>
                  <w:noWrap/>
                  <w:hideMark/>
                </w:tcPr>
                <w:p w:rsidRPr="002A1F9A" w:rsidR="00FE14A2" w:rsidP="00FE14A2" w:rsidRDefault="00FE14A2" w14:paraId="628AC80F" w14:textId="77777777">
                  <w:pPr>
                    <w:rPr>
                      <w:rFonts w:ascii="Verdana" w:hAnsi="Verdana"/>
                      <w:sz w:val="10"/>
                      <w:szCs w:val="10"/>
                    </w:rPr>
                  </w:pPr>
                  <w:r w:rsidRPr="002A1F9A">
                    <w:rPr>
                      <w:rFonts w:ascii="Verdana" w:hAnsi="Verdana"/>
                      <w:sz w:val="10"/>
                      <w:szCs w:val="10"/>
                    </w:rPr>
                    <w:t>53,1%</w:t>
                  </w:r>
                </w:p>
              </w:tc>
              <w:tc>
                <w:tcPr>
                  <w:tcW w:w="588" w:type="dxa"/>
                  <w:noWrap/>
                  <w:hideMark/>
                </w:tcPr>
                <w:p w:rsidRPr="002A1F9A" w:rsidR="00FE14A2" w:rsidP="00FE14A2" w:rsidRDefault="00FE14A2" w14:paraId="0129D9DE" w14:textId="77777777">
                  <w:pPr>
                    <w:rPr>
                      <w:rFonts w:ascii="Verdana" w:hAnsi="Verdana"/>
                      <w:sz w:val="10"/>
                      <w:szCs w:val="10"/>
                    </w:rPr>
                  </w:pPr>
                  <w:r w:rsidRPr="002A1F9A">
                    <w:rPr>
                      <w:rFonts w:ascii="Verdana" w:hAnsi="Verdana"/>
                      <w:sz w:val="10"/>
                      <w:szCs w:val="10"/>
                    </w:rPr>
                    <w:t>51,6%</w:t>
                  </w:r>
                </w:p>
              </w:tc>
              <w:tc>
                <w:tcPr>
                  <w:tcW w:w="589" w:type="dxa"/>
                  <w:noWrap/>
                  <w:hideMark/>
                </w:tcPr>
                <w:p w:rsidRPr="002A1F9A" w:rsidR="00FE14A2" w:rsidP="00FE14A2" w:rsidRDefault="00FE14A2" w14:paraId="3D97DB23" w14:textId="77777777">
                  <w:pPr>
                    <w:rPr>
                      <w:rFonts w:ascii="Verdana" w:hAnsi="Verdana"/>
                      <w:sz w:val="10"/>
                      <w:szCs w:val="10"/>
                    </w:rPr>
                  </w:pPr>
                  <w:r w:rsidRPr="002A1F9A">
                    <w:rPr>
                      <w:rFonts w:ascii="Verdana" w:hAnsi="Verdana"/>
                      <w:sz w:val="10"/>
                      <w:szCs w:val="10"/>
                    </w:rPr>
                    <w:t>51,1%</w:t>
                  </w:r>
                </w:p>
              </w:tc>
              <w:tc>
                <w:tcPr>
                  <w:tcW w:w="588" w:type="dxa"/>
                  <w:noWrap/>
                  <w:hideMark/>
                </w:tcPr>
                <w:p w:rsidRPr="002A1F9A" w:rsidR="00FE14A2" w:rsidP="00FE14A2" w:rsidRDefault="00FE14A2" w14:paraId="05BE9E1E" w14:textId="77777777">
                  <w:pPr>
                    <w:rPr>
                      <w:rFonts w:ascii="Verdana" w:hAnsi="Verdana"/>
                      <w:sz w:val="10"/>
                      <w:szCs w:val="10"/>
                    </w:rPr>
                  </w:pPr>
                  <w:r w:rsidRPr="002A1F9A">
                    <w:rPr>
                      <w:rFonts w:ascii="Verdana" w:hAnsi="Verdana"/>
                      <w:sz w:val="10"/>
                      <w:szCs w:val="10"/>
                    </w:rPr>
                    <w:t>51,1%</w:t>
                  </w:r>
                </w:p>
              </w:tc>
              <w:tc>
                <w:tcPr>
                  <w:tcW w:w="588" w:type="dxa"/>
                  <w:noWrap/>
                  <w:hideMark/>
                </w:tcPr>
                <w:p w:rsidRPr="002A1F9A" w:rsidR="00FE14A2" w:rsidP="00FE14A2" w:rsidRDefault="00FE14A2" w14:paraId="7CC4A003" w14:textId="77777777">
                  <w:pPr>
                    <w:rPr>
                      <w:rFonts w:ascii="Verdana" w:hAnsi="Verdana"/>
                      <w:sz w:val="10"/>
                      <w:szCs w:val="10"/>
                    </w:rPr>
                  </w:pPr>
                  <w:r w:rsidRPr="002A1F9A">
                    <w:rPr>
                      <w:rFonts w:ascii="Verdana" w:hAnsi="Verdana"/>
                      <w:sz w:val="10"/>
                      <w:szCs w:val="10"/>
                    </w:rPr>
                    <w:t>52,4%</w:t>
                  </w:r>
                </w:p>
              </w:tc>
              <w:tc>
                <w:tcPr>
                  <w:tcW w:w="589" w:type="dxa"/>
                  <w:noWrap/>
                  <w:hideMark/>
                </w:tcPr>
                <w:p w:rsidRPr="002A1F9A" w:rsidR="00FE14A2" w:rsidP="00FE14A2" w:rsidRDefault="00FE14A2" w14:paraId="1E3B9F5C" w14:textId="77777777">
                  <w:pPr>
                    <w:rPr>
                      <w:rFonts w:ascii="Verdana" w:hAnsi="Verdana"/>
                      <w:sz w:val="10"/>
                      <w:szCs w:val="10"/>
                    </w:rPr>
                  </w:pPr>
                  <w:r w:rsidRPr="002A1F9A">
                    <w:rPr>
                      <w:rFonts w:ascii="Verdana" w:hAnsi="Verdana"/>
                      <w:sz w:val="10"/>
                      <w:szCs w:val="10"/>
                    </w:rPr>
                    <w:t>53,0%</w:t>
                  </w:r>
                </w:p>
              </w:tc>
              <w:tc>
                <w:tcPr>
                  <w:tcW w:w="588" w:type="dxa"/>
                  <w:noWrap/>
                  <w:hideMark/>
                </w:tcPr>
                <w:p w:rsidRPr="002A1F9A" w:rsidR="00FE14A2" w:rsidP="00FE14A2" w:rsidRDefault="00FE14A2" w14:paraId="705D4118" w14:textId="77777777">
                  <w:pPr>
                    <w:rPr>
                      <w:rFonts w:ascii="Verdana" w:hAnsi="Verdana"/>
                      <w:sz w:val="10"/>
                      <w:szCs w:val="10"/>
                    </w:rPr>
                  </w:pPr>
                  <w:r w:rsidRPr="002A1F9A">
                    <w:rPr>
                      <w:rFonts w:ascii="Verdana" w:hAnsi="Verdana"/>
                      <w:sz w:val="10"/>
                      <w:szCs w:val="10"/>
                    </w:rPr>
                    <w:t>53,4%</w:t>
                  </w:r>
                </w:p>
              </w:tc>
              <w:tc>
                <w:tcPr>
                  <w:tcW w:w="588" w:type="dxa"/>
                  <w:noWrap/>
                  <w:hideMark/>
                </w:tcPr>
                <w:p w:rsidRPr="002A1F9A" w:rsidR="00FE14A2" w:rsidP="00FE14A2" w:rsidRDefault="00FE14A2" w14:paraId="44972A28" w14:textId="77777777">
                  <w:pPr>
                    <w:rPr>
                      <w:rFonts w:ascii="Verdana" w:hAnsi="Verdana"/>
                      <w:sz w:val="10"/>
                      <w:szCs w:val="10"/>
                    </w:rPr>
                  </w:pPr>
                  <w:r w:rsidRPr="002A1F9A">
                    <w:rPr>
                      <w:rFonts w:ascii="Verdana" w:hAnsi="Verdana"/>
                      <w:sz w:val="10"/>
                      <w:szCs w:val="10"/>
                    </w:rPr>
                    <w:t>53,7%</w:t>
                  </w:r>
                </w:p>
              </w:tc>
              <w:tc>
                <w:tcPr>
                  <w:tcW w:w="589" w:type="dxa"/>
                  <w:noWrap/>
                  <w:hideMark/>
                </w:tcPr>
                <w:p w:rsidRPr="002A1F9A" w:rsidR="00FE14A2" w:rsidP="00FE14A2" w:rsidRDefault="00FE14A2" w14:paraId="763924DB" w14:textId="77777777">
                  <w:pPr>
                    <w:rPr>
                      <w:rFonts w:ascii="Verdana" w:hAnsi="Verdana"/>
                      <w:sz w:val="10"/>
                      <w:szCs w:val="10"/>
                    </w:rPr>
                  </w:pPr>
                  <w:r w:rsidRPr="002A1F9A">
                    <w:rPr>
                      <w:rFonts w:ascii="Verdana" w:hAnsi="Verdana"/>
                      <w:sz w:val="10"/>
                      <w:szCs w:val="10"/>
                    </w:rPr>
                    <w:t>53,7%</w:t>
                  </w:r>
                </w:p>
              </w:tc>
            </w:tr>
            <w:tr w:rsidRPr="002A1F9A" w:rsidR="00FE14A2" w:rsidTr="00FE14A2" w14:paraId="53ACF3A4" w14:textId="77777777">
              <w:trPr>
                <w:trHeight w:val="281"/>
              </w:trPr>
              <w:tc>
                <w:tcPr>
                  <w:tcW w:w="589" w:type="dxa"/>
                </w:tcPr>
                <w:p w:rsidRPr="002A1F9A" w:rsidR="00FE14A2" w:rsidP="00FE14A2" w:rsidRDefault="00FE14A2" w14:paraId="7D981B7A" w14:textId="20DA1518">
                  <w:pPr>
                    <w:rPr>
                      <w:rFonts w:ascii="Verdana" w:hAnsi="Verdana"/>
                      <w:sz w:val="10"/>
                      <w:szCs w:val="10"/>
                    </w:rPr>
                  </w:pPr>
                  <w:r w:rsidRPr="002A1F9A">
                    <w:rPr>
                      <w:rFonts w:ascii="Verdana" w:hAnsi="Verdana"/>
                      <w:sz w:val="10"/>
                      <w:szCs w:val="10"/>
                    </w:rPr>
                    <w:t>Promovendus</w:t>
                  </w:r>
                </w:p>
              </w:tc>
              <w:tc>
                <w:tcPr>
                  <w:tcW w:w="588" w:type="dxa"/>
                  <w:noWrap/>
                  <w:hideMark/>
                </w:tcPr>
                <w:p w:rsidRPr="002A1F9A" w:rsidR="00FE14A2" w:rsidP="00FE14A2" w:rsidRDefault="00FE14A2" w14:paraId="3FF39396" w14:textId="77777777">
                  <w:pPr>
                    <w:rPr>
                      <w:rFonts w:ascii="Verdana" w:hAnsi="Verdana"/>
                      <w:sz w:val="10"/>
                      <w:szCs w:val="10"/>
                    </w:rPr>
                  </w:pPr>
                  <w:r w:rsidRPr="002A1F9A">
                    <w:rPr>
                      <w:rFonts w:ascii="Verdana" w:hAnsi="Verdana"/>
                      <w:sz w:val="10"/>
                      <w:szCs w:val="10"/>
                    </w:rPr>
                    <w:t>43,8%</w:t>
                  </w:r>
                </w:p>
              </w:tc>
              <w:tc>
                <w:tcPr>
                  <w:tcW w:w="588" w:type="dxa"/>
                  <w:noWrap/>
                  <w:hideMark/>
                </w:tcPr>
                <w:p w:rsidRPr="002A1F9A" w:rsidR="00FE14A2" w:rsidP="00FE14A2" w:rsidRDefault="00FE14A2" w14:paraId="7E71AAB2" w14:textId="77777777">
                  <w:pPr>
                    <w:rPr>
                      <w:rFonts w:ascii="Verdana" w:hAnsi="Verdana"/>
                      <w:sz w:val="10"/>
                      <w:szCs w:val="10"/>
                    </w:rPr>
                  </w:pPr>
                  <w:r w:rsidRPr="002A1F9A">
                    <w:rPr>
                      <w:rFonts w:ascii="Verdana" w:hAnsi="Verdana"/>
                      <w:sz w:val="10"/>
                      <w:szCs w:val="10"/>
                    </w:rPr>
                    <w:t>43,7%</w:t>
                  </w:r>
                </w:p>
              </w:tc>
              <w:tc>
                <w:tcPr>
                  <w:tcW w:w="588" w:type="dxa"/>
                  <w:noWrap/>
                  <w:hideMark/>
                </w:tcPr>
                <w:p w:rsidRPr="002A1F9A" w:rsidR="00FE14A2" w:rsidP="00FE14A2" w:rsidRDefault="00FE14A2" w14:paraId="69AE5A42" w14:textId="77777777">
                  <w:pPr>
                    <w:rPr>
                      <w:rFonts w:ascii="Verdana" w:hAnsi="Verdana"/>
                      <w:sz w:val="10"/>
                      <w:szCs w:val="10"/>
                    </w:rPr>
                  </w:pPr>
                  <w:r w:rsidRPr="002A1F9A">
                    <w:rPr>
                      <w:rFonts w:ascii="Verdana" w:hAnsi="Verdana"/>
                      <w:sz w:val="10"/>
                      <w:szCs w:val="10"/>
                    </w:rPr>
                    <w:t>43,3%</w:t>
                  </w:r>
                </w:p>
              </w:tc>
              <w:tc>
                <w:tcPr>
                  <w:tcW w:w="589" w:type="dxa"/>
                  <w:noWrap/>
                  <w:hideMark/>
                </w:tcPr>
                <w:p w:rsidRPr="002A1F9A" w:rsidR="00FE14A2" w:rsidP="00FE14A2" w:rsidRDefault="00FE14A2" w14:paraId="60C98FE2" w14:textId="77777777">
                  <w:pPr>
                    <w:rPr>
                      <w:rFonts w:ascii="Verdana" w:hAnsi="Verdana"/>
                      <w:sz w:val="10"/>
                      <w:szCs w:val="10"/>
                    </w:rPr>
                  </w:pPr>
                  <w:r w:rsidRPr="002A1F9A">
                    <w:rPr>
                      <w:rFonts w:ascii="Verdana" w:hAnsi="Verdana"/>
                      <w:sz w:val="10"/>
                      <w:szCs w:val="10"/>
                    </w:rPr>
                    <w:t>43,6%</w:t>
                  </w:r>
                </w:p>
              </w:tc>
              <w:tc>
                <w:tcPr>
                  <w:tcW w:w="588" w:type="dxa"/>
                  <w:noWrap/>
                  <w:hideMark/>
                </w:tcPr>
                <w:p w:rsidRPr="002A1F9A" w:rsidR="00FE14A2" w:rsidP="00FE14A2" w:rsidRDefault="00FE14A2" w14:paraId="2FA1BF3F" w14:textId="77777777">
                  <w:pPr>
                    <w:rPr>
                      <w:rFonts w:ascii="Verdana" w:hAnsi="Verdana"/>
                      <w:sz w:val="10"/>
                      <w:szCs w:val="10"/>
                    </w:rPr>
                  </w:pPr>
                  <w:r w:rsidRPr="002A1F9A">
                    <w:rPr>
                      <w:rFonts w:ascii="Verdana" w:hAnsi="Verdana"/>
                      <w:sz w:val="10"/>
                      <w:szCs w:val="10"/>
                    </w:rPr>
                    <w:t>44,3%</w:t>
                  </w:r>
                </w:p>
              </w:tc>
              <w:tc>
                <w:tcPr>
                  <w:tcW w:w="588" w:type="dxa"/>
                  <w:noWrap/>
                  <w:hideMark/>
                </w:tcPr>
                <w:p w:rsidRPr="002A1F9A" w:rsidR="00FE14A2" w:rsidP="00FE14A2" w:rsidRDefault="00FE14A2" w14:paraId="6B32AE2C" w14:textId="77777777">
                  <w:pPr>
                    <w:rPr>
                      <w:rFonts w:ascii="Verdana" w:hAnsi="Verdana"/>
                      <w:sz w:val="10"/>
                      <w:szCs w:val="10"/>
                    </w:rPr>
                  </w:pPr>
                  <w:r w:rsidRPr="002A1F9A">
                    <w:rPr>
                      <w:rFonts w:ascii="Verdana" w:hAnsi="Verdana"/>
                      <w:sz w:val="10"/>
                      <w:szCs w:val="10"/>
                    </w:rPr>
                    <w:t>44,9%</w:t>
                  </w:r>
                </w:p>
              </w:tc>
              <w:tc>
                <w:tcPr>
                  <w:tcW w:w="589" w:type="dxa"/>
                  <w:noWrap/>
                  <w:hideMark/>
                </w:tcPr>
                <w:p w:rsidRPr="002A1F9A" w:rsidR="00FE14A2" w:rsidP="00FE14A2" w:rsidRDefault="00FE14A2" w14:paraId="1250C978" w14:textId="77777777">
                  <w:pPr>
                    <w:rPr>
                      <w:rFonts w:ascii="Verdana" w:hAnsi="Verdana"/>
                      <w:sz w:val="10"/>
                      <w:szCs w:val="10"/>
                    </w:rPr>
                  </w:pPr>
                  <w:r w:rsidRPr="002A1F9A">
                    <w:rPr>
                      <w:rFonts w:ascii="Verdana" w:hAnsi="Verdana"/>
                      <w:sz w:val="10"/>
                      <w:szCs w:val="10"/>
                    </w:rPr>
                    <w:t>45,0%</w:t>
                  </w:r>
                </w:p>
              </w:tc>
              <w:tc>
                <w:tcPr>
                  <w:tcW w:w="588" w:type="dxa"/>
                  <w:noWrap/>
                  <w:hideMark/>
                </w:tcPr>
                <w:p w:rsidRPr="002A1F9A" w:rsidR="00FE14A2" w:rsidP="00FE14A2" w:rsidRDefault="00FE14A2" w14:paraId="404DC142" w14:textId="77777777">
                  <w:pPr>
                    <w:rPr>
                      <w:rFonts w:ascii="Verdana" w:hAnsi="Verdana"/>
                      <w:sz w:val="10"/>
                      <w:szCs w:val="10"/>
                    </w:rPr>
                  </w:pPr>
                  <w:r w:rsidRPr="002A1F9A">
                    <w:rPr>
                      <w:rFonts w:ascii="Verdana" w:hAnsi="Verdana"/>
                      <w:sz w:val="10"/>
                      <w:szCs w:val="10"/>
                    </w:rPr>
                    <w:t>45,5%</w:t>
                  </w:r>
                </w:p>
              </w:tc>
              <w:tc>
                <w:tcPr>
                  <w:tcW w:w="588" w:type="dxa"/>
                  <w:noWrap/>
                  <w:hideMark/>
                </w:tcPr>
                <w:p w:rsidRPr="002A1F9A" w:rsidR="00FE14A2" w:rsidP="00FE14A2" w:rsidRDefault="00FE14A2" w14:paraId="01FBD174" w14:textId="77777777">
                  <w:pPr>
                    <w:rPr>
                      <w:rFonts w:ascii="Verdana" w:hAnsi="Verdana"/>
                      <w:sz w:val="10"/>
                      <w:szCs w:val="10"/>
                    </w:rPr>
                  </w:pPr>
                  <w:r w:rsidRPr="002A1F9A">
                    <w:rPr>
                      <w:rFonts w:ascii="Verdana" w:hAnsi="Verdana"/>
                      <w:sz w:val="10"/>
                      <w:szCs w:val="10"/>
                    </w:rPr>
                    <w:t>46,1%</w:t>
                  </w:r>
                </w:p>
              </w:tc>
              <w:tc>
                <w:tcPr>
                  <w:tcW w:w="589" w:type="dxa"/>
                  <w:noWrap/>
                  <w:hideMark/>
                </w:tcPr>
                <w:p w:rsidRPr="002A1F9A" w:rsidR="00FE14A2" w:rsidP="00FE14A2" w:rsidRDefault="00FE14A2" w14:paraId="349F05C4" w14:textId="77777777">
                  <w:pPr>
                    <w:rPr>
                      <w:rFonts w:ascii="Verdana" w:hAnsi="Verdana"/>
                      <w:sz w:val="10"/>
                      <w:szCs w:val="10"/>
                    </w:rPr>
                  </w:pPr>
                  <w:r w:rsidRPr="002A1F9A">
                    <w:rPr>
                      <w:rFonts w:ascii="Verdana" w:hAnsi="Verdana"/>
                      <w:sz w:val="10"/>
                      <w:szCs w:val="10"/>
                    </w:rPr>
                    <w:t>46,5%</w:t>
                  </w:r>
                </w:p>
              </w:tc>
            </w:tr>
          </w:tbl>
          <w:p w:rsidRPr="002A1F9A" w:rsidR="00490707" w:rsidP="00DB2CBB" w:rsidRDefault="00490707" w14:paraId="7868BBEF" w14:textId="77777777">
            <w:pPr>
              <w:rPr>
                <w:rFonts w:ascii="Verdana" w:hAnsi="Verdana"/>
                <w:sz w:val="18"/>
                <w:szCs w:val="18"/>
              </w:rPr>
            </w:pPr>
          </w:p>
          <w:p w:rsidRPr="002A1F9A" w:rsidR="00FE14A2" w:rsidP="00FE14A2" w:rsidRDefault="00FE14A2" w14:paraId="2DBC70D4" w14:textId="7C41D3A8">
            <w:pPr>
              <w:rPr>
                <w:rFonts w:ascii="Verdana" w:hAnsi="Verdana"/>
                <w:sz w:val="18"/>
                <w:szCs w:val="18"/>
              </w:rPr>
            </w:pPr>
            <w:r w:rsidRPr="002A1F9A">
              <w:rPr>
                <w:rFonts w:ascii="Verdana" w:hAnsi="Verdana"/>
                <w:sz w:val="18"/>
                <w:szCs w:val="18"/>
              </w:rPr>
              <w:t xml:space="preserve">De gegevens in deze tabel zijn samengesteld op basis van personeelsdata </w:t>
            </w:r>
            <w:r w:rsidRPr="002A1F9A" w:rsidR="002F2EE7">
              <w:rPr>
                <w:rFonts w:ascii="Verdana" w:hAnsi="Verdana"/>
                <w:sz w:val="18"/>
                <w:szCs w:val="18"/>
              </w:rPr>
              <w:t>die</w:t>
            </w:r>
            <w:r w:rsidRPr="002A1F9A">
              <w:rPr>
                <w:rFonts w:ascii="Verdana" w:hAnsi="Verdana"/>
                <w:sz w:val="18"/>
                <w:szCs w:val="18"/>
              </w:rPr>
              <w:t xml:space="preserve"> de Universiteiten van Nederland (UNL) beschikbaar stelt. UNL verkrijgt deze door een jaarlijkse </w:t>
            </w:r>
            <w:proofErr w:type="spellStart"/>
            <w:r w:rsidRPr="002A1F9A">
              <w:rPr>
                <w:rFonts w:ascii="Verdana" w:hAnsi="Verdana"/>
                <w:sz w:val="18"/>
                <w:szCs w:val="18"/>
              </w:rPr>
              <w:t>gegevensopvraag</w:t>
            </w:r>
            <w:proofErr w:type="spellEnd"/>
            <w:r w:rsidRPr="002A1F9A">
              <w:rPr>
                <w:rFonts w:ascii="Verdana" w:hAnsi="Verdana"/>
                <w:sz w:val="18"/>
                <w:szCs w:val="18"/>
              </w:rPr>
              <w:t xml:space="preserve"> personeel bij de Nederlandse universiteiten. Het bevat het percentage vrouwen in dienst van de universiteiten op peildatum 31/12 in personen. De gegevens bevatten grotendeels niet het personeel uit het wetenschapsgebied Gezondheid. De meeste mensen werkzaam in de sector Gezondheid werken tegenwoordig bij universitair medische centra en zijn in dienst van het ziekenhuis (m.u.v. Maastricht Universitair Medisch Centrum+). </w:t>
            </w:r>
          </w:p>
          <w:p w:rsidRPr="002A1F9A" w:rsidR="00FE14A2" w:rsidP="00FE14A2" w:rsidRDefault="00FE14A2" w14:paraId="31413D53" w14:textId="77777777">
            <w:pPr>
              <w:rPr>
                <w:rFonts w:ascii="Verdana" w:hAnsi="Verdana"/>
                <w:sz w:val="18"/>
                <w:szCs w:val="18"/>
              </w:rPr>
            </w:pPr>
            <w:r w:rsidRPr="002A1F9A">
              <w:rPr>
                <w:rFonts w:ascii="Verdana" w:hAnsi="Verdana"/>
                <w:sz w:val="18"/>
                <w:szCs w:val="18"/>
              </w:rPr>
              <w:lastRenderedPageBreak/>
              <w:t>De tabel geeft een totaal aandeel weer van het aantal vrouwen aan de Nederlandse universiteiten en daarmee geen inkijk in de verschillen per universiteit of wetenschapsgebied.</w:t>
            </w:r>
            <w:r w:rsidRPr="002A1F9A">
              <w:rPr>
                <w:rFonts w:ascii="Verdana" w:hAnsi="Verdana"/>
                <w:sz w:val="18"/>
                <w:szCs w:val="18"/>
              </w:rPr>
              <w:br/>
            </w:r>
          </w:p>
          <w:p w:rsidRPr="002A1F9A" w:rsidR="00490707" w:rsidP="00DB2CBB" w:rsidRDefault="00FE14A2" w14:paraId="195F1DA5" w14:textId="1A8191AF">
            <w:pPr>
              <w:rPr>
                <w:rFonts w:ascii="Verdana" w:hAnsi="Verdana"/>
                <w:sz w:val="18"/>
                <w:szCs w:val="18"/>
              </w:rPr>
            </w:pPr>
            <w:r w:rsidRPr="002A1F9A">
              <w:rPr>
                <w:rFonts w:ascii="Verdana" w:hAnsi="Verdana"/>
                <w:sz w:val="18"/>
                <w:szCs w:val="18"/>
              </w:rPr>
              <w:t xml:space="preserve">Bron </w:t>
            </w:r>
            <w:hyperlink w:history="1" r:id="rId59">
              <w:r w:rsidRPr="002A1F9A">
                <w:rPr>
                  <w:rStyle w:val="Hyperlink"/>
                  <w:rFonts w:ascii="Verdana" w:hAnsi="Verdana"/>
                  <w:sz w:val="18"/>
                  <w:szCs w:val="18"/>
                </w:rPr>
                <w:t>https://www.universiteitenvannederland.nl/downloadbare-gegevens-personeel</w:t>
              </w:r>
            </w:hyperlink>
            <w:r w:rsidRPr="002A1F9A">
              <w:rPr>
                <w:rFonts w:ascii="Verdana" w:hAnsi="Verdana"/>
                <w:sz w:val="18"/>
                <w:szCs w:val="18"/>
              </w:rPr>
              <w:t xml:space="preserve"> </w:t>
            </w:r>
          </w:p>
          <w:p w:rsidRPr="002A1F9A" w:rsidR="00490707" w:rsidP="00DB2CBB" w:rsidRDefault="00490707" w14:paraId="2FAA16D5" w14:textId="173156E8">
            <w:pPr>
              <w:rPr>
                <w:rFonts w:ascii="Verdana" w:hAnsi="Verdana"/>
                <w:sz w:val="18"/>
                <w:szCs w:val="18"/>
              </w:rPr>
            </w:pPr>
          </w:p>
        </w:tc>
        <w:tc>
          <w:tcPr>
            <w:tcW w:w="850" w:type="dxa"/>
            <w:gridSpan w:val="2"/>
          </w:tcPr>
          <w:p w:rsidRPr="002A1F9A" w:rsidR="00DB2CBB" w:rsidP="00DB2CBB" w:rsidRDefault="00DB2CBB" w14:paraId="2B3AB582"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065204B0" w14:textId="77777777">
            <w:pPr>
              <w:jc w:val="right"/>
              <w:rPr>
                <w:rFonts w:ascii="Verdana" w:hAnsi="Verdana"/>
                <w:sz w:val="18"/>
                <w:szCs w:val="18"/>
              </w:rPr>
            </w:pPr>
            <w:r w:rsidRPr="002A1F9A">
              <w:rPr>
                <w:rFonts w:ascii="Verdana" w:hAnsi="Verdana"/>
                <w:sz w:val="18"/>
                <w:szCs w:val="18"/>
              </w:rPr>
              <w:t>17</w:t>
            </w:r>
          </w:p>
        </w:tc>
        <w:tc>
          <w:tcPr>
            <w:tcW w:w="567" w:type="dxa"/>
            <w:tcBorders>
              <w:left w:val="nil"/>
            </w:tcBorders>
          </w:tcPr>
          <w:p w:rsidRPr="002A1F9A" w:rsidR="00DB2CBB" w:rsidP="00DB2CBB" w:rsidRDefault="00DB2CBB" w14:paraId="138A79DB"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101BC05" w14:textId="77777777">
        <w:tc>
          <w:tcPr>
            <w:tcW w:w="567" w:type="dxa"/>
          </w:tcPr>
          <w:p w:rsidRPr="002A1F9A" w:rsidR="00DB2CBB" w:rsidP="00DB2CBB" w:rsidRDefault="00DB2CBB" w14:paraId="15DF42E5" w14:textId="77777777">
            <w:pPr>
              <w:rPr>
                <w:rFonts w:ascii="Verdana" w:hAnsi="Verdana"/>
                <w:sz w:val="18"/>
                <w:szCs w:val="18"/>
              </w:rPr>
            </w:pPr>
            <w:r w:rsidRPr="002A1F9A">
              <w:rPr>
                <w:rFonts w:ascii="Verdana" w:hAnsi="Verdana"/>
                <w:sz w:val="18"/>
                <w:szCs w:val="18"/>
              </w:rPr>
              <w:lastRenderedPageBreak/>
              <w:t>90</w:t>
            </w:r>
          </w:p>
        </w:tc>
        <w:tc>
          <w:tcPr>
            <w:tcW w:w="6521" w:type="dxa"/>
            <w:gridSpan w:val="7"/>
          </w:tcPr>
          <w:p w:rsidRPr="002A1F9A" w:rsidR="00DB2CBB" w:rsidP="00DB2CBB" w:rsidRDefault="00DB2CBB" w14:paraId="4346CD4C" w14:textId="77777777">
            <w:pPr>
              <w:rPr>
                <w:rFonts w:ascii="Verdana" w:hAnsi="Verdana"/>
                <w:sz w:val="18"/>
                <w:szCs w:val="18"/>
              </w:rPr>
            </w:pPr>
            <w:r w:rsidRPr="002A1F9A">
              <w:rPr>
                <w:rFonts w:ascii="Verdana" w:hAnsi="Verdana"/>
                <w:sz w:val="18"/>
                <w:szCs w:val="18"/>
              </w:rPr>
              <w:t>Hoeveel gemeenten hebben op dit moment geen openbare bibliotheek?</w:t>
            </w:r>
          </w:p>
          <w:p w:rsidRPr="002A1F9A" w:rsidR="00DB2CBB" w:rsidP="00DB2CBB" w:rsidRDefault="00DB2CBB" w14:paraId="175D2647" w14:textId="77777777">
            <w:pPr>
              <w:rPr>
                <w:rFonts w:ascii="Verdana" w:hAnsi="Verdana"/>
                <w:sz w:val="18"/>
                <w:szCs w:val="18"/>
              </w:rPr>
            </w:pPr>
          </w:p>
          <w:p w:rsidRPr="002A1F9A" w:rsidR="00DB2CBB" w:rsidP="00DB2CBB" w:rsidRDefault="00DB2CBB" w14:paraId="6B923FCA" w14:textId="2712E40C">
            <w:pPr>
              <w:rPr>
                <w:rFonts w:ascii="Verdana" w:hAnsi="Verdana"/>
                <w:sz w:val="18"/>
                <w:szCs w:val="18"/>
              </w:rPr>
            </w:pPr>
            <w:r w:rsidRPr="002A1F9A">
              <w:rPr>
                <w:rFonts w:ascii="Verdana" w:hAnsi="Verdana"/>
                <w:sz w:val="18"/>
                <w:szCs w:val="18"/>
              </w:rPr>
              <w:t xml:space="preserve">Eind 2024 hadden elf gemeenten geen volwaardige openbare bibliotheek. Dat wil zeggen: er is in het geheel geen bibliotheek of er is wel een bibliotheek, maar deze voldoet niet aan de eisen van de Wet stelsel openbare bibliotheekvoorzieningen. Veel van deze gemeenten maken gebruik van de </w:t>
            </w:r>
            <w:r w:rsidRPr="002A1F9A" w:rsidR="002F2EE7">
              <w:rPr>
                <w:rFonts w:ascii="Verdana" w:hAnsi="Verdana"/>
                <w:sz w:val="18"/>
                <w:szCs w:val="18"/>
              </w:rPr>
              <w:t>Specifieke uitkering (</w:t>
            </w:r>
            <w:proofErr w:type="spellStart"/>
            <w:r w:rsidRPr="002A1F9A">
              <w:rPr>
                <w:rFonts w:ascii="Verdana" w:hAnsi="Verdana"/>
                <w:sz w:val="18"/>
                <w:szCs w:val="18"/>
              </w:rPr>
              <w:t>Spuk</w:t>
            </w:r>
            <w:proofErr w:type="spellEnd"/>
            <w:r w:rsidRPr="002A1F9A" w:rsidR="002F2EE7">
              <w:rPr>
                <w:rFonts w:ascii="Verdana" w:hAnsi="Verdana"/>
                <w:sz w:val="18"/>
                <w:szCs w:val="18"/>
              </w:rPr>
              <w:t>)</w:t>
            </w:r>
            <w:r w:rsidRPr="002A1F9A">
              <w:rPr>
                <w:rFonts w:ascii="Verdana" w:hAnsi="Verdana"/>
                <w:sz w:val="18"/>
                <w:szCs w:val="18"/>
              </w:rPr>
              <w:t xml:space="preserve"> openbare bibliotheken. Zij ontvangen een bijdrage om een nieuwe vestiging te realiseren of een bestaande beperkte vestiging te verbeteren tot een volwaardige vestiging. </w:t>
            </w:r>
          </w:p>
          <w:p w:rsidRPr="002A1F9A" w:rsidR="00DB2CBB" w:rsidP="00DB2CBB" w:rsidRDefault="00DB2CBB" w14:paraId="3115FBF9" w14:textId="77777777">
            <w:pPr>
              <w:rPr>
                <w:rFonts w:ascii="Verdana" w:hAnsi="Verdana"/>
                <w:sz w:val="18"/>
                <w:szCs w:val="18"/>
              </w:rPr>
            </w:pPr>
          </w:p>
        </w:tc>
        <w:tc>
          <w:tcPr>
            <w:tcW w:w="850" w:type="dxa"/>
            <w:gridSpan w:val="2"/>
          </w:tcPr>
          <w:p w:rsidRPr="002A1F9A" w:rsidR="00DB2CBB" w:rsidP="00DB2CBB" w:rsidRDefault="00DB2CBB" w14:paraId="33703C7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73CBDC12" w14:textId="77777777">
            <w:pPr>
              <w:jc w:val="right"/>
              <w:rPr>
                <w:rFonts w:ascii="Verdana" w:hAnsi="Verdana"/>
                <w:sz w:val="18"/>
                <w:szCs w:val="18"/>
              </w:rPr>
            </w:pPr>
            <w:r w:rsidRPr="002A1F9A">
              <w:rPr>
                <w:rFonts w:ascii="Verdana" w:hAnsi="Verdana"/>
                <w:sz w:val="18"/>
                <w:szCs w:val="18"/>
              </w:rPr>
              <w:t>17</w:t>
            </w:r>
          </w:p>
        </w:tc>
        <w:tc>
          <w:tcPr>
            <w:tcW w:w="567" w:type="dxa"/>
            <w:tcBorders>
              <w:left w:val="nil"/>
            </w:tcBorders>
          </w:tcPr>
          <w:p w:rsidRPr="002A1F9A" w:rsidR="00DB2CBB" w:rsidP="00DB2CBB" w:rsidRDefault="00DB2CBB" w14:paraId="6EC685A3"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71ACEA9" w14:textId="77777777">
        <w:tc>
          <w:tcPr>
            <w:tcW w:w="567" w:type="dxa"/>
          </w:tcPr>
          <w:p w:rsidRPr="002A1F9A" w:rsidR="00DB2CBB" w:rsidP="00DB2CBB" w:rsidRDefault="00DB2CBB" w14:paraId="4A96E4C2" w14:textId="77777777">
            <w:pPr>
              <w:rPr>
                <w:rFonts w:ascii="Verdana" w:hAnsi="Verdana"/>
                <w:sz w:val="18"/>
                <w:szCs w:val="18"/>
              </w:rPr>
            </w:pPr>
            <w:r w:rsidRPr="002A1F9A">
              <w:rPr>
                <w:rFonts w:ascii="Verdana" w:hAnsi="Verdana"/>
                <w:sz w:val="18"/>
                <w:szCs w:val="18"/>
              </w:rPr>
              <w:t>91</w:t>
            </w:r>
          </w:p>
        </w:tc>
        <w:tc>
          <w:tcPr>
            <w:tcW w:w="6521" w:type="dxa"/>
            <w:gridSpan w:val="7"/>
          </w:tcPr>
          <w:p w:rsidRPr="002A1F9A" w:rsidR="00DB2CBB" w:rsidP="00DB2CBB" w:rsidRDefault="00DB2CBB" w14:paraId="419AA5D8" w14:textId="77777777">
            <w:pPr>
              <w:rPr>
                <w:rFonts w:ascii="Verdana" w:hAnsi="Verdana"/>
                <w:sz w:val="18"/>
                <w:szCs w:val="18"/>
              </w:rPr>
            </w:pPr>
            <w:r w:rsidRPr="002A1F9A">
              <w:rPr>
                <w:rFonts w:ascii="Verdana" w:hAnsi="Verdana"/>
                <w:sz w:val="18"/>
                <w:szCs w:val="18"/>
              </w:rPr>
              <w:t>Hoeveel zou het kosten om een openbare bibliotheek te realiseren voor elke gemeente die er op dit moment geen heeft?</w:t>
            </w:r>
          </w:p>
          <w:p w:rsidRPr="002A1F9A" w:rsidR="00DB2CBB" w:rsidP="00DB2CBB" w:rsidRDefault="00DB2CBB" w14:paraId="7B48FF67" w14:textId="77777777">
            <w:pPr>
              <w:rPr>
                <w:rFonts w:ascii="Verdana" w:hAnsi="Verdana"/>
                <w:sz w:val="18"/>
                <w:szCs w:val="18"/>
              </w:rPr>
            </w:pPr>
          </w:p>
          <w:p w:rsidRPr="002A1F9A" w:rsidR="00DB2CBB" w:rsidP="00DB2CBB" w:rsidRDefault="00DB2CBB" w14:paraId="3A7AFB18" w14:textId="03316977">
            <w:pPr>
              <w:rPr>
                <w:rFonts w:ascii="Verdana" w:hAnsi="Verdana"/>
                <w:sz w:val="18"/>
                <w:szCs w:val="18"/>
              </w:rPr>
            </w:pPr>
            <w:r w:rsidRPr="002A1F9A">
              <w:rPr>
                <w:rFonts w:ascii="Verdana" w:hAnsi="Verdana"/>
                <w:sz w:val="18"/>
                <w:szCs w:val="18"/>
              </w:rPr>
              <w:t xml:space="preserve">Op grond van de </w:t>
            </w:r>
            <w:proofErr w:type="spellStart"/>
            <w:r w:rsidRPr="002A1F9A">
              <w:rPr>
                <w:rFonts w:ascii="Verdana" w:hAnsi="Verdana"/>
                <w:sz w:val="18"/>
                <w:szCs w:val="18"/>
              </w:rPr>
              <w:t>Spuk</w:t>
            </w:r>
            <w:proofErr w:type="spellEnd"/>
            <w:r w:rsidRPr="002A1F9A">
              <w:rPr>
                <w:rFonts w:ascii="Verdana" w:hAnsi="Verdana"/>
                <w:sz w:val="18"/>
                <w:szCs w:val="18"/>
              </w:rPr>
              <w:t xml:space="preserve"> openbare bibliotheken is voor gemeenten een bedrag van € 440.000 beschikbaar voor het realiseren van een nieuwe vestiging en van € 220.000 voor het verbeteren van een bestaande vestiging. Gemeenten zonder bibliotheek kregen voorrang bij de verdeling van de middelen van de </w:t>
            </w:r>
            <w:proofErr w:type="spellStart"/>
            <w:r w:rsidRPr="002A1F9A">
              <w:rPr>
                <w:rFonts w:ascii="Verdana" w:hAnsi="Verdana"/>
                <w:sz w:val="18"/>
                <w:szCs w:val="18"/>
              </w:rPr>
              <w:t>Spuk</w:t>
            </w:r>
            <w:proofErr w:type="spellEnd"/>
            <w:r w:rsidRPr="002A1F9A">
              <w:rPr>
                <w:rFonts w:ascii="Verdana" w:hAnsi="Verdana"/>
                <w:sz w:val="18"/>
                <w:szCs w:val="18"/>
              </w:rPr>
              <w:t>. Daarmee is voor iedere gemeente zonder bibliotheek een uitkering beschikbaar.</w:t>
            </w:r>
          </w:p>
          <w:p w:rsidRPr="002A1F9A" w:rsidR="00DB2CBB" w:rsidP="00DB2CBB" w:rsidRDefault="00DB2CBB" w14:paraId="19D2B142" w14:textId="77777777">
            <w:pPr>
              <w:rPr>
                <w:rFonts w:ascii="Verdana" w:hAnsi="Verdana"/>
                <w:sz w:val="18"/>
                <w:szCs w:val="18"/>
              </w:rPr>
            </w:pPr>
          </w:p>
        </w:tc>
        <w:tc>
          <w:tcPr>
            <w:tcW w:w="850" w:type="dxa"/>
            <w:gridSpan w:val="2"/>
          </w:tcPr>
          <w:p w:rsidRPr="002A1F9A" w:rsidR="00DB2CBB" w:rsidP="00DB2CBB" w:rsidRDefault="00DB2CBB" w14:paraId="42E6EF1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06F3573" w14:textId="77777777">
            <w:pPr>
              <w:jc w:val="right"/>
              <w:rPr>
                <w:rFonts w:ascii="Verdana" w:hAnsi="Verdana"/>
                <w:sz w:val="18"/>
                <w:szCs w:val="18"/>
              </w:rPr>
            </w:pPr>
            <w:r w:rsidRPr="002A1F9A">
              <w:rPr>
                <w:rFonts w:ascii="Verdana" w:hAnsi="Verdana"/>
                <w:sz w:val="18"/>
                <w:szCs w:val="18"/>
              </w:rPr>
              <w:t>17</w:t>
            </w:r>
          </w:p>
        </w:tc>
        <w:tc>
          <w:tcPr>
            <w:tcW w:w="567" w:type="dxa"/>
            <w:tcBorders>
              <w:left w:val="nil"/>
            </w:tcBorders>
          </w:tcPr>
          <w:p w:rsidRPr="002A1F9A" w:rsidR="00DB2CBB" w:rsidP="00DB2CBB" w:rsidRDefault="00DB2CBB" w14:paraId="35624C6D"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0682CD3" w14:textId="77777777">
        <w:tc>
          <w:tcPr>
            <w:tcW w:w="567" w:type="dxa"/>
          </w:tcPr>
          <w:p w:rsidRPr="002A1F9A" w:rsidR="00DB2CBB" w:rsidP="00DB2CBB" w:rsidRDefault="00DB2CBB" w14:paraId="7A76F3CC" w14:textId="77777777">
            <w:pPr>
              <w:rPr>
                <w:rFonts w:ascii="Verdana" w:hAnsi="Verdana"/>
                <w:sz w:val="18"/>
                <w:szCs w:val="18"/>
              </w:rPr>
            </w:pPr>
            <w:r w:rsidRPr="002A1F9A">
              <w:rPr>
                <w:rFonts w:ascii="Verdana" w:hAnsi="Verdana"/>
                <w:sz w:val="18"/>
                <w:szCs w:val="18"/>
              </w:rPr>
              <w:t>92</w:t>
            </w:r>
          </w:p>
        </w:tc>
        <w:tc>
          <w:tcPr>
            <w:tcW w:w="6521" w:type="dxa"/>
            <w:gridSpan w:val="7"/>
          </w:tcPr>
          <w:p w:rsidRPr="002A1F9A" w:rsidR="00DB2CBB" w:rsidP="00DB2CBB" w:rsidRDefault="00DB2CBB" w14:paraId="3BAC8971" w14:textId="77777777">
            <w:pPr>
              <w:rPr>
                <w:rFonts w:ascii="Verdana" w:hAnsi="Verdana"/>
                <w:sz w:val="18"/>
                <w:szCs w:val="18"/>
              </w:rPr>
            </w:pPr>
            <w:r w:rsidRPr="002A1F9A">
              <w:rPr>
                <w:rFonts w:ascii="Verdana" w:hAnsi="Verdana"/>
                <w:sz w:val="18"/>
                <w:szCs w:val="18"/>
              </w:rPr>
              <w:t>Wordt er in 2026 bezuinigd op financiële steun die wordt geleverd aan organisaties die zich inzetten voor emancipatie? Zo ja, om hoeveel geld gaat dit?</w:t>
            </w:r>
          </w:p>
          <w:p w:rsidRPr="002A1F9A" w:rsidR="00DB2CBB" w:rsidP="00DB2CBB" w:rsidRDefault="00DB2CBB" w14:paraId="6D0311EB" w14:textId="77777777">
            <w:pPr>
              <w:rPr>
                <w:rFonts w:ascii="Verdana" w:hAnsi="Verdana"/>
                <w:sz w:val="18"/>
                <w:szCs w:val="18"/>
              </w:rPr>
            </w:pPr>
          </w:p>
          <w:p w:rsidRPr="002A1F9A" w:rsidR="00DB2CBB" w:rsidP="00DB2CBB" w:rsidRDefault="00DB2CBB" w14:paraId="5FA3D3BD" w14:textId="77777777">
            <w:pPr>
              <w:rPr>
                <w:rFonts w:ascii="Verdana" w:hAnsi="Verdana"/>
                <w:sz w:val="18"/>
                <w:szCs w:val="18"/>
              </w:rPr>
            </w:pPr>
            <w:r w:rsidRPr="002A1F9A">
              <w:rPr>
                <w:rFonts w:ascii="Verdana" w:hAnsi="Verdana"/>
                <w:sz w:val="18"/>
                <w:szCs w:val="18"/>
              </w:rPr>
              <w:t>Nee, er wordt in 2026 niet bezuinigd op de financiële steun.</w:t>
            </w:r>
          </w:p>
          <w:p w:rsidRPr="002A1F9A" w:rsidR="00DB2CBB" w:rsidP="00DB2CBB" w:rsidRDefault="00DB2CBB" w14:paraId="4073C11C" w14:textId="29D3488D">
            <w:pPr>
              <w:rPr>
                <w:rFonts w:ascii="Verdana" w:hAnsi="Verdana"/>
                <w:sz w:val="18"/>
                <w:szCs w:val="18"/>
              </w:rPr>
            </w:pPr>
          </w:p>
        </w:tc>
        <w:tc>
          <w:tcPr>
            <w:tcW w:w="850" w:type="dxa"/>
            <w:gridSpan w:val="2"/>
          </w:tcPr>
          <w:p w:rsidRPr="002A1F9A" w:rsidR="00DB2CBB" w:rsidP="00DB2CBB" w:rsidRDefault="00DB2CBB" w14:paraId="33C42D8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0812A202" w14:textId="77777777">
            <w:pPr>
              <w:jc w:val="right"/>
              <w:rPr>
                <w:rFonts w:ascii="Verdana" w:hAnsi="Verdana"/>
                <w:sz w:val="18"/>
                <w:szCs w:val="18"/>
              </w:rPr>
            </w:pPr>
            <w:r w:rsidRPr="002A1F9A">
              <w:rPr>
                <w:rFonts w:ascii="Verdana" w:hAnsi="Verdana"/>
                <w:sz w:val="18"/>
                <w:szCs w:val="18"/>
              </w:rPr>
              <w:t>17</w:t>
            </w:r>
          </w:p>
        </w:tc>
        <w:tc>
          <w:tcPr>
            <w:tcW w:w="567" w:type="dxa"/>
            <w:tcBorders>
              <w:left w:val="nil"/>
            </w:tcBorders>
          </w:tcPr>
          <w:p w:rsidRPr="002A1F9A" w:rsidR="00DB2CBB" w:rsidP="00DB2CBB" w:rsidRDefault="00DB2CBB" w14:paraId="4DDDC8AB"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36B798E" w14:textId="77777777">
        <w:tc>
          <w:tcPr>
            <w:tcW w:w="567" w:type="dxa"/>
          </w:tcPr>
          <w:p w:rsidRPr="002A1F9A" w:rsidR="00DB2CBB" w:rsidP="00DB2CBB" w:rsidRDefault="00DB2CBB" w14:paraId="478C7949" w14:textId="77777777">
            <w:pPr>
              <w:rPr>
                <w:rFonts w:ascii="Verdana" w:hAnsi="Verdana"/>
                <w:sz w:val="18"/>
                <w:szCs w:val="18"/>
              </w:rPr>
            </w:pPr>
            <w:r w:rsidRPr="002A1F9A">
              <w:rPr>
                <w:rFonts w:ascii="Verdana" w:hAnsi="Verdana"/>
                <w:sz w:val="18"/>
                <w:szCs w:val="18"/>
              </w:rPr>
              <w:t>93</w:t>
            </w:r>
          </w:p>
        </w:tc>
        <w:tc>
          <w:tcPr>
            <w:tcW w:w="6521" w:type="dxa"/>
            <w:gridSpan w:val="7"/>
          </w:tcPr>
          <w:p w:rsidRPr="002A1F9A" w:rsidR="00DB2CBB" w:rsidP="00DB2CBB" w:rsidRDefault="00DB2CBB" w14:paraId="254848FD" w14:textId="77777777">
            <w:pPr>
              <w:rPr>
                <w:rFonts w:ascii="Verdana" w:hAnsi="Verdana"/>
                <w:sz w:val="18"/>
                <w:szCs w:val="18"/>
              </w:rPr>
            </w:pPr>
            <w:r w:rsidRPr="002A1F9A">
              <w:rPr>
                <w:rFonts w:ascii="Verdana" w:hAnsi="Verdana"/>
                <w:sz w:val="18"/>
                <w:szCs w:val="18"/>
              </w:rPr>
              <w:t xml:space="preserve">Wat is het beeld van de uitvoering van de fair </w:t>
            </w:r>
            <w:proofErr w:type="spellStart"/>
            <w:r w:rsidRPr="002A1F9A">
              <w:rPr>
                <w:rFonts w:ascii="Verdana" w:hAnsi="Verdana"/>
                <w:sz w:val="18"/>
                <w:szCs w:val="18"/>
              </w:rPr>
              <w:t>pay</w:t>
            </w:r>
            <w:proofErr w:type="spellEnd"/>
            <w:r w:rsidRPr="002A1F9A">
              <w:rPr>
                <w:rFonts w:ascii="Verdana" w:hAnsi="Verdana"/>
                <w:sz w:val="18"/>
                <w:szCs w:val="18"/>
              </w:rPr>
              <w:t xml:space="preserve"> </w:t>
            </w:r>
            <w:proofErr w:type="spellStart"/>
            <w:r w:rsidRPr="002A1F9A">
              <w:rPr>
                <w:rFonts w:ascii="Verdana" w:hAnsi="Verdana"/>
                <w:sz w:val="18"/>
                <w:szCs w:val="18"/>
              </w:rPr>
              <w:t>and</w:t>
            </w:r>
            <w:proofErr w:type="spellEnd"/>
            <w:r w:rsidRPr="002A1F9A">
              <w:rPr>
                <w:rFonts w:ascii="Verdana" w:hAnsi="Verdana"/>
                <w:sz w:val="18"/>
                <w:szCs w:val="18"/>
              </w:rPr>
              <w:t xml:space="preserve"> </w:t>
            </w:r>
            <w:proofErr w:type="spellStart"/>
            <w:r w:rsidRPr="002A1F9A">
              <w:rPr>
                <w:rFonts w:ascii="Verdana" w:hAnsi="Verdana"/>
                <w:sz w:val="18"/>
                <w:szCs w:val="18"/>
              </w:rPr>
              <w:t>practise</w:t>
            </w:r>
            <w:proofErr w:type="spellEnd"/>
            <w:r w:rsidRPr="002A1F9A">
              <w:rPr>
                <w:rFonts w:ascii="Verdana" w:hAnsi="Verdana"/>
                <w:sz w:val="18"/>
                <w:szCs w:val="18"/>
              </w:rPr>
              <w:t xml:space="preserve"> code in de cultuurbranche en welk bedrag is nodig om fair </w:t>
            </w:r>
            <w:proofErr w:type="spellStart"/>
            <w:r w:rsidRPr="002A1F9A">
              <w:rPr>
                <w:rFonts w:ascii="Verdana" w:hAnsi="Verdana"/>
                <w:sz w:val="18"/>
                <w:szCs w:val="18"/>
              </w:rPr>
              <w:t>pay</w:t>
            </w:r>
            <w:proofErr w:type="spellEnd"/>
            <w:r w:rsidRPr="002A1F9A">
              <w:rPr>
                <w:rFonts w:ascii="Verdana" w:hAnsi="Verdana"/>
                <w:sz w:val="18"/>
                <w:szCs w:val="18"/>
              </w:rPr>
              <w:t xml:space="preserve"> volledig voor de gehele cultuurbranche uit te rollen?</w:t>
            </w:r>
          </w:p>
          <w:p w:rsidRPr="002A1F9A" w:rsidR="00DB2CBB" w:rsidP="00DB2CBB" w:rsidRDefault="00DB2CBB" w14:paraId="5ED1494D" w14:textId="77777777">
            <w:pPr>
              <w:rPr>
                <w:rFonts w:ascii="Verdana" w:hAnsi="Verdana"/>
                <w:sz w:val="18"/>
                <w:szCs w:val="18"/>
              </w:rPr>
            </w:pPr>
          </w:p>
          <w:p w:rsidRPr="002A1F9A" w:rsidR="00DB2CBB" w:rsidP="00DB2CBB" w:rsidRDefault="00DB2CBB" w14:paraId="1DF60297" w14:textId="7905E4D7">
            <w:pPr>
              <w:rPr>
                <w:rFonts w:ascii="Verdana" w:hAnsi="Verdana"/>
                <w:sz w:val="18"/>
                <w:szCs w:val="18"/>
              </w:rPr>
            </w:pPr>
            <w:r w:rsidRPr="002A1F9A">
              <w:rPr>
                <w:rFonts w:ascii="Verdana" w:hAnsi="Verdana"/>
                <w:sz w:val="18"/>
                <w:szCs w:val="18"/>
              </w:rPr>
              <w:t xml:space="preserve">Het meest recente onderzoek naar de benodigde middelen ten behoeve van fair </w:t>
            </w:r>
            <w:proofErr w:type="spellStart"/>
            <w:r w:rsidRPr="002A1F9A">
              <w:rPr>
                <w:rFonts w:ascii="Verdana" w:hAnsi="Verdana"/>
                <w:sz w:val="18"/>
                <w:szCs w:val="18"/>
              </w:rPr>
              <w:t>pay</w:t>
            </w:r>
            <w:proofErr w:type="spellEnd"/>
            <w:r w:rsidRPr="002A1F9A">
              <w:rPr>
                <w:rFonts w:ascii="Verdana" w:hAnsi="Verdana"/>
                <w:sz w:val="18"/>
                <w:szCs w:val="18"/>
              </w:rPr>
              <w:t xml:space="preserve"> is het in 2023 uitgevoerde onafhankelijk onderzoek ‘fair </w:t>
            </w:r>
            <w:proofErr w:type="spellStart"/>
            <w:r w:rsidRPr="002A1F9A">
              <w:rPr>
                <w:rFonts w:ascii="Verdana" w:hAnsi="Verdana"/>
                <w:sz w:val="18"/>
                <w:szCs w:val="18"/>
              </w:rPr>
              <w:t>pay</w:t>
            </w:r>
            <w:proofErr w:type="spellEnd"/>
            <w:r w:rsidRPr="002A1F9A">
              <w:rPr>
                <w:rFonts w:ascii="Verdana" w:hAnsi="Verdana"/>
                <w:sz w:val="18"/>
                <w:szCs w:val="18"/>
              </w:rPr>
              <w:t xml:space="preserve"> dichterbij’ van PPMC in opdracht van koepelorganisatie Kunsten`92. Dit onderzoek richtte zich hoofdzakelijk op de basisinfrastructuur en de door de cultuurfondsen meerjarig </w:t>
            </w:r>
            <w:r w:rsidRPr="002A1F9A" w:rsidR="002F2EE7">
              <w:rPr>
                <w:rFonts w:ascii="Verdana" w:hAnsi="Verdana"/>
                <w:sz w:val="18"/>
                <w:szCs w:val="18"/>
              </w:rPr>
              <w:t>gesubsidieerde</w:t>
            </w:r>
            <w:r w:rsidRPr="002A1F9A">
              <w:rPr>
                <w:rFonts w:ascii="Verdana" w:hAnsi="Verdana"/>
                <w:sz w:val="18"/>
                <w:szCs w:val="18"/>
              </w:rPr>
              <w:t xml:space="preserve"> instellingen. Een analyse voor de gehele culturele sector (inclusief andere overheden en privaat gefinancierde instellingen) is niet beschikbaar. Het Rijk is in het cultuurbeleid maar een van de financiers. Gemeenten en private financiers nemen een groot deel van het cultuurbudget voor hun rekening. Hoewel er goed wordt samengewerkt met de andere financiers, ligt de verantwoordelijkheid bij álle betrokken</w:t>
            </w:r>
            <w:r w:rsidRPr="002A1F9A" w:rsidR="002F2EE7">
              <w:rPr>
                <w:rFonts w:ascii="Verdana" w:hAnsi="Verdana"/>
                <w:sz w:val="18"/>
                <w:szCs w:val="18"/>
              </w:rPr>
              <w:t>en</w:t>
            </w:r>
            <w:r w:rsidRPr="002A1F9A">
              <w:rPr>
                <w:rFonts w:ascii="Verdana" w:hAnsi="Verdana"/>
                <w:sz w:val="18"/>
                <w:szCs w:val="18"/>
              </w:rPr>
              <w:t>.</w:t>
            </w:r>
          </w:p>
          <w:p w:rsidRPr="002A1F9A" w:rsidR="00DB2CBB" w:rsidP="00DB2CBB" w:rsidRDefault="00DB2CBB" w14:paraId="01CE18C0" w14:textId="2232E307">
            <w:pPr>
              <w:rPr>
                <w:rFonts w:ascii="Verdana" w:hAnsi="Verdana"/>
                <w:sz w:val="18"/>
                <w:szCs w:val="18"/>
              </w:rPr>
            </w:pPr>
            <w:r w:rsidRPr="002A1F9A">
              <w:rPr>
                <w:rFonts w:ascii="Verdana" w:hAnsi="Verdana"/>
                <w:sz w:val="18"/>
                <w:szCs w:val="18"/>
              </w:rPr>
              <w:t xml:space="preserve">Voor de basisinfrastructuur is het onderschrijven van de fair </w:t>
            </w:r>
            <w:proofErr w:type="spellStart"/>
            <w:r w:rsidRPr="002A1F9A">
              <w:rPr>
                <w:rFonts w:ascii="Verdana" w:hAnsi="Verdana"/>
                <w:sz w:val="18"/>
                <w:szCs w:val="18"/>
              </w:rPr>
              <w:t>practice</w:t>
            </w:r>
            <w:proofErr w:type="spellEnd"/>
            <w:r w:rsidRPr="002A1F9A">
              <w:rPr>
                <w:rFonts w:ascii="Verdana" w:hAnsi="Verdana"/>
                <w:sz w:val="18"/>
                <w:szCs w:val="18"/>
              </w:rPr>
              <w:t xml:space="preserve"> </w:t>
            </w:r>
            <w:r w:rsidRPr="002A1F9A" w:rsidR="002F2EE7">
              <w:rPr>
                <w:rFonts w:ascii="Verdana" w:hAnsi="Verdana"/>
                <w:sz w:val="18"/>
                <w:szCs w:val="18"/>
              </w:rPr>
              <w:t>code een</w:t>
            </w:r>
            <w:r w:rsidRPr="002A1F9A">
              <w:rPr>
                <w:rFonts w:ascii="Verdana" w:hAnsi="Verdana"/>
                <w:sz w:val="18"/>
                <w:szCs w:val="18"/>
              </w:rPr>
              <w:t xml:space="preserve"> voorwaarde voor subsidiëring. Alle instellingen in de basisinfrastructuur moeten zich daartoe verhouden. Onderdeel van de fair </w:t>
            </w:r>
            <w:proofErr w:type="spellStart"/>
            <w:r w:rsidRPr="002A1F9A">
              <w:rPr>
                <w:rFonts w:ascii="Verdana" w:hAnsi="Verdana"/>
                <w:sz w:val="18"/>
                <w:szCs w:val="18"/>
              </w:rPr>
              <w:t>practice</w:t>
            </w:r>
            <w:proofErr w:type="spellEnd"/>
            <w:r w:rsidRPr="002A1F9A">
              <w:rPr>
                <w:rFonts w:ascii="Verdana" w:hAnsi="Verdana"/>
                <w:sz w:val="18"/>
                <w:szCs w:val="18"/>
              </w:rPr>
              <w:t xml:space="preserve"> code is ‘fair </w:t>
            </w:r>
            <w:proofErr w:type="spellStart"/>
            <w:r w:rsidRPr="002A1F9A">
              <w:rPr>
                <w:rFonts w:ascii="Verdana" w:hAnsi="Verdana"/>
                <w:sz w:val="18"/>
                <w:szCs w:val="18"/>
              </w:rPr>
              <w:t>pay</w:t>
            </w:r>
            <w:proofErr w:type="spellEnd"/>
            <w:r w:rsidRPr="002A1F9A">
              <w:rPr>
                <w:rFonts w:ascii="Verdana" w:hAnsi="Verdana"/>
                <w:sz w:val="18"/>
                <w:szCs w:val="18"/>
              </w:rPr>
              <w:t xml:space="preserve">’. Ten behoeve van fair </w:t>
            </w:r>
            <w:proofErr w:type="spellStart"/>
            <w:r w:rsidRPr="002A1F9A">
              <w:rPr>
                <w:rFonts w:ascii="Verdana" w:hAnsi="Verdana"/>
                <w:sz w:val="18"/>
                <w:szCs w:val="18"/>
              </w:rPr>
              <w:t>pay</w:t>
            </w:r>
            <w:proofErr w:type="spellEnd"/>
            <w:r w:rsidRPr="002A1F9A">
              <w:rPr>
                <w:rFonts w:ascii="Verdana" w:hAnsi="Verdana"/>
                <w:sz w:val="18"/>
                <w:szCs w:val="18"/>
              </w:rPr>
              <w:t xml:space="preserve"> zijn culturele instellingen die vanuit de basisinfrastructuur (bis) subsidie van de Rijksoverheid ontvangen, vanaf 2025 verplicht tot eerlijke betaling (fair </w:t>
            </w:r>
            <w:proofErr w:type="spellStart"/>
            <w:r w:rsidRPr="002A1F9A">
              <w:rPr>
                <w:rFonts w:ascii="Verdana" w:hAnsi="Verdana"/>
                <w:sz w:val="18"/>
                <w:szCs w:val="18"/>
              </w:rPr>
              <w:t>pay</w:t>
            </w:r>
            <w:proofErr w:type="spellEnd"/>
            <w:r w:rsidRPr="002A1F9A">
              <w:rPr>
                <w:rFonts w:ascii="Verdana" w:hAnsi="Verdana"/>
                <w:sz w:val="18"/>
                <w:szCs w:val="18"/>
              </w:rPr>
              <w:t xml:space="preserve">). Voor deze instellingen geldt dat zij zich per 1 januari 2025 </w:t>
            </w:r>
            <w:r w:rsidRPr="002A1F9A">
              <w:rPr>
                <w:rFonts w:ascii="Verdana" w:hAnsi="Verdana"/>
                <w:sz w:val="18"/>
                <w:szCs w:val="18"/>
              </w:rPr>
              <w:lastRenderedPageBreak/>
              <w:t xml:space="preserve">moeten verbinden aan collectieve tariefafspraken. Het gaat dan bijvoorbeeld om het aansluiten bij een CAO of honoreringsrichtlijn. Bij de </w:t>
            </w:r>
            <w:proofErr w:type="spellStart"/>
            <w:r w:rsidRPr="002A1F9A">
              <w:rPr>
                <w:rFonts w:ascii="Verdana" w:hAnsi="Verdana"/>
                <w:sz w:val="18"/>
                <w:szCs w:val="18"/>
              </w:rPr>
              <w:t>rijkscultuurfondsen</w:t>
            </w:r>
            <w:proofErr w:type="spellEnd"/>
            <w:r w:rsidRPr="002A1F9A">
              <w:rPr>
                <w:rFonts w:ascii="Verdana" w:hAnsi="Verdana"/>
                <w:sz w:val="18"/>
                <w:szCs w:val="18"/>
              </w:rPr>
              <w:t xml:space="preserve"> geldt ook de verplichting de fair </w:t>
            </w:r>
            <w:proofErr w:type="spellStart"/>
            <w:r w:rsidRPr="002A1F9A">
              <w:rPr>
                <w:rFonts w:ascii="Verdana" w:hAnsi="Verdana"/>
                <w:sz w:val="18"/>
                <w:szCs w:val="18"/>
              </w:rPr>
              <w:t>practice</w:t>
            </w:r>
            <w:proofErr w:type="spellEnd"/>
            <w:r w:rsidRPr="002A1F9A">
              <w:rPr>
                <w:rFonts w:ascii="Verdana" w:hAnsi="Verdana"/>
                <w:sz w:val="18"/>
                <w:szCs w:val="18"/>
              </w:rPr>
              <w:t xml:space="preserve"> code te onderschrijven, maar is de verplichting met betrekking tot fair </w:t>
            </w:r>
            <w:proofErr w:type="spellStart"/>
            <w:r w:rsidRPr="002A1F9A">
              <w:rPr>
                <w:rFonts w:ascii="Verdana" w:hAnsi="Verdana"/>
                <w:sz w:val="18"/>
                <w:szCs w:val="18"/>
              </w:rPr>
              <w:t>pay</w:t>
            </w:r>
            <w:proofErr w:type="spellEnd"/>
            <w:r w:rsidRPr="002A1F9A">
              <w:rPr>
                <w:rFonts w:ascii="Verdana" w:hAnsi="Verdana"/>
                <w:sz w:val="18"/>
                <w:szCs w:val="18"/>
              </w:rPr>
              <w:t xml:space="preserve"> voor een deel afhankelijk van de aard en omvang van de subsidierelatie. </w:t>
            </w:r>
          </w:p>
          <w:p w:rsidRPr="002A1F9A" w:rsidR="00DB2CBB" w:rsidP="00DB2CBB" w:rsidRDefault="00DB2CBB" w14:paraId="006F29DE" w14:textId="7A4D971B">
            <w:pPr>
              <w:rPr>
                <w:rFonts w:ascii="Verdana" w:hAnsi="Verdana"/>
                <w:sz w:val="18"/>
                <w:szCs w:val="18"/>
              </w:rPr>
            </w:pPr>
            <w:r w:rsidRPr="002A1F9A">
              <w:rPr>
                <w:rFonts w:ascii="Verdana" w:hAnsi="Verdana"/>
                <w:sz w:val="18"/>
                <w:szCs w:val="18"/>
              </w:rPr>
              <w:t xml:space="preserve">Per 1 januari 2025 heeft het kabinet structureel € 38,2 miljoen (loon- en prijspeil 2024) extra voor fair </w:t>
            </w:r>
            <w:proofErr w:type="spellStart"/>
            <w:r w:rsidRPr="002A1F9A">
              <w:rPr>
                <w:rFonts w:ascii="Verdana" w:hAnsi="Verdana"/>
                <w:sz w:val="18"/>
                <w:szCs w:val="18"/>
              </w:rPr>
              <w:t>pay</w:t>
            </w:r>
            <w:proofErr w:type="spellEnd"/>
            <w:r w:rsidRPr="002A1F9A">
              <w:rPr>
                <w:rFonts w:ascii="Verdana" w:hAnsi="Verdana"/>
                <w:sz w:val="18"/>
                <w:szCs w:val="18"/>
              </w:rPr>
              <w:t xml:space="preserve"> toegevoegd, verdeeld over de Rijkscultuurfondsen, bis-instellingen en musea in de Erfgoedwet. Tijdens het commissiedebat van 12 juni is aan </w:t>
            </w:r>
            <w:r w:rsidRPr="002A1F9A" w:rsidR="002F2EE7">
              <w:rPr>
                <w:rFonts w:ascii="Verdana" w:hAnsi="Verdana"/>
                <w:sz w:val="18"/>
                <w:szCs w:val="18"/>
              </w:rPr>
              <w:t>uw</w:t>
            </w:r>
            <w:r w:rsidRPr="002A1F9A">
              <w:rPr>
                <w:rFonts w:ascii="Verdana" w:hAnsi="Verdana"/>
                <w:sz w:val="18"/>
                <w:szCs w:val="18"/>
              </w:rPr>
              <w:t xml:space="preserve"> Kamer toegezegd ‘fair </w:t>
            </w:r>
            <w:proofErr w:type="spellStart"/>
            <w:r w:rsidRPr="002A1F9A">
              <w:rPr>
                <w:rFonts w:ascii="Verdana" w:hAnsi="Verdana"/>
                <w:sz w:val="18"/>
                <w:szCs w:val="18"/>
              </w:rPr>
              <w:t>pay</w:t>
            </w:r>
            <w:proofErr w:type="spellEnd"/>
            <w:r w:rsidRPr="002A1F9A">
              <w:rPr>
                <w:rFonts w:ascii="Verdana" w:hAnsi="Verdana"/>
                <w:sz w:val="18"/>
                <w:szCs w:val="18"/>
              </w:rPr>
              <w:t xml:space="preserve">’ te evalueren in 2026-2027. Middels deze evaluatie kan een goed beeld geschetst worden over de uitvoering van ‘fair </w:t>
            </w:r>
            <w:proofErr w:type="spellStart"/>
            <w:r w:rsidRPr="002A1F9A">
              <w:rPr>
                <w:rFonts w:ascii="Verdana" w:hAnsi="Verdana"/>
                <w:sz w:val="18"/>
                <w:szCs w:val="18"/>
              </w:rPr>
              <w:t>pay</w:t>
            </w:r>
            <w:proofErr w:type="spellEnd"/>
            <w:r w:rsidRPr="002A1F9A">
              <w:rPr>
                <w:rFonts w:ascii="Verdana" w:hAnsi="Verdana"/>
                <w:sz w:val="18"/>
                <w:szCs w:val="18"/>
              </w:rPr>
              <w:t>’.</w:t>
            </w:r>
          </w:p>
          <w:p w:rsidRPr="002A1F9A" w:rsidR="00DB2CBB" w:rsidP="00DB2CBB" w:rsidRDefault="00DB2CBB" w14:paraId="7315CF2A" w14:textId="5A983293">
            <w:pPr>
              <w:rPr>
                <w:rFonts w:ascii="Verdana" w:hAnsi="Verdana"/>
                <w:sz w:val="18"/>
                <w:szCs w:val="18"/>
              </w:rPr>
            </w:pPr>
          </w:p>
        </w:tc>
        <w:tc>
          <w:tcPr>
            <w:tcW w:w="850" w:type="dxa"/>
            <w:gridSpan w:val="2"/>
          </w:tcPr>
          <w:p w:rsidRPr="002A1F9A" w:rsidR="00DB2CBB" w:rsidP="00DB2CBB" w:rsidRDefault="00DB2CBB" w14:paraId="26B982C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35DBFF1D" w14:textId="77777777">
            <w:pPr>
              <w:jc w:val="right"/>
              <w:rPr>
                <w:rFonts w:ascii="Verdana" w:hAnsi="Verdana"/>
                <w:sz w:val="18"/>
                <w:szCs w:val="18"/>
              </w:rPr>
            </w:pPr>
            <w:r w:rsidRPr="002A1F9A">
              <w:rPr>
                <w:rFonts w:ascii="Verdana" w:hAnsi="Verdana"/>
                <w:sz w:val="18"/>
                <w:szCs w:val="18"/>
              </w:rPr>
              <w:t>18</w:t>
            </w:r>
          </w:p>
        </w:tc>
        <w:tc>
          <w:tcPr>
            <w:tcW w:w="567" w:type="dxa"/>
            <w:tcBorders>
              <w:left w:val="nil"/>
            </w:tcBorders>
          </w:tcPr>
          <w:p w:rsidRPr="002A1F9A" w:rsidR="00DB2CBB" w:rsidP="00DB2CBB" w:rsidRDefault="00DB2CBB" w14:paraId="53D6D30D"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0105C9C" w14:textId="77777777">
        <w:tc>
          <w:tcPr>
            <w:tcW w:w="567" w:type="dxa"/>
          </w:tcPr>
          <w:p w:rsidRPr="002A1F9A" w:rsidR="00DB2CBB" w:rsidP="00DB2CBB" w:rsidRDefault="00DB2CBB" w14:paraId="7D2322A3" w14:textId="77777777">
            <w:pPr>
              <w:rPr>
                <w:rFonts w:ascii="Verdana" w:hAnsi="Verdana"/>
                <w:sz w:val="18"/>
                <w:szCs w:val="18"/>
              </w:rPr>
            </w:pPr>
            <w:r w:rsidRPr="002A1F9A">
              <w:rPr>
                <w:rFonts w:ascii="Verdana" w:hAnsi="Verdana"/>
                <w:sz w:val="18"/>
                <w:szCs w:val="18"/>
              </w:rPr>
              <w:t>94</w:t>
            </w:r>
          </w:p>
        </w:tc>
        <w:tc>
          <w:tcPr>
            <w:tcW w:w="6521" w:type="dxa"/>
            <w:gridSpan w:val="7"/>
          </w:tcPr>
          <w:p w:rsidRPr="002A1F9A" w:rsidR="00DB2CBB" w:rsidP="00DB2CBB" w:rsidRDefault="00DB2CBB" w14:paraId="510688A8" w14:textId="77777777">
            <w:pPr>
              <w:rPr>
                <w:rFonts w:ascii="Verdana" w:hAnsi="Verdana"/>
                <w:sz w:val="18"/>
                <w:szCs w:val="18"/>
              </w:rPr>
            </w:pPr>
            <w:r w:rsidRPr="002A1F9A">
              <w:rPr>
                <w:rFonts w:ascii="Verdana" w:hAnsi="Verdana"/>
                <w:sz w:val="18"/>
                <w:szCs w:val="18"/>
              </w:rPr>
              <w:t>Kunt u kwantificeren in hoeverre het Masterplan basisvaardigheden inmiddels heeft geleid tot een betere beheersing van de basisvaardigheden bij de scholieren in basis-, voortgezet en speciaal onderwijs?</w:t>
            </w:r>
          </w:p>
          <w:p w:rsidRPr="002A1F9A" w:rsidR="00DB2CBB" w:rsidP="00DB2CBB" w:rsidRDefault="00DB2CBB" w14:paraId="043A8065" w14:textId="77777777">
            <w:pPr>
              <w:rPr>
                <w:rFonts w:ascii="Verdana" w:hAnsi="Verdana"/>
                <w:sz w:val="18"/>
                <w:szCs w:val="18"/>
              </w:rPr>
            </w:pPr>
          </w:p>
          <w:p w:rsidRPr="002A1F9A" w:rsidR="00DB2CBB" w:rsidP="00DB2CBB" w:rsidRDefault="00DB2CBB" w14:paraId="535C648E" w14:textId="031553BD">
            <w:pPr>
              <w:rPr>
                <w:rFonts w:ascii="Verdana" w:hAnsi="Verdana"/>
                <w:kern w:val="2"/>
                <w:sz w:val="18"/>
                <w:szCs w:val="24"/>
                <w14:ligatures w14:val="standardContextual"/>
              </w:rPr>
            </w:pPr>
            <w:r w:rsidRPr="002A1F9A">
              <w:rPr>
                <w:rFonts w:ascii="Verdana" w:hAnsi="Verdana"/>
                <w:kern w:val="2"/>
                <w:sz w:val="18"/>
                <w:szCs w:val="24"/>
                <w14:ligatures w14:val="standardContextual"/>
              </w:rPr>
              <w:t xml:space="preserve">Rond het Masterplan basisvaardigheden is een onderzoeksprogramma opgezet waarover sinds de start in 2022 regelmatig gerapporteerd wordt aan uw Kamer. Zo geeft de </w:t>
            </w:r>
            <w:hyperlink w:history="1" r:id="rId60">
              <w:r w:rsidRPr="002A1F9A">
                <w:rPr>
                  <w:rStyle w:val="Hyperlink"/>
                  <w:rFonts w:ascii="Verdana" w:hAnsi="Verdana"/>
                  <w:kern w:val="2"/>
                  <w:sz w:val="18"/>
                  <w:szCs w:val="24"/>
                  <w14:ligatures w14:val="standardContextual"/>
                </w:rPr>
                <w:t>jaarlijkse Monitor basisvaardigheden</w:t>
              </w:r>
            </w:hyperlink>
            <w:r w:rsidRPr="002A1F9A">
              <w:rPr>
                <w:rFonts w:ascii="Verdana" w:hAnsi="Verdana"/>
                <w:kern w:val="2"/>
                <w:sz w:val="18"/>
                <w:szCs w:val="24"/>
                <w14:ligatures w14:val="standardContextual"/>
              </w:rPr>
              <w:t xml:space="preserve"> sinds 2023 een actueel beeld van de prestaties van leerlingen en kwantificeert deze monitor in hoeverre er sprake is van vooruitgang van leerlingen in het basis- en voortgezet onderwijs. Daarnaast wordt de uitvoering en het effect van specifiek de subsidieregeling ‘Verbetering basisvaardigheden’, op de voet gevolgd met vragenlijsten en het kwantitatief effectonderzoek. Op basis van de eindmeting onder de scholen die als eerste zijn begonnen, weten we dat een zeer groot deel van deze scholen aan het einde van de subsidieperiode positief is over het effect van hun extra inzet op de basisvaardigheden op de leerprestaties van hun leerlingen. Met name in het primair onderwijs zijn scholen positief: ruim 80</w:t>
            </w:r>
            <w:r w:rsidRPr="002A1F9A" w:rsidR="00514931">
              <w:rPr>
                <w:rFonts w:ascii="Verdana" w:hAnsi="Verdana"/>
                <w:kern w:val="2"/>
                <w:sz w:val="18"/>
                <w:szCs w:val="24"/>
                <w14:ligatures w14:val="standardContextual"/>
              </w:rPr>
              <w:t xml:space="preserve">% </w:t>
            </w:r>
            <w:r w:rsidRPr="002A1F9A">
              <w:rPr>
                <w:rFonts w:ascii="Verdana" w:hAnsi="Verdana"/>
                <w:kern w:val="2"/>
                <w:sz w:val="18"/>
                <w:szCs w:val="24"/>
                <w14:ligatures w14:val="standardContextual"/>
              </w:rPr>
              <w:t>van de scholen geeft aan merkbare of aanzienlijke vooruitgang te zien bij taal en rekenen-wiskunde. In het voortgezet onderwijs gaat het om 60</w:t>
            </w:r>
            <w:r w:rsidRPr="002A1F9A" w:rsidR="00514931">
              <w:rPr>
                <w:rFonts w:ascii="Verdana" w:hAnsi="Verdana"/>
                <w:kern w:val="2"/>
                <w:sz w:val="18"/>
                <w:szCs w:val="24"/>
                <w14:ligatures w14:val="standardContextual"/>
              </w:rPr>
              <w:t xml:space="preserve">% </w:t>
            </w:r>
            <w:r w:rsidRPr="002A1F9A">
              <w:rPr>
                <w:rFonts w:ascii="Verdana" w:hAnsi="Verdana"/>
                <w:kern w:val="2"/>
                <w:sz w:val="18"/>
                <w:szCs w:val="24"/>
                <w14:ligatures w14:val="standardContextual"/>
              </w:rPr>
              <w:t>van de scholen. Zij zien daarnaast ook veranderingen binnen de school die duurzaam bijdragen aan de verbetering van de onderwijskwaliteit. Het eerste beeld is dus positief. Aan het einde van het jaar zullen we in de zevende voortgangsbrief aan de hand van nieuwe onderzoeksresultaten in meer detail rapporteren over het effect van de subsidie en ondersteuning.</w:t>
            </w:r>
          </w:p>
          <w:p w:rsidRPr="002A1F9A" w:rsidR="00DB2CBB" w:rsidP="00DB2CBB" w:rsidRDefault="00DB2CBB" w14:paraId="47F4B057" w14:textId="4590EA10">
            <w:pPr>
              <w:rPr>
                <w:rFonts w:ascii="Verdana" w:hAnsi="Verdana"/>
                <w:sz w:val="18"/>
                <w:szCs w:val="18"/>
              </w:rPr>
            </w:pPr>
          </w:p>
        </w:tc>
        <w:tc>
          <w:tcPr>
            <w:tcW w:w="850" w:type="dxa"/>
            <w:gridSpan w:val="2"/>
          </w:tcPr>
          <w:p w:rsidRPr="002A1F9A" w:rsidR="00DB2CBB" w:rsidP="00DB2CBB" w:rsidRDefault="00DB2CBB" w14:paraId="111DCD7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F5F986F" w14:textId="77777777">
            <w:pPr>
              <w:jc w:val="right"/>
              <w:rPr>
                <w:rFonts w:ascii="Verdana" w:hAnsi="Verdana"/>
                <w:sz w:val="18"/>
                <w:szCs w:val="18"/>
              </w:rPr>
            </w:pPr>
            <w:r w:rsidRPr="002A1F9A">
              <w:rPr>
                <w:rFonts w:ascii="Verdana" w:hAnsi="Verdana"/>
                <w:sz w:val="18"/>
                <w:szCs w:val="18"/>
              </w:rPr>
              <w:t>21</w:t>
            </w:r>
          </w:p>
        </w:tc>
        <w:tc>
          <w:tcPr>
            <w:tcW w:w="567" w:type="dxa"/>
            <w:tcBorders>
              <w:left w:val="nil"/>
            </w:tcBorders>
          </w:tcPr>
          <w:p w:rsidRPr="002A1F9A" w:rsidR="00DB2CBB" w:rsidP="00DB2CBB" w:rsidRDefault="00DB2CBB" w14:paraId="5167A421"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7F05D62" w14:textId="77777777">
        <w:tc>
          <w:tcPr>
            <w:tcW w:w="567" w:type="dxa"/>
          </w:tcPr>
          <w:p w:rsidRPr="002A1F9A" w:rsidR="00DB2CBB" w:rsidP="00DB2CBB" w:rsidRDefault="00DB2CBB" w14:paraId="5EBD7F3F" w14:textId="77777777">
            <w:pPr>
              <w:rPr>
                <w:rFonts w:ascii="Verdana" w:hAnsi="Verdana"/>
                <w:sz w:val="18"/>
                <w:szCs w:val="18"/>
              </w:rPr>
            </w:pPr>
            <w:r w:rsidRPr="002A1F9A">
              <w:rPr>
                <w:rFonts w:ascii="Verdana" w:hAnsi="Verdana"/>
                <w:sz w:val="18"/>
                <w:szCs w:val="18"/>
              </w:rPr>
              <w:t>95</w:t>
            </w:r>
          </w:p>
        </w:tc>
        <w:tc>
          <w:tcPr>
            <w:tcW w:w="6521" w:type="dxa"/>
            <w:gridSpan w:val="7"/>
          </w:tcPr>
          <w:p w:rsidRPr="002A1F9A" w:rsidR="00DB2CBB" w:rsidP="00DB2CBB" w:rsidRDefault="00DB2CBB" w14:paraId="07E5046C" w14:textId="77777777">
            <w:pPr>
              <w:rPr>
                <w:rFonts w:ascii="Verdana" w:hAnsi="Verdana"/>
                <w:sz w:val="18"/>
                <w:szCs w:val="18"/>
              </w:rPr>
            </w:pPr>
            <w:r w:rsidRPr="002A1F9A">
              <w:rPr>
                <w:rFonts w:ascii="Verdana" w:hAnsi="Verdana"/>
                <w:sz w:val="18"/>
                <w:szCs w:val="18"/>
              </w:rPr>
              <w:t>Wat is de dekking voor het terugdraaien van de onderwijskansenregeling?</w:t>
            </w:r>
          </w:p>
          <w:p w:rsidRPr="002A1F9A" w:rsidR="00850DFF" w:rsidP="00DB2CBB" w:rsidRDefault="00850DFF" w14:paraId="008EDA73" w14:textId="77777777">
            <w:pPr>
              <w:rPr>
                <w:rFonts w:ascii="Verdana" w:hAnsi="Verdana"/>
                <w:sz w:val="18"/>
                <w:szCs w:val="18"/>
              </w:rPr>
            </w:pPr>
          </w:p>
          <w:p w:rsidRPr="002A1F9A" w:rsidR="00850DFF" w:rsidP="00850DFF" w:rsidRDefault="00850DFF" w14:paraId="035F1BDD" w14:textId="77777777">
            <w:pPr>
              <w:rPr>
                <w:rFonts w:ascii="Verdana" w:hAnsi="Verdana"/>
                <w:sz w:val="18"/>
                <w:szCs w:val="18"/>
              </w:rPr>
            </w:pPr>
            <w:r w:rsidRPr="002A1F9A">
              <w:rPr>
                <w:rFonts w:ascii="Verdana" w:hAnsi="Verdana"/>
                <w:sz w:val="18"/>
                <w:szCs w:val="18"/>
              </w:rPr>
              <w:t>Het kabinet heeft in de Miljoenennota 2026 een integrale afweging gemaakt van alle uitgaven. Het terugdraaien van het afschaffen van de onderwijskansenregeling was hier onderdeel van. De dekking bestaat onder andere uit een deel van de Envelop ouderenzorg, een korting op de incidentele loonontwikkeling tranche 2029 en een deel van de prijsbijstelling tranche 2026. Het is niet mogelijk om één op één de dekking voor het terugdraaien van de afschaffing van de onderwijskansenregeling aan te wijzen.</w:t>
            </w:r>
          </w:p>
          <w:p w:rsidRPr="002A1F9A" w:rsidR="00850DFF" w:rsidP="00DB2CBB" w:rsidRDefault="00850DFF" w14:paraId="26C78508" w14:textId="77777777">
            <w:pPr>
              <w:rPr>
                <w:rFonts w:ascii="Verdana" w:hAnsi="Verdana"/>
                <w:sz w:val="18"/>
                <w:szCs w:val="18"/>
              </w:rPr>
            </w:pPr>
          </w:p>
        </w:tc>
        <w:tc>
          <w:tcPr>
            <w:tcW w:w="850" w:type="dxa"/>
            <w:gridSpan w:val="2"/>
          </w:tcPr>
          <w:p w:rsidRPr="002A1F9A" w:rsidR="00DB2CBB" w:rsidP="00DB2CBB" w:rsidRDefault="00DB2CBB" w14:paraId="4F47420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7BBCA9E8" w14:textId="77777777">
            <w:pPr>
              <w:jc w:val="right"/>
              <w:rPr>
                <w:rFonts w:ascii="Verdana" w:hAnsi="Verdana"/>
                <w:sz w:val="18"/>
                <w:szCs w:val="18"/>
              </w:rPr>
            </w:pPr>
            <w:r w:rsidRPr="002A1F9A">
              <w:rPr>
                <w:rFonts w:ascii="Verdana" w:hAnsi="Verdana"/>
                <w:sz w:val="18"/>
                <w:szCs w:val="18"/>
              </w:rPr>
              <w:t>22</w:t>
            </w:r>
          </w:p>
        </w:tc>
        <w:tc>
          <w:tcPr>
            <w:tcW w:w="567" w:type="dxa"/>
            <w:tcBorders>
              <w:left w:val="nil"/>
            </w:tcBorders>
          </w:tcPr>
          <w:p w:rsidRPr="002A1F9A" w:rsidR="00DB2CBB" w:rsidP="00DB2CBB" w:rsidRDefault="00DB2CBB" w14:paraId="0FCF1F4C"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4BC90B64" w14:textId="77777777">
        <w:tc>
          <w:tcPr>
            <w:tcW w:w="567" w:type="dxa"/>
          </w:tcPr>
          <w:p w:rsidRPr="002A1F9A" w:rsidR="00DB2CBB" w:rsidP="00DB2CBB" w:rsidRDefault="00DB2CBB" w14:paraId="7B3B49F8" w14:textId="77777777">
            <w:pPr>
              <w:rPr>
                <w:rFonts w:ascii="Verdana" w:hAnsi="Verdana"/>
                <w:sz w:val="18"/>
                <w:szCs w:val="18"/>
              </w:rPr>
            </w:pPr>
            <w:r w:rsidRPr="002A1F9A">
              <w:rPr>
                <w:rFonts w:ascii="Verdana" w:hAnsi="Verdana"/>
                <w:sz w:val="18"/>
                <w:szCs w:val="18"/>
              </w:rPr>
              <w:t>96</w:t>
            </w:r>
          </w:p>
        </w:tc>
        <w:tc>
          <w:tcPr>
            <w:tcW w:w="6521" w:type="dxa"/>
            <w:gridSpan w:val="7"/>
          </w:tcPr>
          <w:p w:rsidRPr="002A1F9A" w:rsidR="00DB2CBB" w:rsidP="00DB2CBB" w:rsidRDefault="00DB2CBB" w14:paraId="559F9CFC" w14:textId="77777777">
            <w:pPr>
              <w:rPr>
                <w:rFonts w:ascii="Verdana" w:hAnsi="Verdana"/>
                <w:sz w:val="18"/>
                <w:szCs w:val="18"/>
              </w:rPr>
            </w:pPr>
            <w:r w:rsidRPr="002A1F9A">
              <w:rPr>
                <w:rFonts w:ascii="Verdana" w:hAnsi="Verdana"/>
                <w:sz w:val="18"/>
                <w:szCs w:val="18"/>
              </w:rPr>
              <w:t>Wordt de volledige prijsbijstelling voor 2026 uitgekeerd?</w:t>
            </w:r>
          </w:p>
          <w:p w:rsidRPr="002A1F9A" w:rsidR="00850DFF" w:rsidP="00DB2CBB" w:rsidRDefault="00850DFF" w14:paraId="771BAC2C" w14:textId="77777777">
            <w:pPr>
              <w:rPr>
                <w:rFonts w:ascii="Verdana" w:hAnsi="Verdana"/>
                <w:sz w:val="18"/>
                <w:szCs w:val="18"/>
              </w:rPr>
            </w:pPr>
          </w:p>
          <w:p w:rsidRPr="002A1F9A" w:rsidR="00850DFF" w:rsidP="00850DFF" w:rsidRDefault="00850DFF" w14:paraId="7BA91528" w14:textId="1B9D315A">
            <w:pPr>
              <w:rPr>
                <w:rFonts w:ascii="Verdana" w:hAnsi="Verdana"/>
                <w:sz w:val="18"/>
                <w:szCs w:val="18"/>
              </w:rPr>
            </w:pPr>
            <w:r w:rsidRPr="002A1F9A">
              <w:rPr>
                <w:rFonts w:ascii="Verdana" w:hAnsi="Verdana"/>
                <w:sz w:val="18"/>
                <w:szCs w:val="18"/>
              </w:rPr>
              <w:t xml:space="preserve">Het kabinet heeft in de Miljoenennota 2026 aangekondigd dat bij Voorjaarsnota 2026 de prijsbijstelling over de gehele Rijksbegroting met € 380 miljoen wordt gekort. Dit betekent dat </w:t>
            </w:r>
            <w:r w:rsidRPr="002A1F9A" w:rsidR="009A3C2E">
              <w:rPr>
                <w:rFonts w:ascii="Verdana" w:hAnsi="Verdana"/>
                <w:sz w:val="18"/>
                <w:szCs w:val="18"/>
              </w:rPr>
              <w:t xml:space="preserve">het ministerie van </w:t>
            </w:r>
            <w:r w:rsidRPr="002A1F9A">
              <w:rPr>
                <w:rFonts w:ascii="Verdana" w:hAnsi="Verdana"/>
                <w:sz w:val="18"/>
                <w:szCs w:val="18"/>
              </w:rPr>
              <w:t>OCW geen volledige prijsbijstelling ontvangt in 2026.</w:t>
            </w:r>
          </w:p>
          <w:p w:rsidRPr="002A1F9A" w:rsidR="00850DFF" w:rsidP="00DB2CBB" w:rsidRDefault="00850DFF" w14:paraId="2C91B957" w14:textId="77777777">
            <w:pPr>
              <w:rPr>
                <w:rFonts w:ascii="Verdana" w:hAnsi="Verdana"/>
                <w:sz w:val="18"/>
                <w:szCs w:val="18"/>
              </w:rPr>
            </w:pPr>
          </w:p>
        </w:tc>
        <w:tc>
          <w:tcPr>
            <w:tcW w:w="850" w:type="dxa"/>
            <w:gridSpan w:val="2"/>
          </w:tcPr>
          <w:p w:rsidRPr="002A1F9A" w:rsidR="00DB2CBB" w:rsidP="00DB2CBB" w:rsidRDefault="00DB2CBB" w14:paraId="6D7FF70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13498C3" w14:textId="77777777">
            <w:pPr>
              <w:jc w:val="right"/>
              <w:rPr>
                <w:rFonts w:ascii="Verdana" w:hAnsi="Verdana"/>
                <w:sz w:val="18"/>
                <w:szCs w:val="18"/>
              </w:rPr>
            </w:pPr>
            <w:r w:rsidRPr="002A1F9A">
              <w:rPr>
                <w:rFonts w:ascii="Verdana" w:hAnsi="Verdana"/>
                <w:sz w:val="18"/>
                <w:szCs w:val="18"/>
              </w:rPr>
              <w:t>22</w:t>
            </w:r>
          </w:p>
        </w:tc>
        <w:tc>
          <w:tcPr>
            <w:tcW w:w="567" w:type="dxa"/>
            <w:tcBorders>
              <w:left w:val="nil"/>
            </w:tcBorders>
          </w:tcPr>
          <w:p w:rsidRPr="002A1F9A" w:rsidR="00DB2CBB" w:rsidP="00DB2CBB" w:rsidRDefault="00DB2CBB" w14:paraId="39D56D26"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FA5B84E" w14:textId="77777777">
        <w:tc>
          <w:tcPr>
            <w:tcW w:w="567" w:type="dxa"/>
          </w:tcPr>
          <w:p w:rsidRPr="002A1F9A" w:rsidR="00DB2CBB" w:rsidP="00DB2CBB" w:rsidRDefault="00DB2CBB" w14:paraId="7AC6EB31" w14:textId="77777777">
            <w:pPr>
              <w:rPr>
                <w:rFonts w:ascii="Verdana" w:hAnsi="Verdana"/>
                <w:sz w:val="18"/>
                <w:szCs w:val="18"/>
              </w:rPr>
            </w:pPr>
            <w:r w:rsidRPr="002A1F9A">
              <w:rPr>
                <w:rFonts w:ascii="Verdana" w:hAnsi="Verdana"/>
                <w:sz w:val="18"/>
                <w:szCs w:val="18"/>
              </w:rPr>
              <w:lastRenderedPageBreak/>
              <w:t>97</w:t>
            </w:r>
          </w:p>
        </w:tc>
        <w:tc>
          <w:tcPr>
            <w:tcW w:w="6521" w:type="dxa"/>
            <w:gridSpan w:val="7"/>
          </w:tcPr>
          <w:p w:rsidRPr="002A1F9A" w:rsidR="00DB2CBB" w:rsidP="00DB2CBB" w:rsidRDefault="00DB2CBB" w14:paraId="47DEDF37" w14:textId="77777777">
            <w:pPr>
              <w:rPr>
                <w:rFonts w:ascii="Verdana" w:hAnsi="Verdana"/>
                <w:sz w:val="18"/>
                <w:szCs w:val="18"/>
              </w:rPr>
            </w:pPr>
            <w:r w:rsidRPr="002A1F9A">
              <w:rPr>
                <w:rFonts w:ascii="Verdana" w:hAnsi="Verdana"/>
                <w:sz w:val="18"/>
                <w:szCs w:val="18"/>
              </w:rPr>
              <w:t>Indien de prijsbijstelling voor 2026 niet volledig wordt uitgekeerd, op welke artikelen wordt de prijsbijstelling dan niet volledig uitgekeerd en wat is het bedrag, per artikel, dat niet wordt uitgekeerd terwijl dat bij volledige prijsbijstelling wel zou moeten?</w:t>
            </w:r>
          </w:p>
          <w:p w:rsidRPr="002A1F9A" w:rsidR="00850DFF" w:rsidP="00DB2CBB" w:rsidRDefault="00850DFF" w14:paraId="6D63F602" w14:textId="77777777">
            <w:pPr>
              <w:rPr>
                <w:rFonts w:ascii="Verdana" w:hAnsi="Verdana"/>
                <w:sz w:val="18"/>
                <w:szCs w:val="18"/>
              </w:rPr>
            </w:pPr>
          </w:p>
          <w:p w:rsidRPr="002A1F9A" w:rsidR="00EE2590" w:rsidP="00EE2590" w:rsidRDefault="00EE2590" w14:paraId="513D7703" w14:textId="77777777">
            <w:pPr>
              <w:rPr>
                <w:rFonts w:ascii="Verdana" w:hAnsi="Verdana"/>
                <w:sz w:val="18"/>
                <w:szCs w:val="18"/>
              </w:rPr>
            </w:pPr>
            <w:r w:rsidRPr="002A1F9A">
              <w:rPr>
                <w:rFonts w:ascii="Verdana" w:hAnsi="Verdana"/>
                <w:sz w:val="18"/>
                <w:szCs w:val="18"/>
              </w:rPr>
              <w:t xml:space="preserve">Het kabinet heeft bij de augustusbesluitvorming besloten om een deel van de prijsbijstelling tranche 2026 in te houden ter dekking van </w:t>
            </w:r>
            <w:proofErr w:type="spellStart"/>
            <w:r w:rsidRPr="002A1F9A">
              <w:rPr>
                <w:rFonts w:ascii="Verdana" w:hAnsi="Verdana"/>
                <w:sz w:val="18"/>
                <w:szCs w:val="18"/>
              </w:rPr>
              <w:t>rijksbrede</w:t>
            </w:r>
            <w:proofErr w:type="spellEnd"/>
            <w:r w:rsidRPr="002A1F9A">
              <w:rPr>
                <w:rFonts w:ascii="Verdana" w:hAnsi="Verdana"/>
                <w:sz w:val="18"/>
                <w:szCs w:val="18"/>
              </w:rPr>
              <w:t xml:space="preserve"> structurele problematiek. Het betreft een korting van € 380 miljoen vanaf 2028 over de volle breedte van de Rijksbegroting. Het is nog niet bekend welk deel daarvan neerslaat op de OCW-begroting, omdat de totale prijsbijstelling pas in het voorjaar kan worden berekend. Daarom is het op dit moment niet mogelijk om (per artikel) te vermelden wat het bedrag is dat niet wordt uitgekeerd aan prijsbijstelling. </w:t>
            </w:r>
          </w:p>
          <w:p w:rsidRPr="002A1F9A" w:rsidR="00EE2590" w:rsidP="00EE2590" w:rsidRDefault="00EE2590" w14:paraId="3E0B8070" w14:textId="4C09523E">
            <w:pPr>
              <w:rPr>
                <w:rFonts w:ascii="Verdana" w:hAnsi="Verdana"/>
                <w:sz w:val="18"/>
                <w:szCs w:val="18"/>
              </w:rPr>
            </w:pPr>
            <w:r w:rsidRPr="002A1F9A">
              <w:rPr>
                <w:rFonts w:ascii="Verdana" w:hAnsi="Verdana"/>
                <w:sz w:val="18"/>
                <w:szCs w:val="18"/>
              </w:rPr>
              <w:t xml:space="preserve">Op het moment dat de korting voor </w:t>
            </w:r>
            <w:r w:rsidRPr="002A1F9A" w:rsidR="009A3C2E">
              <w:rPr>
                <w:rFonts w:ascii="Verdana" w:hAnsi="Verdana"/>
                <w:sz w:val="18"/>
                <w:szCs w:val="18"/>
              </w:rPr>
              <w:t xml:space="preserve">het ministerie van </w:t>
            </w:r>
            <w:r w:rsidRPr="002A1F9A">
              <w:rPr>
                <w:rFonts w:ascii="Verdana" w:hAnsi="Verdana"/>
                <w:sz w:val="18"/>
                <w:szCs w:val="18"/>
              </w:rPr>
              <w:t xml:space="preserve">OCW bekend is zal </w:t>
            </w:r>
            <w:r w:rsidRPr="002A1F9A" w:rsidR="009A3C2E">
              <w:rPr>
                <w:rFonts w:ascii="Verdana" w:hAnsi="Verdana"/>
                <w:sz w:val="18"/>
                <w:szCs w:val="18"/>
              </w:rPr>
              <w:t xml:space="preserve">het ministerie van </w:t>
            </w:r>
            <w:r w:rsidRPr="002A1F9A">
              <w:rPr>
                <w:rFonts w:ascii="Verdana" w:hAnsi="Verdana"/>
                <w:sz w:val="18"/>
                <w:szCs w:val="18"/>
              </w:rPr>
              <w:t xml:space="preserve">OCW dit meenemen in de integrale afweging van de Voorjaarsnota en uw Kamer daarover informeren in de Eerste Suppletoire Begroting 2025. Onderdeel van deze integrale afweging is de manier waarop wordt omgegaan met de wettelijk verplichte prijsbijstelling bij het verdelen van de ontvangen prijsbijstelling over de verschillende artikelen van </w:t>
            </w:r>
            <w:r w:rsidRPr="002A1F9A" w:rsidR="009A3C2E">
              <w:rPr>
                <w:rFonts w:ascii="Verdana" w:hAnsi="Verdana"/>
                <w:sz w:val="18"/>
                <w:szCs w:val="18"/>
              </w:rPr>
              <w:t xml:space="preserve">het ministerie van </w:t>
            </w:r>
            <w:r w:rsidRPr="002A1F9A">
              <w:rPr>
                <w:rFonts w:ascii="Verdana" w:hAnsi="Verdana"/>
                <w:sz w:val="18"/>
                <w:szCs w:val="18"/>
              </w:rPr>
              <w:t>OCW.</w:t>
            </w:r>
          </w:p>
          <w:p w:rsidRPr="002A1F9A" w:rsidR="00850DFF" w:rsidP="00850DFF" w:rsidRDefault="00850DFF" w14:paraId="3C39BE46" w14:textId="22AC3B1B">
            <w:pPr>
              <w:rPr>
                <w:rFonts w:ascii="Verdana" w:hAnsi="Verdana"/>
                <w:sz w:val="18"/>
                <w:szCs w:val="18"/>
              </w:rPr>
            </w:pPr>
          </w:p>
        </w:tc>
        <w:tc>
          <w:tcPr>
            <w:tcW w:w="850" w:type="dxa"/>
            <w:gridSpan w:val="2"/>
          </w:tcPr>
          <w:p w:rsidRPr="002A1F9A" w:rsidR="00DB2CBB" w:rsidP="00DB2CBB" w:rsidRDefault="00DB2CBB" w14:paraId="0E45467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12AE190E" w14:textId="77777777">
            <w:pPr>
              <w:jc w:val="right"/>
              <w:rPr>
                <w:rFonts w:ascii="Verdana" w:hAnsi="Verdana"/>
                <w:sz w:val="18"/>
                <w:szCs w:val="18"/>
              </w:rPr>
            </w:pPr>
            <w:r w:rsidRPr="002A1F9A">
              <w:rPr>
                <w:rFonts w:ascii="Verdana" w:hAnsi="Verdana"/>
                <w:sz w:val="18"/>
                <w:szCs w:val="18"/>
              </w:rPr>
              <w:t>22</w:t>
            </w:r>
          </w:p>
        </w:tc>
        <w:tc>
          <w:tcPr>
            <w:tcW w:w="567" w:type="dxa"/>
            <w:tcBorders>
              <w:left w:val="nil"/>
            </w:tcBorders>
          </w:tcPr>
          <w:p w:rsidRPr="002A1F9A" w:rsidR="00DB2CBB" w:rsidP="00DB2CBB" w:rsidRDefault="00DB2CBB" w14:paraId="3C03FA4A"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63FB1FD" w14:textId="77777777">
        <w:tc>
          <w:tcPr>
            <w:tcW w:w="567" w:type="dxa"/>
          </w:tcPr>
          <w:p w:rsidRPr="002A1F9A" w:rsidR="00DB2CBB" w:rsidP="00DB2CBB" w:rsidRDefault="00DB2CBB" w14:paraId="139C76DC" w14:textId="77777777">
            <w:pPr>
              <w:rPr>
                <w:rFonts w:ascii="Verdana" w:hAnsi="Verdana"/>
                <w:sz w:val="18"/>
                <w:szCs w:val="18"/>
              </w:rPr>
            </w:pPr>
            <w:r w:rsidRPr="002A1F9A">
              <w:rPr>
                <w:rFonts w:ascii="Verdana" w:hAnsi="Verdana"/>
                <w:sz w:val="18"/>
                <w:szCs w:val="18"/>
              </w:rPr>
              <w:t>98</w:t>
            </w:r>
          </w:p>
        </w:tc>
        <w:tc>
          <w:tcPr>
            <w:tcW w:w="6521" w:type="dxa"/>
            <w:gridSpan w:val="7"/>
          </w:tcPr>
          <w:p w:rsidRPr="002A1F9A" w:rsidR="00DB2CBB" w:rsidP="00DB2CBB" w:rsidRDefault="00DB2CBB" w14:paraId="31FAE289" w14:textId="77777777">
            <w:pPr>
              <w:rPr>
                <w:rFonts w:ascii="Verdana" w:hAnsi="Verdana"/>
                <w:sz w:val="18"/>
                <w:szCs w:val="18"/>
              </w:rPr>
            </w:pPr>
            <w:r w:rsidRPr="002A1F9A">
              <w:rPr>
                <w:rFonts w:ascii="Verdana" w:hAnsi="Verdana"/>
                <w:sz w:val="18"/>
                <w:szCs w:val="18"/>
              </w:rPr>
              <w:t>Hoeveel scholen in Nederland hebben momenteel brede brugklassen en hoeveel scholen hadden de afgelopen tien jaar brede brugklassen, en is dit aantal in tien jaar toegenomen of afgenomen?</w:t>
            </w:r>
          </w:p>
          <w:p w:rsidRPr="002A1F9A" w:rsidR="00DB2CBB" w:rsidP="00DB2CBB" w:rsidRDefault="00DB2CBB" w14:paraId="7D85F81A" w14:textId="77777777">
            <w:pPr>
              <w:rPr>
                <w:rFonts w:ascii="Verdana" w:hAnsi="Verdana"/>
                <w:sz w:val="18"/>
                <w:szCs w:val="18"/>
              </w:rPr>
            </w:pPr>
          </w:p>
          <w:p w:rsidRPr="002A1F9A" w:rsidR="00DB2CBB" w:rsidP="00DB2CBB" w:rsidRDefault="00DB2CBB" w14:paraId="178BF99B" w14:textId="5A3E7ECB">
            <w:pPr>
              <w:rPr>
                <w:rFonts w:ascii="Verdana" w:hAnsi="Verdana"/>
                <w:sz w:val="18"/>
                <w:szCs w:val="18"/>
              </w:rPr>
            </w:pPr>
            <w:r w:rsidRPr="002A1F9A">
              <w:rPr>
                <w:rFonts w:ascii="Verdana" w:hAnsi="Verdana"/>
                <w:sz w:val="18"/>
                <w:szCs w:val="18"/>
              </w:rPr>
              <w:t>Uit de evaluatie van de subsidieregeling ‘Heterogene brugklassen’ volgt op basis van gegevens van DUO dat circa 27% van de vestigingen in het vo in schooljaar 2023/2024 alleen categorale klassen heeft aangeboden in het eerste leerjaar. Circa 29% had alleen heterogene brugklassen en 44% deels categorale en deels heterogene brugklassen. De registratie bij DUO kan echter afwijken van het feitelijke aanbod en de organisatie van brugklassen op een school. De exacte aantallen en percentages zijn daarmee niet volledig accuraat maar geven een indicatie. Zoals toegezegd in de behandeling van de eerste suppletoire begroting</w:t>
            </w:r>
            <w:r w:rsidRPr="002A1F9A" w:rsidR="009C1E65">
              <w:rPr>
                <w:rFonts w:ascii="Verdana" w:hAnsi="Verdana"/>
                <w:sz w:val="18"/>
                <w:szCs w:val="18"/>
              </w:rPr>
              <w:t xml:space="preserve"> </w:t>
            </w:r>
            <w:r w:rsidRPr="002A1F9A" w:rsidR="009A3C2E">
              <w:rPr>
                <w:rFonts w:ascii="Verdana" w:hAnsi="Verdana"/>
                <w:sz w:val="18"/>
                <w:szCs w:val="18"/>
              </w:rPr>
              <w:t xml:space="preserve">van het ministerie van </w:t>
            </w:r>
            <w:r w:rsidRPr="002A1F9A" w:rsidR="009C1E65">
              <w:rPr>
                <w:rFonts w:ascii="Verdana" w:hAnsi="Verdana"/>
                <w:sz w:val="18"/>
                <w:szCs w:val="18"/>
              </w:rPr>
              <w:t>OCW 2025</w:t>
            </w:r>
            <w:r w:rsidRPr="002A1F9A">
              <w:rPr>
                <w:rFonts w:ascii="Verdana" w:hAnsi="Verdana"/>
                <w:sz w:val="18"/>
                <w:szCs w:val="18"/>
              </w:rPr>
              <w:t xml:space="preserve"> in de Eerste Kamer volgt komend jaar een brief met de huidige stand van zaken rondom brede brugklassen, waarin ook ingegaan wordt op de registratie bij DUO.  </w:t>
            </w:r>
          </w:p>
          <w:p w:rsidRPr="002A1F9A" w:rsidR="00DB2CBB" w:rsidP="00DB2CBB" w:rsidRDefault="00DB2CBB" w14:paraId="5DFF741F" w14:textId="0FA9CD5F">
            <w:pPr>
              <w:rPr>
                <w:rFonts w:ascii="Verdana" w:hAnsi="Verdana"/>
                <w:sz w:val="18"/>
                <w:szCs w:val="18"/>
              </w:rPr>
            </w:pPr>
            <w:r w:rsidRPr="002A1F9A">
              <w:rPr>
                <w:rFonts w:ascii="Verdana" w:hAnsi="Verdana"/>
                <w:sz w:val="18"/>
                <w:szCs w:val="18"/>
              </w:rPr>
              <w:t xml:space="preserve">Genoemde percentages zijn over de afgelopen jaren relatief constant, maar de subsidieregeling heeft er wel aantoonbaar toe geleid dat het werken met heterogene brugklassen in het voortgezet onderwijs (en in elk geval bij de 738 scholen die subsidie hebben ontvangen) meer of weer is gaan leven en dat het aanbod hiervan uitgebreid en/of verbeterd is. </w:t>
            </w:r>
          </w:p>
          <w:p w:rsidRPr="002A1F9A" w:rsidR="00DB2CBB" w:rsidP="00DB2CBB" w:rsidRDefault="00DB2CBB" w14:paraId="74888666" w14:textId="6FF36D92">
            <w:pPr>
              <w:rPr>
                <w:rFonts w:ascii="Verdana" w:hAnsi="Verdana"/>
                <w:sz w:val="18"/>
                <w:szCs w:val="18"/>
              </w:rPr>
            </w:pPr>
          </w:p>
        </w:tc>
        <w:tc>
          <w:tcPr>
            <w:tcW w:w="850" w:type="dxa"/>
            <w:gridSpan w:val="2"/>
          </w:tcPr>
          <w:p w:rsidRPr="002A1F9A" w:rsidR="00DB2CBB" w:rsidP="00DB2CBB" w:rsidRDefault="00DB2CBB" w14:paraId="3498E4E7"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892307B" w14:textId="77777777">
            <w:pPr>
              <w:jc w:val="right"/>
              <w:rPr>
                <w:rFonts w:ascii="Verdana" w:hAnsi="Verdana"/>
                <w:sz w:val="18"/>
                <w:szCs w:val="18"/>
              </w:rPr>
            </w:pPr>
            <w:r w:rsidRPr="002A1F9A">
              <w:rPr>
                <w:rFonts w:ascii="Verdana" w:hAnsi="Verdana"/>
                <w:sz w:val="18"/>
                <w:szCs w:val="18"/>
              </w:rPr>
              <w:t>25</w:t>
            </w:r>
          </w:p>
        </w:tc>
        <w:tc>
          <w:tcPr>
            <w:tcW w:w="567" w:type="dxa"/>
            <w:tcBorders>
              <w:left w:val="nil"/>
            </w:tcBorders>
          </w:tcPr>
          <w:p w:rsidRPr="002A1F9A" w:rsidR="00DB2CBB" w:rsidP="00DB2CBB" w:rsidRDefault="00DB2CBB" w14:paraId="4B5AD239"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2EE30EAD" w14:textId="77777777">
        <w:tc>
          <w:tcPr>
            <w:tcW w:w="567" w:type="dxa"/>
          </w:tcPr>
          <w:p w:rsidRPr="002A1F9A" w:rsidR="00DB2CBB" w:rsidP="00DB2CBB" w:rsidRDefault="00DB2CBB" w14:paraId="049C3C96" w14:textId="77777777">
            <w:pPr>
              <w:rPr>
                <w:rFonts w:ascii="Verdana" w:hAnsi="Verdana"/>
                <w:sz w:val="18"/>
                <w:szCs w:val="18"/>
              </w:rPr>
            </w:pPr>
            <w:r w:rsidRPr="002A1F9A">
              <w:rPr>
                <w:rFonts w:ascii="Verdana" w:hAnsi="Verdana"/>
                <w:sz w:val="18"/>
                <w:szCs w:val="18"/>
              </w:rPr>
              <w:t>99</w:t>
            </w:r>
          </w:p>
        </w:tc>
        <w:tc>
          <w:tcPr>
            <w:tcW w:w="6521" w:type="dxa"/>
            <w:gridSpan w:val="7"/>
          </w:tcPr>
          <w:p w:rsidRPr="002A1F9A" w:rsidR="00DB2CBB" w:rsidP="00DB2CBB" w:rsidRDefault="00DB2CBB" w14:paraId="77A003DA" w14:textId="77777777">
            <w:pPr>
              <w:rPr>
                <w:rFonts w:ascii="Verdana" w:hAnsi="Verdana"/>
                <w:sz w:val="18"/>
                <w:szCs w:val="18"/>
              </w:rPr>
            </w:pPr>
            <w:r w:rsidRPr="002A1F9A">
              <w:rPr>
                <w:rFonts w:ascii="Verdana" w:hAnsi="Verdana"/>
                <w:sz w:val="18"/>
                <w:szCs w:val="18"/>
              </w:rPr>
              <w:t>Klopt het beeld dat er per 2026 bijna € 800.000.000 wordt bezuinigd op de OCW-begroting?</w:t>
            </w:r>
          </w:p>
          <w:p w:rsidRPr="002A1F9A" w:rsidR="00850DFF" w:rsidP="00DB2CBB" w:rsidRDefault="00850DFF" w14:paraId="0F8C822F" w14:textId="77777777">
            <w:pPr>
              <w:rPr>
                <w:rFonts w:ascii="Verdana" w:hAnsi="Verdana"/>
                <w:sz w:val="18"/>
                <w:szCs w:val="18"/>
              </w:rPr>
            </w:pPr>
          </w:p>
          <w:p w:rsidRPr="002A1F9A" w:rsidR="00850DFF" w:rsidP="00850DFF" w:rsidRDefault="00850DFF" w14:paraId="1C6AED17" w14:textId="4CB667E5">
            <w:pPr>
              <w:rPr>
                <w:rFonts w:ascii="Verdana" w:hAnsi="Verdana"/>
                <w:sz w:val="18"/>
                <w:szCs w:val="18"/>
              </w:rPr>
            </w:pPr>
            <w:r w:rsidRPr="002A1F9A">
              <w:rPr>
                <w:rFonts w:ascii="Verdana" w:hAnsi="Verdana"/>
                <w:sz w:val="18"/>
                <w:szCs w:val="18"/>
              </w:rPr>
              <w:t xml:space="preserve">In 2026 wordt er € 793,5 miljoen bezuinigd op de OCW-begroting, sinds de start van het kabinet-Schoof. Dit betreffen alle generale bezuinigingen op de OCW-begroting (dus niet verschuivingen van budget binnen de OCW-begroting). Zie ook tabel 4 extensiveringen in de ontwerpbegroting 2026 van </w:t>
            </w:r>
            <w:r w:rsidRPr="002A1F9A" w:rsidR="009A3C2E">
              <w:rPr>
                <w:rFonts w:ascii="Verdana" w:hAnsi="Verdana"/>
                <w:sz w:val="18"/>
                <w:szCs w:val="18"/>
              </w:rPr>
              <w:t xml:space="preserve">het ministerie van </w:t>
            </w:r>
            <w:r w:rsidRPr="002A1F9A">
              <w:rPr>
                <w:rFonts w:ascii="Verdana" w:hAnsi="Verdana"/>
                <w:sz w:val="18"/>
                <w:szCs w:val="18"/>
              </w:rPr>
              <w:t xml:space="preserve">OCW. Structureel gaat het om een bezuiniging van circa € 1,4 miljard. Als de korting van de halvering van de prijsbijstelling tranche 2025 uit de Voorjaarsnota 2025 hierbij wordt opgeteld, betreft het een bezuiniging van structureel circa € 1,6 miljard. </w:t>
            </w:r>
          </w:p>
          <w:p w:rsidRPr="002A1F9A" w:rsidR="00850DFF" w:rsidP="00DB2CBB" w:rsidRDefault="00850DFF" w14:paraId="78CCFBC3" w14:textId="77777777">
            <w:pPr>
              <w:rPr>
                <w:rFonts w:ascii="Verdana" w:hAnsi="Verdana"/>
                <w:sz w:val="18"/>
                <w:szCs w:val="18"/>
              </w:rPr>
            </w:pPr>
          </w:p>
        </w:tc>
        <w:tc>
          <w:tcPr>
            <w:tcW w:w="850" w:type="dxa"/>
            <w:gridSpan w:val="2"/>
          </w:tcPr>
          <w:p w:rsidRPr="002A1F9A" w:rsidR="00DB2CBB" w:rsidP="00DB2CBB" w:rsidRDefault="00DB2CBB" w14:paraId="6AE36DA9"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1F2D61F" w14:textId="77777777">
            <w:pPr>
              <w:jc w:val="right"/>
              <w:rPr>
                <w:rFonts w:ascii="Verdana" w:hAnsi="Verdana"/>
                <w:sz w:val="18"/>
                <w:szCs w:val="18"/>
              </w:rPr>
            </w:pPr>
            <w:r w:rsidRPr="002A1F9A">
              <w:rPr>
                <w:rFonts w:ascii="Verdana" w:hAnsi="Verdana"/>
                <w:sz w:val="18"/>
                <w:szCs w:val="18"/>
              </w:rPr>
              <w:t>26</w:t>
            </w:r>
          </w:p>
        </w:tc>
        <w:tc>
          <w:tcPr>
            <w:tcW w:w="567" w:type="dxa"/>
            <w:tcBorders>
              <w:left w:val="nil"/>
            </w:tcBorders>
          </w:tcPr>
          <w:p w:rsidRPr="002A1F9A" w:rsidR="00DB2CBB" w:rsidP="00DB2CBB" w:rsidRDefault="00DB2CBB" w14:paraId="4C0D2220"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5D60A38" w14:textId="77777777">
        <w:tc>
          <w:tcPr>
            <w:tcW w:w="567" w:type="dxa"/>
          </w:tcPr>
          <w:p w:rsidRPr="002A1F9A" w:rsidR="00DB2CBB" w:rsidP="00DB2CBB" w:rsidRDefault="00DB2CBB" w14:paraId="57B6CFA6" w14:textId="77777777">
            <w:pPr>
              <w:rPr>
                <w:rFonts w:ascii="Verdana" w:hAnsi="Verdana"/>
                <w:sz w:val="18"/>
                <w:szCs w:val="18"/>
              </w:rPr>
            </w:pPr>
            <w:r w:rsidRPr="002A1F9A">
              <w:rPr>
                <w:rFonts w:ascii="Verdana" w:hAnsi="Verdana"/>
                <w:sz w:val="18"/>
                <w:szCs w:val="18"/>
              </w:rPr>
              <w:lastRenderedPageBreak/>
              <w:t>100</w:t>
            </w:r>
          </w:p>
        </w:tc>
        <w:tc>
          <w:tcPr>
            <w:tcW w:w="6521" w:type="dxa"/>
            <w:gridSpan w:val="7"/>
          </w:tcPr>
          <w:p w:rsidRPr="002A1F9A" w:rsidR="00DB2CBB" w:rsidP="00DB2CBB" w:rsidRDefault="00DB2CBB" w14:paraId="61519078" w14:textId="77777777">
            <w:pPr>
              <w:rPr>
                <w:rFonts w:ascii="Verdana" w:hAnsi="Verdana"/>
                <w:sz w:val="18"/>
                <w:szCs w:val="18"/>
              </w:rPr>
            </w:pPr>
            <w:r w:rsidRPr="002A1F9A">
              <w:rPr>
                <w:rFonts w:ascii="Verdana" w:hAnsi="Verdana"/>
                <w:sz w:val="18"/>
                <w:szCs w:val="18"/>
              </w:rPr>
              <w:t>Wat zijn de gevolgen van het inhouden van de prijsbijstelling voor 2026 en verder per onderwijssector en om welke bedragen gaat dit?</w:t>
            </w:r>
          </w:p>
          <w:p w:rsidRPr="002A1F9A" w:rsidR="00850DFF" w:rsidP="00DB2CBB" w:rsidRDefault="00850DFF" w14:paraId="1B00B136" w14:textId="77777777">
            <w:pPr>
              <w:rPr>
                <w:rFonts w:ascii="Verdana" w:hAnsi="Verdana"/>
                <w:sz w:val="18"/>
                <w:szCs w:val="18"/>
              </w:rPr>
            </w:pPr>
          </w:p>
          <w:p w:rsidRPr="002A1F9A" w:rsidR="00850DFF" w:rsidP="00850DFF" w:rsidRDefault="00850DFF" w14:paraId="50259DCA" w14:textId="77777777">
            <w:pPr>
              <w:rPr>
                <w:rFonts w:ascii="Verdana" w:hAnsi="Verdana"/>
                <w:sz w:val="18"/>
                <w:szCs w:val="18"/>
              </w:rPr>
            </w:pPr>
            <w:r w:rsidRPr="002A1F9A">
              <w:rPr>
                <w:rFonts w:ascii="Verdana" w:hAnsi="Verdana"/>
                <w:sz w:val="18"/>
                <w:szCs w:val="18"/>
              </w:rPr>
              <w:t>Zie het antwoord op vraag 97.</w:t>
            </w:r>
          </w:p>
          <w:p w:rsidRPr="002A1F9A" w:rsidR="00850DFF" w:rsidP="00DB2CBB" w:rsidRDefault="00850DFF" w14:paraId="1B48F41D" w14:textId="77777777">
            <w:pPr>
              <w:rPr>
                <w:rFonts w:ascii="Verdana" w:hAnsi="Verdana"/>
                <w:sz w:val="18"/>
                <w:szCs w:val="18"/>
              </w:rPr>
            </w:pPr>
          </w:p>
        </w:tc>
        <w:tc>
          <w:tcPr>
            <w:tcW w:w="850" w:type="dxa"/>
            <w:gridSpan w:val="2"/>
          </w:tcPr>
          <w:p w:rsidRPr="002A1F9A" w:rsidR="00DB2CBB" w:rsidP="00DB2CBB" w:rsidRDefault="00DB2CBB" w14:paraId="58C9CA1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505A87C1" w14:textId="77777777">
            <w:pPr>
              <w:jc w:val="right"/>
              <w:rPr>
                <w:rFonts w:ascii="Verdana" w:hAnsi="Verdana"/>
                <w:sz w:val="18"/>
                <w:szCs w:val="18"/>
              </w:rPr>
            </w:pPr>
            <w:r w:rsidRPr="002A1F9A">
              <w:rPr>
                <w:rFonts w:ascii="Verdana" w:hAnsi="Verdana"/>
                <w:sz w:val="18"/>
                <w:szCs w:val="18"/>
              </w:rPr>
              <w:t>26</w:t>
            </w:r>
          </w:p>
        </w:tc>
        <w:tc>
          <w:tcPr>
            <w:tcW w:w="567" w:type="dxa"/>
            <w:tcBorders>
              <w:left w:val="nil"/>
            </w:tcBorders>
          </w:tcPr>
          <w:p w:rsidRPr="002A1F9A" w:rsidR="00DB2CBB" w:rsidP="00DB2CBB" w:rsidRDefault="00DB2CBB" w14:paraId="3C16E82E"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338C6D7A" w14:textId="77777777">
        <w:tc>
          <w:tcPr>
            <w:tcW w:w="567" w:type="dxa"/>
          </w:tcPr>
          <w:p w:rsidRPr="002A1F9A" w:rsidR="00DB2CBB" w:rsidP="00DB2CBB" w:rsidRDefault="00DB2CBB" w14:paraId="0F52FA90" w14:textId="77777777">
            <w:pPr>
              <w:rPr>
                <w:rFonts w:ascii="Verdana" w:hAnsi="Verdana"/>
                <w:sz w:val="18"/>
                <w:szCs w:val="18"/>
              </w:rPr>
            </w:pPr>
            <w:r w:rsidRPr="002A1F9A">
              <w:rPr>
                <w:rFonts w:ascii="Verdana" w:hAnsi="Verdana"/>
                <w:sz w:val="18"/>
                <w:szCs w:val="18"/>
              </w:rPr>
              <w:t>101</w:t>
            </w:r>
          </w:p>
        </w:tc>
        <w:tc>
          <w:tcPr>
            <w:tcW w:w="6521" w:type="dxa"/>
            <w:gridSpan w:val="7"/>
          </w:tcPr>
          <w:p w:rsidRPr="002A1F9A" w:rsidR="00DB2CBB" w:rsidP="00DB2CBB" w:rsidRDefault="00DB2CBB" w14:paraId="1381F7C7" w14:textId="77777777">
            <w:pPr>
              <w:rPr>
                <w:rFonts w:ascii="Verdana" w:hAnsi="Verdana"/>
                <w:sz w:val="18"/>
                <w:szCs w:val="18"/>
              </w:rPr>
            </w:pPr>
            <w:r w:rsidRPr="002A1F9A">
              <w:rPr>
                <w:rFonts w:ascii="Verdana" w:hAnsi="Verdana"/>
                <w:sz w:val="18"/>
                <w:szCs w:val="18"/>
              </w:rPr>
              <w:t>Kunt u per artikel specificeren wat er, sinds de start van het kabinet-Schoof, op het totale bedrag per artikel is bezuinigd?</w:t>
            </w:r>
          </w:p>
          <w:p w:rsidRPr="002A1F9A" w:rsidR="00850DFF" w:rsidP="00DB2CBB" w:rsidRDefault="00850DFF" w14:paraId="56E8D56D" w14:textId="77777777">
            <w:pPr>
              <w:rPr>
                <w:rFonts w:ascii="Verdana" w:hAnsi="Verdana"/>
                <w:sz w:val="18"/>
                <w:szCs w:val="18"/>
              </w:rPr>
            </w:pPr>
          </w:p>
          <w:p w:rsidRPr="002A1F9A" w:rsidR="00850DFF" w:rsidP="00850DFF" w:rsidRDefault="00850DFF" w14:paraId="3D50A305" w14:textId="1B3CE5A3">
            <w:pPr>
              <w:rPr>
                <w:rFonts w:ascii="Verdana" w:hAnsi="Verdana"/>
                <w:sz w:val="18"/>
                <w:szCs w:val="18"/>
              </w:rPr>
            </w:pPr>
            <w:r w:rsidRPr="002A1F9A">
              <w:rPr>
                <w:rFonts w:ascii="Verdana" w:hAnsi="Verdana"/>
                <w:sz w:val="18"/>
                <w:szCs w:val="18"/>
              </w:rPr>
              <w:t xml:space="preserve">In onderstaande tabel wordt per artikel gespecificeerd wat er, sinds de start van het kabinet-Schoof, per saldo is bezuinigd op het totale bedrag per artikel. In de tabel zijn de generale intensiveringen gesaldeerd met de generale extensiveringen op de OCW-begroting. Zie ook tabel 8 (saldo intensiveringen en extensiveringen per artikel) in de ontwerpbegroting 2026 van </w:t>
            </w:r>
            <w:r w:rsidRPr="002A1F9A" w:rsidR="009A3C2E">
              <w:rPr>
                <w:rFonts w:ascii="Verdana" w:hAnsi="Verdana"/>
                <w:sz w:val="18"/>
                <w:szCs w:val="18"/>
              </w:rPr>
              <w:t xml:space="preserve">het ministerie van </w:t>
            </w:r>
            <w:r w:rsidRPr="002A1F9A">
              <w:rPr>
                <w:rFonts w:ascii="Verdana" w:hAnsi="Verdana"/>
                <w:sz w:val="18"/>
                <w:szCs w:val="18"/>
              </w:rPr>
              <w:t xml:space="preserve">OCW. Sinds de start van het kabinet Schoof is er structureel circa € 1,4 miljard geëxtensiveerd en circa € 0,2 miljard geïntensiveerd op de OCW-begroting. Per saldo betreft het een structurele bezuiniging van circa € 1,2 miljard. </w:t>
            </w:r>
          </w:p>
          <w:p w:rsidRPr="002A1F9A" w:rsidR="00850DFF" w:rsidP="00850DFF" w:rsidRDefault="00850DFF" w14:paraId="598ACA49" w14:textId="77777777">
            <w:pPr>
              <w:rPr>
                <w:rFonts w:ascii="Verdana" w:hAnsi="Verdana"/>
                <w:sz w:val="18"/>
                <w:szCs w:val="18"/>
              </w:rPr>
            </w:pPr>
            <w:r w:rsidRPr="002A1F9A">
              <w:rPr>
                <w:rFonts w:ascii="Verdana" w:hAnsi="Verdana"/>
                <w:sz w:val="18"/>
                <w:szCs w:val="18"/>
              </w:rPr>
              <w:t xml:space="preserve">Aanvullend heeft het kabinet bij de Voorjaarsnota 2025 besloten om de prijsbijstelling tranche 2025 te halveren en dus 50% niet uit te keren om </w:t>
            </w:r>
            <w:proofErr w:type="spellStart"/>
            <w:r w:rsidRPr="002A1F9A">
              <w:rPr>
                <w:rFonts w:ascii="Verdana" w:hAnsi="Verdana"/>
                <w:sz w:val="18"/>
                <w:szCs w:val="18"/>
              </w:rPr>
              <w:t>rĳksbrede</w:t>
            </w:r>
            <w:proofErr w:type="spellEnd"/>
            <w:r w:rsidRPr="002A1F9A">
              <w:rPr>
                <w:rFonts w:ascii="Verdana" w:hAnsi="Verdana"/>
                <w:sz w:val="18"/>
                <w:szCs w:val="18"/>
              </w:rPr>
              <w:t xml:space="preserve"> problematiek te dekken. Het beschikbare budget voor prijsbijstelling op de OCW-begroting is daardoor geen € 343,2 miljoen maar € 171,6 miljoen structureel. Dit is niet meegenomen in de tabel hieronder.</w:t>
            </w:r>
          </w:p>
          <w:p w:rsidRPr="002A1F9A" w:rsidR="00850DFF" w:rsidP="00DB2CBB" w:rsidRDefault="00850DFF" w14:paraId="7D630F38" w14:textId="478CD36D">
            <w:pPr>
              <w:rPr>
                <w:rFonts w:ascii="Verdana" w:hAnsi="Verdana"/>
                <w:sz w:val="18"/>
                <w:szCs w:val="18"/>
              </w:rPr>
            </w:pPr>
            <w:bookmarkStart w:name="RANGE!A3:G20" w:id="28"/>
            <w:bookmarkEnd w:id="28"/>
          </w:p>
        </w:tc>
        <w:tc>
          <w:tcPr>
            <w:tcW w:w="850" w:type="dxa"/>
            <w:gridSpan w:val="2"/>
          </w:tcPr>
          <w:p w:rsidRPr="002A1F9A" w:rsidR="00DB2CBB" w:rsidP="00DB2CBB" w:rsidRDefault="00DB2CBB" w14:paraId="5C4BDE4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59B9BF7" w14:textId="77777777">
            <w:pPr>
              <w:jc w:val="right"/>
              <w:rPr>
                <w:rFonts w:ascii="Verdana" w:hAnsi="Verdana"/>
                <w:sz w:val="18"/>
                <w:szCs w:val="18"/>
              </w:rPr>
            </w:pPr>
            <w:r w:rsidRPr="002A1F9A">
              <w:rPr>
                <w:rFonts w:ascii="Verdana" w:hAnsi="Verdana"/>
                <w:sz w:val="18"/>
                <w:szCs w:val="18"/>
              </w:rPr>
              <w:t>26</w:t>
            </w:r>
          </w:p>
        </w:tc>
        <w:tc>
          <w:tcPr>
            <w:tcW w:w="567" w:type="dxa"/>
            <w:tcBorders>
              <w:left w:val="nil"/>
            </w:tcBorders>
          </w:tcPr>
          <w:p w:rsidRPr="002A1F9A" w:rsidR="00DB2CBB" w:rsidP="00DB2CBB" w:rsidRDefault="00DB2CBB" w14:paraId="1DBB3FD4" w14:textId="77777777">
            <w:pPr>
              <w:jc w:val="right"/>
              <w:rPr>
                <w:rFonts w:ascii="Verdana" w:hAnsi="Verdana"/>
                <w:sz w:val="18"/>
                <w:szCs w:val="18"/>
              </w:rPr>
            </w:pPr>
            <w:r w:rsidRPr="002A1F9A">
              <w:rPr>
                <w:rFonts w:ascii="Verdana" w:hAnsi="Verdana"/>
                <w:sz w:val="18"/>
                <w:szCs w:val="18"/>
              </w:rPr>
              <w:t xml:space="preserve"> </w:t>
            </w:r>
          </w:p>
        </w:tc>
      </w:tr>
      <w:tr w:rsidRPr="002A1F9A" w:rsidR="00A347D5" w:rsidTr="00A347D5" w14:paraId="27C2D475"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single" w:color="auto" w:sz="4" w:space="0"/>
              <w:left w:val="single" w:color="auto" w:sz="4" w:space="0"/>
              <w:bottom w:val="single" w:color="auto" w:sz="4" w:space="0"/>
              <w:right w:val="single" w:color="auto" w:sz="4" w:space="0"/>
            </w:tcBorders>
            <w:noWrap/>
            <w:vAlign w:val="bottom"/>
            <w:hideMark/>
          </w:tcPr>
          <w:p w:rsidRPr="002A1F9A" w:rsidR="00A347D5" w:rsidP="00536A2F" w:rsidRDefault="00A347D5" w14:paraId="0A828793" w14:textId="77777777">
            <w:pPr>
              <w:spacing w:before="0" w:after="0"/>
              <w:rPr>
                <w:rFonts w:ascii="Verdana" w:hAnsi="Verdana"/>
                <w:color w:val="000000"/>
                <w:sz w:val="14"/>
                <w:szCs w:val="14"/>
              </w:rPr>
            </w:pPr>
            <w:r w:rsidRPr="002A1F9A">
              <w:rPr>
                <w:rFonts w:ascii="Verdana" w:hAnsi="Verdana"/>
                <w:color w:val="000000"/>
                <w:sz w:val="14"/>
                <w:szCs w:val="14"/>
              </w:rPr>
              <w:t>(bedragen x € 1.000)</w:t>
            </w:r>
          </w:p>
        </w:tc>
        <w:tc>
          <w:tcPr>
            <w:tcW w:w="993" w:type="dxa"/>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4C97B5C5"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2025</w:t>
            </w:r>
          </w:p>
        </w:tc>
        <w:tc>
          <w:tcPr>
            <w:tcW w:w="1134" w:type="dxa"/>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73251636"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2026</w:t>
            </w:r>
          </w:p>
        </w:tc>
        <w:tc>
          <w:tcPr>
            <w:tcW w:w="1077" w:type="dxa"/>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70D2190A"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2027</w:t>
            </w:r>
          </w:p>
        </w:tc>
        <w:tc>
          <w:tcPr>
            <w:tcW w:w="1260" w:type="dxa"/>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4717858D"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2028</w:t>
            </w:r>
          </w:p>
        </w:tc>
        <w:tc>
          <w:tcPr>
            <w:tcW w:w="1260" w:type="dxa"/>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6C6B41DE"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2029</w:t>
            </w:r>
          </w:p>
        </w:tc>
        <w:tc>
          <w:tcPr>
            <w:tcW w:w="1260" w:type="dxa"/>
            <w:gridSpan w:val="2"/>
            <w:tcBorders>
              <w:top w:val="single" w:color="auto" w:sz="4" w:space="0"/>
              <w:left w:val="nil"/>
              <w:bottom w:val="single" w:color="auto" w:sz="4" w:space="0"/>
              <w:right w:val="single" w:color="auto" w:sz="4" w:space="0"/>
            </w:tcBorders>
            <w:noWrap/>
            <w:vAlign w:val="bottom"/>
            <w:hideMark/>
          </w:tcPr>
          <w:p w:rsidRPr="002A1F9A" w:rsidR="00A347D5" w:rsidP="00536A2F" w:rsidRDefault="00A347D5" w14:paraId="69CAE512"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2030</w:t>
            </w:r>
          </w:p>
        </w:tc>
      </w:tr>
      <w:tr w:rsidRPr="002A1F9A" w:rsidR="00A347D5" w:rsidTr="00A347D5" w14:paraId="6D317310"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785D5C13" w14:textId="77777777">
            <w:pPr>
              <w:spacing w:before="0" w:after="0"/>
              <w:rPr>
                <w:rFonts w:ascii="Verdana" w:hAnsi="Verdana"/>
                <w:color w:val="000000"/>
                <w:sz w:val="16"/>
                <w:szCs w:val="16"/>
              </w:rPr>
            </w:pPr>
            <w:r w:rsidRPr="002A1F9A">
              <w:rPr>
                <w:rFonts w:ascii="Verdana" w:hAnsi="Verdana"/>
                <w:color w:val="000000"/>
                <w:sz w:val="16"/>
                <w:szCs w:val="16"/>
              </w:rPr>
              <w:t>Artikel 1</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30A2415C" w14:textId="77777777">
            <w:pPr>
              <w:spacing w:before="0" w:after="0"/>
              <w:jc w:val="right"/>
              <w:rPr>
                <w:rFonts w:ascii="Verdana" w:hAnsi="Verdana"/>
                <w:color w:val="000000"/>
                <w:sz w:val="16"/>
                <w:szCs w:val="16"/>
              </w:rPr>
            </w:pPr>
            <w:r w:rsidRPr="002A1F9A">
              <w:rPr>
                <w:rFonts w:ascii="Verdana" w:hAnsi="Verdana"/>
                <w:color w:val="000000"/>
                <w:sz w:val="16"/>
                <w:szCs w:val="16"/>
              </w:rPr>
              <w:t>70.086</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5BB23505" w14:textId="77777777">
            <w:pPr>
              <w:spacing w:before="0" w:after="0"/>
              <w:jc w:val="right"/>
              <w:rPr>
                <w:rFonts w:ascii="Verdana" w:hAnsi="Verdana"/>
                <w:color w:val="000000"/>
                <w:sz w:val="16"/>
                <w:szCs w:val="16"/>
              </w:rPr>
            </w:pPr>
            <w:r w:rsidRPr="002A1F9A">
              <w:rPr>
                <w:rFonts w:ascii="Verdana" w:hAnsi="Verdana"/>
                <w:color w:val="000000"/>
                <w:sz w:val="16"/>
                <w:szCs w:val="16"/>
              </w:rPr>
              <w:t>-75.653</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5EA8EF69" w14:textId="77777777">
            <w:pPr>
              <w:spacing w:before="0" w:after="0"/>
              <w:jc w:val="right"/>
              <w:rPr>
                <w:rFonts w:ascii="Verdana" w:hAnsi="Verdana"/>
                <w:color w:val="000000"/>
                <w:sz w:val="16"/>
                <w:szCs w:val="16"/>
              </w:rPr>
            </w:pPr>
            <w:r w:rsidRPr="002A1F9A">
              <w:rPr>
                <w:rFonts w:ascii="Verdana" w:hAnsi="Verdana"/>
                <w:color w:val="000000"/>
                <w:sz w:val="16"/>
                <w:szCs w:val="16"/>
              </w:rPr>
              <w:t>-91.417</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11F56CE2" w14:textId="77777777">
            <w:pPr>
              <w:spacing w:before="0" w:after="0"/>
              <w:jc w:val="right"/>
              <w:rPr>
                <w:rFonts w:ascii="Verdana" w:hAnsi="Verdana"/>
                <w:color w:val="000000"/>
                <w:sz w:val="16"/>
                <w:szCs w:val="16"/>
              </w:rPr>
            </w:pPr>
            <w:r w:rsidRPr="002A1F9A">
              <w:rPr>
                <w:rFonts w:ascii="Verdana" w:hAnsi="Verdana"/>
                <w:color w:val="000000"/>
                <w:sz w:val="16"/>
                <w:szCs w:val="16"/>
              </w:rPr>
              <w:t>-113.701</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0F5ED67F" w14:textId="77777777">
            <w:pPr>
              <w:spacing w:before="0" w:after="0"/>
              <w:jc w:val="right"/>
              <w:rPr>
                <w:rFonts w:ascii="Verdana" w:hAnsi="Verdana"/>
                <w:color w:val="000000"/>
                <w:sz w:val="16"/>
                <w:szCs w:val="16"/>
              </w:rPr>
            </w:pPr>
            <w:r w:rsidRPr="002A1F9A">
              <w:rPr>
                <w:rFonts w:ascii="Verdana" w:hAnsi="Verdana"/>
                <w:color w:val="000000"/>
                <w:sz w:val="16"/>
                <w:szCs w:val="16"/>
              </w:rPr>
              <w:t>-122.548</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457890C" w14:textId="77777777">
            <w:pPr>
              <w:spacing w:before="0" w:after="0"/>
              <w:jc w:val="right"/>
              <w:rPr>
                <w:rFonts w:ascii="Verdana" w:hAnsi="Verdana"/>
                <w:color w:val="000000"/>
                <w:sz w:val="16"/>
                <w:szCs w:val="16"/>
              </w:rPr>
            </w:pPr>
            <w:r w:rsidRPr="002A1F9A">
              <w:rPr>
                <w:rFonts w:ascii="Verdana" w:hAnsi="Verdana"/>
                <w:color w:val="000000"/>
                <w:sz w:val="16"/>
                <w:szCs w:val="16"/>
              </w:rPr>
              <w:t>-122.548</w:t>
            </w:r>
          </w:p>
        </w:tc>
      </w:tr>
      <w:tr w:rsidRPr="002A1F9A" w:rsidR="00A347D5" w:rsidTr="00A347D5" w14:paraId="377C386D"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1D18279F" w14:textId="77777777">
            <w:pPr>
              <w:spacing w:before="0" w:after="0"/>
              <w:rPr>
                <w:rFonts w:ascii="Verdana" w:hAnsi="Verdana"/>
                <w:color w:val="000000"/>
                <w:sz w:val="16"/>
                <w:szCs w:val="16"/>
              </w:rPr>
            </w:pPr>
            <w:r w:rsidRPr="002A1F9A">
              <w:rPr>
                <w:rFonts w:ascii="Verdana" w:hAnsi="Verdana"/>
                <w:color w:val="000000"/>
                <w:sz w:val="16"/>
                <w:szCs w:val="16"/>
              </w:rPr>
              <w:t>Artikel 3</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42B4CD83" w14:textId="77777777">
            <w:pPr>
              <w:spacing w:before="0" w:after="0"/>
              <w:jc w:val="right"/>
              <w:rPr>
                <w:rFonts w:ascii="Verdana" w:hAnsi="Verdana"/>
                <w:color w:val="000000"/>
                <w:sz w:val="16"/>
                <w:szCs w:val="16"/>
              </w:rPr>
            </w:pPr>
            <w:r w:rsidRPr="002A1F9A">
              <w:rPr>
                <w:rFonts w:ascii="Verdana" w:hAnsi="Verdana"/>
                <w:color w:val="000000"/>
                <w:sz w:val="16"/>
                <w:szCs w:val="16"/>
              </w:rPr>
              <w:t>-118.195</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2D3CF0C2" w14:textId="77777777">
            <w:pPr>
              <w:spacing w:before="0" w:after="0"/>
              <w:jc w:val="right"/>
              <w:rPr>
                <w:rFonts w:ascii="Verdana" w:hAnsi="Verdana"/>
                <w:color w:val="000000"/>
                <w:sz w:val="16"/>
                <w:szCs w:val="16"/>
              </w:rPr>
            </w:pPr>
            <w:r w:rsidRPr="002A1F9A">
              <w:rPr>
                <w:rFonts w:ascii="Verdana" w:hAnsi="Verdana"/>
                <w:color w:val="000000"/>
                <w:sz w:val="16"/>
                <w:szCs w:val="16"/>
              </w:rPr>
              <w:t>-158.436</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15ED17F9" w14:textId="77777777">
            <w:pPr>
              <w:spacing w:before="0" w:after="0"/>
              <w:jc w:val="right"/>
              <w:rPr>
                <w:rFonts w:ascii="Verdana" w:hAnsi="Verdana"/>
                <w:color w:val="000000"/>
                <w:sz w:val="16"/>
                <w:szCs w:val="16"/>
              </w:rPr>
            </w:pPr>
            <w:r w:rsidRPr="002A1F9A">
              <w:rPr>
                <w:rFonts w:ascii="Verdana" w:hAnsi="Verdana"/>
                <w:color w:val="000000"/>
                <w:sz w:val="16"/>
                <w:szCs w:val="16"/>
              </w:rPr>
              <w:t>-214.969</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43BD6899" w14:textId="77777777">
            <w:pPr>
              <w:spacing w:before="0" w:after="0"/>
              <w:jc w:val="right"/>
              <w:rPr>
                <w:rFonts w:ascii="Verdana" w:hAnsi="Verdana"/>
                <w:color w:val="000000"/>
                <w:sz w:val="16"/>
                <w:szCs w:val="16"/>
              </w:rPr>
            </w:pPr>
            <w:r w:rsidRPr="002A1F9A">
              <w:rPr>
                <w:rFonts w:ascii="Verdana" w:hAnsi="Verdana"/>
                <w:color w:val="000000"/>
                <w:sz w:val="16"/>
                <w:szCs w:val="16"/>
              </w:rPr>
              <w:t>-230.922</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546297D0" w14:textId="77777777">
            <w:pPr>
              <w:spacing w:before="0" w:after="0"/>
              <w:jc w:val="right"/>
              <w:rPr>
                <w:rFonts w:ascii="Verdana" w:hAnsi="Verdana"/>
                <w:color w:val="000000"/>
                <w:sz w:val="16"/>
                <w:szCs w:val="16"/>
              </w:rPr>
            </w:pPr>
            <w:r w:rsidRPr="002A1F9A">
              <w:rPr>
                <w:rFonts w:ascii="Verdana" w:hAnsi="Verdana"/>
                <w:color w:val="000000"/>
                <w:sz w:val="16"/>
                <w:szCs w:val="16"/>
              </w:rPr>
              <w:t>-233.011</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6566E56B" w14:textId="77777777">
            <w:pPr>
              <w:spacing w:before="0" w:after="0"/>
              <w:jc w:val="right"/>
              <w:rPr>
                <w:rFonts w:ascii="Verdana" w:hAnsi="Verdana"/>
                <w:color w:val="000000"/>
                <w:sz w:val="16"/>
                <w:szCs w:val="16"/>
              </w:rPr>
            </w:pPr>
            <w:r w:rsidRPr="002A1F9A">
              <w:rPr>
                <w:rFonts w:ascii="Verdana" w:hAnsi="Verdana"/>
                <w:color w:val="000000"/>
                <w:sz w:val="16"/>
                <w:szCs w:val="16"/>
              </w:rPr>
              <w:t>-233.011</w:t>
            </w:r>
          </w:p>
        </w:tc>
      </w:tr>
      <w:tr w:rsidRPr="002A1F9A" w:rsidR="00A347D5" w:rsidTr="00A347D5" w14:paraId="0D16E307"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338D7F6C" w14:textId="77777777">
            <w:pPr>
              <w:spacing w:before="0" w:after="0"/>
              <w:rPr>
                <w:rFonts w:ascii="Verdana" w:hAnsi="Verdana"/>
                <w:color w:val="000000"/>
                <w:sz w:val="16"/>
                <w:szCs w:val="16"/>
              </w:rPr>
            </w:pPr>
            <w:r w:rsidRPr="002A1F9A">
              <w:rPr>
                <w:rFonts w:ascii="Verdana" w:hAnsi="Verdana"/>
                <w:color w:val="000000"/>
                <w:sz w:val="16"/>
                <w:szCs w:val="16"/>
              </w:rPr>
              <w:t>Artikel 4</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565E1332" w14:textId="77777777">
            <w:pPr>
              <w:spacing w:before="0" w:after="0"/>
              <w:jc w:val="right"/>
              <w:rPr>
                <w:rFonts w:ascii="Verdana" w:hAnsi="Verdana"/>
                <w:color w:val="000000"/>
                <w:sz w:val="16"/>
                <w:szCs w:val="16"/>
              </w:rPr>
            </w:pPr>
            <w:r w:rsidRPr="002A1F9A">
              <w:rPr>
                <w:rFonts w:ascii="Verdana" w:hAnsi="Verdana"/>
                <w:color w:val="000000"/>
                <w:sz w:val="16"/>
                <w:szCs w:val="16"/>
              </w:rPr>
              <w:t>-23.383</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72135182" w14:textId="77777777">
            <w:pPr>
              <w:spacing w:before="0" w:after="0"/>
              <w:jc w:val="right"/>
              <w:rPr>
                <w:rFonts w:ascii="Verdana" w:hAnsi="Verdana"/>
                <w:color w:val="000000"/>
                <w:sz w:val="16"/>
                <w:szCs w:val="16"/>
              </w:rPr>
            </w:pPr>
            <w:r w:rsidRPr="002A1F9A">
              <w:rPr>
                <w:rFonts w:ascii="Verdana" w:hAnsi="Verdana"/>
                <w:color w:val="000000"/>
                <w:sz w:val="16"/>
                <w:szCs w:val="16"/>
              </w:rPr>
              <w:t>-49.415</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6A2ADB17" w14:textId="77777777">
            <w:pPr>
              <w:spacing w:before="0" w:after="0"/>
              <w:jc w:val="right"/>
              <w:rPr>
                <w:rFonts w:ascii="Verdana" w:hAnsi="Verdana"/>
                <w:color w:val="000000"/>
                <w:sz w:val="16"/>
                <w:szCs w:val="16"/>
              </w:rPr>
            </w:pPr>
            <w:r w:rsidRPr="002A1F9A">
              <w:rPr>
                <w:rFonts w:ascii="Verdana" w:hAnsi="Verdana"/>
                <w:color w:val="000000"/>
                <w:sz w:val="16"/>
                <w:szCs w:val="16"/>
              </w:rPr>
              <w:t>-61.804</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0923ECBB" w14:textId="77777777">
            <w:pPr>
              <w:spacing w:before="0" w:after="0"/>
              <w:jc w:val="right"/>
              <w:rPr>
                <w:rFonts w:ascii="Verdana" w:hAnsi="Verdana"/>
                <w:color w:val="000000"/>
                <w:sz w:val="16"/>
                <w:szCs w:val="16"/>
              </w:rPr>
            </w:pPr>
            <w:r w:rsidRPr="002A1F9A">
              <w:rPr>
                <w:rFonts w:ascii="Verdana" w:hAnsi="Verdana"/>
                <w:color w:val="000000"/>
                <w:sz w:val="16"/>
                <w:szCs w:val="16"/>
              </w:rPr>
              <w:t>-72.594</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423D8093" w14:textId="77777777">
            <w:pPr>
              <w:spacing w:before="0" w:after="0"/>
              <w:jc w:val="right"/>
              <w:rPr>
                <w:rFonts w:ascii="Verdana" w:hAnsi="Verdana"/>
                <w:color w:val="000000"/>
                <w:sz w:val="16"/>
                <w:szCs w:val="16"/>
              </w:rPr>
            </w:pPr>
            <w:r w:rsidRPr="002A1F9A">
              <w:rPr>
                <w:rFonts w:ascii="Verdana" w:hAnsi="Verdana"/>
                <w:color w:val="000000"/>
                <w:sz w:val="16"/>
                <w:szCs w:val="16"/>
              </w:rPr>
              <w:t>-77.870</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C7A5B8C" w14:textId="77777777">
            <w:pPr>
              <w:spacing w:before="0" w:after="0"/>
              <w:jc w:val="right"/>
              <w:rPr>
                <w:rFonts w:ascii="Verdana" w:hAnsi="Verdana"/>
                <w:color w:val="000000"/>
                <w:sz w:val="16"/>
                <w:szCs w:val="16"/>
              </w:rPr>
            </w:pPr>
            <w:r w:rsidRPr="002A1F9A">
              <w:rPr>
                <w:rFonts w:ascii="Verdana" w:hAnsi="Verdana"/>
                <w:color w:val="000000"/>
                <w:sz w:val="16"/>
                <w:szCs w:val="16"/>
              </w:rPr>
              <w:t>-65.960</w:t>
            </w:r>
          </w:p>
        </w:tc>
      </w:tr>
      <w:tr w:rsidRPr="002A1F9A" w:rsidR="00A347D5" w:rsidTr="00A347D5" w14:paraId="7B244BF6"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42103CDD" w14:textId="77777777">
            <w:pPr>
              <w:spacing w:before="0" w:after="0"/>
              <w:rPr>
                <w:rFonts w:ascii="Verdana" w:hAnsi="Verdana"/>
                <w:color w:val="000000"/>
                <w:sz w:val="16"/>
                <w:szCs w:val="16"/>
              </w:rPr>
            </w:pPr>
            <w:r w:rsidRPr="002A1F9A">
              <w:rPr>
                <w:rFonts w:ascii="Verdana" w:hAnsi="Verdana"/>
                <w:color w:val="000000"/>
                <w:sz w:val="16"/>
                <w:szCs w:val="16"/>
              </w:rPr>
              <w:t>Artikel 6</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03FBC268" w14:textId="77777777">
            <w:pPr>
              <w:spacing w:before="0" w:after="0"/>
              <w:jc w:val="right"/>
              <w:rPr>
                <w:rFonts w:ascii="Verdana" w:hAnsi="Verdana"/>
                <w:color w:val="000000"/>
                <w:sz w:val="16"/>
                <w:szCs w:val="16"/>
              </w:rPr>
            </w:pPr>
            <w:r w:rsidRPr="002A1F9A">
              <w:rPr>
                <w:rFonts w:ascii="Verdana" w:hAnsi="Verdana"/>
                <w:color w:val="000000"/>
                <w:sz w:val="16"/>
                <w:szCs w:val="16"/>
              </w:rPr>
              <w:t>-9.523</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6C5DB445" w14:textId="77777777">
            <w:pPr>
              <w:spacing w:before="0" w:after="0"/>
              <w:jc w:val="right"/>
              <w:rPr>
                <w:rFonts w:ascii="Verdana" w:hAnsi="Verdana"/>
                <w:color w:val="000000"/>
                <w:sz w:val="16"/>
                <w:szCs w:val="16"/>
              </w:rPr>
            </w:pPr>
            <w:r w:rsidRPr="002A1F9A">
              <w:rPr>
                <w:rFonts w:ascii="Verdana" w:hAnsi="Verdana"/>
                <w:color w:val="000000"/>
                <w:sz w:val="16"/>
                <w:szCs w:val="16"/>
              </w:rPr>
              <w:t>-18.651</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61D9A683" w14:textId="77777777">
            <w:pPr>
              <w:spacing w:before="0" w:after="0"/>
              <w:jc w:val="right"/>
              <w:rPr>
                <w:rFonts w:ascii="Verdana" w:hAnsi="Verdana"/>
                <w:color w:val="000000"/>
                <w:sz w:val="16"/>
                <w:szCs w:val="16"/>
              </w:rPr>
            </w:pPr>
            <w:r w:rsidRPr="002A1F9A">
              <w:rPr>
                <w:rFonts w:ascii="Verdana" w:hAnsi="Verdana"/>
                <w:color w:val="000000"/>
                <w:sz w:val="16"/>
                <w:szCs w:val="16"/>
              </w:rPr>
              <w:t>-49.280</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5D5DBB5" w14:textId="77777777">
            <w:pPr>
              <w:spacing w:before="0" w:after="0"/>
              <w:jc w:val="right"/>
              <w:rPr>
                <w:rFonts w:ascii="Verdana" w:hAnsi="Verdana"/>
                <w:color w:val="000000"/>
                <w:sz w:val="16"/>
                <w:szCs w:val="16"/>
              </w:rPr>
            </w:pPr>
            <w:r w:rsidRPr="002A1F9A">
              <w:rPr>
                <w:rFonts w:ascii="Verdana" w:hAnsi="Verdana"/>
                <w:color w:val="000000"/>
                <w:sz w:val="16"/>
                <w:szCs w:val="16"/>
              </w:rPr>
              <w:t>-70.198</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285AB314" w14:textId="77777777">
            <w:pPr>
              <w:spacing w:before="0" w:after="0"/>
              <w:jc w:val="right"/>
              <w:rPr>
                <w:rFonts w:ascii="Verdana" w:hAnsi="Verdana"/>
                <w:color w:val="000000"/>
                <w:sz w:val="16"/>
                <w:szCs w:val="16"/>
              </w:rPr>
            </w:pPr>
            <w:r w:rsidRPr="002A1F9A">
              <w:rPr>
                <w:rFonts w:ascii="Verdana" w:hAnsi="Verdana"/>
                <w:color w:val="000000"/>
                <w:sz w:val="16"/>
                <w:szCs w:val="16"/>
              </w:rPr>
              <w:t>-82.174</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3A94D7B7" w14:textId="77777777">
            <w:pPr>
              <w:spacing w:before="0" w:after="0"/>
              <w:jc w:val="right"/>
              <w:rPr>
                <w:rFonts w:ascii="Verdana" w:hAnsi="Verdana"/>
                <w:color w:val="000000"/>
                <w:sz w:val="16"/>
                <w:szCs w:val="16"/>
              </w:rPr>
            </w:pPr>
            <w:r w:rsidRPr="002A1F9A">
              <w:rPr>
                <w:rFonts w:ascii="Verdana" w:hAnsi="Verdana"/>
                <w:color w:val="000000"/>
                <w:sz w:val="16"/>
                <w:szCs w:val="16"/>
              </w:rPr>
              <w:t>-81.865</w:t>
            </w:r>
          </w:p>
        </w:tc>
      </w:tr>
      <w:tr w:rsidRPr="002A1F9A" w:rsidR="00A347D5" w:rsidTr="00A347D5" w14:paraId="3136F4A4"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3A831D52" w14:textId="77777777">
            <w:pPr>
              <w:spacing w:before="0" w:after="0"/>
              <w:rPr>
                <w:rFonts w:ascii="Verdana" w:hAnsi="Verdana"/>
                <w:color w:val="000000"/>
                <w:sz w:val="16"/>
                <w:szCs w:val="16"/>
              </w:rPr>
            </w:pPr>
            <w:r w:rsidRPr="002A1F9A">
              <w:rPr>
                <w:rFonts w:ascii="Verdana" w:hAnsi="Verdana"/>
                <w:color w:val="000000"/>
                <w:sz w:val="16"/>
                <w:szCs w:val="16"/>
              </w:rPr>
              <w:t>Artikel 7</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53089D7E" w14:textId="77777777">
            <w:pPr>
              <w:spacing w:before="0" w:after="0"/>
              <w:jc w:val="right"/>
              <w:rPr>
                <w:rFonts w:ascii="Verdana" w:hAnsi="Verdana"/>
                <w:color w:val="000000"/>
                <w:sz w:val="16"/>
                <w:szCs w:val="16"/>
              </w:rPr>
            </w:pPr>
            <w:r w:rsidRPr="002A1F9A">
              <w:rPr>
                <w:rFonts w:ascii="Verdana" w:hAnsi="Verdana"/>
                <w:color w:val="000000"/>
                <w:sz w:val="16"/>
                <w:szCs w:val="16"/>
              </w:rPr>
              <w:t>-197.037</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0C8EC84A" w14:textId="77777777">
            <w:pPr>
              <w:spacing w:before="0" w:after="0"/>
              <w:jc w:val="right"/>
              <w:rPr>
                <w:rFonts w:ascii="Verdana" w:hAnsi="Verdana"/>
                <w:color w:val="000000"/>
                <w:sz w:val="16"/>
                <w:szCs w:val="16"/>
              </w:rPr>
            </w:pPr>
            <w:r w:rsidRPr="002A1F9A">
              <w:rPr>
                <w:rFonts w:ascii="Verdana" w:hAnsi="Verdana"/>
                <w:color w:val="000000"/>
                <w:sz w:val="16"/>
                <w:szCs w:val="16"/>
              </w:rPr>
              <w:t>-220.807</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5CA6665E" w14:textId="77777777">
            <w:pPr>
              <w:spacing w:before="0" w:after="0"/>
              <w:jc w:val="right"/>
              <w:rPr>
                <w:rFonts w:ascii="Verdana" w:hAnsi="Verdana"/>
                <w:color w:val="000000"/>
                <w:sz w:val="16"/>
                <w:szCs w:val="16"/>
              </w:rPr>
            </w:pPr>
            <w:r w:rsidRPr="002A1F9A">
              <w:rPr>
                <w:rFonts w:ascii="Verdana" w:hAnsi="Verdana"/>
                <w:color w:val="000000"/>
                <w:sz w:val="16"/>
                <w:szCs w:val="16"/>
              </w:rPr>
              <w:t>-254.310</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6B219C8" w14:textId="77777777">
            <w:pPr>
              <w:spacing w:before="0" w:after="0"/>
              <w:jc w:val="right"/>
              <w:rPr>
                <w:rFonts w:ascii="Verdana" w:hAnsi="Verdana"/>
                <w:color w:val="000000"/>
                <w:sz w:val="16"/>
                <w:szCs w:val="16"/>
              </w:rPr>
            </w:pPr>
            <w:r w:rsidRPr="002A1F9A">
              <w:rPr>
                <w:rFonts w:ascii="Verdana" w:hAnsi="Verdana"/>
                <w:color w:val="000000"/>
                <w:sz w:val="16"/>
                <w:szCs w:val="16"/>
              </w:rPr>
              <w:t>-290.393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2994149B" w14:textId="77777777">
            <w:pPr>
              <w:spacing w:before="0" w:after="0"/>
              <w:jc w:val="right"/>
              <w:rPr>
                <w:rFonts w:ascii="Verdana" w:hAnsi="Verdana"/>
                <w:color w:val="000000"/>
                <w:sz w:val="16"/>
                <w:szCs w:val="16"/>
              </w:rPr>
            </w:pPr>
            <w:r w:rsidRPr="002A1F9A">
              <w:rPr>
                <w:rFonts w:ascii="Verdana" w:hAnsi="Verdana"/>
                <w:color w:val="000000"/>
                <w:sz w:val="16"/>
                <w:szCs w:val="16"/>
              </w:rPr>
              <w:t>-339.162</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30E73708" w14:textId="77777777">
            <w:pPr>
              <w:spacing w:before="0" w:after="0"/>
              <w:jc w:val="right"/>
              <w:rPr>
                <w:rFonts w:ascii="Verdana" w:hAnsi="Verdana"/>
                <w:color w:val="000000"/>
                <w:sz w:val="16"/>
                <w:szCs w:val="16"/>
              </w:rPr>
            </w:pPr>
            <w:r w:rsidRPr="002A1F9A">
              <w:rPr>
                <w:rFonts w:ascii="Verdana" w:hAnsi="Verdana"/>
                <w:color w:val="000000"/>
                <w:sz w:val="16"/>
                <w:szCs w:val="16"/>
              </w:rPr>
              <w:t>-336.396</w:t>
            </w:r>
          </w:p>
        </w:tc>
      </w:tr>
      <w:tr w:rsidRPr="002A1F9A" w:rsidR="00A347D5" w:rsidTr="00A347D5" w14:paraId="5E13A4D7"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2453FD0A" w14:textId="77777777">
            <w:pPr>
              <w:spacing w:before="0" w:after="0"/>
              <w:rPr>
                <w:rFonts w:ascii="Verdana" w:hAnsi="Verdana"/>
                <w:color w:val="000000"/>
                <w:sz w:val="16"/>
                <w:szCs w:val="16"/>
              </w:rPr>
            </w:pPr>
            <w:r w:rsidRPr="002A1F9A">
              <w:rPr>
                <w:rFonts w:ascii="Verdana" w:hAnsi="Verdana"/>
                <w:color w:val="000000"/>
                <w:sz w:val="16"/>
                <w:szCs w:val="16"/>
              </w:rPr>
              <w:t>Artikel 8</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451F2AB8" w14:textId="77777777">
            <w:pPr>
              <w:spacing w:before="0" w:after="0"/>
              <w:jc w:val="right"/>
              <w:rPr>
                <w:rFonts w:ascii="Verdana" w:hAnsi="Verdana"/>
                <w:color w:val="000000"/>
                <w:sz w:val="16"/>
                <w:szCs w:val="16"/>
              </w:rPr>
            </w:pPr>
            <w:r w:rsidRPr="002A1F9A">
              <w:rPr>
                <w:rFonts w:ascii="Verdana" w:hAnsi="Verdana"/>
                <w:color w:val="000000"/>
                <w:sz w:val="16"/>
                <w:szCs w:val="16"/>
              </w:rPr>
              <w:t>-231</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57B6B6A0" w14:textId="77777777">
            <w:pPr>
              <w:spacing w:before="0" w:after="0"/>
              <w:jc w:val="right"/>
              <w:rPr>
                <w:rFonts w:ascii="Verdana" w:hAnsi="Verdana"/>
                <w:color w:val="000000"/>
                <w:sz w:val="16"/>
                <w:szCs w:val="16"/>
              </w:rPr>
            </w:pPr>
            <w:r w:rsidRPr="002A1F9A">
              <w:rPr>
                <w:rFonts w:ascii="Verdana" w:hAnsi="Verdana"/>
                <w:color w:val="000000"/>
                <w:sz w:val="16"/>
                <w:szCs w:val="16"/>
              </w:rPr>
              <w:t>-252</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1788F38A" w14:textId="77777777">
            <w:pPr>
              <w:spacing w:before="0" w:after="0"/>
              <w:jc w:val="right"/>
              <w:rPr>
                <w:rFonts w:ascii="Verdana" w:hAnsi="Verdana"/>
                <w:color w:val="000000"/>
                <w:sz w:val="16"/>
                <w:szCs w:val="16"/>
              </w:rPr>
            </w:pPr>
            <w:r w:rsidRPr="002A1F9A">
              <w:rPr>
                <w:rFonts w:ascii="Verdana" w:hAnsi="Verdana"/>
                <w:color w:val="000000"/>
                <w:sz w:val="16"/>
                <w:szCs w:val="16"/>
              </w:rPr>
              <w:t>-441</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BF3BFAF" w14:textId="77777777">
            <w:pPr>
              <w:spacing w:before="0" w:after="0"/>
              <w:jc w:val="right"/>
              <w:rPr>
                <w:rFonts w:ascii="Verdana" w:hAnsi="Verdana"/>
                <w:color w:val="000000"/>
                <w:sz w:val="16"/>
                <w:szCs w:val="16"/>
              </w:rPr>
            </w:pPr>
            <w:r w:rsidRPr="002A1F9A">
              <w:rPr>
                <w:rFonts w:ascii="Verdana" w:hAnsi="Verdana"/>
                <w:color w:val="000000"/>
                <w:sz w:val="16"/>
                <w:szCs w:val="16"/>
              </w:rPr>
              <w:t>-585</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510D9283" w14:textId="77777777">
            <w:pPr>
              <w:spacing w:before="0" w:after="0"/>
              <w:jc w:val="right"/>
              <w:rPr>
                <w:rFonts w:ascii="Verdana" w:hAnsi="Verdana"/>
                <w:color w:val="000000"/>
                <w:sz w:val="16"/>
                <w:szCs w:val="16"/>
              </w:rPr>
            </w:pPr>
            <w:r w:rsidRPr="002A1F9A">
              <w:rPr>
                <w:rFonts w:ascii="Verdana" w:hAnsi="Verdana"/>
                <w:color w:val="000000"/>
                <w:sz w:val="16"/>
                <w:szCs w:val="16"/>
              </w:rPr>
              <w:t>-598</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10BA81D6" w14:textId="77777777">
            <w:pPr>
              <w:spacing w:before="0" w:after="0"/>
              <w:jc w:val="right"/>
              <w:rPr>
                <w:rFonts w:ascii="Verdana" w:hAnsi="Verdana"/>
                <w:color w:val="000000"/>
                <w:sz w:val="16"/>
                <w:szCs w:val="16"/>
              </w:rPr>
            </w:pPr>
            <w:r w:rsidRPr="002A1F9A">
              <w:rPr>
                <w:rFonts w:ascii="Verdana" w:hAnsi="Verdana"/>
                <w:color w:val="000000"/>
                <w:sz w:val="16"/>
                <w:szCs w:val="16"/>
              </w:rPr>
              <w:t>-598</w:t>
            </w:r>
          </w:p>
        </w:tc>
      </w:tr>
      <w:tr w:rsidRPr="002A1F9A" w:rsidR="00A347D5" w:rsidTr="00A347D5" w14:paraId="2B6E7492"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32A7AB7E" w14:textId="77777777">
            <w:pPr>
              <w:spacing w:before="0" w:after="0"/>
              <w:rPr>
                <w:rFonts w:ascii="Verdana" w:hAnsi="Verdana"/>
                <w:color w:val="000000"/>
                <w:sz w:val="16"/>
                <w:szCs w:val="16"/>
              </w:rPr>
            </w:pPr>
            <w:r w:rsidRPr="002A1F9A">
              <w:rPr>
                <w:rFonts w:ascii="Verdana" w:hAnsi="Verdana"/>
                <w:color w:val="000000"/>
                <w:sz w:val="16"/>
                <w:szCs w:val="16"/>
              </w:rPr>
              <w:t>Artikel 9</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656ABD04" w14:textId="77777777">
            <w:pPr>
              <w:spacing w:before="0" w:after="0"/>
              <w:jc w:val="right"/>
              <w:rPr>
                <w:rFonts w:ascii="Verdana" w:hAnsi="Verdana"/>
                <w:color w:val="000000"/>
                <w:sz w:val="16"/>
                <w:szCs w:val="16"/>
              </w:rPr>
            </w:pPr>
            <w:r w:rsidRPr="002A1F9A">
              <w:rPr>
                <w:rFonts w:ascii="Verdana" w:hAnsi="Verdana"/>
                <w:color w:val="000000"/>
                <w:sz w:val="16"/>
                <w:szCs w:val="16"/>
              </w:rPr>
              <w:t>-60</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4AE21DCA" w14:textId="77777777">
            <w:pPr>
              <w:spacing w:before="0" w:after="0"/>
              <w:jc w:val="right"/>
              <w:rPr>
                <w:rFonts w:ascii="Verdana" w:hAnsi="Verdana"/>
                <w:color w:val="000000"/>
                <w:sz w:val="16"/>
                <w:szCs w:val="16"/>
              </w:rPr>
            </w:pPr>
            <w:r w:rsidRPr="002A1F9A">
              <w:rPr>
                <w:rFonts w:ascii="Verdana" w:hAnsi="Verdana"/>
                <w:color w:val="000000"/>
                <w:sz w:val="16"/>
                <w:szCs w:val="16"/>
              </w:rPr>
              <w:t>-62</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5F9DB854" w14:textId="77777777">
            <w:pPr>
              <w:spacing w:before="0" w:after="0"/>
              <w:jc w:val="right"/>
              <w:rPr>
                <w:rFonts w:ascii="Verdana" w:hAnsi="Verdana"/>
                <w:color w:val="000000"/>
                <w:sz w:val="16"/>
                <w:szCs w:val="16"/>
              </w:rPr>
            </w:pPr>
            <w:r w:rsidRPr="002A1F9A">
              <w:rPr>
                <w:rFonts w:ascii="Verdana" w:hAnsi="Verdana"/>
                <w:color w:val="000000"/>
                <w:sz w:val="16"/>
                <w:szCs w:val="16"/>
              </w:rPr>
              <w:t>-64</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40B56893" w14:textId="77777777">
            <w:pPr>
              <w:spacing w:before="0" w:after="0"/>
              <w:jc w:val="right"/>
              <w:rPr>
                <w:rFonts w:ascii="Verdana" w:hAnsi="Verdana"/>
                <w:color w:val="000000"/>
                <w:sz w:val="16"/>
                <w:szCs w:val="16"/>
              </w:rPr>
            </w:pPr>
            <w:r w:rsidRPr="002A1F9A">
              <w:rPr>
                <w:rFonts w:ascii="Verdana" w:hAnsi="Verdana"/>
                <w:color w:val="000000"/>
                <w:sz w:val="16"/>
                <w:szCs w:val="16"/>
              </w:rPr>
              <w:t>-66</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0A79A520" w14:textId="77777777">
            <w:pPr>
              <w:spacing w:before="0" w:after="0"/>
              <w:jc w:val="right"/>
              <w:rPr>
                <w:rFonts w:ascii="Verdana" w:hAnsi="Verdana"/>
                <w:color w:val="000000"/>
                <w:sz w:val="16"/>
                <w:szCs w:val="16"/>
              </w:rPr>
            </w:pPr>
            <w:r w:rsidRPr="002A1F9A">
              <w:rPr>
                <w:rFonts w:ascii="Verdana" w:hAnsi="Verdana"/>
                <w:color w:val="000000"/>
                <w:sz w:val="16"/>
                <w:szCs w:val="16"/>
              </w:rPr>
              <w:t>-69</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77C0684E" w14:textId="77777777">
            <w:pPr>
              <w:spacing w:before="0" w:after="0"/>
              <w:jc w:val="right"/>
              <w:rPr>
                <w:rFonts w:ascii="Verdana" w:hAnsi="Verdana"/>
                <w:color w:val="000000"/>
                <w:sz w:val="16"/>
                <w:szCs w:val="16"/>
              </w:rPr>
            </w:pPr>
            <w:r w:rsidRPr="002A1F9A">
              <w:rPr>
                <w:rFonts w:ascii="Verdana" w:hAnsi="Verdana"/>
                <w:color w:val="000000"/>
                <w:sz w:val="16"/>
                <w:szCs w:val="16"/>
              </w:rPr>
              <w:t>-69</w:t>
            </w:r>
          </w:p>
        </w:tc>
      </w:tr>
      <w:tr w:rsidRPr="002A1F9A" w:rsidR="00A347D5" w:rsidTr="00A347D5" w14:paraId="0B5D33AB"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477ABECF" w14:textId="77777777">
            <w:pPr>
              <w:spacing w:before="0" w:after="0"/>
              <w:rPr>
                <w:rFonts w:ascii="Verdana" w:hAnsi="Verdana"/>
                <w:color w:val="000000"/>
                <w:sz w:val="16"/>
                <w:szCs w:val="16"/>
              </w:rPr>
            </w:pPr>
            <w:r w:rsidRPr="002A1F9A">
              <w:rPr>
                <w:rFonts w:ascii="Verdana" w:hAnsi="Verdana"/>
                <w:color w:val="000000"/>
                <w:sz w:val="16"/>
                <w:szCs w:val="16"/>
              </w:rPr>
              <w:t>Artikel 11</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4AF6E6C3" w14:textId="77777777">
            <w:pPr>
              <w:spacing w:before="0" w:after="0"/>
              <w:jc w:val="right"/>
              <w:rPr>
                <w:rFonts w:ascii="Verdana" w:hAnsi="Verdana"/>
                <w:color w:val="000000"/>
                <w:sz w:val="16"/>
                <w:szCs w:val="16"/>
              </w:rPr>
            </w:pPr>
            <w:r w:rsidRPr="002A1F9A">
              <w:rPr>
                <w:rFonts w:ascii="Verdana" w:hAnsi="Verdana"/>
                <w:color w:val="000000"/>
                <w:sz w:val="16"/>
                <w:szCs w:val="16"/>
              </w:rPr>
              <w:t>-4.122</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7CFF9F54" w14:textId="77777777">
            <w:pPr>
              <w:spacing w:before="0" w:after="0"/>
              <w:jc w:val="right"/>
              <w:rPr>
                <w:rFonts w:ascii="Verdana" w:hAnsi="Verdana"/>
                <w:color w:val="000000"/>
                <w:sz w:val="16"/>
                <w:szCs w:val="16"/>
              </w:rPr>
            </w:pPr>
            <w:r w:rsidRPr="002A1F9A">
              <w:rPr>
                <w:rFonts w:ascii="Verdana" w:hAnsi="Verdana"/>
                <w:color w:val="000000"/>
                <w:sz w:val="16"/>
                <w:szCs w:val="16"/>
              </w:rPr>
              <w:t>-8.108</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75904735" w14:textId="77777777">
            <w:pPr>
              <w:spacing w:before="0" w:after="0"/>
              <w:jc w:val="right"/>
              <w:rPr>
                <w:rFonts w:ascii="Verdana" w:hAnsi="Verdana"/>
                <w:color w:val="000000"/>
                <w:sz w:val="16"/>
                <w:szCs w:val="16"/>
              </w:rPr>
            </w:pPr>
            <w:r w:rsidRPr="002A1F9A">
              <w:rPr>
                <w:rFonts w:ascii="Verdana" w:hAnsi="Verdana"/>
                <w:color w:val="000000"/>
                <w:sz w:val="16"/>
                <w:szCs w:val="16"/>
              </w:rPr>
              <w:t>1.284.808</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3B08B976" w14:textId="77777777">
            <w:pPr>
              <w:spacing w:before="0" w:after="0"/>
              <w:jc w:val="right"/>
              <w:rPr>
                <w:rFonts w:ascii="Verdana" w:hAnsi="Verdana"/>
                <w:color w:val="000000"/>
                <w:sz w:val="16"/>
                <w:szCs w:val="16"/>
              </w:rPr>
            </w:pPr>
            <w:r w:rsidRPr="002A1F9A">
              <w:rPr>
                <w:rFonts w:ascii="Verdana" w:hAnsi="Verdana"/>
                <w:color w:val="000000"/>
                <w:sz w:val="16"/>
                <w:szCs w:val="16"/>
              </w:rPr>
              <w:t>28.803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58BFAB6C" w14:textId="77777777">
            <w:pPr>
              <w:spacing w:before="0" w:after="0"/>
              <w:jc w:val="right"/>
              <w:rPr>
                <w:rFonts w:ascii="Verdana" w:hAnsi="Verdana"/>
                <w:color w:val="000000"/>
                <w:sz w:val="16"/>
                <w:szCs w:val="16"/>
              </w:rPr>
            </w:pPr>
            <w:r w:rsidRPr="002A1F9A">
              <w:rPr>
                <w:rFonts w:ascii="Verdana" w:hAnsi="Verdana"/>
                <w:color w:val="000000"/>
                <w:sz w:val="16"/>
                <w:szCs w:val="16"/>
              </w:rPr>
              <w:t>9.202</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C2039FB" w14:textId="77777777">
            <w:pPr>
              <w:spacing w:before="0" w:after="0"/>
              <w:jc w:val="right"/>
              <w:rPr>
                <w:rFonts w:ascii="Verdana" w:hAnsi="Verdana"/>
                <w:color w:val="000000"/>
                <w:sz w:val="16"/>
                <w:szCs w:val="16"/>
              </w:rPr>
            </w:pPr>
            <w:r w:rsidRPr="002A1F9A">
              <w:rPr>
                <w:rFonts w:ascii="Verdana" w:hAnsi="Verdana"/>
                <w:color w:val="000000"/>
                <w:sz w:val="16"/>
                <w:szCs w:val="16"/>
              </w:rPr>
              <w:t>-7.131</w:t>
            </w:r>
          </w:p>
        </w:tc>
      </w:tr>
      <w:tr w:rsidRPr="002A1F9A" w:rsidR="00A347D5" w:rsidTr="00A347D5" w14:paraId="7B23C250"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1193E6AA" w14:textId="77777777">
            <w:pPr>
              <w:spacing w:before="0" w:after="0"/>
              <w:rPr>
                <w:rFonts w:ascii="Verdana" w:hAnsi="Verdana"/>
                <w:color w:val="000000"/>
                <w:sz w:val="16"/>
                <w:szCs w:val="16"/>
              </w:rPr>
            </w:pPr>
            <w:r w:rsidRPr="002A1F9A">
              <w:rPr>
                <w:rFonts w:ascii="Verdana" w:hAnsi="Verdana"/>
                <w:color w:val="000000"/>
                <w:sz w:val="16"/>
                <w:szCs w:val="16"/>
              </w:rPr>
              <w:t>Artikel 12</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7204BC6E" w14:textId="77777777">
            <w:pPr>
              <w:spacing w:before="0" w:after="0"/>
              <w:jc w:val="right"/>
              <w:rPr>
                <w:rFonts w:ascii="Verdana" w:hAnsi="Verdana"/>
                <w:color w:val="000000"/>
                <w:sz w:val="16"/>
                <w:szCs w:val="16"/>
              </w:rPr>
            </w:pPr>
            <w:r w:rsidRPr="002A1F9A">
              <w:rPr>
                <w:rFonts w:ascii="Verdana" w:hAnsi="Verdana"/>
                <w:color w:val="000000"/>
                <w:sz w:val="16"/>
                <w:szCs w:val="16"/>
              </w:rPr>
              <w:t>-49</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3ABDBC66" w14:textId="77777777">
            <w:pPr>
              <w:spacing w:before="0" w:after="0"/>
              <w:jc w:val="right"/>
              <w:rPr>
                <w:rFonts w:ascii="Verdana" w:hAnsi="Verdana"/>
                <w:color w:val="000000"/>
                <w:sz w:val="16"/>
                <w:szCs w:val="16"/>
              </w:rPr>
            </w:pPr>
            <w:r w:rsidRPr="002A1F9A">
              <w:rPr>
                <w:rFonts w:ascii="Verdana" w:hAnsi="Verdana"/>
                <w:color w:val="000000"/>
                <w:sz w:val="16"/>
                <w:szCs w:val="16"/>
              </w:rPr>
              <w:t>-51</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1BF17963" w14:textId="77777777">
            <w:pPr>
              <w:spacing w:before="0" w:after="0"/>
              <w:jc w:val="right"/>
              <w:rPr>
                <w:rFonts w:ascii="Verdana" w:hAnsi="Verdana"/>
                <w:color w:val="000000"/>
                <w:sz w:val="16"/>
                <w:szCs w:val="16"/>
              </w:rPr>
            </w:pPr>
            <w:r w:rsidRPr="002A1F9A">
              <w:rPr>
                <w:rFonts w:ascii="Verdana" w:hAnsi="Verdana"/>
                <w:color w:val="000000"/>
                <w:sz w:val="16"/>
                <w:szCs w:val="16"/>
              </w:rPr>
              <w:t>-52</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19CA86C3" w14:textId="77777777">
            <w:pPr>
              <w:spacing w:before="0" w:after="0"/>
              <w:jc w:val="right"/>
              <w:rPr>
                <w:rFonts w:ascii="Verdana" w:hAnsi="Verdana"/>
                <w:color w:val="000000"/>
                <w:sz w:val="16"/>
                <w:szCs w:val="16"/>
              </w:rPr>
            </w:pPr>
            <w:r w:rsidRPr="002A1F9A">
              <w:rPr>
                <w:rFonts w:ascii="Verdana" w:hAnsi="Verdana"/>
                <w:color w:val="000000"/>
                <w:sz w:val="16"/>
                <w:szCs w:val="16"/>
              </w:rPr>
              <w:t>-54</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09A0985F" w14:textId="77777777">
            <w:pPr>
              <w:spacing w:before="0" w:after="0"/>
              <w:jc w:val="right"/>
              <w:rPr>
                <w:rFonts w:ascii="Verdana" w:hAnsi="Verdana"/>
                <w:color w:val="000000"/>
                <w:sz w:val="16"/>
                <w:szCs w:val="16"/>
              </w:rPr>
            </w:pPr>
            <w:r w:rsidRPr="002A1F9A">
              <w:rPr>
                <w:rFonts w:ascii="Verdana" w:hAnsi="Verdana"/>
                <w:color w:val="000000"/>
                <w:sz w:val="16"/>
                <w:szCs w:val="16"/>
              </w:rPr>
              <w:t>-56</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71022A75" w14:textId="77777777">
            <w:pPr>
              <w:spacing w:before="0" w:after="0"/>
              <w:jc w:val="right"/>
              <w:rPr>
                <w:rFonts w:ascii="Verdana" w:hAnsi="Verdana"/>
                <w:color w:val="000000"/>
                <w:sz w:val="16"/>
                <w:szCs w:val="16"/>
              </w:rPr>
            </w:pPr>
            <w:r w:rsidRPr="002A1F9A">
              <w:rPr>
                <w:rFonts w:ascii="Verdana" w:hAnsi="Verdana"/>
                <w:color w:val="000000"/>
                <w:sz w:val="16"/>
                <w:szCs w:val="16"/>
              </w:rPr>
              <w:t>-56</w:t>
            </w:r>
          </w:p>
        </w:tc>
      </w:tr>
      <w:tr w:rsidRPr="002A1F9A" w:rsidR="00A347D5" w:rsidTr="00A347D5" w14:paraId="21448AB8"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25E261FD" w14:textId="77777777">
            <w:pPr>
              <w:spacing w:before="0" w:after="0"/>
              <w:rPr>
                <w:rFonts w:ascii="Verdana" w:hAnsi="Verdana"/>
                <w:color w:val="000000"/>
                <w:sz w:val="16"/>
                <w:szCs w:val="16"/>
              </w:rPr>
            </w:pPr>
            <w:r w:rsidRPr="002A1F9A">
              <w:rPr>
                <w:rFonts w:ascii="Verdana" w:hAnsi="Verdana"/>
                <w:color w:val="000000"/>
                <w:sz w:val="16"/>
                <w:szCs w:val="16"/>
              </w:rPr>
              <w:t>Artikel 13</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78D5E22D" w14:textId="77777777">
            <w:pPr>
              <w:spacing w:before="0" w:after="0"/>
              <w:jc w:val="right"/>
              <w:rPr>
                <w:rFonts w:ascii="Verdana" w:hAnsi="Verdana"/>
                <w:color w:val="000000"/>
                <w:sz w:val="16"/>
                <w:szCs w:val="16"/>
              </w:rPr>
            </w:pPr>
            <w:r w:rsidRPr="002A1F9A">
              <w:rPr>
                <w:rFonts w:ascii="Verdana" w:hAnsi="Verdana"/>
                <w:color w:val="000000"/>
                <w:sz w:val="16"/>
                <w:szCs w:val="16"/>
              </w:rPr>
              <w:t>-275</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4052CC30" w14:textId="77777777">
            <w:pPr>
              <w:spacing w:before="0" w:after="0"/>
              <w:jc w:val="right"/>
              <w:rPr>
                <w:rFonts w:ascii="Verdana" w:hAnsi="Verdana"/>
                <w:color w:val="000000"/>
                <w:sz w:val="16"/>
                <w:szCs w:val="16"/>
              </w:rPr>
            </w:pPr>
            <w:r w:rsidRPr="002A1F9A">
              <w:rPr>
                <w:rFonts w:ascii="Verdana" w:hAnsi="Verdana"/>
                <w:color w:val="000000"/>
                <w:sz w:val="16"/>
                <w:szCs w:val="16"/>
              </w:rPr>
              <w:t>-287</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43702062" w14:textId="77777777">
            <w:pPr>
              <w:spacing w:before="0" w:after="0"/>
              <w:jc w:val="right"/>
              <w:rPr>
                <w:rFonts w:ascii="Verdana" w:hAnsi="Verdana"/>
                <w:color w:val="000000"/>
                <w:sz w:val="16"/>
                <w:szCs w:val="16"/>
              </w:rPr>
            </w:pPr>
            <w:r w:rsidRPr="002A1F9A">
              <w:rPr>
                <w:rFonts w:ascii="Verdana" w:hAnsi="Verdana"/>
                <w:color w:val="000000"/>
                <w:sz w:val="16"/>
                <w:szCs w:val="16"/>
              </w:rPr>
              <w:t>-296</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3F972C5D" w14:textId="77777777">
            <w:pPr>
              <w:spacing w:before="0" w:after="0"/>
              <w:jc w:val="right"/>
              <w:rPr>
                <w:rFonts w:ascii="Verdana" w:hAnsi="Verdana"/>
                <w:color w:val="000000"/>
                <w:sz w:val="16"/>
                <w:szCs w:val="16"/>
              </w:rPr>
            </w:pPr>
            <w:r w:rsidRPr="002A1F9A">
              <w:rPr>
                <w:rFonts w:ascii="Verdana" w:hAnsi="Verdana"/>
                <w:color w:val="000000"/>
                <w:sz w:val="16"/>
                <w:szCs w:val="16"/>
              </w:rPr>
              <w:t>-303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258DC0AE" w14:textId="77777777">
            <w:pPr>
              <w:spacing w:before="0" w:after="0"/>
              <w:jc w:val="right"/>
              <w:rPr>
                <w:rFonts w:ascii="Verdana" w:hAnsi="Verdana"/>
                <w:color w:val="000000"/>
                <w:sz w:val="16"/>
                <w:szCs w:val="16"/>
              </w:rPr>
            </w:pPr>
            <w:r w:rsidRPr="002A1F9A">
              <w:rPr>
                <w:rFonts w:ascii="Verdana" w:hAnsi="Verdana"/>
                <w:color w:val="000000"/>
                <w:sz w:val="16"/>
                <w:szCs w:val="16"/>
              </w:rPr>
              <w:t>-320</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A25A555" w14:textId="77777777">
            <w:pPr>
              <w:spacing w:before="0" w:after="0"/>
              <w:jc w:val="right"/>
              <w:rPr>
                <w:rFonts w:ascii="Verdana" w:hAnsi="Verdana"/>
                <w:color w:val="000000"/>
                <w:sz w:val="16"/>
                <w:szCs w:val="16"/>
              </w:rPr>
            </w:pPr>
            <w:r w:rsidRPr="002A1F9A">
              <w:rPr>
                <w:rFonts w:ascii="Verdana" w:hAnsi="Verdana"/>
                <w:color w:val="000000"/>
                <w:sz w:val="16"/>
                <w:szCs w:val="16"/>
              </w:rPr>
              <w:t>-320</w:t>
            </w:r>
          </w:p>
        </w:tc>
      </w:tr>
      <w:tr w:rsidRPr="002A1F9A" w:rsidR="00A347D5" w:rsidTr="00A347D5" w14:paraId="4EB01AFD"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5D8A6A57" w14:textId="77777777">
            <w:pPr>
              <w:spacing w:before="0" w:after="0"/>
              <w:rPr>
                <w:rFonts w:ascii="Verdana" w:hAnsi="Verdana"/>
                <w:color w:val="000000"/>
                <w:sz w:val="16"/>
                <w:szCs w:val="16"/>
              </w:rPr>
            </w:pPr>
            <w:r w:rsidRPr="002A1F9A">
              <w:rPr>
                <w:rFonts w:ascii="Verdana" w:hAnsi="Verdana"/>
                <w:color w:val="000000"/>
                <w:sz w:val="16"/>
                <w:szCs w:val="16"/>
              </w:rPr>
              <w:t>Artikel 14</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221E7FF9" w14:textId="77777777">
            <w:pPr>
              <w:spacing w:before="0" w:after="0"/>
              <w:jc w:val="right"/>
              <w:rPr>
                <w:rFonts w:ascii="Verdana" w:hAnsi="Verdana"/>
                <w:color w:val="000000"/>
                <w:sz w:val="16"/>
                <w:szCs w:val="16"/>
              </w:rPr>
            </w:pPr>
            <w:r w:rsidRPr="002A1F9A">
              <w:rPr>
                <w:rFonts w:ascii="Verdana" w:hAnsi="Verdana"/>
                <w:color w:val="000000"/>
                <w:sz w:val="16"/>
                <w:szCs w:val="16"/>
              </w:rPr>
              <w:t>-2.765</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07202A4F" w14:textId="77777777">
            <w:pPr>
              <w:spacing w:before="0" w:after="0"/>
              <w:jc w:val="right"/>
              <w:rPr>
                <w:rFonts w:ascii="Verdana" w:hAnsi="Verdana"/>
                <w:color w:val="000000"/>
                <w:sz w:val="16"/>
                <w:szCs w:val="16"/>
              </w:rPr>
            </w:pPr>
            <w:r w:rsidRPr="002A1F9A">
              <w:rPr>
                <w:rFonts w:ascii="Verdana" w:hAnsi="Verdana"/>
                <w:color w:val="000000"/>
                <w:sz w:val="16"/>
                <w:szCs w:val="16"/>
              </w:rPr>
              <w:t>385</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7803CAAC" w14:textId="77777777">
            <w:pPr>
              <w:spacing w:before="0" w:after="0"/>
              <w:jc w:val="right"/>
              <w:rPr>
                <w:rFonts w:ascii="Verdana" w:hAnsi="Verdana"/>
                <w:color w:val="000000"/>
                <w:sz w:val="16"/>
                <w:szCs w:val="16"/>
              </w:rPr>
            </w:pPr>
            <w:r w:rsidRPr="002A1F9A">
              <w:rPr>
                <w:rFonts w:ascii="Verdana" w:hAnsi="Verdana"/>
                <w:color w:val="000000"/>
                <w:sz w:val="16"/>
                <w:szCs w:val="16"/>
              </w:rPr>
              <w:t>-2.983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44832E9B" w14:textId="77777777">
            <w:pPr>
              <w:spacing w:before="0" w:after="0"/>
              <w:jc w:val="right"/>
              <w:rPr>
                <w:rFonts w:ascii="Verdana" w:hAnsi="Verdana"/>
                <w:color w:val="000000"/>
                <w:sz w:val="16"/>
                <w:szCs w:val="16"/>
              </w:rPr>
            </w:pPr>
            <w:r w:rsidRPr="002A1F9A">
              <w:rPr>
                <w:rFonts w:ascii="Verdana" w:hAnsi="Verdana"/>
                <w:color w:val="000000"/>
                <w:sz w:val="16"/>
                <w:szCs w:val="16"/>
              </w:rPr>
              <w:t>-4.245</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79FCF8A" w14:textId="77777777">
            <w:pPr>
              <w:spacing w:before="0" w:after="0"/>
              <w:jc w:val="right"/>
              <w:rPr>
                <w:rFonts w:ascii="Verdana" w:hAnsi="Verdana"/>
                <w:color w:val="000000"/>
                <w:sz w:val="16"/>
                <w:szCs w:val="16"/>
              </w:rPr>
            </w:pPr>
            <w:r w:rsidRPr="002A1F9A">
              <w:rPr>
                <w:rFonts w:ascii="Verdana" w:hAnsi="Verdana"/>
                <w:color w:val="000000"/>
                <w:sz w:val="16"/>
                <w:szCs w:val="16"/>
              </w:rPr>
              <w:t>-7.301</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8E9DC2A" w14:textId="77777777">
            <w:pPr>
              <w:spacing w:before="0" w:after="0"/>
              <w:jc w:val="right"/>
              <w:rPr>
                <w:rFonts w:ascii="Verdana" w:hAnsi="Verdana"/>
                <w:color w:val="000000"/>
                <w:sz w:val="16"/>
                <w:szCs w:val="16"/>
              </w:rPr>
            </w:pPr>
            <w:r w:rsidRPr="002A1F9A">
              <w:rPr>
                <w:rFonts w:ascii="Verdana" w:hAnsi="Verdana"/>
                <w:color w:val="000000"/>
                <w:sz w:val="16"/>
                <w:szCs w:val="16"/>
              </w:rPr>
              <w:t>-7.298</w:t>
            </w:r>
          </w:p>
        </w:tc>
      </w:tr>
      <w:tr w:rsidRPr="002A1F9A" w:rsidR="00A347D5" w:rsidTr="00A347D5" w14:paraId="01CA1A77"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55082CAF" w14:textId="77777777">
            <w:pPr>
              <w:spacing w:before="0" w:after="0"/>
              <w:rPr>
                <w:rFonts w:ascii="Verdana" w:hAnsi="Verdana"/>
                <w:color w:val="000000"/>
                <w:sz w:val="16"/>
                <w:szCs w:val="16"/>
              </w:rPr>
            </w:pPr>
            <w:r w:rsidRPr="002A1F9A">
              <w:rPr>
                <w:rFonts w:ascii="Verdana" w:hAnsi="Verdana"/>
                <w:color w:val="000000"/>
                <w:sz w:val="16"/>
                <w:szCs w:val="16"/>
              </w:rPr>
              <w:t>Artikel 15</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35A70812" w14:textId="77777777">
            <w:pPr>
              <w:spacing w:before="0" w:after="0"/>
              <w:jc w:val="right"/>
              <w:rPr>
                <w:rFonts w:ascii="Verdana" w:hAnsi="Verdana"/>
                <w:color w:val="000000"/>
                <w:sz w:val="16"/>
                <w:szCs w:val="16"/>
              </w:rPr>
            </w:pPr>
            <w:r w:rsidRPr="002A1F9A">
              <w:rPr>
                <w:rFonts w:ascii="Verdana" w:hAnsi="Verdana"/>
                <w:color w:val="000000"/>
                <w:sz w:val="16"/>
                <w:szCs w:val="16"/>
              </w:rPr>
              <w:t>-1.868</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63ED73DA" w14:textId="77777777">
            <w:pPr>
              <w:spacing w:before="0" w:after="0"/>
              <w:jc w:val="right"/>
              <w:rPr>
                <w:rFonts w:ascii="Verdana" w:hAnsi="Verdana"/>
                <w:color w:val="000000"/>
                <w:sz w:val="16"/>
                <w:szCs w:val="16"/>
              </w:rPr>
            </w:pPr>
            <w:r w:rsidRPr="002A1F9A">
              <w:rPr>
                <w:rFonts w:ascii="Verdana" w:hAnsi="Verdana"/>
                <w:color w:val="000000"/>
                <w:sz w:val="16"/>
                <w:szCs w:val="16"/>
              </w:rPr>
              <w:t>-3.445</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27825FD1" w14:textId="77777777">
            <w:pPr>
              <w:spacing w:before="0" w:after="0"/>
              <w:jc w:val="right"/>
              <w:rPr>
                <w:rFonts w:ascii="Verdana" w:hAnsi="Verdana"/>
                <w:color w:val="000000"/>
                <w:sz w:val="16"/>
                <w:szCs w:val="16"/>
              </w:rPr>
            </w:pPr>
            <w:r w:rsidRPr="002A1F9A">
              <w:rPr>
                <w:rFonts w:ascii="Verdana" w:hAnsi="Verdana"/>
                <w:color w:val="000000"/>
                <w:sz w:val="16"/>
                <w:szCs w:val="16"/>
              </w:rPr>
              <w:t>-156.418</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4FA2A4CC" w14:textId="77777777">
            <w:pPr>
              <w:spacing w:before="0" w:after="0"/>
              <w:jc w:val="right"/>
              <w:rPr>
                <w:rFonts w:ascii="Verdana" w:hAnsi="Verdana"/>
                <w:color w:val="000000"/>
                <w:sz w:val="16"/>
                <w:szCs w:val="16"/>
              </w:rPr>
            </w:pPr>
            <w:r w:rsidRPr="002A1F9A">
              <w:rPr>
                <w:rFonts w:ascii="Verdana" w:hAnsi="Verdana"/>
                <w:color w:val="000000"/>
                <w:sz w:val="16"/>
                <w:szCs w:val="16"/>
              </w:rPr>
              <w:t>-157.947</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2D991814" w14:textId="77777777">
            <w:pPr>
              <w:spacing w:before="0" w:after="0"/>
              <w:jc w:val="right"/>
              <w:rPr>
                <w:rFonts w:ascii="Verdana" w:hAnsi="Verdana"/>
                <w:color w:val="000000"/>
                <w:sz w:val="16"/>
                <w:szCs w:val="16"/>
              </w:rPr>
            </w:pPr>
            <w:r w:rsidRPr="002A1F9A">
              <w:rPr>
                <w:rFonts w:ascii="Verdana" w:hAnsi="Verdana"/>
                <w:color w:val="000000"/>
                <w:sz w:val="16"/>
                <w:szCs w:val="16"/>
              </w:rPr>
              <w:t>-159.066</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653D754E" w14:textId="77777777">
            <w:pPr>
              <w:spacing w:before="0" w:after="0"/>
              <w:jc w:val="right"/>
              <w:rPr>
                <w:rFonts w:ascii="Verdana" w:hAnsi="Verdana"/>
                <w:color w:val="000000"/>
                <w:sz w:val="16"/>
                <w:szCs w:val="16"/>
              </w:rPr>
            </w:pPr>
            <w:r w:rsidRPr="002A1F9A">
              <w:rPr>
                <w:rFonts w:ascii="Verdana" w:hAnsi="Verdana"/>
                <w:color w:val="000000"/>
                <w:sz w:val="16"/>
                <w:szCs w:val="16"/>
              </w:rPr>
              <w:t>-159.066</w:t>
            </w:r>
          </w:p>
        </w:tc>
      </w:tr>
      <w:tr w:rsidRPr="002A1F9A" w:rsidR="00A347D5" w:rsidTr="00A347D5" w14:paraId="2078F621"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4165F4A3" w14:textId="77777777">
            <w:pPr>
              <w:spacing w:before="0" w:after="0"/>
              <w:rPr>
                <w:rFonts w:ascii="Verdana" w:hAnsi="Verdana"/>
                <w:color w:val="000000"/>
                <w:sz w:val="16"/>
                <w:szCs w:val="16"/>
              </w:rPr>
            </w:pPr>
            <w:r w:rsidRPr="002A1F9A">
              <w:rPr>
                <w:rFonts w:ascii="Verdana" w:hAnsi="Verdana"/>
                <w:color w:val="000000"/>
                <w:sz w:val="16"/>
                <w:szCs w:val="16"/>
              </w:rPr>
              <w:t>Artikel 16</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7F66EDE6" w14:textId="77777777">
            <w:pPr>
              <w:spacing w:before="0" w:after="0"/>
              <w:jc w:val="right"/>
              <w:rPr>
                <w:rFonts w:ascii="Verdana" w:hAnsi="Verdana"/>
                <w:color w:val="000000"/>
                <w:sz w:val="16"/>
                <w:szCs w:val="16"/>
              </w:rPr>
            </w:pPr>
            <w:r w:rsidRPr="002A1F9A">
              <w:rPr>
                <w:rFonts w:ascii="Verdana" w:hAnsi="Verdana"/>
                <w:color w:val="000000"/>
                <w:sz w:val="16"/>
                <w:szCs w:val="16"/>
              </w:rPr>
              <w:t>-54.597</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2AC19BD9" w14:textId="77777777">
            <w:pPr>
              <w:spacing w:before="0" w:after="0"/>
              <w:jc w:val="right"/>
              <w:rPr>
                <w:rFonts w:ascii="Verdana" w:hAnsi="Verdana"/>
                <w:color w:val="000000"/>
                <w:sz w:val="16"/>
                <w:szCs w:val="16"/>
              </w:rPr>
            </w:pPr>
            <w:r w:rsidRPr="002A1F9A">
              <w:rPr>
                <w:rFonts w:ascii="Verdana" w:hAnsi="Verdana"/>
                <w:color w:val="000000"/>
                <w:sz w:val="16"/>
                <w:szCs w:val="16"/>
              </w:rPr>
              <w:t>-58.979</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6084A115" w14:textId="77777777">
            <w:pPr>
              <w:spacing w:before="0" w:after="0"/>
              <w:jc w:val="right"/>
              <w:rPr>
                <w:rFonts w:ascii="Verdana" w:hAnsi="Verdana"/>
                <w:color w:val="000000"/>
                <w:sz w:val="16"/>
                <w:szCs w:val="16"/>
              </w:rPr>
            </w:pPr>
            <w:r w:rsidRPr="002A1F9A">
              <w:rPr>
                <w:rFonts w:ascii="Verdana" w:hAnsi="Verdana"/>
                <w:color w:val="000000"/>
                <w:sz w:val="16"/>
                <w:szCs w:val="16"/>
              </w:rPr>
              <w:t>-66.058</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5B2486E2" w14:textId="77777777">
            <w:pPr>
              <w:spacing w:before="0" w:after="0"/>
              <w:jc w:val="right"/>
              <w:rPr>
                <w:rFonts w:ascii="Verdana" w:hAnsi="Verdana"/>
                <w:color w:val="000000"/>
                <w:sz w:val="16"/>
                <w:szCs w:val="16"/>
              </w:rPr>
            </w:pPr>
            <w:r w:rsidRPr="002A1F9A">
              <w:rPr>
                <w:rFonts w:ascii="Verdana" w:hAnsi="Verdana"/>
                <w:color w:val="000000"/>
                <w:sz w:val="16"/>
                <w:szCs w:val="16"/>
              </w:rPr>
              <w:t>-69.908</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2357674B" w14:textId="77777777">
            <w:pPr>
              <w:spacing w:before="0" w:after="0"/>
              <w:jc w:val="right"/>
              <w:rPr>
                <w:rFonts w:ascii="Verdana" w:hAnsi="Verdana"/>
                <w:color w:val="000000"/>
                <w:sz w:val="16"/>
                <w:szCs w:val="16"/>
              </w:rPr>
            </w:pPr>
            <w:r w:rsidRPr="002A1F9A">
              <w:rPr>
                <w:rFonts w:ascii="Verdana" w:hAnsi="Verdana"/>
                <w:color w:val="000000"/>
                <w:sz w:val="16"/>
                <w:szCs w:val="16"/>
              </w:rPr>
              <w:t>-72.635</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6B225DE4" w14:textId="77777777">
            <w:pPr>
              <w:spacing w:before="0" w:after="0"/>
              <w:jc w:val="right"/>
              <w:rPr>
                <w:rFonts w:ascii="Verdana" w:hAnsi="Verdana"/>
                <w:color w:val="000000"/>
                <w:sz w:val="16"/>
                <w:szCs w:val="16"/>
              </w:rPr>
            </w:pPr>
            <w:r w:rsidRPr="002A1F9A">
              <w:rPr>
                <w:rFonts w:ascii="Verdana" w:hAnsi="Verdana"/>
                <w:color w:val="000000"/>
                <w:sz w:val="16"/>
                <w:szCs w:val="16"/>
              </w:rPr>
              <w:t>-99.234</w:t>
            </w:r>
          </w:p>
        </w:tc>
      </w:tr>
      <w:tr w:rsidRPr="002A1F9A" w:rsidR="00A347D5" w:rsidTr="00A347D5" w14:paraId="2C03CCB8"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5B872508" w14:textId="77777777">
            <w:pPr>
              <w:spacing w:before="0" w:after="0"/>
              <w:rPr>
                <w:rFonts w:ascii="Verdana" w:hAnsi="Verdana"/>
                <w:color w:val="000000"/>
                <w:sz w:val="16"/>
                <w:szCs w:val="16"/>
              </w:rPr>
            </w:pPr>
            <w:r w:rsidRPr="002A1F9A">
              <w:rPr>
                <w:rFonts w:ascii="Verdana" w:hAnsi="Verdana"/>
                <w:color w:val="000000"/>
                <w:sz w:val="16"/>
                <w:szCs w:val="16"/>
              </w:rPr>
              <w:t>Artikel 25</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6AA483F6" w14:textId="77777777">
            <w:pPr>
              <w:spacing w:before="0" w:after="0"/>
              <w:jc w:val="right"/>
              <w:rPr>
                <w:rFonts w:ascii="Verdana" w:hAnsi="Verdana"/>
                <w:color w:val="000000"/>
                <w:sz w:val="16"/>
                <w:szCs w:val="16"/>
              </w:rPr>
            </w:pPr>
            <w:r w:rsidRPr="002A1F9A">
              <w:rPr>
                <w:rFonts w:ascii="Verdana" w:hAnsi="Verdana"/>
                <w:color w:val="000000"/>
                <w:sz w:val="16"/>
                <w:szCs w:val="16"/>
              </w:rPr>
              <w:t>-750</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44676F53" w14:textId="77777777">
            <w:pPr>
              <w:spacing w:before="0" w:after="0"/>
              <w:jc w:val="right"/>
              <w:rPr>
                <w:rFonts w:ascii="Verdana" w:hAnsi="Verdana"/>
                <w:color w:val="000000"/>
                <w:sz w:val="16"/>
                <w:szCs w:val="16"/>
              </w:rPr>
            </w:pPr>
            <w:r w:rsidRPr="002A1F9A">
              <w:rPr>
                <w:rFonts w:ascii="Verdana" w:hAnsi="Verdana"/>
                <w:color w:val="000000"/>
                <w:sz w:val="16"/>
                <w:szCs w:val="16"/>
              </w:rPr>
              <w:t>-58</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4F269FC3" w14:textId="77777777">
            <w:pPr>
              <w:spacing w:before="0" w:after="0"/>
              <w:jc w:val="right"/>
              <w:rPr>
                <w:rFonts w:ascii="Verdana" w:hAnsi="Verdana"/>
                <w:color w:val="000000"/>
                <w:sz w:val="16"/>
                <w:szCs w:val="16"/>
              </w:rPr>
            </w:pPr>
            <w:r w:rsidRPr="002A1F9A">
              <w:rPr>
                <w:rFonts w:ascii="Verdana" w:hAnsi="Verdana"/>
                <w:color w:val="000000"/>
                <w:sz w:val="16"/>
                <w:szCs w:val="16"/>
              </w:rPr>
              <w:t>-107</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17CBE92A" w14:textId="77777777">
            <w:pPr>
              <w:spacing w:before="0" w:after="0"/>
              <w:jc w:val="right"/>
              <w:rPr>
                <w:rFonts w:ascii="Verdana" w:hAnsi="Verdana"/>
                <w:color w:val="000000"/>
                <w:sz w:val="16"/>
                <w:szCs w:val="16"/>
              </w:rPr>
            </w:pPr>
            <w:r w:rsidRPr="002A1F9A">
              <w:rPr>
                <w:rFonts w:ascii="Verdana" w:hAnsi="Verdana"/>
                <w:color w:val="000000"/>
                <w:sz w:val="16"/>
                <w:szCs w:val="16"/>
              </w:rPr>
              <w:t>-133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04BCA443" w14:textId="77777777">
            <w:pPr>
              <w:spacing w:before="0" w:after="0"/>
              <w:jc w:val="right"/>
              <w:rPr>
                <w:rFonts w:ascii="Verdana" w:hAnsi="Verdana"/>
                <w:color w:val="000000"/>
                <w:sz w:val="16"/>
                <w:szCs w:val="16"/>
              </w:rPr>
            </w:pPr>
            <w:r w:rsidRPr="002A1F9A">
              <w:rPr>
                <w:rFonts w:ascii="Verdana" w:hAnsi="Verdana"/>
                <w:color w:val="000000"/>
                <w:sz w:val="16"/>
                <w:szCs w:val="16"/>
              </w:rPr>
              <w:t>-151</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53F65410" w14:textId="77777777">
            <w:pPr>
              <w:spacing w:before="0" w:after="0"/>
              <w:jc w:val="right"/>
              <w:rPr>
                <w:rFonts w:ascii="Verdana" w:hAnsi="Verdana"/>
                <w:color w:val="000000"/>
                <w:sz w:val="16"/>
                <w:szCs w:val="16"/>
              </w:rPr>
            </w:pPr>
            <w:r w:rsidRPr="002A1F9A">
              <w:rPr>
                <w:rFonts w:ascii="Verdana" w:hAnsi="Verdana"/>
                <w:color w:val="000000"/>
                <w:sz w:val="16"/>
                <w:szCs w:val="16"/>
              </w:rPr>
              <w:t>-151</w:t>
            </w:r>
          </w:p>
        </w:tc>
      </w:tr>
      <w:tr w:rsidRPr="002A1F9A" w:rsidR="00A347D5" w:rsidTr="00A347D5" w14:paraId="0B7B15CF"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28D17FB1" w14:textId="77777777">
            <w:pPr>
              <w:spacing w:before="0" w:after="0"/>
              <w:rPr>
                <w:rFonts w:ascii="Verdana" w:hAnsi="Verdana"/>
                <w:color w:val="000000"/>
                <w:sz w:val="16"/>
                <w:szCs w:val="16"/>
              </w:rPr>
            </w:pPr>
            <w:r w:rsidRPr="002A1F9A">
              <w:rPr>
                <w:rFonts w:ascii="Verdana" w:hAnsi="Verdana"/>
                <w:color w:val="000000"/>
                <w:sz w:val="16"/>
                <w:szCs w:val="16"/>
              </w:rPr>
              <w:t>Artikel 91</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081C82C5"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48D16E65"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258506B0"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B5E5A49"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6DBAA63E"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2C887EF4" w14:textId="77777777">
            <w:pPr>
              <w:spacing w:before="0" w:after="0"/>
              <w:jc w:val="right"/>
              <w:rPr>
                <w:rFonts w:ascii="Verdana" w:hAnsi="Verdana"/>
                <w:color w:val="000000"/>
                <w:sz w:val="16"/>
                <w:szCs w:val="16"/>
              </w:rPr>
            </w:pPr>
            <w:r w:rsidRPr="002A1F9A">
              <w:rPr>
                <w:rFonts w:ascii="Verdana" w:hAnsi="Verdana"/>
                <w:color w:val="000000"/>
                <w:sz w:val="16"/>
                <w:szCs w:val="16"/>
              </w:rPr>
              <w:t>-22.302</w:t>
            </w:r>
          </w:p>
        </w:tc>
      </w:tr>
      <w:tr w:rsidRPr="002A1F9A" w:rsidR="00A347D5" w:rsidTr="00A347D5" w14:paraId="795189C5"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0C005E66" w14:textId="77777777">
            <w:pPr>
              <w:spacing w:before="0" w:after="0"/>
              <w:rPr>
                <w:rFonts w:ascii="Verdana" w:hAnsi="Verdana"/>
                <w:color w:val="000000"/>
                <w:sz w:val="16"/>
                <w:szCs w:val="16"/>
              </w:rPr>
            </w:pPr>
            <w:r w:rsidRPr="002A1F9A">
              <w:rPr>
                <w:rFonts w:ascii="Verdana" w:hAnsi="Verdana"/>
                <w:color w:val="000000"/>
                <w:sz w:val="16"/>
                <w:szCs w:val="16"/>
              </w:rPr>
              <w:t>Artikel 95</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05322B60" w14:textId="77777777">
            <w:pPr>
              <w:spacing w:before="0" w:after="0"/>
              <w:jc w:val="right"/>
              <w:rPr>
                <w:rFonts w:ascii="Verdana" w:hAnsi="Verdana"/>
                <w:color w:val="000000"/>
                <w:sz w:val="16"/>
                <w:szCs w:val="16"/>
              </w:rPr>
            </w:pPr>
            <w:r w:rsidRPr="002A1F9A">
              <w:rPr>
                <w:rFonts w:ascii="Verdana" w:hAnsi="Verdana"/>
                <w:color w:val="000000"/>
                <w:sz w:val="16"/>
                <w:szCs w:val="16"/>
              </w:rPr>
              <w:t>-16.101</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70B6BDD1" w14:textId="77777777">
            <w:pPr>
              <w:spacing w:before="0" w:after="0"/>
              <w:jc w:val="right"/>
              <w:rPr>
                <w:rFonts w:ascii="Verdana" w:hAnsi="Verdana"/>
                <w:color w:val="000000"/>
                <w:sz w:val="16"/>
                <w:szCs w:val="16"/>
              </w:rPr>
            </w:pPr>
            <w:r w:rsidRPr="002A1F9A">
              <w:rPr>
                <w:rFonts w:ascii="Verdana" w:hAnsi="Verdana"/>
                <w:color w:val="000000"/>
                <w:sz w:val="16"/>
                <w:szCs w:val="16"/>
              </w:rPr>
              <w:t>-37.357</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2D9CE0C1" w14:textId="77777777">
            <w:pPr>
              <w:spacing w:before="0" w:after="0"/>
              <w:jc w:val="right"/>
              <w:rPr>
                <w:rFonts w:ascii="Verdana" w:hAnsi="Verdana"/>
                <w:color w:val="000000"/>
                <w:sz w:val="16"/>
                <w:szCs w:val="16"/>
              </w:rPr>
            </w:pPr>
            <w:r w:rsidRPr="002A1F9A">
              <w:rPr>
                <w:rFonts w:ascii="Verdana" w:hAnsi="Verdana"/>
                <w:color w:val="000000"/>
                <w:sz w:val="16"/>
                <w:szCs w:val="16"/>
              </w:rPr>
              <w:t>-53.636</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6672041" w14:textId="77777777">
            <w:pPr>
              <w:spacing w:before="0" w:after="0"/>
              <w:jc w:val="right"/>
              <w:rPr>
                <w:rFonts w:ascii="Verdana" w:hAnsi="Verdana"/>
                <w:color w:val="000000"/>
                <w:sz w:val="16"/>
                <w:szCs w:val="16"/>
              </w:rPr>
            </w:pPr>
            <w:r w:rsidRPr="002A1F9A">
              <w:rPr>
                <w:rFonts w:ascii="Verdana" w:hAnsi="Verdana"/>
                <w:color w:val="000000"/>
                <w:sz w:val="16"/>
                <w:szCs w:val="16"/>
              </w:rPr>
              <w:t>-73.013</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6D4D5D24" w14:textId="77777777">
            <w:pPr>
              <w:spacing w:before="0" w:after="0"/>
              <w:jc w:val="right"/>
              <w:rPr>
                <w:rFonts w:ascii="Verdana" w:hAnsi="Verdana"/>
                <w:color w:val="000000"/>
                <w:sz w:val="16"/>
                <w:szCs w:val="16"/>
              </w:rPr>
            </w:pPr>
            <w:r w:rsidRPr="002A1F9A">
              <w:rPr>
                <w:rFonts w:ascii="Verdana" w:hAnsi="Verdana"/>
                <w:color w:val="000000"/>
                <w:sz w:val="16"/>
                <w:szCs w:val="16"/>
              </w:rPr>
              <w:t>-80.778</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4BFB0DE9" w14:textId="77777777">
            <w:pPr>
              <w:spacing w:before="0" w:after="0"/>
              <w:jc w:val="right"/>
              <w:rPr>
                <w:rFonts w:ascii="Verdana" w:hAnsi="Verdana"/>
                <w:color w:val="000000"/>
                <w:sz w:val="16"/>
                <w:szCs w:val="16"/>
              </w:rPr>
            </w:pPr>
            <w:r w:rsidRPr="002A1F9A">
              <w:rPr>
                <w:rFonts w:ascii="Verdana" w:hAnsi="Verdana"/>
                <w:color w:val="000000"/>
                <w:sz w:val="16"/>
                <w:szCs w:val="16"/>
              </w:rPr>
              <w:t>-80.777</w:t>
            </w:r>
          </w:p>
        </w:tc>
      </w:tr>
      <w:tr w:rsidRPr="002A1F9A" w:rsidR="00A347D5" w:rsidTr="00A347D5" w14:paraId="3F35B54D" w14:textId="77777777">
        <w:tblPrEx>
          <w:tblCellMar>
            <w:left w:w="70" w:type="dxa"/>
            <w:right w:w="70" w:type="dxa"/>
          </w:tblCellMar>
          <w:tblLook w:val="04A0" w:firstRow="1" w:lastRow="0" w:firstColumn="1" w:lastColumn="0" w:noHBand="0" w:noVBand="1"/>
        </w:tblPrEx>
        <w:trPr>
          <w:gridAfter w:val="3"/>
          <w:wAfter w:w="1577" w:type="dxa"/>
          <w:trHeight w:val="270"/>
        </w:trPr>
        <w:tc>
          <w:tcPr>
            <w:tcW w:w="936" w:type="dxa"/>
            <w:gridSpan w:val="2"/>
            <w:tcBorders>
              <w:top w:val="nil"/>
              <w:left w:val="single" w:color="auto" w:sz="4" w:space="0"/>
              <w:bottom w:val="single" w:color="auto" w:sz="4" w:space="0"/>
              <w:right w:val="single" w:color="auto" w:sz="4" w:space="0"/>
            </w:tcBorders>
            <w:noWrap/>
            <w:vAlign w:val="bottom"/>
            <w:hideMark/>
          </w:tcPr>
          <w:p w:rsidRPr="002A1F9A" w:rsidR="00A347D5" w:rsidP="00536A2F" w:rsidRDefault="00A347D5" w14:paraId="481F3A82" w14:textId="77777777">
            <w:pPr>
              <w:spacing w:before="0" w:after="0"/>
              <w:rPr>
                <w:rFonts w:ascii="Verdana" w:hAnsi="Verdana"/>
                <w:b/>
                <w:bCs/>
                <w:color w:val="000000"/>
                <w:sz w:val="16"/>
                <w:szCs w:val="16"/>
              </w:rPr>
            </w:pPr>
            <w:r w:rsidRPr="002A1F9A">
              <w:rPr>
                <w:rFonts w:ascii="Verdana" w:hAnsi="Verdana"/>
                <w:b/>
                <w:bCs/>
                <w:color w:val="000000"/>
                <w:sz w:val="16"/>
                <w:szCs w:val="16"/>
              </w:rPr>
              <w:t>Totaal</w:t>
            </w:r>
          </w:p>
        </w:tc>
        <w:tc>
          <w:tcPr>
            <w:tcW w:w="993" w:type="dxa"/>
            <w:tcBorders>
              <w:top w:val="nil"/>
              <w:left w:val="nil"/>
              <w:bottom w:val="single" w:color="auto" w:sz="4" w:space="0"/>
              <w:right w:val="single" w:color="auto" w:sz="4" w:space="0"/>
            </w:tcBorders>
            <w:noWrap/>
            <w:vAlign w:val="bottom"/>
            <w:hideMark/>
          </w:tcPr>
          <w:p w:rsidRPr="002A1F9A" w:rsidR="00A347D5" w:rsidP="00536A2F" w:rsidRDefault="00A347D5" w14:paraId="71147573"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-381.172</w:t>
            </w:r>
          </w:p>
        </w:tc>
        <w:tc>
          <w:tcPr>
            <w:tcW w:w="1134" w:type="dxa"/>
            <w:tcBorders>
              <w:top w:val="nil"/>
              <w:left w:val="nil"/>
              <w:bottom w:val="single" w:color="auto" w:sz="4" w:space="0"/>
              <w:right w:val="single" w:color="auto" w:sz="4" w:space="0"/>
            </w:tcBorders>
            <w:noWrap/>
            <w:vAlign w:val="bottom"/>
            <w:hideMark/>
          </w:tcPr>
          <w:p w:rsidRPr="002A1F9A" w:rsidR="00A347D5" w:rsidP="00536A2F" w:rsidRDefault="00A347D5" w14:paraId="38EAB005"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-653.478</w:t>
            </w:r>
          </w:p>
        </w:tc>
        <w:tc>
          <w:tcPr>
            <w:tcW w:w="1077" w:type="dxa"/>
            <w:tcBorders>
              <w:top w:val="nil"/>
              <w:left w:val="nil"/>
              <w:bottom w:val="single" w:color="auto" w:sz="4" w:space="0"/>
              <w:right w:val="single" w:color="auto" w:sz="4" w:space="0"/>
            </w:tcBorders>
            <w:noWrap/>
            <w:vAlign w:val="bottom"/>
            <w:hideMark/>
          </w:tcPr>
          <w:p w:rsidRPr="002A1F9A" w:rsidR="00A347D5" w:rsidP="00536A2F" w:rsidRDefault="00A347D5" w14:paraId="1E6F7162"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310.671</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345D6D9B"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-1.077.561</w:t>
            </w:r>
          </w:p>
        </w:tc>
        <w:tc>
          <w:tcPr>
            <w:tcW w:w="1260" w:type="dxa"/>
            <w:tcBorders>
              <w:top w:val="nil"/>
              <w:left w:val="nil"/>
              <w:bottom w:val="single" w:color="auto" w:sz="4" w:space="0"/>
              <w:right w:val="single" w:color="auto" w:sz="4" w:space="0"/>
            </w:tcBorders>
            <w:noWrap/>
            <w:vAlign w:val="bottom"/>
            <w:hideMark/>
          </w:tcPr>
          <w:p w:rsidRPr="002A1F9A" w:rsidR="00A347D5" w:rsidP="00536A2F" w:rsidRDefault="00A347D5" w14:paraId="7F42A534"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-1.188.839</w:t>
            </w:r>
          </w:p>
        </w:tc>
        <w:tc>
          <w:tcPr>
            <w:tcW w:w="1260" w:type="dxa"/>
            <w:gridSpan w:val="2"/>
            <w:tcBorders>
              <w:top w:val="nil"/>
              <w:left w:val="nil"/>
              <w:bottom w:val="single" w:color="auto" w:sz="4" w:space="0"/>
              <w:right w:val="single" w:color="auto" w:sz="4" w:space="0"/>
            </w:tcBorders>
            <w:noWrap/>
            <w:vAlign w:val="bottom"/>
            <w:hideMark/>
          </w:tcPr>
          <w:p w:rsidRPr="002A1F9A" w:rsidR="00A347D5" w:rsidP="00536A2F" w:rsidRDefault="00A347D5" w14:paraId="3AC8AA30" w14:textId="77777777">
            <w:pPr>
              <w:spacing w:before="0" w:after="0"/>
              <w:jc w:val="right"/>
              <w:rPr>
                <w:rFonts w:ascii="Verdana" w:hAnsi="Verdana"/>
                <w:b/>
                <w:bCs/>
                <w:color w:val="000000"/>
                <w:sz w:val="16"/>
                <w:szCs w:val="16"/>
              </w:rPr>
            </w:pPr>
            <w:r w:rsidRPr="002A1F9A">
              <w:rPr>
                <w:rFonts w:ascii="Verdana" w:hAnsi="Verdana"/>
                <w:b/>
                <w:bCs/>
                <w:color w:val="000000"/>
                <w:sz w:val="16"/>
                <w:szCs w:val="16"/>
              </w:rPr>
              <w:t>-1.216.782</w:t>
            </w:r>
          </w:p>
        </w:tc>
      </w:tr>
      <w:tr w:rsidRPr="002A1F9A" w:rsidR="00A347D5" w:rsidTr="00A347D5" w14:paraId="0E1657DD" w14:textId="77777777">
        <w:tc>
          <w:tcPr>
            <w:tcW w:w="567" w:type="dxa"/>
          </w:tcPr>
          <w:p w:rsidRPr="002A1F9A" w:rsidR="00A347D5" w:rsidP="00DB2CBB" w:rsidRDefault="00A347D5" w14:paraId="17D0645A" w14:textId="77777777">
            <w:pPr>
              <w:rPr>
                <w:rFonts w:ascii="Verdana" w:hAnsi="Verdana"/>
                <w:sz w:val="18"/>
                <w:szCs w:val="18"/>
              </w:rPr>
            </w:pPr>
          </w:p>
        </w:tc>
        <w:tc>
          <w:tcPr>
            <w:tcW w:w="6521" w:type="dxa"/>
            <w:gridSpan w:val="7"/>
          </w:tcPr>
          <w:p w:rsidRPr="002A1F9A" w:rsidR="00A347D5" w:rsidP="00DB2CBB" w:rsidRDefault="00A347D5" w14:paraId="30A6957B" w14:textId="77777777">
            <w:pPr>
              <w:rPr>
                <w:rFonts w:ascii="Verdana" w:hAnsi="Verdana"/>
                <w:sz w:val="18"/>
                <w:szCs w:val="18"/>
              </w:rPr>
            </w:pPr>
          </w:p>
        </w:tc>
        <w:tc>
          <w:tcPr>
            <w:tcW w:w="850" w:type="dxa"/>
            <w:gridSpan w:val="2"/>
          </w:tcPr>
          <w:p w:rsidRPr="002A1F9A" w:rsidR="00A347D5" w:rsidP="00DB2CBB" w:rsidRDefault="00A347D5" w14:paraId="01C15FC9" w14:textId="77777777">
            <w:pPr>
              <w:jc w:val="right"/>
              <w:rPr>
                <w:rFonts w:ascii="Verdana" w:hAnsi="Verdana"/>
                <w:sz w:val="18"/>
                <w:szCs w:val="18"/>
              </w:rPr>
            </w:pPr>
          </w:p>
        </w:tc>
        <w:tc>
          <w:tcPr>
            <w:tcW w:w="992" w:type="dxa"/>
          </w:tcPr>
          <w:p w:rsidRPr="002A1F9A" w:rsidR="00A347D5" w:rsidP="00DB2CBB" w:rsidRDefault="00A347D5" w14:paraId="72845C29" w14:textId="77777777">
            <w:pPr>
              <w:jc w:val="right"/>
              <w:rPr>
                <w:rFonts w:ascii="Verdana" w:hAnsi="Verdana"/>
                <w:sz w:val="18"/>
                <w:szCs w:val="18"/>
              </w:rPr>
            </w:pPr>
          </w:p>
        </w:tc>
        <w:tc>
          <w:tcPr>
            <w:tcW w:w="567" w:type="dxa"/>
            <w:tcBorders>
              <w:left w:val="nil"/>
            </w:tcBorders>
          </w:tcPr>
          <w:p w:rsidRPr="002A1F9A" w:rsidR="00A347D5" w:rsidP="00DB2CBB" w:rsidRDefault="00A347D5" w14:paraId="5AD08F4D" w14:textId="77777777">
            <w:pPr>
              <w:jc w:val="right"/>
              <w:rPr>
                <w:rFonts w:ascii="Verdana" w:hAnsi="Verdana"/>
                <w:sz w:val="18"/>
                <w:szCs w:val="18"/>
              </w:rPr>
            </w:pPr>
          </w:p>
        </w:tc>
      </w:tr>
      <w:tr w:rsidRPr="002A1F9A" w:rsidR="00DB2CBB" w:rsidTr="00A347D5" w14:paraId="12C87C9F" w14:textId="77777777">
        <w:tc>
          <w:tcPr>
            <w:tcW w:w="567" w:type="dxa"/>
          </w:tcPr>
          <w:p w:rsidRPr="002A1F9A" w:rsidR="00DB2CBB" w:rsidP="00DB2CBB" w:rsidRDefault="00DB2CBB" w14:paraId="2D50A369" w14:textId="77777777">
            <w:pPr>
              <w:rPr>
                <w:rFonts w:ascii="Verdana" w:hAnsi="Verdana"/>
                <w:sz w:val="18"/>
                <w:szCs w:val="18"/>
              </w:rPr>
            </w:pPr>
            <w:r w:rsidRPr="002A1F9A">
              <w:rPr>
                <w:rFonts w:ascii="Verdana" w:hAnsi="Verdana"/>
                <w:sz w:val="18"/>
                <w:szCs w:val="18"/>
              </w:rPr>
              <w:t>102</w:t>
            </w:r>
          </w:p>
        </w:tc>
        <w:tc>
          <w:tcPr>
            <w:tcW w:w="6521" w:type="dxa"/>
            <w:gridSpan w:val="7"/>
          </w:tcPr>
          <w:p w:rsidRPr="002A1F9A" w:rsidR="00DB2CBB" w:rsidP="00DB2CBB" w:rsidRDefault="00DB2CBB" w14:paraId="7277C0FD" w14:textId="77777777">
            <w:pPr>
              <w:rPr>
                <w:rFonts w:ascii="Verdana" w:hAnsi="Verdana"/>
                <w:sz w:val="18"/>
                <w:szCs w:val="18"/>
              </w:rPr>
            </w:pPr>
            <w:r w:rsidRPr="002A1F9A">
              <w:rPr>
                <w:rFonts w:ascii="Verdana" w:hAnsi="Verdana"/>
                <w:sz w:val="18"/>
                <w:szCs w:val="18"/>
              </w:rPr>
              <w:t>Welke voortgang hebben u en uw ambtsvoorganger inmiddels geboekt bij het Herstelplan kwaliteit funderend onderwijs?</w:t>
            </w:r>
          </w:p>
          <w:p w:rsidRPr="002A1F9A" w:rsidR="00DB2CBB" w:rsidP="00DB2CBB" w:rsidRDefault="00DB2CBB" w14:paraId="122C3925" w14:textId="77777777">
            <w:pPr>
              <w:rPr>
                <w:rFonts w:ascii="Verdana" w:hAnsi="Verdana"/>
                <w:sz w:val="18"/>
                <w:szCs w:val="18"/>
              </w:rPr>
            </w:pPr>
          </w:p>
          <w:p w:rsidRPr="002A1F9A" w:rsidR="00DB2CBB" w:rsidP="00DB2CBB" w:rsidRDefault="00DB2CBB" w14:paraId="4598F75D" w14:textId="77777777">
            <w:pPr>
              <w:rPr>
                <w:rFonts w:ascii="Verdana" w:hAnsi="Verdana"/>
                <w:sz w:val="18"/>
                <w:szCs w:val="18"/>
              </w:rPr>
            </w:pPr>
            <w:bookmarkStart w:name="_Hlk210834664" w:id="29"/>
            <w:r w:rsidRPr="002A1F9A">
              <w:rPr>
                <w:rFonts w:ascii="Verdana" w:hAnsi="Verdana"/>
                <w:sz w:val="18"/>
                <w:szCs w:val="18"/>
              </w:rPr>
              <w:t xml:space="preserve">Om te komen tot een herstelplan zijn het afgelopen jaar veel gesprekken gevoerd met het onderwijsveld. Met leraren, leerlingen, schoolleiders, bestuurders, ouders en vertegenwoordigende organisaties. Het is waardevol om, samen met alle betrokken in het onderwijs, te komen tot gezamenlijke doelen, prioriteiten en een aanpak die werkt. Die gesprekken hebben écht geholpen om samen een stip op de horizon te formuleren, waarbij het structureel verstevigen van het onderwijs bovenaan staat. We waren ook heel ver </w:t>
            </w:r>
            <w:r w:rsidRPr="002A1F9A">
              <w:rPr>
                <w:rFonts w:ascii="Verdana" w:hAnsi="Verdana"/>
                <w:sz w:val="18"/>
                <w:szCs w:val="18"/>
              </w:rPr>
              <w:lastRenderedPageBreak/>
              <w:t>met een gezamenlijk plan. Echter, voor de zomer hebben sociale partners zich naar aanleiding van de bezuiniging op de onderwijskansenregeling in het voortgezet onderwijs teruggetrokken uit de gesprekken over het herstelplan. Deze bezuiniging is inmiddels teruggedraaid. Onlangs is dan ook met de vertegenwoordigende partijen gesproken over wat dit betekent voor het herstelplan. De gezamenlijke conclusie is dat het ons allen niet passend lijkt om, gezien de demissionaire status van het kabinet, nu te komen met een herstelplan. Een breed akkoord verdient een breed draagvlak. We blijven samen met de sociale partners werken aan thema’s zoals basisvaardigheden en het lerarentekort. Zoals door de staatssecretaris gemeld in het commissiedebat Funderend Onderwijs van 30 september jl. is het aan een volgend kabinet om eventuele stappen te zetten richting een nieuw akkoord of niet.</w:t>
            </w:r>
            <w:bookmarkEnd w:id="29"/>
          </w:p>
          <w:p w:rsidRPr="002A1F9A" w:rsidR="00DB2CBB" w:rsidP="00DB2CBB" w:rsidRDefault="00DB2CBB" w14:paraId="0999AE91" w14:textId="77777777">
            <w:pPr>
              <w:rPr>
                <w:rFonts w:ascii="Verdana" w:hAnsi="Verdana"/>
                <w:sz w:val="18"/>
                <w:szCs w:val="18"/>
              </w:rPr>
            </w:pPr>
          </w:p>
        </w:tc>
        <w:tc>
          <w:tcPr>
            <w:tcW w:w="850" w:type="dxa"/>
            <w:gridSpan w:val="2"/>
          </w:tcPr>
          <w:p w:rsidRPr="002A1F9A" w:rsidR="00DB2CBB" w:rsidP="00DB2CBB" w:rsidRDefault="00DB2CBB" w14:paraId="67CAA5B9"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64449B1F" w14:textId="77777777">
            <w:pPr>
              <w:jc w:val="right"/>
              <w:rPr>
                <w:rFonts w:ascii="Verdana" w:hAnsi="Verdana"/>
                <w:sz w:val="18"/>
                <w:szCs w:val="18"/>
              </w:rPr>
            </w:pPr>
            <w:r w:rsidRPr="002A1F9A">
              <w:rPr>
                <w:rFonts w:ascii="Verdana" w:hAnsi="Verdana"/>
                <w:sz w:val="18"/>
                <w:szCs w:val="18"/>
              </w:rPr>
              <w:t>31</w:t>
            </w:r>
          </w:p>
        </w:tc>
        <w:tc>
          <w:tcPr>
            <w:tcW w:w="567" w:type="dxa"/>
            <w:tcBorders>
              <w:left w:val="nil"/>
            </w:tcBorders>
          </w:tcPr>
          <w:p w:rsidRPr="002A1F9A" w:rsidR="00DB2CBB" w:rsidP="00DB2CBB" w:rsidRDefault="00DB2CBB" w14:paraId="36FFEA33"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87C69B3" w14:textId="77777777">
        <w:tc>
          <w:tcPr>
            <w:tcW w:w="567" w:type="dxa"/>
          </w:tcPr>
          <w:p w:rsidRPr="002A1F9A" w:rsidR="00DB2CBB" w:rsidP="00DB2CBB" w:rsidRDefault="00DB2CBB" w14:paraId="3061AE4A" w14:textId="77777777">
            <w:pPr>
              <w:rPr>
                <w:rFonts w:ascii="Verdana" w:hAnsi="Verdana"/>
                <w:sz w:val="18"/>
                <w:szCs w:val="18"/>
              </w:rPr>
            </w:pPr>
            <w:r w:rsidRPr="002A1F9A">
              <w:rPr>
                <w:rFonts w:ascii="Verdana" w:hAnsi="Verdana"/>
                <w:sz w:val="18"/>
                <w:szCs w:val="18"/>
              </w:rPr>
              <w:t>103</w:t>
            </w:r>
          </w:p>
        </w:tc>
        <w:tc>
          <w:tcPr>
            <w:tcW w:w="6521" w:type="dxa"/>
            <w:gridSpan w:val="7"/>
          </w:tcPr>
          <w:p w:rsidRPr="002A1F9A" w:rsidR="00DB2CBB" w:rsidP="00DB2CBB" w:rsidRDefault="00DB2CBB" w14:paraId="45F35860" w14:textId="77777777">
            <w:pPr>
              <w:rPr>
                <w:rFonts w:ascii="Verdana" w:hAnsi="Verdana"/>
                <w:sz w:val="18"/>
                <w:szCs w:val="18"/>
              </w:rPr>
            </w:pPr>
            <w:r w:rsidRPr="002A1F9A">
              <w:rPr>
                <w:rFonts w:ascii="Verdana" w:hAnsi="Verdana"/>
                <w:sz w:val="18"/>
                <w:szCs w:val="18"/>
              </w:rPr>
              <w:t>Hoe vaak heeft de Reclame Code Commissie de afgelopen jaren uitspraken gedaan over lesmateriaal waar commercieel belang bij zit over misleidende en onjuiste informatie in dat lesmateriaal?</w:t>
            </w:r>
          </w:p>
          <w:p w:rsidRPr="002A1F9A" w:rsidR="00DB2CBB" w:rsidP="00DB2CBB" w:rsidRDefault="00DB2CBB" w14:paraId="3A2E2B77" w14:textId="77777777">
            <w:pPr>
              <w:rPr>
                <w:rFonts w:ascii="Verdana" w:hAnsi="Verdana"/>
                <w:sz w:val="18"/>
                <w:szCs w:val="18"/>
              </w:rPr>
            </w:pPr>
          </w:p>
          <w:p w:rsidRPr="002A1F9A" w:rsidR="00DB2CBB" w:rsidP="00DB2CBB" w:rsidRDefault="009A3C2E" w14:paraId="1846436F" w14:textId="0562EFBF">
            <w:pPr>
              <w:rPr>
                <w:rFonts w:ascii="Verdana" w:hAnsi="Verdana"/>
                <w:sz w:val="18"/>
                <w:szCs w:val="18"/>
              </w:rPr>
            </w:pPr>
            <w:r w:rsidRPr="002A1F9A">
              <w:rPr>
                <w:rFonts w:ascii="Verdana" w:hAnsi="Verdana"/>
                <w:sz w:val="18"/>
                <w:szCs w:val="18"/>
              </w:rPr>
              <w:t xml:space="preserve">Het ministerie van </w:t>
            </w:r>
            <w:r w:rsidRPr="002A1F9A" w:rsidR="00DB2CBB">
              <w:rPr>
                <w:rFonts w:ascii="Verdana" w:hAnsi="Verdana"/>
                <w:sz w:val="18"/>
                <w:szCs w:val="18"/>
              </w:rPr>
              <w:t>OCW houdt niet bij hoeveel uitspraken de Reclame Code Commissie (RCC) de afgelopen jaren heeft gedaan over lesmateriaal met een commercieel belang en of deze betrekking hadden op misleidende of onjuiste informatie. De uitspraken van de RCC zijn openbaar en rechtstreeks te raadplegen via de website van de Reclame Code Commissie.</w:t>
            </w:r>
          </w:p>
          <w:p w:rsidRPr="002A1F9A" w:rsidR="00DB2CBB" w:rsidP="00DB2CBB" w:rsidRDefault="00DB2CBB" w14:paraId="2E680E26" w14:textId="3E064531">
            <w:pPr>
              <w:rPr>
                <w:rFonts w:ascii="Verdana" w:hAnsi="Verdana"/>
                <w:sz w:val="18"/>
                <w:szCs w:val="18"/>
              </w:rPr>
            </w:pPr>
          </w:p>
        </w:tc>
        <w:tc>
          <w:tcPr>
            <w:tcW w:w="850" w:type="dxa"/>
            <w:gridSpan w:val="2"/>
          </w:tcPr>
          <w:p w:rsidRPr="002A1F9A" w:rsidR="00DB2CBB" w:rsidP="00DB2CBB" w:rsidRDefault="00DB2CBB" w14:paraId="68F3834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6100DCFD" w14:textId="77777777">
            <w:pPr>
              <w:jc w:val="right"/>
              <w:rPr>
                <w:rFonts w:ascii="Verdana" w:hAnsi="Verdana"/>
                <w:sz w:val="18"/>
                <w:szCs w:val="18"/>
              </w:rPr>
            </w:pPr>
            <w:r w:rsidRPr="002A1F9A">
              <w:rPr>
                <w:rFonts w:ascii="Verdana" w:hAnsi="Verdana"/>
                <w:sz w:val="18"/>
                <w:szCs w:val="18"/>
              </w:rPr>
              <w:t>31</w:t>
            </w:r>
          </w:p>
        </w:tc>
        <w:tc>
          <w:tcPr>
            <w:tcW w:w="567" w:type="dxa"/>
            <w:tcBorders>
              <w:left w:val="nil"/>
            </w:tcBorders>
          </w:tcPr>
          <w:p w:rsidRPr="002A1F9A" w:rsidR="00DB2CBB" w:rsidP="00DB2CBB" w:rsidRDefault="00DB2CBB" w14:paraId="792AC2B4"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1431D7FB" w14:textId="77777777">
        <w:tc>
          <w:tcPr>
            <w:tcW w:w="567" w:type="dxa"/>
          </w:tcPr>
          <w:p w:rsidRPr="002A1F9A" w:rsidR="00DB2CBB" w:rsidP="00DB2CBB" w:rsidRDefault="00DB2CBB" w14:paraId="57EFF109" w14:textId="77777777">
            <w:pPr>
              <w:rPr>
                <w:rFonts w:ascii="Verdana" w:hAnsi="Verdana"/>
                <w:sz w:val="18"/>
                <w:szCs w:val="18"/>
              </w:rPr>
            </w:pPr>
            <w:r w:rsidRPr="002A1F9A">
              <w:rPr>
                <w:rFonts w:ascii="Verdana" w:hAnsi="Verdana"/>
                <w:sz w:val="18"/>
                <w:szCs w:val="18"/>
              </w:rPr>
              <w:t>104</w:t>
            </w:r>
          </w:p>
        </w:tc>
        <w:tc>
          <w:tcPr>
            <w:tcW w:w="6521" w:type="dxa"/>
            <w:gridSpan w:val="7"/>
          </w:tcPr>
          <w:p w:rsidRPr="002A1F9A" w:rsidR="00DB2CBB" w:rsidP="00DB2CBB" w:rsidRDefault="00DB2CBB" w14:paraId="26952ACF" w14:textId="77777777">
            <w:pPr>
              <w:rPr>
                <w:rFonts w:ascii="Verdana" w:hAnsi="Verdana"/>
                <w:sz w:val="18"/>
                <w:szCs w:val="18"/>
              </w:rPr>
            </w:pPr>
            <w:r w:rsidRPr="002A1F9A">
              <w:rPr>
                <w:rFonts w:ascii="Verdana" w:hAnsi="Verdana"/>
                <w:sz w:val="18"/>
                <w:szCs w:val="18"/>
              </w:rPr>
              <w:t>Hoe verhoudt de looptijd van zeven jaar van het onderzoek naar de kwaliteit van het onderwijs zich tot de ambitie van de regering om in het jaar 2027-2028 al het niveau van de basisvaardigheden van alle leerlingen op orde te hebben?</w:t>
            </w:r>
          </w:p>
          <w:p w:rsidRPr="002A1F9A" w:rsidR="00DB2CBB" w:rsidP="00DB2CBB" w:rsidRDefault="00DB2CBB" w14:paraId="3C63C363" w14:textId="77777777">
            <w:pPr>
              <w:rPr>
                <w:rFonts w:ascii="Verdana" w:hAnsi="Verdana"/>
                <w:sz w:val="18"/>
                <w:szCs w:val="18"/>
              </w:rPr>
            </w:pPr>
          </w:p>
          <w:p w:rsidRPr="002A1F9A" w:rsidR="00DB2CBB" w:rsidP="00DB2CBB" w:rsidRDefault="00DB2CBB" w14:paraId="5A4B738C" w14:textId="62A12F59">
            <w:pPr>
              <w:rPr>
                <w:rFonts w:ascii="Verdana" w:hAnsi="Verdana"/>
                <w:sz w:val="18"/>
                <w:szCs w:val="18"/>
              </w:rPr>
            </w:pPr>
            <w:r w:rsidRPr="002A1F9A">
              <w:rPr>
                <w:rFonts w:ascii="Verdana" w:hAnsi="Verdana"/>
                <w:sz w:val="18"/>
                <w:szCs w:val="18"/>
              </w:rPr>
              <w:t xml:space="preserve">De looptijd van zeven jaar heeft betrekking op de Strategische Evaluatieagenda (SEA), hierin wordt een beperkt aantal thema’s over een langere periode </w:t>
            </w:r>
            <w:proofErr w:type="spellStart"/>
            <w:r w:rsidRPr="002A1F9A">
              <w:rPr>
                <w:rFonts w:ascii="Verdana" w:hAnsi="Verdana"/>
                <w:sz w:val="18"/>
                <w:szCs w:val="18"/>
              </w:rPr>
              <w:t>sectoroverstijgend</w:t>
            </w:r>
            <w:proofErr w:type="spellEnd"/>
            <w:r w:rsidRPr="002A1F9A">
              <w:rPr>
                <w:rFonts w:ascii="Verdana" w:hAnsi="Verdana"/>
                <w:sz w:val="18"/>
                <w:szCs w:val="18"/>
              </w:rPr>
              <w:t xml:space="preserve"> gevolgd. Kwaliteit van onderwijs is één van die thema’s. Los daarvan stelt </w:t>
            </w:r>
            <w:r w:rsidRPr="002A1F9A" w:rsidR="009A3C2E">
              <w:rPr>
                <w:rFonts w:ascii="Verdana" w:hAnsi="Verdana"/>
                <w:sz w:val="18"/>
                <w:szCs w:val="18"/>
              </w:rPr>
              <w:t xml:space="preserve">het ministerie van </w:t>
            </w:r>
            <w:r w:rsidRPr="002A1F9A">
              <w:rPr>
                <w:rFonts w:ascii="Verdana" w:hAnsi="Verdana"/>
                <w:sz w:val="18"/>
                <w:szCs w:val="18"/>
              </w:rPr>
              <w:t xml:space="preserve">OCW voor specifieke beleidsonderwerpen doelen vast en worden in dat verband onderzoeken uitgevoerd. Voor het Masterplan basisvaardigheden zijn specifieke doelen gesteld voor de prestaties van leerlingen op taal en rekenen-wiskunde aan het einde van het schooljaar 2027-2028. Het gaat dan om funderend onderwijs. De SEA is breder en kijkt in het kader van het thema kwaliteit van onderwijs naar meer aspecten dan alleen de prestaties van leerlingen. De onderzoeken en monitoring in het kader van het Masterplan zijn vanzelfsprekend onderdeel van de SEA.  </w:t>
            </w:r>
          </w:p>
          <w:p w:rsidRPr="002A1F9A" w:rsidR="00DB2CBB" w:rsidP="00DB2CBB" w:rsidRDefault="00DB2CBB" w14:paraId="2AFECD99" w14:textId="1B6EC260">
            <w:pPr>
              <w:rPr>
                <w:rFonts w:ascii="Verdana" w:hAnsi="Verdana"/>
                <w:sz w:val="18"/>
                <w:szCs w:val="18"/>
              </w:rPr>
            </w:pPr>
          </w:p>
        </w:tc>
        <w:tc>
          <w:tcPr>
            <w:tcW w:w="850" w:type="dxa"/>
            <w:gridSpan w:val="2"/>
          </w:tcPr>
          <w:p w:rsidRPr="002A1F9A" w:rsidR="00DB2CBB" w:rsidP="00DB2CBB" w:rsidRDefault="00DB2CBB" w14:paraId="0C222C9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1614832E" w14:textId="77777777">
            <w:pPr>
              <w:jc w:val="right"/>
              <w:rPr>
                <w:rFonts w:ascii="Verdana" w:hAnsi="Verdana"/>
                <w:sz w:val="18"/>
                <w:szCs w:val="18"/>
              </w:rPr>
            </w:pPr>
            <w:r w:rsidRPr="002A1F9A">
              <w:rPr>
                <w:rFonts w:ascii="Verdana" w:hAnsi="Verdana"/>
                <w:sz w:val="18"/>
                <w:szCs w:val="18"/>
              </w:rPr>
              <w:t>31</w:t>
            </w:r>
          </w:p>
        </w:tc>
        <w:tc>
          <w:tcPr>
            <w:tcW w:w="567" w:type="dxa"/>
            <w:tcBorders>
              <w:left w:val="nil"/>
            </w:tcBorders>
          </w:tcPr>
          <w:p w:rsidRPr="002A1F9A" w:rsidR="00DB2CBB" w:rsidP="00DB2CBB" w:rsidRDefault="00DB2CBB" w14:paraId="2BF940A6"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4353F6C" w14:textId="77777777">
        <w:tc>
          <w:tcPr>
            <w:tcW w:w="567" w:type="dxa"/>
          </w:tcPr>
          <w:p w:rsidRPr="002A1F9A" w:rsidR="00DB2CBB" w:rsidP="00DB2CBB" w:rsidRDefault="00DB2CBB" w14:paraId="57376A16" w14:textId="77777777">
            <w:pPr>
              <w:rPr>
                <w:rFonts w:ascii="Verdana" w:hAnsi="Verdana"/>
                <w:sz w:val="18"/>
                <w:szCs w:val="18"/>
              </w:rPr>
            </w:pPr>
            <w:r w:rsidRPr="002A1F9A">
              <w:rPr>
                <w:rFonts w:ascii="Verdana" w:hAnsi="Verdana"/>
                <w:sz w:val="18"/>
                <w:szCs w:val="18"/>
              </w:rPr>
              <w:t>105</w:t>
            </w:r>
          </w:p>
        </w:tc>
        <w:tc>
          <w:tcPr>
            <w:tcW w:w="6521" w:type="dxa"/>
            <w:gridSpan w:val="7"/>
          </w:tcPr>
          <w:p w:rsidRPr="002A1F9A" w:rsidR="00DB2CBB" w:rsidP="00DB2CBB" w:rsidRDefault="00DB2CBB" w14:paraId="6B36F7F7" w14:textId="77777777">
            <w:pPr>
              <w:rPr>
                <w:rFonts w:ascii="Verdana" w:hAnsi="Verdana"/>
                <w:sz w:val="18"/>
                <w:szCs w:val="18"/>
              </w:rPr>
            </w:pPr>
            <w:r w:rsidRPr="002A1F9A">
              <w:rPr>
                <w:rFonts w:ascii="Verdana" w:hAnsi="Verdana"/>
                <w:sz w:val="18"/>
                <w:szCs w:val="18"/>
              </w:rPr>
              <w:t>Hoeveel zou het kosten om het programma School en omgeving op elke middelbare school in Nederland uit te rollen?</w:t>
            </w:r>
          </w:p>
          <w:p w:rsidRPr="002A1F9A" w:rsidR="00DB2CBB" w:rsidP="00DB2CBB" w:rsidRDefault="00DB2CBB" w14:paraId="6F5A21BB" w14:textId="77777777">
            <w:pPr>
              <w:rPr>
                <w:rFonts w:ascii="Verdana" w:hAnsi="Verdana"/>
                <w:sz w:val="18"/>
                <w:szCs w:val="18"/>
              </w:rPr>
            </w:pPr>
          </w:p>
          <w:p w:rsidRPr="002A1F9A" w:rsidR="00DB2CBB" w:rsidP="00DB2CBB" w:rsidRDefault="00DB2CBB" w14:paraId="6FCCF5B9" w14:textId="77777777">
            <w:pPr>
              <w:rPr>
                <w:rFonts w:ascii="Verdana" w:hAnsi="Verdana"/>
                <w:sz w:val="18"/>
                <w:szCs w:val="18"/>
              </w:rPr>
            </w:pPr>
            <w:r w:rsidRPr="002A1F9A">
              <w:rPr>
                <w:rFonts w:ascii="Verdana" w:hAnsi="Verdana"/>
                <w:sz w:val="18"/>
                <w:szCs w:val="18"/>
              </w:rPr>
              <w:t>Het uitrollen van het programma School en Omgeving op alle scholen in Nederland in het voortgezet onderwijs kost aanvullend circa € 1,6 miljard per jaar.</w:t>
            </w:r>
          </w:p>
          <w:p w:rsidRPr="002A1F9A" w:rsidR="00DB2CBB" w:rsidP="00DB2CBB" w:rsidRDefault="00DB2CBB" w14:paraId="03EDA6C9" w14:textId="583F39B8">
            <w:pPr>
              <w:rPr>
                <w:rFonts w:ascii="Verdana" w:hAnsi="Verdana"/>
                <w:sz w:val="18"/>
                <w:szCs w:val="18"/>
              </w:rPr>
            </w:pPr>
          </w:p>
        </w:tc>
        <w:tc>
          <w:tcPr>
            <w:tcW w:w="850" w:type="dxa"/>
            <w:gridSpan w:val="2"/>
          </w:tcPr>
          <w:p w:rsidRPr="002A1F9A" w:rsidR="00DB2CBB" w:rsidP="00DB2CBB" w:rsidRDefault="00DB2CBB" w14:paraId="4F2429D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3966C9A5" w14:textId="77777777">
            <w:pPr>
              <w:jc w:val="right"/>
              <w:rPr>
                <w:rFonts w:ascii="Verdana" w:hAnsi="Verdana"/>
                <w:sz w:val="18"/>
                <w:szCs w:val="18"/>
              </w:rPr>
            </w:pPr>
            <w:r w:rsidRPr="002A1F9A">
              <w:rPr>
                <w:rFonts w:ascii="Verdana" w:hAnsi="Verdana"/>
                <w:sz w:val="18"/>
                <w:szCs w:val="18"/>
              </w:rPr>
              <w:t>33</w:t>
            </w:r>
          </w:p>
        </w:tc>
        <w:tc>
          <w:tcPr>
            <w:tcW w:w="567" w:type="dxa"/>
            <w:tcBorders>
              <w:left w:val="nil"/>
            </w:tcBorders>
          </w:tcPr>
          <w:p w:rsidRPr="002A1F9A" w:rsidR="00DB2CBB" w:rsidP="00DB2CBB" w:rsidRDefault="00DB2CBB" w14:paraId="375287EC"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541851FC" w14:textId="77777777">
        <w:tc>
          <w:tcPr>
            <w:tcW w:w="567" w:type="dxa"/>
          </w:tcPr>
          <w:p w:rsidRPr="002A1F9A" w:rsidR="00DB2CBB" w:rsidP="00DB2CBB" w:rsidRDefault="00DB2CBB" w14:paraId="39CF1882" w14:textId="77777777">
            <w:pPr>
              <w:rPr>
                <w:rFonts w:ascii="Verdana" w:hAnsi="Verdana"/>
                <w:sz w:val="18"/>
                <w:szCs w:val="18"/>
              </w:rPr>
            </w:pPr>
            <w:r w:rsidRPr="002A1F9A">
              <w:rPr>
                <w:rFonts w:ascii="Verdana" w:hAnsi="Verdana"/>
                <w:sz w:val="18"/>
                <w:szCs w:val="18"/>
              </w:rPr>
              <w:t>106</w:t>
            </w:r>
          </w:p>
        </w:tc>
        <w:tc>
          <w:tcPr>
            <w:tcW w:w="6521" w:type="dxa"/>
            <w:gridSpan w:val="7"/>
          </w:tcPr>
          <w:p w:rsidRPr="002A1F9A" w:rsidR="00DB2CBB" w:rsidP="00DB2CBB" w:rsidRDefault="00DB2CBB" w14:paraId="6E2D7E52" w14:textId="77777777">
            <w:pPr>
              <w:rPr>
                <w:rFonts w:ascii="Verdana" w:hAnsi="Verdana"/>
                <w:sz w:val="18"/>
                <w:szCs w:val="18"/>
              </w:rPr>
            </w:pPr>
            <w:r w:rsidRPr="002A1F9A">
              <w:rPr>
                <w:rFonts w:ascii="Verdana" w:hAnsi="Verdana"/>
                <w:sz w:val="18"/>
                <w:szCs w:val="18"/>
              </w:rPr>
              <w:t>Hoeveel zou het kosten als alle scholen (primair en voortgezet onderwijs) mee zouden doen aan het programma Schoolmaaltijden?</w:t>
            </w:r>
          </w:p>
          <w:p w:rsidRPr="002A1F9A" w:rsidR="00DB2CBB" w:rsidP="00DB2CBB" w:rsidRDefault="00DB2CBB" w14:paraId="4B1C35DE" w14:textId="77777777">
            <w:pPr>
              <w:rPr>
                <w:rFonts w:ascii="Verdana" w:hAnsi="Verdana"/>
                <w:sz w:val="18"/>
                <w:szCs w:val="18"/>
              </w:rPr>
            </w:pPr>
          </w:p>
          <w:p w:rsidRPr="002A1F9A" w:rsidR="00DB2CBB" w:rsidP="00DB2CBB" w:rsidRDefault="00DB2CBB" w14:paraId="144B70F3" w14:textId="77777777">
            <w:pPr>
              <w:rPr>
                <w:rFonts w:ascii="Verdana" w:hAnsi="Verdana"/>
                <w:color w:val="000000"/>
                <w:kern w:val="2"/>
                <w:sz w:val="18"/>
                <w:szCs w:val="18"/>
                <w14:ligatures w14:val="standardContextual"/>
              </w:rPr>
            </w:pPr>
            <w:r w:rsidRPr="002A1F9A">
              <w:rPr>
                <w:rFonts w:ascii="Verdana" w:hAnsi="Verdana"/>
                <w:color w:val="000000"/>
                <w:kern w:val="2"/>
                <w:sz w:val="18"/>
                <w:szCs w:val="18"/>
                <w14:ligatures w14:val="standardContextual"/>
              </w:rPr>
              <w:t>Om alle scholen deel te laten nemen aan het programma Schoolmaaltijden is aanvullend circa € 683 miljoen per jaar benodigd.</w:t>
            </w:r>
          </w:p>
          <w:p w:rsidRPr="002A1F9A" w:rsidR="00DB2CBB" w:rsidP="00DB2CBB" w:rsidRDefault="00DB2CBB" w14:paraId="58EBF9E2" w14:textId="734F8BFF">
            <w:pPr>
              <w:rPr>
                <w:rFonts w:ascii="Verdana" w:hAnsi="Verdana"/>
                <w:sz w:val="18"/>
                <w:szCs w:val="18"/>
              </w:rPr>
            </w:pPr>
          </w:p>
        </w:tc>
        <w:tc>
          <w:tcPr>
            <w:tcW w:w="850" w:type="dxa"/>
            <w:gridSpan w:val="2"/>
          </w:tcPr>
          <w:p w:rsidRPr="002A1F9A" w:rsidR="00DB2CBB" w:rsidP="00DB2CBB" w:rsidRDefault="00DB2CBB" w14:paraId="6FDE37F4"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3B157836" w14:textId="77777777">
            <w:pPr>
              <w:jc w:val="right"/>
              <w:rPr>
                <w:rFonts w:ascii="Verdana" w:hAnsi="Verdana"/>
                <w:sz w:val="18"/>
                <w:szCs w:val="18"/>
              </w:rPr>
            </w:pPr>
            <w:r w:rsidRPr="002A1F9A">
              <w:rPr>
                <w:rFonts w:ascii="Verdana" w:hAnsi="Verdana"/>
                <w:sz w:val="18"/>
                <w:szCs w:val="18"/>
              </w:rPr>
              <w:t>33</w:t>
            </w:r>
          </w:p>
        </w:tc>
        <w:tc>
          <w:tcPr>
            <w:tcW w:w="567" w:type="dxa"/>
            <w:tcBorders>
              <w:left w:val="nil"/>
            </w:tcBorders>
          </w:tcPr>
          <w:p w:rsidRPr="002A1F9A" w:rsidR="00DB2CBB" w:rsidP="00DB2CBB" w:rsidRDefault="00DB2CBB" w14:paraId="41B19119"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66AA7528" w14:textId="77777777">
        <w:tc>
          <w:tcPr>
            <w:tcW w:w="567" w:type="dxa"/>
          </w:tcPr>
          <w:p w:rsidRPr="002A1F9A" w:rsidR="00DB2CBB" w:rsidP="00DB2CBB" w:rsidRDefault="00DB2CBB" w14:paraId="440E0B96" w14:textId="77777777">
            <w:pPr>
              <w:rPr>
                <w:rFonts w:ascii="Verdana" w:hAnsi="Verdana"/>
                <w:sz w:val="18"/>
                <w:szCs w:val="18"/>
              </w:rPr>
            </w:pPr>
            <w:r w:rsidRPr="002A1F9A">
              <w:rPr>
                <w:rFonts w:ascii="Verdana" w:hAnsi="Verdana"/>
                <w:sz w:val="18"/>
                <w:szCs w:val="18"/>
              </w:rPr>
              <w:t>107</w:t>
            </w:r>
          </w:p>
        </w:tc>
        <w:tc>
          <w:tcPr>
            <w:tcW w:w="6521" w:type="dxa"/>
            <w:gridSpan w:val="7"/>
          </w:tcPr>
          <w:p w:rsidRPr="002A1F9A" w:rsidR="00DB2CBB" w:rsidP="00DB2CBB" w:rsidRDefault="00DB2CBB" w14:paraId="656AE42C" w14:textId="77777777">
            <w:pPr>
              <w:rPr>
                <w:rFonts w:ascii="Verdana" w:hAnsi="Verdana"/>
                <w:sz w:val="18"/>
                <w:szCs w:val="18"/>
              </w:rPr>
            </w:pPr>
            <w:r w:rsidRPr="002A1F9A">
              <w:rPr>
                <w:rFonts w:ascii="Verdana" w:hAnsi="Verdana"/>
                <w:sz w:val="18"/>
                <w:szCs w:val="18"/>
              </w:rPr>
              <w:t>Welke stappen hebben de bewindspersonen van OCW sinds het aantreden van het kabinet-Schoof gezet om inclusief onderwijs in 2035 naderbij te brengen?</w:t>
            </w:r>
          </w:p>
          <w:p w:rsidRPr="002A1F9A" w:rsidR="00DB2CBB" w:rsidP="00DB2CBB" w:rsidRDefault="00DB2CBB" w14:paraId="50C04719" w14:textId="77777777">
            <w:pPr>
              <w:rPr>
                <w:rFonts w:ascii="Verdana" w:hAnsi="Verdana"/>
                <w:sz w:val="18"/>
                <w:szCs w:val="18"/>
              </w:rPr>
            </w:pPr>
          </w:p>
          <w:p w:rsidRPr="002A1F9A" w:rsidR="00DB2CBB" w:rsidP="00DB2CBB" w:rsidRDefault="00DB2CBB" w14:paraId="7B745F1F" w14:textId="1EFF60F5">
            <w:pPr>
              <w:rPr>
                <w:rFonts w:ascii="Verdana" w:hAnsi="Verdana"/>
                <w:sz w:val="18"/>
                <w:szCs w:val="18"/>
              </w:rPr>
            </w:pPr>
            <w:r w:rsidRPr="002A1F9A">
              <w:rPr>
                <w:rFonts w:ascii="Verdana" w:hAnsi="Verdana"/>
                <w:sz w:val="18"/>
                <w:szCs w:val="18"/>
              </w:rPr>
              <w:t xml:space="preserve">Per 1 augustus 2025 zijn tientallen scholen op basis van de beleidsregel ‘Inclusieve leeromgeving’ gestart met een samenwerking die het mogelijk maakt om leerlingen uit het regulier en gespecialiseerd onderwijs samen onderwijs te laten volgen op een reguliere school. In het najaar brengen themagroepen advies uit aan </w:t>
            </w:r>
            <w:r w:rsidRPr="002A1F9A" w:rsidR="009A3C2E">
              <w:rPr>
                <w:rFonts w:ascii="Verdana" w:hAnsi="Verdana"/>
                <w:sz w:val="18"/>
                <w:szCs w:val="18"/>
              </w:rPr>
              <w:t xml:space="preserve">het ministerie van </w:t>
            </w:r>
            <w:r w:rsidRPr="002A1F9A">
              <w:rPr>
                <w:rFonts w:ascii="Verdana" w:hAnsi="Verdana"/>
                <w:sz w:val="18"/>
                <w:szCs w:val="18"/>
              </w:rPr>
              <w:t xml:space="preserve">OCW en </w:t>
            </w:r>
            <w:r w:rsidRPr="002A1F9A" w:rsidR="009A3C2E">
              <w:rPr>
                <w:rFonts w:ascii="Verdana" w:hAnsi="Verdana"/>
                <w:sz w:val="18"/>
                <w:szCs w:val="18"/>
              </w:rPr>
              <w:t xml:space="preserve">het ministerie van </w:t>
            </w:r>
            <w:r w:rsidRPr="002A1F9A">
              <w:rPr>
                <w:rFonts w:ascii="Verdana" w:hAnsi="Verdana"/>
                <w:sz w:val="18"/>
                <w:szCs w:val="18"/>
              </w:rPr>
              <w:t xml:space="preserve">VWS over verschillende aspecten van inclusie. De themagroepen bestaan uit vertegenwoordigers van het onderwijs- en zorgveld, wetenschappelijke experts en voorlopers van scholen, samenwerkingsverbanden en gemeentes. Verder worden scholen ondersteund door het Steunpunt Passend Onderwijs middels een subsidie van </w:t>
            </w:r>
            <w:r w:rsidRPr="002A1F9A" w:rsidR="009A3C2E">
              <w:rPr>
                <w:rFonts w:ascii="Verdana" w:hAnsi="Verdana"/>
                <w:sz w:val="18"/>
                <w:szCs w:val="18"/>
              </w:rPr>
              <w:t xml:space="preserve">het ministerie van </w:t>
            </w:r>
            <w:r w:rsidRPr="002A1F9A">
              <w:rPr>
                <w:rFonts w:ascii="Verdana" w:hAnsi="Verdana"/>
                <w:sz w:val="18"/>
                <w:szCs w:val="18"/>
              </w:rPr>
              <w:t xml:space="preserve">OCW. Zij hebben onder andere de website ‘Ruimte in Regels’ gelanceerd. Ook ontwikkelt het SPO de ‘Toolkit Inclusief Onderwijs’ met praktische hulpmiddelen voor scholen, schoolbesturen en samenwerkingsverbanden voor de transitie naar inclusief onderwijs.  </w:t>
            </w:r>
          </w:p>
          <w:p w:rsidRPr="002A1F9A" w:rsidR="00DB2CBB" w:rsidP="00DB2CBB" w:rsidRDefault="00DB2CBB" w14:paraId="69DF4791" w14:textId="55C291CB">
            <w:pPr>
              <w:rPr>
                <w:rFonts w:ascii="Verdana" w:hAnsi="Verdana"/>
                <w:sz w:val="18"/>
                <w:szCs w:val="18"/>
              </w:rPr>
            </w:pPr>
          </w:p>
        </w:tc>
        <w:tc>
          <w:tcPr>
            <w:tcW w:w="850" w:type="dxa"/>
            <w:gridSpan w:val="2"/>
          </w:tcPr>
          <w:p w:rsidRPr="002A1F9A" w:rsidR="00DB2CBB" w:rsidP="00DB2CBB" w:rsidRDefault="00DB2CBB" w14:paraId="35C969DB" w14:textId="4975C451">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0AEECAC8" w14:textId="77777777">
            <w:pPr>
              <w:jc w:val="right"/>
              <w:rPr>
                <w:rFonts w:ascii="Verdana" w:hAnsi="Verdana"/>
                <w:sz w:val="18"/>
                <w:szCs w:val="18"/>
              </w:rPr>
            </w:pPr>
            <w:r w:rsidRPr="002A1F9A">
              <w:rPr>
                <w:rFonts w:ascii="Verdana" w:hAnsi="Verdana"/>
                <w:sz w:val="18"/>
                <w:szCs w:val="18"/>
              </w:rPr>
              <w:t>33</w:t>
            </w:r>
          </w:p>
        </w:tc>
        <w:tc>
          <w:tcPr>
            <w:tcW w:w="567" w:type="dxa"/>
            <w:tcBorders>
              <w:left w:val="nil"/>
            </w:tcBorders>
          </w:tcPr>
          <w:p w:rsidRPr="002A1F9A" w:rsidR="00DB2CBB" w:rsidP="00DB2CBB" w:rsidRDefault="00DB2CBB" w14:paraId="05E6146E"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7BC30A07" w14:textId="77777777">
        <w:tc>
          <w:tcPr>
            <w:tcW w:w="567" w:type="dxa"/>
          </w:tcPr>
          <w:p w:rsidRPr="002A1F9A" w:rsidR="00DB2CBB" w:rsidP="00DB2CBB" w:rsidRDefault="00DB2CBB" w14:paraId="345D7E63" w14:textId="77777777">
            <w:pPr>
              <w:rPr>
                <w:rFonts w:ascii="Verdana" w:hAnsi="Verdana"/>
                <w:sz w:val="18"/>
                <w:szCs w:val="18"/>
              </w:rPr>
            </w:pPr>
            <w:r w:rsidRPr="002A1F9A">
              <w:rPr>
                <w:rFonts w:ascii="Verdana" w:hAnsi="Verdana"/>
                <w:sz w:val="18"/>
                <w:szCs w:val="18"/>
              </w:rPr>
              <w:t>108</w:t>
            </w:r>
          </w:p>
        </w:tc>
        <w:tc>
          <w:tcPr>
            <w:tcW w:w="6521" w:type="dxa"/>
            <w:gridSpan w:val="7"/>
          </w:tcPr>
          <w:p w:rsidRPr="002A1F9A" w:rsidR="00DB2CBB" w:rsidP="00DB2CBB" w:rsidRDefault="00DB2CBB" w14:paraId="3B356168" w14:textId="77777777">
            <w:pPr>
              <w:rPr>
                <w:rFonts w:ascii="Verdana" w:hAnsi="Verdana"/>
                <w:sz w:val="18"/>
                <w:szCs w:val="18"/>
              </w:rPr>
            </w:pPr>
            <w:r w:rsidRPr="002A1F9A">
              <w:rPr>
                <w:rFonts w:ascii="Verdana" w:hAnsi="Verdana"/>
                <w:sz w:val="18"/>
                <w:szCs w:val="18"/>
              </w:rPr>
              <w:t>Hoe heeft de beloning van onderwijzend personeel in het funderend onderwijs en het mbo zich de afgelopen jaren ontwikkeld in euro’s gecorrigeerd op inflatie?</w:t>
            </w:r>
          </w:p>
          <w:p w:rsidRPr="002A1F9A" w:rsidR="00DB2CBB" w:rsidP="00DB2CBB" w:rsidRDefault="00DB2CBB" w14:paraId="6E2647B6" w14:textId="77777777">
            <w:pPr>
              <w:rPr>
                <w:rFonts w:ascii="Verdana" w:hAnsi="Verdana"/>
                <w:sz w:val="18"/>
                <w:szCs w:val="18"/>
              </w:rPr>
            </w:pPr>
          </w:p>
          <w:p w:rsidRPr="002A1F9A" w:rsidR="00DB2CBB" w:rsidP="00DB2CBB" w:rsidRDefault="00DB2CBB" w14:paraId="2B070B2C" w14:textId="77777777">
            <w:pPr>
              <w:rPr>
                <w:rFonts w:ascii="Verdana" w:hAnsi="Verdana"/>
                <w:sz w:val="18"/>
                <w:szCs w:val="18"/>
              </w:rPr>
            </w:pPr>
            <w:r w:rsidRPr="002A1F9A">
              <w:rPr>
                <w:rFonts w:ascii="Verdana" w:hAnsi="Verdana"/>
                <w:sz w:val="18"/>
                <w:szCs w:val="18"/>
              </w:rPr>
              <w:t>De gemiddelde beloning van onderwijzend personeel in het po, vo en mbo is respectievelijk € 5.900, € 6.200 en € 6.100 in 2024. Dat was tien jaar geleden (2015) voor po, vo en mbo respectievelijk € 3.800, € 4.700 en € 4.700. De loonstijging kan in de praktijk hoger zijn, bijvoorbeeld door eenmalige uitkeringen. De correctie op inflatie ofwel de ontwikkeling van het ‘reële loon’ in het funderend onderwijs, het mbo en de markt in Nederland is als volgt:</w:t>
            </w:r>
          </w:p>
          <w:p w:rsidRPr="002A1F9A" w:rsidR="00DB2CBB" w:rsidP="00DB2CBB" w:rsidRDefault="00DB2CBB" w14:paraId="0BE240FE" w14:textId="77777777">
            <w:pPr>
              <w:rPr>
                <w:rFonts w:ascii="Verdana" w:hAnsi="Verdana"/>
                <w:sz w:val="18"/>
                <w:szCs w:val="18"/>
              </w:rPr>
            </w:pPr>
            <w:r w:rsidRPr="002A1F9A">
              <w:rPr>
                <w:rFonts w:ascii="Verdana" w:hAnsi="Verdana"/>
                <w:noProof/>
              </w:rPr>
              <w:drawing>
                <wp:inline distT="0" distB="0" distL="0" distR="0" wp14:anchorId="30ACA960" wp14:editId="31AECC6D">
                  <wp:extent cx="3997842" cy="2403135"/>
                  <wp:effectExtent l="0" t="0" r="3175" b="0"/>
                  <wp:docPr id="1331135831" name="Afbeelding 3"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35831" name="Afbeelding 3" descr="Afbeelding met tekst, schermopname, Perceel, lijn&#10;&#10;Door AI gegenereerde inhoud is mogelijk onjuis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007649" cy="2409030"/>
                          </a:xfrm>
                          <a:prstGeom prst="rect">
                            <a:avLst/>
                          </a:prstGeom>
                          <a:noFill/>
                        </pic:spPr>
                      </pic:pic>
                    </a:graphicData>
                  </a:graphic>
                </wp:inline>
              </w:drawing>
            </w:r>
          </w:p>
          <w:p w:rsidRPr="002A1F9A" w:rsidR="00DB2CBB" w:rsidP="00DB2CBB" w:rsidRDefault="00DB2CBB" w14:paraId="01E41044" w14:textId="77777777">
            <w:pPr>
              <w:rPr>
                <w:rFonts w:ascii="Verdana" w:hAnsi="Verdana"/>
                <w:i/>
                <w:iCs/>
                <w:sz w:val="16"/>
                <w:szCs w:val="16"/>
              </w:rPr>
            </w:pPr>
            <w:r w:rsidRPr="002A1F9A">
              <w:rPr>
                <w:rFonts w:ascii="Verdana" w:hAnsi="Verdana"/>
                <w:i/>
                <w:iCs/>
                <w:sz w:val="16"/>
                <w:szCs w:val="16"/>
              </w:rPr>
              <w:t>*Bron: De cijfers zijn samengestelde reeksen. De beloning is op basis van DUO-data en cao-ontwikkeling. De inflatie en loonontwikkeling zijn op basis van CPB-data, specifiek resp. het CPI en het contractloon in de markt.</w:t>
            </w:r>
          </w:p>
          <w:p w:rsidRPr="002A1F9A" w:rsidR="00DB2CBB" w:rsidP="00DB2CBB" w:rsidRDefault="00DB2CBB" w14:paraId="01C6634D" w14:textId="7BF63DC5">
            <w:pPr>
              <w:rPr>
                <w:rFonts w:ascii="Verdana" w:hAnsi="Verdana"/>
                <w:sz w:val="18"/>
                <w:szCs w:val="18"/>
              </w:rPr>
            </w:pPr>
          </w:p>
        </w:tc>
        <w:tc>
          <w:tcPr>
            <w:tcW w:w="850" w:type="dxa"/>
            <w:gridSpan w:val="2"/>
          </w:tcPr>
          <w:p w:rsidRPr="002A1F9A" w:rsidR="00DB2CBB" w:rsidP="00DB2CBB" w:rsidRDefault="00DB2CBB" w14:paraId="32DC317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DB2CBB" w:rsidP="00DB2CBB" w:rsidRDefault="00DB2CBB" w14:paraId="4461F6A0" w14:textId="77777777">
            <w:pPr>
              <w:jc w:val="right"/>
              <w:rPr>
                <w:rFonts w:ascii="Verdana" w:hAnsi="Verdana"/>
                <w:sz w:val="18"/>
                <w:szCs w:val="18"/>
              </w:rPr>
            </w:pPr>
            <w:r w:rsidRPr="002A1F9A">
              <w:rPr>
                <w:rFonts w:ascii="Verdana" w:hAnsi="Verdana"/>
                <w:sz w:val="18"/>
                <w:szCs w:val="18"/>
              </w:rPr>
              <w:t>35</w:t>
            </w:r>
          </w:p>
        </w:tc>
        <w:tc>
          <w:tcPr>
            <w:tcW w:w="567" w:type="dxa"/>
            <w:tcBorders>
              <w:left w:val="nil"/>
            </w:tcBorders>
          </w:tcPr>
          <w:p w:rsidRPr="002A1F9A" w:rsidR="00DB2CBB" w:rsidP="00DB2CBB" w:rsidRDefault="00DB2CBB" w14:paraId="7D3F2D8A" w14:textId="77777777">
            <w:pPr>
              <w:jc w:val="right"/>
              <w:rPr>
                <w:rFonts w:ascii="Verdana" w:hAnsi="Verdana"/>
                <w:sz w:val="18"/>
                <w:szCs w:val="18"/>
              </w:rPr>
            </w:pPr>
            <w:r w:rsidRPr="002A1F9A">
              <w:rPr>
                <w:rFonts w:ascii="Verdana" w:hAnsi="Verdana"/>
                <w:sz w:val="18"/>
                <w:szCs w:val="18"/>
              </w:rPr>
              <w:t xml:space="preserve"> </w:t>
            </w:r>
          </w:p>
        </w:tc>
      </w:tr>
      <w:tr w:rsidRPr="002A1F9A" w:rsidR="00DB2CBB" w:rsidTr="00A347D5" w14:paraId="2D74BF7B" w14:textId="77777777">
        <w:tc>
          <w:tcPr>
            <w:tcW w:w="567" w:type="dxa"/>
          </w:tcPr>
          <w:p w:rsidRPr="002A1F9A" w:rsidR="00DB2CBB" w:rsidP="00DB2CBB" w:rsidRDefault="00DB2CBB" w14:paraId="0464BB56" w14:textId="77777777">
            <w:pPr>
              <w:rPr>
                <w:rFonts w:ascii="Verdana" w:hAnsi="Verdana"/>
                <w:sz w:val="18"/>
                <w:szCs w:val="18"/>
              </w:rPr>
            </w:pPr>
            <w:r w:rsidRPr="002A1F9A">
              <w:rPr>
                <w:rFonts w:ascii="Verdana" w:hAnsi="Verdana"/>
                <w:sz w:val="18"/>
                <w:szCs w:val="18"/>
              </w:rPr>
              <w:t>109</w:t>
            </w:r>
          </w:p>
        </w:tc>
        <w:tc>
          <w:tcPr>
            <w:tcW w:w="6521" w:type="dxa"/>
            <w:gridSpan w:val="7"/>
          </w:tcPr>
          <w:p w:rsidRPr="002A1F9A" w:rsidR="00DB2CBB" w:rsidP="00DB2CBB" w:rsidRDefault="00DB2CBB" w14:paraId="0ED9EE74" w14:textId="77777777">
            <w:pPr>
              <w:rPr>
                <w:rFonts w:ascii="Verdana" w:hAnsi="Verdana"/>
                <w:sz w:val="18"/>
                <w:szCs w:val="18"/>
              </w:rPr>
            </w:pPr>
            <w:r w:rsidRPr="002A1F9A">
              <w:rPr>
                <w:rFonts w:ascii="Verdana" w:hAnsi="Verdana"/>
                <w:sz w:val="18"/>
                <w:szCs w:val="18"/>
              </w:rPr>
              <w:t>Wat betekent het deels uitkeren van de loon-prijsbijstelling voor de doelstellingen van het kabinet, gelet op de meermaals geuite zorg dat deze doelstellingen al naar aanleiding van de eerdere bezuinigingen niet expliciet zijn bijgesteld?</w:t>
            </w:r>
          </w:p>
          <w:p w:rsidRPr="002A1F9A" w:rsidR="00A347D5" w:rsidP="00DB2CBB" w:rsidRDefault="00A347D5" w14:paraId="0D860C9D" w14:textId="77777777">
            <w:pPr>
              <w:rPr>
                <w:rFonts w:ascii="Verdana" w:hAnsi="Verdana"/>
                <w:sz w:val="18"/>
                <w:szCs w:val="18"/>
              </w:rPr>
            </w:pPr>
          </w:p>
          <w:p w:rsidRPr="002A1F9A" w:rsidR="00A347D5" w:rsidP="00A347D5" w:rsidRDefault="00A347D5" w14:paraId="6A9EA92A" w14:textId="28C5B27E">
            <w:pPr>
              <w:pStyle w:val="Geenafstand"/>
              <w:rPr>
                <w:rFonts w:ascii="Verdana" w:hAnsi="Verdana"/>
                <w:sz w:val="18"/>
                <w:szCs w:val="18"/>
              </w:rPr>
            </w:pPr>
            <w:r w:rsidRPr="002A1F9A">
              <w:rPr>
                <w:rFonts w:ascii="Verdana" w:hAnsi="Verdana"/>
                <w:sz w:val="18"/>
                <w:szCs w:val="18"/>
              </w:rPr>
              <w:lastRenderedPageBreak/>
              <w:t>Er is bij Voorjaarsnota 2025 alleen gekort op de prijsbijstelling. De in de Miljoenennota 2026 aangekondigde kortingen bij Voorjaarsnota 2026 betreffen de prijsbijstelling en de incidentele loonontwikkeling (</w:t>
            </w:r>
            <w:proofErr w:type="spellStart"/>
            <w:r w:rsidRPr="002A1F9A">
              <w:rPr>
                <w:rFonts w:ascii="Verdana" w:hAnsi="Verdana"/>
                <w:sz w:val="18"/>
                <w:szCs w:val="18"/>
              </w:rPr>
              <w:t>ilo</w:t>
            </w:r>
            <w:proofErr w:type="spellEnd"/>
            <w:r w:rsidRPr="002A1F9A">
              <w:rPr>
                <w:rFonts w:ascii="Verdana" w:hAnsi="Verdana"/>
                <w:sz w:val="18"/>
                <w:szCs w:val="18"/>
              </w:rPr>
              <w:t xml:space="preserve">). Op de reguliere loonbijstelling is niet gekort. Het inhouden van de </w:t>
            </w:r>
            <w:proofErr w:type="spellStart"/>
            <w:r w:rsidRPr="002A1F9A">
              <w:rPr>
                <w:rFonts w:ascii="Verdana" w:hAnsi="Verdana"/>
                <w:sz w:val="18"/>
                <w:szCs w:val="18"/>
              </w:rPr>
              <w:t>ilo</w:t>
            </w:r>
            <w:proofErr w:type="spellEnd"/>
            <w:r w:rsidRPr="002A1F9A">
              <w:rPr>
                <w:rFonts w:ascii="Verdana" w:hAnsi="Verdana"/>
                <w:sz w:val="18"/>
                <w:szCs w:val="18"/>
              </w:rPr>
              <w:t xml:space="preserve"> betreft de tranche 2029 vanaf 2029. Het is daarom niet mogelijk nu te zeggen wat hier de consequenties van zijn voor doelstellingen van </w:t>
            </w:r>
            <w:r w:rsidRPr="002A1F9A" w:rsidR="009A3C2E">
              <w:rPr>
                <w:rFonts w:ascii="Verdana" w:hAnsi="Verdana"/>
                <w:sz w:val="18"/>
                <w:szCs w:val="18"/>
              </w:rPr>
              <w:t xml:space="preserve">het ministerie van </w:t>
            </w:r>
            <w:r w:rsidRPr="002A1F9A">
              <w:rPr>
                <w:rFonts w:ascii="Verdana" w:hAnsi="Verdana"/>
                <w:sz w:val="18"/>
                <w:szCs w:val="18"/>
              </w:rPr>
              <w:t xml:space="preserve">OCW. </w:t>
            </w:r>
          </w:p>
          <w:p w:rsidRPr="002A1F9A" w:rsidR="00A347D5" w:rsidP="00A347D5" w:rsidRDefault="00A347D5" w14:paraId="63CCB10F" w14:textId="77777777">
            <w:pPr>
              <w:pStyle w:val="Geenafstand"/>
              <w:rPr>
                <w:rFonts w:ascii="Verdana" w:hAnsi="Verdana"/>
                <w:sz w:val="18"/>
                <w:szCs w:val="18"/>
              </w:rPr>
            </w:pPr>
          </w:p>
          <w:p w:rsidRPr="002A1F9A" w:rsidR="00A347D5" w:rsidP="00A347D5" w:rsidRDefault="00A347D5" w14:paraId="3EB16F81" w14:textId="6D069065">
            <w:pPr>
              <w:pStyle w:val="Geenafstand"/>
              <w:rPr>
                <w:rFonts w:ascii="Verdana" w:hAnsi="Verdana"/>
                <w:sz w:val="18"/>
                <w:szCs w:val="18"/>
              </w:rPr>
            </w:pPr>
            <w:r w:rsidRPr="002A1F9A">
              <w:rPr>
                <w:rFonts w:ascii="Verdana" w:hAnsi="Verdana"/>
                <w:sz w:val="18"/>
                <w:szCs w:val="18"/>
              </w:rPr>
              <w:t xml:space="preserve">De consequenties voor doelstellingen van </w:t>
            </w:r>
            <w:r w:rsidRPr="002A1F9A" w:rsidR="009A3C2E">
              <w:rPr>
                <w:rFonts w:ascii="Verdana" w:hAnsi="Verdana"/>
                <w:sz w:val="18"/>
                <w:szCs w:val="18"/>
              </w:rPr>
              <w:t xml:space="preserve">het ministerie van </w:t>
            </w:r>
            <w:r w:rsidRPr="002A1F9A">
              <w:rPr>
                <w:rFonts w:ascii="Verdana" w:hAnsi="Verdana"/>
                <w:sz w:val="18"/>
                <w:szCs w:val="18"/>
              </w:rPr>
              <w:t xml:space="preserve">OCW van de </w:t>
            </w:r>
            <w:proofErr w:type="spellStart"/>
            <w:r w:rsidRPr="002A1F9A">
              <w:rPr>
                <w:rFonts w:ascii="Verdana" w:hAnsi="Verdana"/>
                <w:sz w:val="18"/>
                <w:szCs w:val="18"/>
              </w:rPr>
              <w:t>rijksbrede</w:t>
            </w:r>
            <w:proofErr w:type="spellEnd"/>
            <w:r w:rsidRPr="002A1F9A">
              <w:rPr>
                <w:rFonts w:ascii="Verdana" w:hAnsi="Verdana"/>
                <w:sz w:val="18"/>
                <w:szCs w:val="18"/>
              </w:rPr>
              <w:t xml:space="preserve"> halvering van de prijsbijstelling tranche 2025 bij Voorjaarsnota 2025 verschillen per sector en per instelling. Uit de gehalveerde prijsbijstelling is eerst volledige prijsbijstelling uitgekeerd aan het po, de rijksbijdrage media en de studiefinanciering omdat deze wettelijk verplicht is. Vervolgens is met </w:t>
            </w:r>
            <w:proofErr w:type="spellStart"/>
            <w:r w:rsidRPr="002A1F9A">
              <w:rPr>
                <w:rFonts w:ascii="Verdana" w:hAnsi="Verdana"/>
                <w:sz w:val="18"/>
                <w:szCs w:val="18"/>
              </w:rPr>
              <w:t>herprioriteringen</w:t>
            </w:r>
            <w:proofErr w:type="spellEnd"/>
            <w:r w:rsidRPr="002A1F9A">
              <w:rPr>
                <w:rFonts w:ascii="Verdana" w:hAnsi="Verdana"/>
                <w:sz w:val="18"/>
                <w:szCs w:val="18"/>
              </w:rPr>
              <w:t xml:space="preserve"> de prijsbijstelling in het vo ook volledig uitgekeerd. Voor deze onderdelen van de OCW-begroting zijn er geen consequenties als gevolg van de </w:t>
            </w:r>
            <w:proofErr w:type="spellStart"/>
            <w:r w:rsidRPr="002A1F9A">
              <w:rPr>
                <w:rFonts w:ascii="Verdana" w:hAnsi="Verdana"/>
                <w:sz w:val="18"/>
                <w:szCs w:val="18"/>
              </w:rPr>
              <w:t>rijksbrede</w:t>
            </w:r>
            <w:proofErr w:type="spellEnd"/>
            <w:r w:rsidRPr="002A1F9A">
              <w:rPr>
                <w:rFonts w:ascii="Verdana" w:hAnsi="Verdana"/>
                <w:sz w:val="18"/>
                <w:szCs w:val="18"/>
              </w:rPr>
              <w:t xml:space="preserve"> halvering van de prijsbijstelling. Hierna resteerde nauwelijks prijsbijstelling voor de overige onderdelen van de OCW-begroting, te weten het mbo, hbo, wo, cultuur, onderzoek en emancipatie. De consequentie hiervan is dat de bekostiging en subsidies voor deze artikelen nauwelijks zijn opgehoogd voor gestegen prijzen. Het verschilt per instelling hoe hier de begroting al dan niet op wordt aangepast en doelstellingen niet meer kunnen worden behaald. In het algemeen geldt dat als een budget niet meestijgt met de inflatie er in reële zin minder budget is. </w:t>
            </w:r>
          </w:p>
          <w:p w:rsidRPr="002A1F9A" w:rsidR="00A347D5" w:rsidP="00A347D5" w:rsidRDefault="00A347D5" w14:paraId="380F86A6" w14:textId="77777777">
            <w:pPr>
              <w:pStyle w:val="Geenafstand"/>
              <w:rPr>
                <w:rFonts w:ascii="Verdana" w:hAnsi="Verdana"/>
                <w:sz w:val="18"/>
                <w:szCs w:val="18"/>
              </w:rPr>
            </w:pPr>
          </w:p>
          <w:p w:rsidRPr="002A1F9A" w:rsidR="00A347D5" w:rsidP="00A347D5" w:rsidRDefault="00A347D5" w14:paraId="27739169" w14:textId="0BD998BF">
            <w:pPr>
              <w:rPr>
                <w:rFonts w:ascii="Verdana" w:hAnsi="Verdana"/>
                <w:sz w:val="18"/>
                <w:szCs w:val="18"/>
              </w:rPr>
            </w:pPr>
            <w:r w:rsidRPr="002A1F9A">
              <w:rPr>
                <w:rFonts w:ascii="Verdana" w:hAnsi="Verdana"/>
                <w:sz w:val="18"/>
                <w:szCs w:val="18"/>
              </w:rPr>
              <w:t xml:space="preserve">Het is niet bekend wat de consequenties zijn voor doelstellingen van </w:t>
            </w:r>
            <w:r w:rsidRPr="002A1F9A" w:rsidR="009A3C2E">
              <w:rPr>
                <w:rFonts w:ascii="Verdana" w:hAnsi="Verdana"/>
                <w:sz w:val="18"/>
                <w:szCs w:val="18"/>
              </w:rPr>
              <w:t xml:space="preserve">het ministerie van </w:t>
            </w:r>
            <w:r w:rsidRPr="002A1F9A">
              <w:rPr>
                <w:rFonts w:ascii="Verdana" w:hAnsi="Verdana"/>
                <w:sz w:val="18"/>
                <w:szCs w:val="18"/>
              </w:rPr>
              <w:t xml:space="preserve">OCW van de bij Miljoenennota 2026 aangekondigde korting bij Voorjaarsnota 2026. Immers, het betreft een korting van € 380 miljoen over de volle breedte van de Rijksbegroting. Het is nog niet bekend welk deel neerslaat op de OCW-begroting, omdat de grondslagen voor de loon- en prijsbijstelling jaarlijks in het najaar worden vastgesteld en de percentages bij Voorjaarsnota worden vastgesteld. Op het moment dat de korting voor </w:t>
            </w:r>
            <w:r w:rsidRPr="002A1F9A" w:rsidR="009A3C2E">
              <w:rPr>
                <w:rFonts w:ascii="Verdana" w:hAnsi="Verdana"/>
                <w:sz w:val="18"/>
                <w:szCs w:val="18"/>
              </w:rPr>
              <w:t xml:space="preserve">het miniserie van </w:t>
            </w:r>
            <w:r w:rsidRPr="002A1F9A">
              <w:rPr>
                <w:rFonts w:ascii="Verdana" w:hAnsi="Verdana"/>
                <w:sz w:val="18"/>
                <w:szCs w:val="18"/>
              </w:rPr>
              <w:t xml:space="preserve">OCW bekend is, zal </w:t>
            </w:r>
            <w:r w:rsidRPr="002A1F9A" w:rsidR="009A3C2E">
              <w:rPr>
                <w:rFonts w:ascii="Verdana" w:hAnsi="Verdana"/>
                <w:sz w:val="18"/>
                <w:szCs w:val="18"/>
              </w:rPr>
              <w:t xml:space="preserve">het ministerie van </w:t>
            </w:r>
            <w:r w:rsidRPr="002A1F9A">
              <w:rPr>
                <w:rFonts w:ascii="Verdana" w:hAnsi="Verdana"/>
                <w:sz w:val="18"/>
                <w:szCs w:val="18"/>
              </w:rPr>
              <w:t xml:space="preserve">OCW dit meenemen in de integrale afweging van de Voorjaarsnota en </w:t>
            </w:r>
            <w:r w:rsidRPr="002A1F9A" w:rsidR="009C1E65">
              <w:rPr>
                <w:rFonts w:ascii="Verdana" w:hAnsi="Verdana"/>
                <w:sz w:val="18"/>
                <w:szCs w:val="18"/>
              </w:rPr>
              <w:t>uw</w:t>
            </w:r>
            <w:r w:rsidRPr="002A1F9A">
              <w:rPr>
                <w:rFonts w:ascii="Verdana" w:hAnsi="Verdana"/>
                <w:sz w:val="18"/>
                <w:szCs w:val="18"/>
              </w:rPr>
              <w:t xml:space="preserve"> Kamer daarover informeren in de Eerste suppletoire begroting 2025. Ook hier geldt dat de consequenties zullen verschillen per ontvanger van prijsbijstelling en dat er in algemene zin sprake is van een reële bezuiniging.</w:t>
            </w:r>
          </w:p>
        </w:tc>
        <w:tc>
          <w:tcPr>
            <w:tcW w:w="850" w:type="dxa"/>
            <w:gridSpan w:val="2"/>
          </w:tcPr>
          <w:p w:rsidRPr="002A1F9A" w:rsidR="00DB2CBB" w:rsidP="00DB2CBB" w:rsidRDefault="00DB2CBB" w14:paraId="179E2158"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DB2CBB" w:rsidP="00DB2CBB" w:rsidRDefault="00DB2CBB" w14:paraId="2871E94A" w14:textId="77777777">
            <w:pPr>
              <w:jc w:val="right"/>
              <w:rPr>
                <w:rFonts w:ascii="Verdana" w:hAnsi="Verdana"/>
                <w:sz w:val="18"/>
                <w:szCs w:val="18"/>
              </w:rPr>
            </w:pPr>
            <w:r w:rsidRPr="002A1F9A">
              <w:rPr>
                <w:rFonts w:ascii="Verdana" w:hAnsi="Verdana"/>
                <w:sz w:val="18"/>
                <w:szCs w:val="18"/>
              </w:rPr>
              <w:t>35</w:t>
            </w:r>
          </w:p>
        </w:tc>
        <w:tc>
          <w:tcPr>
            <w:tcW w:w="567" w:type="dxa"/>
            <w:tcBorders>
              <w:left w:val="nil"/>
            </w:tcBorders>
          </w:tcPr>
          <w:p w:rsidRPr="002A1F9A" w:rsidR="00DB2CBB" w:rsidP="00DB2CBB" w:rsidRDefault="00DB2CBB" w14:paraId="350F77D4" w14:textId="77777777">
            <w:pPr>
              <w:jc w:val="right"/>
              <w:rPr>
                <w:rFonts w:ascii="Verdana" w:hAnsi="Verdana"/>
                <w:sz w:val="18"/>
                <w:szCs w:val="18"/>
              </w:rPr>
            </w:pPr>
            <w:r w:rsidRPr="002A1F9A">
              <w:rPr>
                <w:rFonts w:ascii="Verdana" w:hAnsi="Verdana"/>
                <w:sz w:val="18"/>
                <w:szCs w:val="18"/>
              </w:rPr>
              <w:t xml:space="preserve"> </w:t>
            </w:r>
          </w:p>
        </w:tc>
      </w:tr>
    </w:tbl>
    <w:p w:rsidRPr="002A1F9A" w:rsidR="00DB654F" w:rsidRDefault="00DB654F" w14:paraId="3FBAA14D" w14:textId="396AC088">
      <w:pPr>
        <w:rPr>
          <w:rFonts w:ascii="Verdana" w:hAnsi="Verdana"/>
          <w:sz w:val="18"/>
          <w:szCs w:val="18"/>
        </w:rPr>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A1F9A" w:rsidR="001256CA" w:rsidTr="00E7153D" w14:paraId="750FC25B" w14:textId="77777777">
        <w:tc>
          <w:tcPr>
            <w:tcW w:w="567" w:type="dxa"/>
          </w:tcPr>
          <w:p w:rsidRPr="002A1F9A" w:rsidR="001256CA" w:rsidRDefault="001856D0" w14:paraId="72E2A5C0" w14:textId="5A566702">
            <w:pPr>
              <w:rPr>
                <w:rFonts w:ascii="Verdana" w:hAnsi="Verdana"/>
                <w:sz w:val="18"/>
                <w:szCs w:val="18"/>
              </w:rPr>
            </w:pPr>
            <w:r w:rsidRPr="002A1F9A">
              <w:rPr>
                <w:rFonts w:ascii="Verdana" w:hAnsi="Verdana"/>
                <w:sz w:val="18"/>
                <w:szCs w:val="18"/>
              </w:rPr>
              <w:t>110</w:t>
            </w:r>
          </w:p>
        </w:tc>
        <w:tc>
          <w:tcPr>
            <w:tcW w:w="6521" w:type="dxa"/>
          </w:tcPr>
          <w:p w:rsidRPr="002A1F9A" w:rsidR="001256CA" w:rsidRDefault="001856D0" w14:paraId="68A7577C" w14:textId="77777777">
            <w:pPr>
              <w:rPr>
                <w:rFonts w:ascii="Verdana" w:hAnsi="Verdana"/>
                <w:sz w:val="18"/>
                <w:szCs w:val="18"/>
              </w:rPr>
            </w:pPr>
            <w:r w:rsidRPr="002A1F9A">
              <w:rPr>
                <w:rFonts w:ascii="Verdana" w:hAnsi="Verdana"/>
                <w:sz w:val="18"/>
                <w:szCs w:val="18"/>
              </w:rPr>
              <w:t>Hoe is het momenteel gesteld met de positie van vrouwen in Nederland, uitgesplitst per socio-economische klasse, leeftijd en oog hebbende voor andere factoren zoals bijvoorbeeld een beperking, taalbarrière of migratieachtergrond</w:t>
            </w:r>
            <w:r w:rsidRPr="002A1F9A" w:rsidR="00C15E11">
              <w:rPr>
                <w:rFonts w:ascii="Verdana" w:hAnsi="Verdana"/>
                <w:sz w:val="18"/>
                <w:szCs w:val="18"/>
              </w:rPr>
              <w:t>,</w:t>
            </w:r>
            <w:r w:rsidRPr="002A1F9A" w:rsidR="00D10C89">
              <w:rPr>
                <w:rFonts w:ascii="Verdana" w:hAnsi="Verdana"/>
                <w:sz w:val="18"/>
                <w:szCs w:val="18"/>
              </w:rPr>
              <w:t xml:space="preserve"> en k</w:t>
            </w:r>
            <w:r w:rsidRPr="002A1F9A">
              <w:rPr>
                <w:rFonts w:ascii="Verdana" w:hAnsi="Verdana"/>
                <w:sz w:val="18"/>
                <w:szCs w:val="18"/>
              </w:rPr>
              <w:t>an er in het bijzonder gereflecteerd worden op de positie van vrouwen wat betreft sociale veiligheid, economische zelfstandigheid en positie op de arbeidsmarkt?</w:t>
            </w:r>
          </w:p>
          <w:p w:rsidRPr="002A1F9A" w:rsidR="00025018" w:rsidRDefault="00025018" w14:paraId="423E0790" w14:textId="77777777">
            <w:pPr>
              <w:rPr>
                <w:rFonts w:ascii="Verdana" w:hAnsi="Verdana"/>
                <w:sz w:val="18"/>
                <w:szCs w:val="18"/>
              </w:rPr>
            </w:pPr>
          </w:p>
          <w:p w:rsidRPr="002A1F9A" w:rsidR="00025018" w:rsidP="00025018" w:rsidRDefault="00025018" w14:paraId="60B4F926" w14:textId="77777777">
            <w:pPr>
              <w:rPr>
                <w:rFonts w:ascii="Verdana" w:hAnsi="Verdana"/>
                <w:sz w:val="18"/>
                <w:szCs w:val="18"/>
              </w:rPr>
            </w:pPr>
            <w:r w:rsidRPr="002A1F9A">
              <w:rPr>
                <w:rFonts w:ascii="Verdana" w:hAnsi="Verdana"/>
                <w:sz w:val="18"/>
                <w:szCs w:val="18"/>
              </w:rPr>
              <w:t xml:space="preserve">In de laatste Europese Gender </w:t>
            </w:r>
            <w:proofErr w:type="spellStart"/>
            <w:r w:rsidRPr="002A1F9A">
              <w:rPr>
                <w:rFonts w:ascii="Verdana" w:hAnsi="Verdana"/>
                <w:sz w:val="18"/>
                <w:szCs w:val="18"/>
              </w:rPr>
              <w:t>Equality</w:t>
            </w:r>
            <w:proofErr w:type="spellEnd"/>
            <w:r w:rsidRPr="002A1F9A">
              <w:rPr>
                <w:rFonts w:ascii="Verdana" w:hAnsi="Verdana"/>
                <w:sz w:val="18"/>
                <w:szCs w:val="18"/>
              </w:rPr>
              <w:t xml:space="preserve"> Index (2024) kreeg Nederland met 78.8 punten een derde plek toegewezen, na Zweden (82) en met eenzelfde score als Denemarken. Uiteraard betekent deze score ook dat er nog werk te verzetten is om gelijkwaardigheid tussen mannen en vrouwen te realiseren. Om vooruitgang te boeken, dient rekening gehouden te worden met verschillen tussen vrouwen onderling. Hieronder enkele voorbeelden ter illustratie; voor verdere inzichten verwijs ik u naar de Emancipatiemonitor, de </w:t>
            </w:r>
            <w:proofErr w:type="spellStart"/>
            <w:r w:rsidRPr="002A1F9A">
              <w:rPr>
                <w:rFonts w:ascii="Verdana" w:hAnsi="Verdana"/>
                <w:sz w:val="18"/>
                <w:szCs w:val="18"/>
              </w:rPr>
              <w:t>Lhbtiqa</w:t>
            </w:r>
            <w:proofErr w:type="spellEnd"/>
            <w:r w:rsidRPr="002A1F9A">
              <w:rPr>
                <w:rFonts w:ascii="Verdana" w:hAnsi="Verdana"/>
                <w:sz w:val="18"/>
                <w:szCs w:val="18"/>
              </w:rPr>
              <w:t xml:space="preserve">+-monitor, en de Veiligheidsmonitor. </w:t>
            </w:r>
          </w:p>
          <w:p w:rsidRPr="002A1F9A" w:rsidR="00025018" w:rsidP="00025018" w:rsidRDefault="00025018" w14:paraId="19C71ED8" w14:textId="77777777">
            <w:pPr>
              <w:rPr>
                <w:rFonts w:ascii="Verdana" w:hAnsi="Verdana"/>
                <w:sz w:val="18"/>
                <w:szCs w:val="18"/>
              </w:rPr>
            </w:pPr>
          </w:p>
          <w:p w:rsidRPr="002A1F9A" w:rsidR="00025018" w:rsidP="00025018" w:rsidRDefault="00025018" w14:paraId="06F6F780" w14:textId="77777777">
            <w:pPr>
              <w:rPr>
                <w:rFonts w:ascii="Verdana" w:hAnsi="Verdana"/>
                <w:sz w:val="18"/>
                <w:szCs w:val="18"/>
                <w:u w:val="single"/>
              </w:rPr>
            </w:pPr>
            <w:r w:rsidRPr="002A1F9A">
              <w:rPr>
                <w:rFonts w:ascii="Verdana" w:hAnsi="Verdana"/>
                <w:sz w:val="18"/>
                <w:szCs w:val="18"/>
                <w:u w:val="single"/>
              </w:rPr>
              <w:t>Sociale veiligheid</w:t>
            </w:r>
          </w:p>
          <w:p w:rsidRPr="002A1F9A" w:rsidR="00025018" w:rsidP="00025018" w:rsidRDefault="00025018" w14:paraId="4B81915D" w14:textId="7277B35B">
            <w:pPr>
              <w:rPr>
                <w:rFonts w:ascii="Verdana" w:hAnsi="Verdana"/>
                <w:sz w:val="18"/>
                <w:szCs w:val="18"/>
              </w:rPr>
            </w:pPr>
            <w:r w:rsidRPr="002A1F9A">
              <w:rPr>
                <w:rFonts w:ascii="Verdana" w:hAnsi="Verdana"/>
                <w:sz w:val="18"/>
                <w:szCs w:val="18"/>
              </w:rPr>
              <w:t xml:space="preserve">Uit de laatste Veiligheidsmonitor (CBS) blijkt dat in 2023 ongeveer evenveel mannen als vrouwen (15 jaar of ouder) slachtoffer is geworden van geweldsdelicten. Het is daarbij wel belangrijk te </w:t>
            </w:r>
            <w:r w:rsidRPr="002A1F9A">
              <w:rPr>
                <w:rFonts w:ascii="Verdana" w:hAnsi="Verdana"/>
                <w:sz w:val="18"/>
                <w:szCs w:val="18"/>
              </w:rPr>
              <w:lastRenderedPageBreak/>
              <w:t>benadrukken dat vrouwen 5 keer vaker slachtoffer waren van seksueel geweld dan mannen. Vooral jonge vrouwen (15 en 25 jaar) zijn slachtoffer van geweld, en van seksueel geweld in het bijzonder. 5</w:t>
            </w:r>
            <w:r w:rsidRPr="002A1F9A" w:rsidR="00514931">
              <w:rPr>
                <w:rFonts w:ascii="Verdana" w:hAnsi="Verdana"/>
                <w:sz w:val="18"/>
                <w:szCs w:val="18"/>
              </w:rPr>
              <w:t xml:space="preserve">% </w:t>
            </w:r>
            <w:r w:rsidRPr="002A1F9A">
              <w:rPr>
                <w:rFonts w:ascii="Verdana" w:hAnsi="Verdana"/>
                <w:sz w:val="18"/>
                <w:szCs w:val="18"/>
              </w:rPr>
              <w:t xml:space="preserve">van de tweede-generatievrouwen was slachtoffer van seksueel geweld, tegenover </w:t>
            </w:r>
            <w:r w:rsidRPr="002A1F9A" w:rsidR="00514931">
              <w:rPr>
                <w:rFonts w:ascii="Verdana" w:hAnsi="Verdana"/>
                <w:sz w:val="18"/>
                <w:szCs w:val="18"/>
              </w:rPr>
              <w:t xml:space="preserve">3% </w:t>
            </w:r>
            <w:r w:rsidRPr="002A1F9A">
              <w:rPr>
                <w:rFonts w:ascii="Verdana" w:hAnsi="Verdana"/>
                <w:sz w:val="18"/>
                <w:szCs w:val="18"/>
              </w:rPr>
              <w:t>van de vrouwen van Nederlandse herkomst. Bi+ vrouwen ervaren ook vaker dan heteroseksuele vrouwen geweldsdelicten (12,9</w:t>
            </w:r>
            <w:r w:rsidRPr="002A1F9A" w:rsidR="00514931">
              <w:rPr>
                <w:rFonts w:ascii="Verdana" w:hAnsi="Verdana"/>
                <w:sz w:val="18"/>
                <w:szCs w:val="18"/>
              </w:rPr>
              <w:t>%</w:t>
            </w:r>
            <w:r w:rsidRPr="002A1F9A">
              <w:rPr>
                <w:rFonts w:ascii="Verdana" w:hAnsi="Verdana"/>
                <w:sz w:val="18"/>
                <w:szCs w:val="18"/>
              </w:rPr>
              <w:t xml:space="preserve"> tegenover 6,</w:t>
            </w:r>
            <w:r w:rsidRPr="002A1F9A" w:rsidR="00514931">
              <w:rPr>
                <w:rFonts w:ascii="Verdana" w:hAnsi="Verdana"/>
                <w:sz w:val="18"/>
                <w:szCs w:val="18"/>
              </w:rPr>
              <w:t>1%</w:t>
            </w:r>
            <w:r w:rsidRPr="002A1F9A">
              <w:rPr>
                <w:rFonts w:ascii="Verdana" w:hAnsi="Verdana"/>
                <w:sz w:val="18"/>
                <w:szCs w:val="18"/>
              </w:rPr>
              <w:t xml:space="preserve">). </w:t>
            </w:r>
            <w:r w:rsidRPr="002A1F9A">
              <w:rPr>
                <w:rFonts w:ascii="Verdana" w:hAnsi="Verdana"/>
                <w:sz w:val="18"/>
                <w:szCs w:val="18"/>
              </w:rPr>
              <w:cr/>
            </w:r>
          </w:p>
          <w:p w:rsidRPr="002A1F9A" w:rsidR="00025018" w:rsidP="00025018" w:rsidRDefault="00025018" w14:paraId="44B2688A" w14:textId="77777777">
            <w:pPr>
              <w:rPr>
                <w:rFonts w:ascii="Verdana" w:hAnsi="Verdana"/>
                <w:sz w:val="18"/>
                <w:szCs w:val="18"/>
                <w:u w:val="single"/>
              </w:rPr>
            </w:pPr>
            <w:r w:rsidRPr="002A1F9A">
              <w:rPr>
                <w:rFonts w:ascii="Verdana" w:hAnsi="Verdana"/>
                <w:sz w:val="18"/>
                <w:szCs w:val="18"/>
                <w:u w:val="single"/>
              </w:rPr>
              <w:t>Economische zelfstandigheid</w:t>
            </w:r>
          </w:p>
          <w:p w:rsidRPr="002A1F9A" w:rsidR="00025018" w:rsidP="00025018" w:rsidRDefault="00025018" w14:paraId="0B61421D" w14:textId="7BBA60BD">
            <w:pPr>
              <w:rPr>
                <w:rFonts w:ascii="Verdana" w:hAnsi="Verdana"/>
                <w:sz w:val="18"/>
                <w:szCs w:val="18"/>
              </w:rPr>
            </w:pPr>
            <w:r w:rsidRPr="002A1F9A">
              <w:rPr>
                <w:rFonts w:ascii="Verdana" w:hAnsi="Verdana"/>
                <w:sz w:val="18"/>
                <w:szCs w:val="18"/>
              </w:rPr>
              <w:t xml:space="preserve">Volgens het </w:t>
            </w:r>
            <w:hyperlink w:history="1" r:id="rId62">
              <w:r w:rsidRPr="002A1F9A">
                <w:rPr>
                  <w:rStyle w:val="Hyperlink"/>
                  <w:rFonts w:ascii="Verdana" w:hAnsi="Verdana"/>
                  <w:sz w:val="18"/>
                  <w:szCs w:val="18"/>
                </w:rPr>
                <w:t>CBS</w:t>
              </w:r>
            </w:hyperlink>
            <w:r w:rsidRPr="002A1F9A">
              <w:rPr>
                <w:rFonts w:ascii="Verdana" w:hAnsi="Verdana"/>
                <w:sz w:val="18"/>
                <w:szCs w:val="18"/>
              </w:rPr>
              <w:t xml:space="preserve"> is tussen 1977 en 2022 is het aandeel vrouwen dat economisch zelfstandig is gegroeid – van 20</w:t>
            </w:r>
            <w:r w:rsidRPr="002A1F9A" w:rsidR="00514931">
              <w:rPr>
                <w:rFonts w:ascii="Verdana" w:hAnsi="Verdana"/>
                <w:sz w:val="18"/>
                <w:szCs w:val="18"/>
              </w:rPr>
              <w:t>%</w:t>
            </w:r>
            <w:r w:rsidRPr="002A1F9A">
              <w:rPr>
                <w:rFonts w:ascii="Verdana" w:hAnsi="Verdana"/>
                <w:sz w:val="18"/>
                <w:szCs w:val="18"/>
              </w:rPr>
              <w:t xml:space="preserve"> naar bijna 70</w:t>
            </w:r>
            <w:r w:rsidRPr="002A1F9A" w:rsidR="00514931">
              <w:rPr>
                <w:rFonts w:ascii="Verdana" w:hAnsi="Verdana"/>
                <w:sz w:val="18"/>
                <w:szCs w:val="18"/>
              </w:rPr>
              <w:t>%</w:t>
            </w:r>
            <w:r w:rsidRPr="002A1F9A">
              <w:rPr>
                <w:rFonts w:ascii="Verdana" w:hAnsi="Verdana"/>
                <w:sz w:val="18"/>
                <w:szCs w:val="18"/>
              </w:rPr>
              <w:t>. Bij mannen bleef dit aandeel stabiel rond 80</w:t>
            </w:r>
            <w:r w:rsidRPr="002A1F9A" w:rsidR="00514931">
              <w:rPr>
                <w:rFonts w:ascii="Verdana" w:hAnsi="Verdana"/>
                <w:sz w:val="18"/>
                <w:szCs w:val="18"/>
              </w:rPr>
              <w:t>%</w:t>
            </w:r>
            <w:r w:rsidRPr="002A1F9A">
              <w:rPr>
                <w:rFonts w:ascii="Verdana" w:hAnsi="Verdana"/>
                <w:sz w:val="18"/>
                <w:szCs w:val="18"/>
              </w:rPr>
              <w:t>. In 2024 had volgens het CBS 6</w:t>
            </w:r>
            <w:r w:rsidRPr="002A1F9A" w:rsidR="00514931">
              <w:rPr>
                <w:rFonts w:ascii="Verdana" w:hAnsi="Verdana"/>
                <w:sz w:val="18"/>
                <w:szCs w:val="18"/>
              </w:rPr>
              <w:t xml:space="preserve">% </w:t>
            </w:r>
            <w:r w:rsidRPr="002A1F9A">
              <w:rPr>
                <w:rFonts w:ascii="Verdana" w:hAnsi="Verdana"/>
                <w:sz w:val="18"/>
                <w:szCs w:val="18"/>
              </w:rPr>
              <w:t>van de vrouwen geen eigen inkomen, en volgden zij ook geen onderwijs (</w:t>
            </w:r>
            <w:hyperlink w:history="1" r:id="rId63">
              <w:r w:rsidRPr="002A1F9A">
                <w:rPr>
                  <w:rStyle w:val="Hyperlink"/>
                  <w:rFonts w:ascii="Verdana" w:hAnsi="Verdana"/>
                  <w:sz w:val="18"/>
                  <w:szCs w:val="18"/>
                </w:rPr>
                <w:t>CBS</w:t>
              </w:r>
            </w:hyperlink>
            <w:r w:rsidRPr="002A1F9A">
              <w:rPr>
                <w:rFonts w:ascii="Verdana" w:hAnsi="Verdana"/>
                <w:sz w:val="18"/>
                <w:szCs w:val="18"/>
              </w:rPr>
              <w:t>). Tien jaar eerder was dit nog 10</w:t>
            </w:r>
            <w:r w:rsidRPr="002A1F9A" w:rsidR="00514931">
              <w:rPr>
                <w:rFonts w:ascii="Verdana" w:hAnsi="Verdana"/>
                <w:sz w:val="18"/>
                <w:szCs w:val="18"/>
              </w:rPr>
              <w:t>%</w:t>
            </w:r>
            <w:r w:rsidRPr="002A1F9A">
              <w:rPr>
                <w:rFonts w:ascii="Verdana" w:hAnsi="Verdana"/>
                <w:sz w:val="18"/>
                <w:szCs w:val="18"/>
              </w:rPr>
              <w:t>. Er zijn dus steeds minder vrouwen zonder eigen inkomen, al is het contrast met de mannen (2</w:t>
            </w:r>
            <w:r w:rsidRPr="002A1F9A" w:rsidR="00514931">
              <w:rPr>
                <w:rFonts w:ascii="Verdana" w:hAnsi="Verdana"/>
                <w:sz w:val="18"/>
                <w:szCs w:val="18"/>
              </w:rPr>
              <w:t>%</w:t>
            </w:r>
            <w:r w:rsidRPr="002A1F9A">
              <w:rPr>
                <w:rFonts w:ascii="Verdana" w:hAnsi="Verdana"/>
                <w:sz w:val="18"/>
                <w:szCs w:val="18"/>
              </w:rPr>
              <w:t xml:space="preserve">) nog altijd groot. Uit </w:t>
            </w:r>
            <w:hyperlink w:history="1" r:id="rId64">
              <w:r w:rsidRPr="002A1F9A">
                <w:rPr>
                  <w:rStyle w:val="Hyperlink"/>
                  <w:rFonts w:ascii="Verdana" w:hAnsi="Verdana"/>
                  <w:sz w:val="18"/>
                  <w:szCs w:val="18"/>
                </w:rPr>
                <w:t>onderzoek</w:t>
              </w:r>
            </w:hyperlink>
            <w:r w:rsidRPr="002A1F9A">
              <w:rPr>
                <w:rFonts w:ascii="Verdana" w:hAnsi="Verdana"/>
                <w:sz w:val="18"/>
                <w:szCs w:val="18"/>
              </w:rPr>
              <w:t xml:space="preserve"> van de UU en het CBS blijkt dat vrouwen zonder eigen inkomen gemiddeld ouder zijn, vaker getrouwd en ook vaker moeder dan vrouwen met inkomen. Verder telt de groep zonder inkomen met 33</w:t>
            </w:r>
            <w:r w:rsidRPr="002A1F9A" w:rsidR="00514931">
              <w:rPr>
                <w:rFonts w:ascii="Verdana" w:hAnsi="Verdana"/>
                <w:sz w:val="18"/>
                <w:szCs w:val="18"/>
              </w:rPr>
              <w:t xml:space="preserve">% </w:t>
            </w:r>
            <w:r w:rsidRPr="002A1F9A">
              <w:rPr>
                <w:rFonts w:ascii="Verdana" w:hAnsi="Verdana"/>
                <w:sz w:val="18"/>
                <w:szCs w:val="18"/>
              </w:rPr>
              <w:t>meer vrouwen die in het buitenland zijn geboren dan gemiddeld (19</w:t>
            </w:r>
            <w:r w:rsidRPr="002A1F9A" w:rsidR="00514931">
              <w:rPr>
                <w:rFonts w:ascii="Verdana" w:hAnsi="Verdana"/>
                <w:sz w:val="18"/>
                <w:szCs w:val="18"/>
              </w:rPr>
              <w:t>%</w:t>
            </w:r>
            <w:r w:rsidRPr="002A1F9A">
              <w:rPr>
                <w:rFonts w:ascii="Verdana" w:hAnsi="Verdana"/>
                <w:sz w:val="18"/>
                <w:szCs w:val="18"/>
              </w:rPr>
              <w:t xml:space="preserve">). Ook wonen zij vaker in minder welvarende huishoudens, en in stedelijke gebieden. </w:t>
            </w:r>
          </w:p>
          <w:p w:rsidRPr="002A1F9A" w:rsidR="00025018" w:rsidP="00025018" w:rsidRDefault="00025018" w14:paraId="2D320D0E" w14:textId="77777777">
            <w:pPr>
              <w:rPr>
                <w:rFonts w:ascii="Verdana" w:hAnsi="Verdana"/>
                <w:sz w:val="18"/>
                <w:szCs w:val="18"/>
              </w:rPr>
            </w:pPr>
          </w:p>
          <w:p w:rsidRPr="002A1F9A" w:rsidR="00025018" w:rsidP="00025018" w:rsidRDefault="00025018" w14:paraId="742BA69A" w14:textId="77777777">
            <w:pPr>
              <w:rPr>
                <w:rFonts w:ascii="Verdana" w:hAnsi="Verdana"/>
                <w:sz w:val="18"/>
                <w:szCs w:val="18"/>
                <w:u w:val="single"/>
              </w:rPr>
            </w:pPr>
            <w:r w:rsidRPr="002A1F9A">
              <w:rPr>
                <w:rFonts w:ascii="Verdana" w:hAnsi="Verdana"/>
                <w:sz w:val="18"/>
                <w:szCs w:val="18"/>
                <w:u w:val="single"/>
              </w:rPr>
              <w:t>Positie op de arbeidsmarkt</w:t>
            </w:r>
          </w:p>
          <w:p w:rsidRPr="002A1F9A" w:rsidR="00025018" w:rsidP="00025018" w:rsidRDefault="00025018" w14:paraId="2EA1C9ED" w14:textId="027DF7A4">
            <w:pPr>
              <w:rPr>
                <w:rFonts w:ascii="Verdana" w:hAnsi="Verdana"/>
                <w:sz w:val="18"/>
                <w:szCs w:val="18"/>
              </w:rPr>
            </w:pPr>
            <w:r w:rsidRPr="002A1F9A">
              <w:rPr>
                <w:rFonts w:ascii="Verdana" w:hAnsi="Verdana"/>
                <w:sz w:val="18"/>
                <w:szCs w:val="18"/>
              </w:rPr>
              <w:t>De Emancipatiemonitor 2024 noteert dat van de werkzame beroepsbevolking (7,5 miljoen personen) 47</w:t>
            </w:r>
            <w:r w:rsidRPr="002A1F9A" w:rsidR="00514931">
              <w:rPr>
                <w:rFonts w:ascii="Verdana" w:hAnsi="Verdana"/>
                <w:sz w:val="18"/>
                <w:szCs w:val="18"/>
              </w:rPr>
              <w:t xml:space="preserve">% </w:t>
            </w:r>
            <w:r w:rsidRPr="002A1F9A">
              <w:rPr>
                <w:rFonts w:ascii="Verdana" w:hAnsi="Verdana"/>
                <w:sz w:val="18"/>
                <w:szCs w:val="18"/>
              </w:rPr>
              <w:t xml:space="preserve">vrouw was. Tot de leeftijd van 45 jaar verschilt de </w:t>
            </w:r>
            <w:proofErr w:type="spellStart"/>
            <w:r w:rsidRPr="002A1F9A">
              <w:rPr>
                <w:rFonts w:ascii="Verdana" w:hAnsi="Verdana"/>
                <w:sz w:val="18"/>
                <w:szCs w:val="18"/>
              </w:rPr>
              <w:t>nettoarbeidsparticipatie</w:t>
            </w:r>
            <w:proofErr w:type="spellEnd"/>
            <w:r w:rsidRPr="002A1F9A">
              <w:rPr>
                <w:rFonts w:ascii="Verdana" w:hAnsi="Verdana"/>
                <w:sz w:val="18"/>
                <w:szCs w:val="18"/>
              </w:rPr>
              <w:t xml:space="preserve"> van vrouwen en mannen relatief weinig als ze (nog) geen kinderen hebben. Bij paren met minderjarige kinderen komt de combinatie van een voltijd werkende man en een deeltijd werkende vrouw het vaakst voor (55</w:t>
            </w:r>
            <w:r w:rsidRPr="002A1F9A" w:rsidR="00514931">
              <w:rPr>
                <w:rFonts w:ascii="Verdana" w:hAnsi="Verdana"/>
                <w:sz w:val="18"/>
                <w:szCs w:val="18"/>
              </w:rPr>
              <w:t>%</w:t>
            </w:r>
            <w:r w:rsidRPr="002A1F9A">
              <w:rPr>
                <w:rFonts w:ascii="Verdana" w:hAnsi="Verdana"/>
                <w:sz w:val="18"/>
                <w:szCs w:val="18"/>
              </w:rPr>
              <w:t>). Vrouwen werken vooral deeltijd om zorgtaken. Alleenstaande moeders met een kind jonger dan twaalf jaar participeren relatief weinig op de arbeidsmarkt, maar van de werkende vrouwen die alleenstaande ouder zijn, zou 8</w:t>
            </w:r>
            <w:r w:rsidRPr="002A1F9A" w:rsidR="00514931">
              <w:rPr>
                <w:rFonts w:ascii="Verdana" w:hAnsi="Verdana"/>
                <w:sz w:val="18"/>
                <w:szCs w:val="18"/>
              </w:rPr>
              <w:t xml:space="preserve">% </w:t>
            </w:r>
            <w:r w:rsidRPr="002A1F9A">
              <w:rPr>
                <w:rFonts w:ascii="Verdana" w:hAnsi="Verdana"/>
                <w:sz w:val="18"/>
                <w:szCs w:val="18"/>
              </w:rPr>
              <w:t>meer uren willen werken, wat meer is dan onder andere groepen vrouwen en meer dan onder mannen. Mannen hebben vaker een betaalde baan dan vrouwen, en dat verschil is groter bij mensen die in het buitenland geboren zijn dan bij mensen die in Nederland geboren zijn. Onder die eerste groep had 64,6</w:t>
            </w:r>
            <w:r w:rsidRPr="002A1F9A" w:rsidR="00514931">
              <w:rPr>
                <w:rFonts w:ascii="Verdana" w:hAnsi="Verdana"/>
                <w:sz w:val="18"/>
                <w:szCs w:val="18"/>
              </w:rPr>
              <w:t xml:space="preserve">% </w:t>
            </w:r>
            <w:r w:rsidRPr="002A1F9A">
              <w:rPr>
                <w:rFonts w:ascii="Verdana" w:hAnsi="Verdana"/>
                <w:sz w:val="18"/>
                <w:szCs w:val="18"/>
              </w:rPr>
              <w:t>van de vrouwen werk in de periode 2021 tot en met 2023, tegenover 78,9</w:t>
            </w:r>
            <w:r w:rsidRPr="002A1F9A" w:rsidR="00514931">
              <w:rPr>
                <w:rFonts w:ascii="Verdana" w:hAnsi="Verdana"/>
                <w:sz w:val="18"/>
                <w:szCs w:val="18"/>
              </w:rPr>
              <w:t xml:space="preserve">% </w:t>
            </w:r>
            <w:r w:rsidRPr="002A1F9A">
              <w:rPr>
                <w:rFonts w:ascii="Verdana" w:hAnsi="Verdana"/>
                <w:sz w:val="18"/>
                <w:szCs w:val="18"/>
              </w:rPr>
              <w:t>van de mannen.</w:t>
            </w:r>
          </w:p>
          <w:p w:rsidRPr="002A1F9A" w:rsidR="00025018" w:rsidP="00025018" w:rsidRDefault="00025018" w14:paraId="7BFDAF4E" w14:textId="49A35DF4">
            <w:pPr>
              <w:rPr>
                <w:rFonts w:ascii="Verdana" w:hAnsi="Verdana"/>
                <w:sz w:val="18"/>
                <w:szCs w:val="18"/>
              </w:rPr>
            </w:pPr>
          </w:p>
        </w:tc>
        <w:tc>
          <w:tcPr>
            <w:tcW w:w="850" w:type="dxa"/>
          </w:tcPr>
          <w:p w:rsidRPr="002A1F9A" w:rsidR="001256CA" w:rsidRDefault="001856D0" w14:paraId="4E3B4D94"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41C058D"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520DC372"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78E2B81" w14:textId="77777777">
        <w:tc>
          <w:tcPr>
            <w:tcW w:w="567" w:type="dxa"/>
          </w:tcPr>
          <w:p w:rsidRPr="002A1F9A" w:rsidR="001256CA" w:rsidRDefault="001856D0" w14:paraId="78A00402" w14:textId="77777777">
            <w:pPr>
              <w:rPr>
                <w:rFonts w:ascii="Verdana" w:hAnsi="Verdana"/>
                <w:sz w:val="18"/>
                <w:szCs w:val="18"/>
              </w:rPr>
            </w:pPr>
            <w:r w:rsidRPr="002A1F9A">
              <w:rPr>
                <w:rFonts w:ascii="Verdana" w:hAnsi="Verdana"/>
                <w:sz w:val="18"/>
                <w:szCs w:val="18"/>
              </w:rPr>
              <w:t>111</w:t>
            </w:r>
          </w:p>
        </w:tc>
        <w:tc>
          <w:tcPr>
            <w:tcW w:w="6521" w:type="dxa"/>
          </w:tcPr>
          <w:p w:rsidRPr="002A1F9A" w:rsidR="001256CA" w:rsidRDefault="001856D0" w14:paraId="352D96F1" w14:textId="77777777">
            <w:pPr>
              <w:rPr>
                <w:rFonts w:ascii="Verdana" w:hAnsi="Verdana"/>
                <w:sz w:val="18"/>
                <w:szCs w:val="18"/>
              </w:rPr>
            </w:pPr>
            <w:r w:rsidRPr="002A1F9A">
              <w:rPr>
                <w:rFonts w:ascii="Verdana" w:hAnsi="Verdana"/>
                <w:sz w:val="18"/>
                <w:szCs w:val="18"/>
              </w:rPr>
              <w:t>Hoeveel docenten voelen zich op dit moment niet veilig op school of in de klas vanwege hun seksuele geaardheid?</w:t>
            </w:r>
          </w:p>
          <w:p w:rsidRPr="002A1F9A" w:rsidR="00DB2CBB" w:rsidRDefault="00DB2CBB" w14:paraId="13EA2590" w14:textId="77777777">
            <w:pPr>
              <w:rPr>
                <w:rFonts w:ascii="Verdana" w:hAnsi="Verdana"/>
                <w:sz w:val="18"/>
                <w:szCs w:val="18"/>
              </w:rPr>
            </w:pPr>
          </w:p>
          <w:p w:rsidRPr="002A1F9A" w:rsidR="00DB2CBB" w:rsidP="00DB2CBB" w:rsidRDefault="00DB2CBB" w14:paraId="18AFBE69" w14:textId="77777777">
            <w:pPr>
              <w:rPr>
                <w:rFonts w:ascii="Verdana" w:hAnsi="Verdana"/>
                <w:sz w:val="18"/>
                <w:szCs w:val="18"/>
              </w:rPr>
            </w:pPr>
            <w:r w:rsidRPr="002A1F9A">
              <w:rPr>
                <w:rFonts w:ascii="Verdana" w:hAnsi="Verdana"/>
                <w:sz w:val="18"/>
                <w:szCs w:val="18"/>
              </w:rPr>
              <w:t xml:space="preserve">Uit de laatste Landelijke Veiligheidsmonitor (2022) blijkt dat 90% van de </w:t>
            </w:r>
            <w:proofErr w:type="spellStart"/>
            <w:r w:rsidRPr="002A1F9A">
              <w:rPr>
                <w:rFonts w:ascii="Verdana" w:hAnsi="Verdana"/>
                <w:sz w:val="18"/>
                <w:szCs w:val="18"/>
              </w:rPr>
              <w:t>lhbt</w:t>
            </w:r>
            <w:proofErr w:type="spellEnd"/>
            <w:r w:rsidRPr="002A1F9A">
              <w:rPr>
                <w:rFonts w:ascii="Verdana" w:hAnsi="Verdana"/>
                <w:sz w:val="18"/>
                <w:szCs w:val="18"/>
              </w:rPr>
              <w:t>-personeelsleden in het po zich veilig voelt, tegenover 97% van de niet-</w:t>
            </w:r>
            <w:proofErr w:type="spellStart"/>
            <w:r w:rsidRPr="002A1F9A">
              <w:rPr>
                <w:rFonts w:ascii="Verdana" w:hAnsi="Verdana"/>
                <w:sz w:val="18"/>
                <w:szCs w:val="18"/>
              </w:rPr>
              <w:t>lhbt</w:t>
            </w:r>
            <w:proofErr w:type="spellEnd"/>
            <w:r w:rsidRPr="002A1F9A">
              <w:rPr>
                <w:rFonts w:ascii="Verdana" w:hAnsi="Verdana"/>
                <w:sz w:val="18"/>
                <w:szCs w:val="18"/>
              </w:rPr>
              <w:t xml:space="preserve">-personeelsleden in het po. In het vo is er geen verschil tussen beide groepen: 95% van zowel de </w:t>
            </w:r>
            <w:proofErr w:type="spellStart"/>
            <w:r w:rsidRPr="002A1F9A">
              <w:rPr>
                <w:rFonts w:ascii="Verdana" w:hAnsi="Verdana"/>
                <w:sz w:val="18"/>
                <w:szCs w:val="18"/>
              </w:rPr>
              <w:t>lhbt</w:t>
            </w:r>
            <w:proofErr w:type="spellEnd"/>
            <w:r w:rsidRPr="002A1F9A">
              <w:rPr>
                <w:rFonts w:ascii="Verdana" w:hAnsi="Verdana"/>
                <w:sz w:val="18"/>
                <w:szCs w:val="18"/>
              </w:rPr>
              <w:t>- als de niet-</w:t>
            </w:r>
            <w:proofErr w:type="spellStart"/>
            <w:r w:rsidRPr="002A1F9A">
              <w:rPr>
                <w:rFonts w:ascii="Verdana" w:hAnsi="Verdana"/>
                <w:sz w:val="18"/>
                <w:szCs w:val="18"/>
              </w:rPr>
              <w:t>lhbt</w:t>
            </w:r>
            <w:proofErr w:type="spellEnd"/>
            <w:r w:rsidRPr="002A1F9A">
              <w:rPr>
                <w:rFonts w:ascii="Verdana" w:hAnsi="Verdana"/>
                <w:sz w:val="18"/>
                <w:szCs w:val="18"/>
              </w:rPr>
              <w:t xml:space="preserve">-personeelsleden voelt zich veilig.  </w:t>
            </w:r>
          </w:p>
          <w:p w:rsidRPr="002A1F9A" w:rsidR="00DB2CBB" w:rsidRDefault="00DB2CBB" w14:paraId="2DC6B0BF" w14:textId="77777777">
            <w:pPr>
              <w:rPr>
                <w:rFonts w:ascii="Verdana" w:hAnsi="Verdana"/>
                <w:sz w:val="18"/>
                <w:szCs w:val="18"/>
              </w:rPr>
            </w:pPr>
          </w:p>
        </w:tc>
        <w:tc>
          <w:tcPr>
            <w:tcW w:w="850" w:type="dxa"/>
          </w:tcPr>
          <w:p w:rsidRPr="002A1F9A" w:rsidR="001256CA" w:rsidRDefault="001856D0" w14:paraId="3A77582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F7D453B"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53D5AE5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A69737D" w14:textId="77777777">
        <w:tc>
          <w:tcPr>
            <w:tcW w:w="567" w:type="dxa"/>
          </w:tcPr>
          <w:p w:rsidRPr="002A1F9A" w:rsidR="001256CA" w:rsidRDefault="001856D0" w14:paraId="3427BCEB" w14:textId="77777777">
            <w:pPr>
              <w:rPr>
                <w:rFonts w:ascii="Verdana" w:hAnsi="Verdana"/>
                <w:sz w:val="18"/>
                <w:szCs w:val="18"/>
              </w:rPr>
            </w:pPr>
            <w:r w:rsidRPr="002A1F9A">
              <w:rPr>
                <w:rFonts w:ascii="Verdana" w:hAnsi="Verdana"/>
                <w:sz w:val="18"/>
                <w:szCs w:val="18"/>
              </w:rPr>
              <w:t>112</w:t>
            </w:r>
          </w:p>
        </w:tc>
        <w:tc>
          <w:tcPr>
            <w:tcW w:w="6521" w:type="dxa"/>
          </w:tcPr>
          <w:p w:rsidRPr="002A1F9A" w:rsidR="001256CA" w:rsidRDefault="001856D0" w14:paraId="7C73697C" w14:textId="77777777">
            <w:pPr>
              <w:rPr>
                <w:rFonts w:ascii="Verdana" w:hAnsi="Verdana"/>
                <w:sz w:val="18"/>
                <w:szCs w:val="18"/>
              </w:rPr>
            </w:pPr>
            <w:r w:rsidRPr="002A1F9A">
              <w:rPr>
                <w:rFonts w:ascii="Verdana" w:hAnsi="Verdana"/>
                <w:sz w:val="18"/>
                <w:szCs w:val="18"/>
              </w:rPr>
              <w:t xml:space="preserve">Wie houdt toezicht op de handhaving van het beleid wat gevoerd wordt door scholen omtrent sociale veiligheid, in het bijzonder de veiligheid van </w:t>
            </w:r>
            <w:proofErr w:type="spellStart"/>
            <w:r w:rsidRPr="002A1F9A">
              <w:rPr>
                <w:rFonts w:ascii="Verdana" w:hAnsi="Verdana"/>
                <w:sz w:val="18"/>
                <w:szCs w:val="18"/>
              </w:rPr>
              <w:t>lhbtiqia</w:t>
            </w:r>
            <w:proofErr w:type="spellEnd"/>
            <w:r w:rsidRPr="002A1F9A">
              <w:rPr>
                <w:rFonts w:ascii="Verdana" w:hAnsi="Verdana"/>
                <w:sz w:val="18"/>
                <w:szCs w:val="18"/>
              </w:rPr>
              <w:t>+ personen?</w:t>
            </w:r>
          </w:p>
          <w:p w:rsidRPr="002A1F9A" w:rsidR="00DB2CBB" w:rsidRDefault="00DB2CBB" w14:paraId="6817D7B0" w14:textId="77777777">
            <w:pPr>
              <w:rPr>
                <w:rFonts w:ascii="Verdana" w:hAnsi="Verdana"/>
                <w:sz w:val="18"/>
                <w:szCs w:val="18"/>
              </w:rPr>
            </w:pPr>
          </w:p>
          <w:p w:rsidRPr="002A1F9A" w:rsidR="00DB2CBB" w:rsidRDefault="00DB2CBB" w14:paraId="68B3E74E" w14:textId="31C0B33D">
            <w:pPr>
              <w:rPr>
                <w:rFonts w:ascii="Verdana" w:hAnsi="Verdana"/>
                <w:sz w:val="18"/>
                <w:szCs w:val="18"/>
              </w:rPr>
            </w:pPr>
            <w:r w:rsidRPr="002A1F9A">
              <w:rPr>
                <w:rFonts w:ascii="Verdana" w:hAnsi="Verdana"/>
                <w:sz w:val="18"/>
                <w:szCs w:val="18"/>
              </w:rPr>
              <w:t xml:space="preserve">De </w:t>
            </w:r>
            <w:r w:rsidRPr="002A1F9A" w:rsidR="009C1E65">
              <w:rPr>
                <w:rFonts w:ascii="Verdana" w:hAnsi="Verdana"/>
                <w:sz w:val="18"/>
                <w:szCs w:val="18"/>
              </w:rPr>
              <w:t>I</w:t>
            </w:r>
            <w:r w:rsidRPr="002A1F9A">
              <w:rPr>
                <w:rFonts w:ascii="Verdana" w:hAnsi="Verdana"/>
                <w:sz w:val="18"/>
                <w:szCs w:val="18"/>
              </w:rPr>
              <w:t xml:space="preserve">nspectie van het </w:t>
            </w:r>
            <w:r w:rsidRPr="002A1F9A" w:rsidR="009C1E65">
              <w:rPr>
                <w:rFonts w:ascii="Verdana" w:hAnsi="Verdana"/>
                <w:sz w:val="18"/>
                <w:szCs w:val="18"/>
              </w:rPr>
              <w:t>O</w:t>
            </w:r>
            <w:r w:rsidRPr="002A1F9A">
              <w:rPr>
                <w:rFonts w:ascii="Verdana" w:hAnsi="Verdana"/>
                <w:sz w:val="18"/>
                <w:szCs w:val="18"/>
              </w:rPr>
              <w:t xml:space="preserve">nderwijs houdt toezicht op de wettelijke eisen met betrekking tot sociale veiligheid op scholen. Daarin wordt de veiligheid van </w:t>
            </w:r>
            <w:proofErr w:type="spellStart"/>
            <w:r w:rsidRPr="002A1F9A">
              <w:rPr>
                <w:rFonts w:ascii="Verdana" w:hAnsi="Verdana"/>
                <w:sz w:val="18"/>
                <w:szCs w:val="18"/>
              </w:rPr>
              <w:t>lhbtiqia</w:t>
            </w:r>
            <w:proofErr w:type="spellEnd"/>
            <w:r w:rsidRPr="002A1F9A">
              <w:rPr>
                <w:rFonts w:ascii="Verdana" w:hAnsi="Verdana"/>
                <w:sz w:val="18"/>
                <w:szCs w:val="18"/>
              </w:rPr>
              <w:t>+ personen meegenomen.</w:t>
            </w:r>
          </w:p>
          <w:p w:rsidRPr="002A1F9A" w:rsidR="00DB2CBB" w:rsidRDefault="00DB2CBB" w14:paraId="73876107" w14:textId="75BA6076">
            <w:pPr>
              <w:rPr>
                <w:rFonts w:ascii="Verdana" w:hAnsi="Verdana"/>
                <w:sz w:val="18"/>
                <w:szCs w:val="18"/>
              </w:rPr>
            </w:pPr>
          </w:p>
        </w:tc>
        <w:tc>
          <w:tcPr>
            <w:tcW w:w="850" w:type="dxa"/>
          </w:tcPr>
          <w:p w:rsidRPr="002A1F9A" w:rsidR="001256CA" w:rsidRDefault="001856D0" w14:paraId="2BA24BB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C3EB2C6"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5C5D17DD"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0018EBC5" w14:textId="77777777">
        <w:tc>
          <w:tcPr>
            <w:tcW w:w="567" w:type="dxa"/>
          </w:tcPr>
          <w:p w:rsidRPr="002A1F9A" w:rsidR="001256CA" w:rsidRDefault="001856D0" w14:paraId="3A808C6E" w14:textId="77777777">
            <w:pPr>
              <w:rPr>
                <w:rFonts w:ascii="Verdana" w:hAnsi="Verdana"/>
                <w:sz w:val="18"/>
                <w:szCs w:val="18"/>
              </w:rPr>
            </w:pPr>
            <w:r w:rsidRPr="002A1F9A">
              <w:rPr>
                <w:rFonts w:ascii="Verdana" w:hAnsi="Verdana"/>
                <w:sz w:val="18"/>
                <w:szCs w:val="18"/>
              </w:rPr>
              <w:t>113</w:t>
            </w:r>
          </w:p>
        </w:tc>
        <w:tc>
          <w:tcPr>
            <w:tcW w:w="6521" w:type="dxa"/>
          </w:tcPr>
          <w:p w:rsidRPr="002A1F9A" w:rsidR="001256CA" w:rsidRDefault="001856D0" w14:paraId="5015CEA8" w14:textId="77777777">
            <w:pPr>
              <w:rPr>
                <w:rFonts w:ascii="Verdana" w:hAnsi="Verdana"/>
                <w:sz w:val="18"/>
                <w:szCs w:val="18"/>
              </w:rPr>
            </w:pPr>
            <w:r w:rsidRPr="002A1F9A">
              <w:rPr>
                <w:rFonts w:ascii="Verdana" w:hAnsi="Verdana"/>
                <w:sz w:val="18"/>
                <w:szCs w:val="18"/>
              </w:rPr>
              <w:t>Hoe is het momenteel gesteld met de (sociale) veiligheid van transpersonen en bi+ personen?</w:t>
            </w:r>
          </w:p>
          <w:p w:rsidRPr="002A1F9A" w:rsidR="00025018" w:rsidRDefault="00025018" w14:paraId="485F30F6" w14:textId="77777777">
            <w:pPr>
              <w:rPr>
                <w:rFonts w:ascii="Verdana" w:hAnsi="Verdana"/>
                <w:sz w:val="18"/>
                <w:szCs w:val="18"/>
              </w:rPr>
            </w:pPr>
          </w:p>
          <w:p w:rsidRPr="002A1F9A" w:rsidR="004903A0" w:rsidP="004903A0" w:rsidRDefault="004903A0" w14:paraId="1D009983" w14:textId="006226D3">
            <w:pPr>
              <w:rPr>
                <w:rFonts w:ascii="Verdana" w:hAnsi="Verdana"/>
                <w:sz w:val="18"/>
                <w:szCs w:val="18"/>
              </w:rPr>
            </w:pPr>
            <w:r w:rsidRPr="002A1F9A">
              <w:rPr>
                <w:rFonts w:ascii="Verdana" w:hAnsi="Verdana"/>
                <w:sz w:val="18"/>
                <w:szCs w:val="18"/>
              </w:rPr>
              <w:t xml:space="preserve">Uit de </w:t>
            </w:r>
            <w:hyperlink w:history="1" r:id="rId65">
              <w:proofErr w:type="spellStart"/>
              <w:r w:rsidRPr="002A1F9A">
                <w:rPr>
                  <w:rStyle w:val="Hyperlink"/>
                  <w:rFonts w:ascii="Verdana" w:hAnsi="Verdana" w:eastAsiaTheme="majorEastAsia"/>
                  <w:sz w:val="18"/>
                  <w:szCs w:val="18"/>
                </w:rPr>
                <w:t>Lhbtiqa</w:t>
              </w:r>
              <w:proofErr w:type="spellEnd"/>
              <w:r w:rsidRPr="002A1F9A">
                <w:rPr>
                  <w:rStyle w:val="Hyperlink"/>
                  <w:rFonts w:ascii="Verdana" w:hAnsi="Verdana" w:eastAsiaTheme="majorEastAsia"/>
                  <w:sz w:val="18"/>
                  <w:szCs w:val="18"/>
                </w:rPr>
                <w:t>+-monitor</w:t>
              </w:r>
            </w:hyperlink>
            <w:r w:rsidRPr="002A1F9A">
              <w:rPr>
                <w:rFonts w:ascii="Verdana" w:hAnsi="Verdana"/>
                <w:sz w:val="18"/>
                <w:szCs w:val="18"/>
              </w:rPr>
              <w:t xml:space="preserve"> en de</w:t>
            </w:r>
            <w:r w:rsidR="00124146">
              <w:rPr>
                <w:rFonts w:ascii="Verdana" w:hAnsi="Verdana"/>
                <w:sz w:val="18"/>
                <w:szCs w:val="18"/>
              </w:rPr>
              <w:t xml:space="preserve"> </w:t>
            </w:r>
            <w:hyperlink w:history="1" r:id="rId66">
              <w:r w:rsidRPr="002A1F9A">
                <w:rPr>
                  <w:rStyle w:val="Hyperlink"/>
                  <w:rFonts w:ascii="Verdana" w:hAnsi="Verdana" w:eastAsiaTheme="majorEastAsia"/>
                  <w:sz w:val="18"/>
                  <w:szCs w:val="18"/>
                </w:rPr>
                <w:t>Veiligheidsmonitor</w:t>
              </w:r>
            </w:hyperlink>
            <w:r w:rsidRPr="002A1F9A">
              <w:rPr>
                <w:rFonts w:ascii="Verdana" w:hAnsi="Verdana"/>
                <w:sz w:val="18"/>
                <w:szCs w:val="18"/>
              </w:rPr>
              <w:t xml:space="preserve"> blijkt dat er op het vlak van veiligheid duidelijke verschillen te zien zijn tussen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en niet-</w:t>
            </w:r>
            <w:proofErr w:type="spellStart"/>
            <w:r w:rsidRPr="002A1F9A">
              <w:rPr>
                <w:rFonts w:ascii="Verdana" w:hAnsi="Verdana"/>
                <w:sz w:val="18"/>
                <w:szCs w:val="18"/>
              </w:rPr>
              <w:t>lhbtiq+</w:t>
            </w:r>
            <w:proofErr w:type="spellEnd"/>
            <w:r w:rsidRPr="002A1F9A">
              <w:rPr>
                <w:rFonts w:ascii="Verdana" w:hAnsi="Verdana"/>
                <w:sz w:val="18"/>
                <w:szCs w:val="18"/>
              </w:rPr>
              <w:t xml:space="preserve"> personen.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ervaren in verhouding tot cisgender heteroseksuele personen tot zes keer vaker discriminatie, voelen zich vaker onveilig (42</w:t>
            </w:r>
            <w:r w:rsidR="00124146">
              <w:rPr>
                <w:rFonts w:ascii="Verdana" w:hAnsi="Verdana"/>
                <w:sz w:val="18"/>
                <w:szCs w:val="18"/>
              </w:rPr>
              <w:t>%</w:t>
            </w:r>
            <w:r w:rsidRPr="002A1F9A">
              <w:rPr>
                <w:rFonts w:ascii="Verdana" w:hAnsi="Verdana"/>
                <w:sz w:val="18"/>
                <w:szCs w:val="18"/>
              </w:rPr>
              <w:t xml:space="preserve"> tegenover 34</w:t>
            </w:r>
            <w:r w:rsidR="00124146">
              <w:rPr>
                <w:rFonts w:ascii="Verdana" w:hAnsi="Verdana"/>
                <w:sz w:val="18"/>
                <w:szCs w:val="18"/>
              </w:rPr>
              <w:t>%</w:t>
            </w:r>
            <w:r w:rsidRPr="002A1F9A">
              <w:rPr>
                <w:rFonts w:ascii="Verdana" w:hAnsi="Verdana"/>
                <w:sz w:val="18"/>
                <w:szCs w:val="18"/>
              </w:rPr>
              <w:t>) en zijn vaker slachtoffer van geweldsdelicten (10</w:t>
            </w:r>
            <w:r w:rsidR="00124146">
              <w:rPr>
                <w:rFonts w:ascii="Verdana" w:hAnsi="Verdana"/>
                <w:sz w:val="18"/>
                <w:szCs w:val="18"/>
              </w:rPr>
              <w:t xml:space="preserve">% </w:t>
            </w:r>
            <w:r w:rsidRPr="002A1F9A">
              <w:rPr>
                <w:rFonts w:ascii="Verdana" w:hAnsi="Verdana"/>
                <w:sz w:val="18"/>
                <w:szCs w:val="18"/>
              </w:rPr>
              <w:t>6</w:t>
            </w:r>
            <w:r w:rsidR="00124146">
              <w:rPr>
                <w:rFonts w:ascii="Verdana" w:hAnsi="Verdana"/>
                <w:sz w:val="18"/>
                <w:szCs w:val="18"/>
              </w:rPr>
              <w:t>%</w:t>
            </w:r>
            <w:r w:rsidRPr="002A1F9A">
              <w:rPr>
                <w:rFonts w:ascii="Verdana" w:hAnsi="Verdana"/>
                <w:sz w:val="18"/>
                <w:szCs w:val="18"/>
              </w:rPr>
              <w:t xml:space="preserve">). Ook tussen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onderling zijn er verschillen te zien. Zo hebben transgender mensen, waarvan met name non-binaire mensen, vaker dan homoseksuele mannen en lesbische vrouwen te maken met online bedreiging (</w:t>
            </w:r>
            <w:hyperlink w:history="1" r:id="rId67">
              <w:r w:rsidRPr="002A1F9A">
                <w:rPr>
                  <w:rStyle w:val="Hyperlink"/>
                  <w:rFonts w:ascii="Verdana" w:hAnsi="Verdana"/>
                  <w:sz w:val="18"/>
                  <w:szCs w:val="18"/>
                </w:rPr>
                <w:t>8,6</w:t>
              </w:r>
              <w:r w:rsidR="00124146">
                <w:rPr>
                  <w:rStyle w:val="Hyperlink"/>
                  <w:rFonts w:ascii="Verdana" w:hAnsi="Verdana"/>
                  <w:sz w:val="18"/>
                  <w:szCs w:val="18"/>
                </w:rPr>
                <w:t>%</w:t>
              </w:r>
              <w:r w:rsidRPr="002A1F9A">
                <w:rPr>
                  <w:rStyle w:val="Hyperlink"/>
                  <w:rFonts w:ascii="Verdana" w:hAnsi="Verdana"/>
                  <w:sz w:val="18"/>
                  <w:szCs w:val="18"/>
                </w:rPr>
                <w:t xml:space="preserve"> tegenover 4,8</w:t>
              </w:r>
              <w:r w:rsidR="00124146">
                <w:rPr>
                  <w:rStyle w:val="Hyperlink"/>
                  <w:rFonts w:ascii="Verdana" w:hAnsi="Verdana"/>
                  <w:sz w:val="18"/>
                  <w:szCs w:val="18"/>
                </w:rPr>
                <w:t>%</w:t>
              </w:r>
              <w:r w:rsidRPr="002A1F9A">
                <w:rPr>
                  <w:rStyle w:val="Hyperlink"/>
                  <w:rFonts w:ascii="Verdana" w:hAnsi="Verdana"/>
                  <w:sz w:val="18"/>
                  <w:szCs w:val="18"/>
                </w:rPr>
                <w:t xml:space="preserve"> en 2,7</w:t>
              </w:r>
              <w:r w:rsidR="00124146">
                <w:rPr>
                  <w:rStyle w:val="Hyperlink"/>
                  <w:rFonts w:ascii="Verdana" w:hAnsi="Verdana"/>
                  <w:sz w:val="18"/>
                  <w:szCs w:val="18"/>
                </w:rPr>
                <w:t>%</w:t>
              </w:r>
              <w:r w:rsidRPr="002A1F9A">
                <w:rPr>
                  <w:rStyle w:val="Hyperlink"/>
                  <w:rFonts w:ascii="Verdana" w:hAnsi="Verdana"/>
                  <w:sz w:val="18"/>
                  <w:szCs w:val="18"/>
                </w:rPr>
                <w:t xml:space="preserve"> </w:t>
              </w:r>
            </w:hyperlink>
            <w:r w:rsidRPr="002A1F9A">
              <w:rPr>
                <w:rFonts w:ascii="Verdana" w:hAnsi="Verdana"/>
                <w:sz w:val="18"/>
                <w:szCs w:val="18"/>
              </w:rPr>
              <w:t>) en fysieke bedreiging (</w:t>
            </w:r>
            <w:hyperlink w:history="1" w:anchor="c-Bijlagen" r:id="rId68">
              <w:r w:rsidRPr="002A1F9A">
                <w:rPr>
                  <w:rStyle w:val="Hyperlink"/>
                  <w:rFonts w:ascii="Verdana" w:hAnsi="Verdana"/>
                  <w:sz w:val="18"/>
                  <w:szCs w:val="18"/>
                </w:rPr>
                <w:t>8,5 tegenover 7,5 en 6,9 procent</w:t>
              </w:r>
            </w:hyperlink>
            <w:r w:rsidRPr="002A1F9A">
              <w:rPr>
                <w:rFonts w:ascii="Verdana" w:hAnsi="Verdana"/>
                <w:sz w:val="18"/>
                <w:szCs w:val="18"/>
              </w:rPr>
              <w:t>). Als het gaat om mishandeling zijn specifiek non-binaire mensen het vaakst slachtoffer (</w:t>
            </w:r>
            <w:hyperlink w:history="1" w:anchor="c-Bijlagen" r:id="rId69">
              <w:r w:rsidRPr="002A1F9A">
                <w:rPr>
                  <w:rStyle w:val="Hyperlink"/>
                  <w:rFonts w:ascii="Verdana" w:hAnsi="Verdana"/>
                  <w:sz w:val="18"/>
                  <w:szCs w:val="18"/>
                </w:rPr>
                <w:t>4,0</w:t>
              </w:r>
              <w:r w:rsidR="00124146">
                <w:rPr>
                  <w:rStyle w:val="Hyperlink"/>
                  <w:rFonts w:ascii="Verdana" w:hAnsi="Verdana"/>
                  <w:sz w:val="18"/>
                  <w:szCs w:val="18"/>
                </w:rPr>
                <w:t>%</w:t>
              </w:r>
              <w:r w:rsidRPr="002A1F9A">
                <w:rPr>
                  <w:rStyle w:val="Hyperlink"/>
                  <w:rFonts w:ascii="Verdana" w:hAnsi="Verdana"/>
                  <w:sz w:val="18"/>
                  <w:szCs w:val="18"/>
                </w:rPr>
                <w:t xml:space="preserve"> tegenover bijvoorbeeld 2,3</w:t>
              </w:r>
              <w:r w:rsidR="00124146">
                <w:rPr>
                  <w:rStyle w:val="Hyperlink"/>
                  <w:rFonts w:ascii="Verdana" w:hAnsi="Verdana"/>
                  <w:sz w:val="18"/>
                  <w:szCs w:val="18"/>
                </w:rPr>
                <w:t xml:space="preserve">% </w:t>
              </w:r>
              <w:r w:rsidRPr="002A1F9A">
                <w:rPr>
                  <w:rStyle w:val="Hyperlink"/>
                  <w:rFonts w:ascii="Verdana" w:hAnsi="Verdana"/>
                  <w:sz w:val="18"/>
                  <w:szCs w:val="18"/>
                </w:rPr>
                <w:t>van de homoseksuele mannen</w:t>
              </w:r>
            </w:hyperlink>
            <w:r w:rsidRPr="002A1F9A">
              <w:rPr>
                <w:rFonts w:ascii="Verdana" w:hAnsi="Verdana"/>
                <w:sz w:val="18"/>
                <w:szCs w:val="18"/>
              </w:rPr>
              <w:t>). Daarnaast zijn met name ook bi+ vrouwen kwetsbaar. Zo voelen bi+ vrouwen zich vaker onveilig in de eigen buurt (</w:t>
            </w:r>
            <w:hyperlink w:history="1" w:anchor="c-Bijlagen" r:id="rId70">
              <w:r w:rsidRPr="002A1F9A">
                <w:rPr>
                  <w:rStyle w:val="Hyperlink"/>
                  <w:rFonts w:ascii="Verdana" w:hAnsi="Verdana"/>
                  <w:sz w:val="18"/>
                  <w:szCs w:val="18"/>
                </w:rPr>
                <w:t>23</w:t>
              </w:r>
              <w:r w:rsidR="00124146">
                <w:rPr>
                  <w:rStyle w:val="Hyperlink"/>
                  <w:rFonts w:ascii="Verdana" w:hAnsi="Verdana"/>
                  <w:sz w:val="18"/>
                  <w:szCs w:val="18"/>
                </w:rPr>
                <w:t>%</w:t>
              </w:r>
              <w:r w:rsidRPr="002A1F9A">
                <w:rPr>
                  <w:rStyle w:val="Hyperlink"/>
                  <w:rFonts w:ascii="Verdana" w:hAnsi="Verdana"/>
                  <w:sz w:val="18"/>
                  <w:szCs w:val="18"/>
                </w:rPr>
                <w:t xml:space="preserve"> tegenover bijvoorbeeld 19</w:t>
              </w:r>
              <w:r w:rsidR="00124146">
                <w:rPr>
                  <w:rStyle w:val="Hyperlink"/>
                  <w:rFonts w:ascii="Verdana" w:hAnsi="Verdana"/>
                  <w:sz w:val="18"/>
                  <w:szCs w:val="18"/>
                </w:rPr>
                <w:t xml:space="preserve">% </w:t>
              </w:r>
              <w:r w:rsidRPr="002A1F9A">
                <w:rPr>
                  <w:rStyle w:val="Hyperlink"/>
                  <w:rFonts w:ascii="Verdana" w:hAnsi="Verdana"/>
                  <w:sz w:val="18"/>
                  <w:szCs w:val="18"/>
                </w:rPr>
                <w:t>van de lesbische vrouwen</w:t>
              </w:r>
            </w:hyperlink>
            <w:r w:rsidRPr="002A1F9A">
              <w:rPr>
                <w:rFonts w:ascii="Verdana" w:hAnsi="Verdana"/>
                <w:sz w:val="18"/>
                <w:szCs w:val="18"/>
              </w:rPr>
              <w:t>) en worden ze relatief vaak slachtoffer van seksueel geweld (</w:t>
            </w:r>
            <w:hyperlink w:history="1" w:anchor="c-Bijlagen" r:id="rId71">
              <w:r w:rsidRPr="002A1F9A">
                <w:rPr>
                  <w:rStyle w:val="Hyperlink"/>
                  <w:rFonts w:ascii="Verdana" w:hAnsi="Verdana"/>
                  <w:sz w:val="18"/>
                  <w:szCs w:val="18"/>
                </w:rPr>
                <w:t>8,3</w:t>
              </w:r>
              <w:r w:rsidR="00124146">
                <w:rPr>
                  <w:rStyle w:val="Hyperlink"/>
                  <w:rFonts w:ascii="Verdana" w:hAnsi="Verdana"/>
                  <w:sz w:val="18"/>
                  <w:szCs w:val="18"/>
                </w:rPr>
                <w:t>%</w:t>
              </w:r>
              <w:r w:rsidRPr="002A1F9A">
                <w:rPr>
                  <w:rStyle w:val="Hyperlink"/>
                  <w:rFonts w:ascii="Verdana" w:hAnsi="Verdana"/>
                  <w:sz w:val="18"/>
                  <w:szCs w:val="18"/>
                </w:rPr>
                <w:t xml:space="preserve"> tegenover bijvoorbeeld 2,4</w:t>
              </w:r>
              <w:r w:rsidR="00124146">
                <w:rPr>
                  <w:rStyle w:val="Hyperlink"/>
                  <w:rFonts w:ascii="Verdana" w:hAnsi="Verdana"/>
                  <w:sz w:val="18"/>
                  <w:szCs w:val="18"/>
                </w:rPr>
                <w:t xml:space="preserve">% </w:t>
              </w:r>
              <w:r w:rsidRPr="002A1F9A">
                <w:rPr>
                  <w:rStyle w:val="Hyperlink"/>
                  <w:rFonts w:ascii="Verdana" w:hAnsi="Verdana"/>
                  <w:sz w:val="18"/>
                  <w:szCs w:val="18"/>
                </w:rPr>
                <w:t>van de lesbische en 2,8</w:t>
              </w:r>
              <w:r w:rsidR="00124146">
                <w:rPr>
                  <w:rStyle w:val="Hyperlink"/>
                  <w:rFonts w:ascii="Verdana" w:hAnsi="Verdana"/>
                  <w:sz w:val="18"/>
                  <w:szCs w:val="18"/>
                </w:rPr>
                <w:t xml:space="preserve">% </w:t>
              </w:r>
              <w:r w:rsidRPr="002A1F9A">
                <w:rPr>
                  <w:rStyle w:val="Hyperlink"/>
                  <w:rFonts w:ascii="Verdana" w:hAnsi="Verdana"/>
                  <w:sz w:val="18"/>
                  <w:szCs w:val="18"/>
                </w:rPr>
                <w:t>van de heteroseksuele vrouwen</w:t>
              </w:r>
            </w:hyperlink>
            <w:r w:rsidRPr="002A1F9A">
              <w:rPr>
                <w:rFonts w:ascii="Verdana" w:hAnsi="Verdana"/>
                <w:sz w:val="18"/>
                <w:szCs w:val="18"/>
              </w:rPr>
              <w:t xml:space="preserve">). De oorzaak hiervoor is een drievoudige marginalisering: seksisme, de heteronorm en de </w:t>
            </w:r>
            <w:proofErr w:type="spellStart"/>
            <w:r w:rsidRPr="002A1F9A">
              <w:rPr>
                <w:rFonts w:ascii="Verdana" w:hAnsi="Verdana"/>
                <w:sz w:val="18"/>
                <w:szCs w:val="18"/>
              </w:rPr>
              <w:t>monoseksuele</w:t>
            </w:r>
            <w:proofErr w:type="spellEnd"/>
            <w:r w:rsidRPr="002A1F9A">
              <w:rPr>
                <w:rFonts w:ascii="Verdana" w:hAnsi="Verdana"/>
                <w:sz w:val="18"/>
                <w:szCs w:val="18"/>
              </w:rPr>
              <w:t xml:space="preserve"> norm.</w:t>
            </w:r>
          </w:p>
          <w:p w:rsidRPr="002A1F9A" w:rsidR="00025018" w:rsidRDefault="00025018" w14:paraId="709821EA" w14:textId="77777777">
            <w:pPr>
              <w:rPr>
                <w:rFonts w:ascii="Verdana" w:hAnsi="Verdana"/>
                <w:sz w:val="18"/>
                <w:szCs w:val="18"/>
              </w:rPr>
            </w:pPr>
          </w:p>
        </w:tc>
        <w:tc>
          <w:tcPr>
            <w:tcW w:w="850" w:type="dxa"/>
          </w:tcPr>
          <w:p w:rsidRPr="002A1F9A" w:rsidR="001256CA" w:rsidRDefault="001856D0" w14:paraId="1759F290"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70BB4F28"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5CD8B15C"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7ABEA6D" w14:textId="77777777">
        <w:tc>
          <w:tcPr>
            <w:tcW w:w="567" w:type="dxa"/>
          </w:tcPr>
          <w:p w:rsidRPr="002A1F9A" w:rsidR="001256CA" w:rsidRDefault="001856D0" w14:paraId="571993C5" w14:textId="77777777">
            <w:pPr>
              <w:rPr>
                <w:rFonts w:ascii="Verdana" w:hAnsi="Verdana"/>
                <w:sz w:val="18"/>
                <w:szCs w:val="18"/>
              </w:rPr>
            </w:pPr>
            <w:r w:rsidRPr="002A1F9A">
              <w:rPr>
                <w:rFonts w:ascii="Verdana" w:hAnsi="Verdana"/>
                <w:sz w:val="18"/>
                <w:szCs w:val="18"/>
              </w:rPr>
              <w:t>114</w:t>
            </w:r>
          </w:p>
        </w:tc>
        <w:tc>
          <w:tcPr>
            <w:tcW w:w="6521" w:type="dxa"/>
          </w:tcPr>
          <w:p w:rsidRPr="002A1F9A" w:rsidR="001256CA" w:rsidRDefault="001856D0" w14:paraId="549A7FB5" w14:textId="77777777">
            <w:pPr>
              <w:rPr>
                <w:rFonts w:ascii="Verdana" w:hAnsi="Verdana"/>
                <w:sz w:val="18"/>
                <w:szCs w:val="18"/>
              </w:rPr>
            </w:pPr>
            <w:r w:rsidRPr="002A1F9A">
              <w:rPr>
                <w:rFonts w:ascii="Verdana" w:hAnsi="Verdana"/>
                <w:sz w:val="18"/>
                <w:szCs w:val="18"/>
              </w:rPr>
              <w:t>Hoeveel meldingen van discriminatie op basis van seksuele geaardheid, identiteit, beperking of gender zijn er in het afgelopen jaar gedaan?</w:t>
            </w:r>
          </w:p>
          <w:p w:rsidRPr="002A1F9A" w:rsidR="00025018" w:rsidRDefault="00025018" w14:paraId="2695BA8C" w14:textId="77777777">
            <w:pPr>
              <w:rPr>
                <w:rFonts w:ascii="Verdana" w:hAnsi="Verdana"/>
                <w:sz w:val="18"/>
                <w:szCs w:val="18"/>
              </w:rPr>
            </w:pPr>
          </w:p>
          <w:p w:rsidRPr="002A1F9A" w:rsidR="00025018" w:rsidP="00025018" w:rsidRDefault="00025018" w14:paraId="59224F78" w14:textId="4FEDC9DA">
            <w:pPr>
              <w:rPr>
                <w:rFonts w:ascii="Verdana" w:hAnsi="Verdana"/>
                <w:sz w:val="18"/>
                <w:szCs w:val="18"/>
              </w:rPr>
            </w:pPr>
            <w:r w:rsidRPr="002A1F9A">
              <w:rPr>
                <w:rFonts w:ascii="Verdana" w:hAnsi="Verdana"/>
                <w:sz w:val="18"/>
                <w:szCs w:val="18"/>
              </w:rPr>
              <w:t xml:space="preserve">Meldingen van discriminatie worden door het ministerie van Binnenlandse Zaken en Koninkrijksrelaties en het ministerie van Justitie en Veiligheid elk jaar in het voorjaar gepubliceerd in een rapport over het voorgaande jaar. Hierbij wordt onderscheid gemaakt tussen meldingen gedaan bij de politie, en meldingen bij </w:t>
            </w:r>
            <w:proofErr w:type="spellStart"/>
            <w:r w:rsidRPr="002A1F9A">
              <w:rPr>
                <w:rFonts w:ascii="Verdana" w:hAnsi="Verdana"/>
                <w:sz w:val="18"/>
                <w:szCs w:val="18"/>
              </w:rPr>
              <w:t>antidiscriminatievoorzieningen</w:t>
            </w:r>
            <w:proofErr w:type="spellEnd"/>
            <w:r w:rsidRPr="002A1F9A" w:rsidR="009C1E65">
              <w:rPr>
                <w:rFonts w:ascii="Verdana" w:hAnsi="Verdana"/>
                <w:sz w:val="18"/>
                <w:szCs w:val="18"/>
              </w:rPr>
              <w:t xml:space="preserve"> (</w:t>
            </w:r>
            <w:proofErr w:type="spellStart"/>
            <w:r w:rsidRPr="002A1F9A" w:rsidR="009C1E65">
              <w:rPr>
                <w:rFonts w:ascii="Verdana" w:hAnsi="Verdana"/>
                <w:sz w:val="18"/>
                <w:szCs w:val="18"/>
              </w:rPr>
              <w:t>ADV’s</w:t>
            </w:r>
            <w:proofErr w:type="spellEnd"/>
            <w:r w:rsidRPr="002A1F9A" w:rsidR="009C1E65">
              <w:rPr>
                <w:rFonts w:ascii="Verdana" w:hAnsi="Verdana"/>
                <w:sz w:val="18"/>
                <w:szCs w:val="18"/>
              </w:rPr>
              <w:t>)</w:t>
            </w:r>
            <w:r w:rsidRPr="002A1F9A">
              <w:rPr>
                <w:rFonts w:ascii="Verdana" w:hAnsi="Verdana"/>
                <w:sz w:val="18"/>
                <w:szCs w:val="18"/>
              </w:rPr>
              <w:t>. Binnen deze twee soorten meldingen zijn ook verschillen in categorieën van discriminatiegronden. Over 2024 zijn de volgende cijfers bekend:</w:t>
            </w:r>
          </w:p>
          <w:p w:rsidRPr="002A1F9A" w:rsidR="00025018" w:rsidP="00025018" w:rsidRDefault="00025018" w14:paraId="144F9ACB" w14:textId="77777777">
            <w:pPr>
              <w:rPr>
                <w:rFonts w:ascii="Verdana" w:hAnsi="Verdana"/>
                <w:sz w:val="18"/>
                <w:szCs w:val="18"/>
                <w:u w:val="single"/>
              </w:rPr>
            </w:pPr>
            <w:r w:rsidRPr="002A1F9A">
              <w:rPr>
                <w:rFonts w:ascii="Verdana" w:hAnsi="Verdana"/>
                <w:sz w:val="18"/>
                <w:szCs w:val="18"/>
                <w:u w:val="single"/>
              </w:rPr>
              <w:t>Meldingen bij de politie</w:t>
            </w:r>
          </w:p>
          <w:p w:rsidRPr="002A1F9A" w:rsidR="00025018" w:rsidP="00025018" w:rsidRDefault="00025018" w14:paraId="4CF21C50" w14:textId="77777777">
            <w:pPr>
              <w:rPr>
                <w:rFonts w:ascii="Verdana" w:hAnsi="Verdana"/>
                <w:sz w:val="18"/>
                <w:szCs w:val="18"/>
              </w:rPr>
            </w:pPr>
            <w:r w:rsidRPr="002A1F9A">
              <w:rPr>
                <w:rFonts w:ascii="Verdana" w:hAnsi="Verdana"/>
                <w:sz w:val="18"/>
                <w:szCs w:val="18"/>
              </w:rPr>
              <w:t>Seksuele gerichtheid: 2745</w:t>
            </w:r>
          </w:p>
          <w:p w:rsidRPr="002A1F9A" w:rsidR="00025018" w:rsidP="00025018" w:rsidRDefault="00025018" w14:paraId="7F34F63C" w14:textId="77777777">
            <w:pPr>
              <w:rPr>
                <w:rFonts w:ascii="Verdana" w:hAnsi="Verdana"/>
                <w:sz w:val="18"/>
                <w:szCs w:val="18"/>
              </w:rPr>
            </w:pPr>
            <w:r w:rsidRPr="002A1F9A">
              <w:rPr>
                <w:rFonts w:ascii="Verdana" w:hAnsi="Verdana"/>
                <w:sz w:val="18"/>
                <w:szCs w:val="18"/>
              </w:rPr>
              <w:t>Handicap: 170</w:t>
            </w:r>
          </w:p>
          <w:p w:rsidRPr="002A1F9A" w:rsidR="00025018" w:rsidP="00025018" w:rsidRDefault="00025018" w14:paraId="2DD75F73" w14:textId="77777777">
            <w:pPr>
              <w:rPr>
                <w:rFonts w:ascii="Verdana" w:hAnsi="Verdana"/>
                <w:sz w:val="18"/>
                <w:szCs w:val="18"/>
              </w:rPr>
            </w:pPr>
            <w:r w:rsidRPr="002A1F9A">
              <w:rPr>
                <w:rFonts w:ascii="Verdana" w:hAnsi="Verdana"/>
                <w:sz w:val="18"/>
                <w:szCs w:val="18"/>
              </w:rPr>
              <w:t>Geslacht: 121</w:t>
            </w:r>
          </w:p>
          <w:p w:rsidRPr="002A1F9A" w:rsidR="00025018" w:rsidP="00025018" w:rsidRDefault="00025018" w14:paraId="3A7577CC" w14:textId="77777777">
            <w:pPr>
              <w:rPr>
                <w:rFonts w:ascii="Verdana" w:hAnsi="Verdana"/>
                <w:sz w:val="18"/>
                <w:szCs w:val="18"/>
                <w:u w:val="single"/>
              </w:rPr>
            </w:pPr>
            <w:r w:rsidRPr="002A1F9A">
              <w:rPr>
                <w:rFonts w:ascii="Verdana" w:hAnsi="Verdana"/>
                <w:sz w:val="18"/>
                <w:szCs w:val="18"/>
                <w:u w:val="single"/>
              </w:rPr>
              <w:t xml:space="preserve">Meldingen bij de </w:t>
            </w:r>
            <w:proofErr w:type="spellStart"/>
            <w:r w:rsidRPr="002A1F9A">
              <w:rPr>
                <w:rFonts w:ascii="Verdana" w:hAnsi="Verdana"/>
                <w:sz w:val="18"/>
                <w:szCs w:val="18"/>
                <w:u w:val="single"/>
              </w:rPr>
              <w:t>ADV’s</w:t>
            </w:r>
            <w:proofErr w:type="spellEnd"/>
          </w:p>
          <w:p w:rsidRPr="002A1F9A" w:rsidR="00025018" w:rsidP="00025018" w:rsidRDefault="00025018" w14:paraId="4781AFB7" w14:textId="77777777">
            <w:pPr>
              <w:rPr>
                <w:rFonts w:ascii="Verdana" w:hAnsi="Verdana"/>
                <w:sz w:val="18"/>
                <w:szCs w:val="18"/>
              </w:rPr>
            </w:pPr>
            <w:r w:rsidRPr="002A1F9A">
              <w:rPr>
                <w:rFonts w:ascii="Verdana" w:hAnsi="Verdana"/>
                <w:sz w:val="18"/>
                <w:szCs w:val="18"/>
              </w:rPr>
              <w:t>Geslacht: 1502; waarvan tegen transgender personen: 771</w:t>
            </w:r>
          </w:p>
          <w:p w:rsidRPr="002A1F9A" w:rsidR="00025018" w:rsidP="00025018" w:rsidRDefault="00025018" w14:paraId="553EDAD1" w14:textId="77777777">
            <w:pPr>
              <w:rPr>
                <w:rFonts w:ascii="Verdana" w:hAnsi="Verdana"/>
                <w:sz w:val="18"/>
                <w:szCs w:val="18"/>
              </w:rPr>
            </w:pPr>
            <w:r w:rsidRPr="002A1F9A">
              <w:rPr>
                <w:rFonts w:ascii="Verdana" w:hAnsi="Verdana"/>
                <w:sz w:val="18"/>
                <w:szCs w:val="18"/>
              </w:rPr>
              <w:t>Handicap/chronische ziekte: 969</w:t>
            </w:r>
          </w:p>
          <w:p w:rsidRPr="002A1F9A" w:rsidR="00025018" w:rsidP="00025018" w:rsidRDefault="00025018" w14:paraId="675D6DDF" w14:textId="77777777">
            <w:pPr>
              <w:rPr>
                <w:rFonts w:ascii="Verdana" w:hAnsi="Verdana"/>
                <w:sz w:val="18"/>
                <w:szCs w:val="18"/>
              </w:rPr>
            </w:pPr>
            <w:r w:rsidRPr="002A1F9A">
              <w:rPr>
                <w:rFonts w:ascii="Verdana" w:hAnsi="Verdana"/>
                <w:sz w:val="18"/>
                <w:szCs w:val="18"/>
              </w:rPr>
              <w:t>Seksuele gerichtheid: 951</w:t>
            </w:r>
          </w:p>
          <w:p w:rsidRPr="002A1F9A" w:rsidR="00025018" w:rsidRDefault="00025018" w14:paraId="74B294F3" w14:textId="77777777">
            <w:pPr>
              <w:rPr>
                <w:rFonts w:ascii="Verdana" w:hAnsi="Verdana"/>
                <w:sz w:val="18"/>
                <w:szCs w:val="18"/>
              </w:rPr>
            </w:pPr>
          </w:p>
          <w:p w:rsidRPr="002A1F9A" w:rsidR="00025018" w:rsidP="00025018" w:rsidRDefault="00025018" w14:paraId="02091B3A" w14:textId="77777777">
            <w:pPr>
              <w:rPr>
                <w:rFonts w:ascii="Verdana" w:hAnsi="Verdana"/>
                <w:sz w:val="18"/>
                <w:szCs w:val="18"/>
              </w:rPr>
            </w:pPr>
            <w:r w:rsidRPr="002A1F9A">
              <w:rPr>
                <w:rFonts w:ascii="Verdana" w:hAnsi="Verdana"/>
                <w:sz w:val="18"/>
                <w:szCs w:val="18"/>
              </w:rPr>
              <w:t xml:space="preserve">Deze cijfers zijn terug te vinden het rapport </w:t>
            </w:r>
            <w:hyperlink w:history="1" r:id="rId72">
              <w:r w:rsidRPr="002A1F9A">
                <w:rPr>
                  <w:rStyle w:val="Hyperlink"/>
                  <w:rFonts w:ascii="Verdana" w:hAnsi="Verdana"/>
                  <w:sz w:val="18"/>
                  <w:szCs w:val="18"/>
                </w:rPr>
                <w:t>Discriminatiecijfers in 2024</w:t>
              </w:r>
            </w:hyperlink>
            <w:r w:rsidRPr="002A1F9A">
              <w:rPr>
                <w:rFonts w:ascii="Verdana" w:hAnsi="Verdana"/>
                <w:sz w:val="18"/>
                <w:szCs w:val="18"/>
              </w:rPr>
              <w:t xml:space="preserve">. Cijfers over 2025 zijn nog niet bekend. In het voorjaar van 2026 worden de discriminatiecijfers over 2025 gepubliceerd. </w:t>
            </w:r>
          </w:p>
          <w:p w:rsidRPr="002A1F9A" w:rsidR="00025018" w:rsidRDefault="00025018" w14:paraId="0B46D70B" w14:textId="77777777">
            <w:pPr>
              <w:rPr>
                <w:rFonts w:ascii="Verdana" w:hAnsi="Verdana"/>
                <w:sz w:val="18"/>
                <w:szCs w:val="18"/>
              </w:rPr>
            </w:pPr>
          </w:p>
        </w:tc>
        <w:tc>
          <w:tcPr>
            <w:tcW w:w="850" w:type="dxa"/>
          </w:tcPr>
          <w:p w:rsidRPr="002A1F9A" w:rsidR="001256CA" w:rsidRDefault="001856D0" w14:paraId="37B48661"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39418B9"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038530C0"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D89F161" w14:textId="77777777">
        <w:tc>
          <w:tcPr>
            <w:tcW w:w="567" w:type="dxa"/>
          </w:tcPr>
          <w:p w:rsidRPr="002A1F9A" w:rsidR="001256CA" w:rsidRDefault="001856D0" w14:paraId="094D25AD" w14:textId="77777777">
            <w:pPr>
              <w:rPr>
                <w:rFonts w:ascii="Verdana" w:hAnsi="Verdana"/>
                <w:sz w:val="18"/>
                <w:szCs w:val="18"/>
              </w:rPr>
            </w:pPr>
            <w:r w:rsidRPr="002A1F9A">
              <w:rPr>
                <w:rFonts w:ascii="Verdana" w:hAnsi="Verdana"/>
                <w:sz w:val="18"/>
                <w:szCs w:val="18"/>
              </w:rPr>
              <w:t>115</w:t>
            </w:r>
          </w:p>
        </w:tc>
        <w:tc>
          <w:tcPr>
            <w:tcW w:w="6521" w:type="dxa"/>
          </w:tcPr>
          <w:p w:rsidRPr="002A1F9A" w:rsidR="001256CA" w:rsidRDefault="001856D0" w14:paraId="1FF90CEC" w14:textId="77777777">
            <w:pPr>
              <w:rPr>
                <w:rFonts w:ascii="Verdana" w:hAnsi="Verdana"/>
                <w:sz w:val="18"/>
                <w:szCs w:val="18"/>
              </w:rPr>
            </w:pPr>
            <w:r w:rsidRPr="002A1F9A">
              <w:rPr>
                <w:rFonts w:ascii="Verdana" w:hAnsi="Verdana"/>
                <w:sz w:val="18"/>
                <w:szCs w:val="18"/>
              </w:rPr>
              <w:t xml:space="preserve">In hoeverre is de discriminatie en positie van mensen met een beperking onderdeel van het huidige </w:t>
            </w:r>
            <w:r w:rsidRPr="002A1F9A" w:rsidR="008602E2">
              <w:rPr>
                <w:rFonts w:ascii="Verdana" w:hAnsi="Verdana"/>
                <w:sz w:val="18"/>
                <w:szCs w:val="18"/>
              </w:rPr>
              <w:t>e</w:t>
            </w:r>
            <w:r w:rsidRPr="002A1F9A">
              <w:rPr>
                <w:rFonts w:ascii="Verdana" w:hAnsi="Verdana"/>
                <w:sz w:val="18"/>
                <w:szCs w:val="18"/>
              </w:rPr>
              <w:t>mancipatiebeleid?</w:t>
            </w:r>
          </w:p>
          <w:p w:rsidRPr="002A1F9A" w:rsidR="00025018" w:rsidRDefault="00025018" w14:paraId="0E03D96D" w14:textId="77777777">
            <w:pPr>
              <w:rPr>
                <w:rFonts w:ascii="Verdana" w:hAnsi="Verdana"/>
                <w:sz w:val="18"/>
                <w:szCs w:val="18"/>
              </w:rPr>
            </w:pPr>
          </w:p>
          <w:p w:rsidRPr="002A1F9A" w:rsidR="00025018" w:rsidP="00025018" w:rsidRDefault="00025018" w14:paraId="44B8DFB9" w14:textId="77777777">
            <w:pPr>
              <w:rPr>
                <w:rFonts w:ascii="Verdana" w:hAnsi="Verdana"/>
                <w:sz w:val="18"/>
                <w:szCs w:val="18"/>
              </w:rPr>
            </w:pPr>
            <w:r w:rsidRPr="002A1F9A">
              <w:rPr>
                <w:rFonts w:ascii="Verdana" w:hAnsi="Verdana"/>
                <w:sz w:val="18"/>
                <w:szCs w:val="18"/>
              </w:rPr>
              <w:t xml:space="preserve">Het emancipatiebeleid richt zich op gendergelijkheid en het versterken van de positie van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in de maatschappij. Om zicht te krijgen op de positie van vrouwen 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met een beperking, wordt in kaart gebracht of bestaande monitoringsonderzoeken zoals de </w:t>
            </w:r>
            <w:proofErr w:type="spellStart"/>
            <w:r w:rsidRPr="002A1F9A">
              <w:rPr>
                <w:rFonts w:ascii="Verdana" w:hAnsi="Verdana"/>
                <w:sz w:val="18"/>
                <w:szCs w:val="18"/>
              </w:rPr>
              <w:t>Lhbtiqa</w:t>
            </w:r>
            <w:proofErr w:type="spellEnd"/>
            <w:r w:rsidRPr="002A1F9A">
              <w:rPr>
                <w:rFonts w:ascii="Verdana" w:hAnsi="Verdana"/>
                <w:sz w:val="18"/>
                <w:szCs w:val="18"/>
              </w:rPr>
              <w:t xml:space="preserve">+-monitor voldoende aandacht hebben voor mensen met een beperking. Dit maakt onderdeel uit van de Werkagenda VN-verdrag Handicap I 2025-2030, die de staatssecretaris Langdurige en Maatschappelijke Zorg als </w:t>
            </w:r>
            <w:r w:rsidRPr="002A1F9A">
              <w:rPr>
                <w:rFonts w:ascii="Verdana" w:hAnsi="Verdana"/>
                <w:sz w:val="18"/>
                <w:szCs w:val="18"/>
              </w:rPr>
              <w:lastRenderedPageBreak/>
              <w:t xml:space="preserve">coördinerend bewindspersoon heeft </w:t>
            </w:r>
            <w:hyperlink w:history="1" r:id="rId73">
              <w:r w:rsidRPr="002A1F9A">
                <w:rPr>
                  <w:rStyle w:val="Hyperlink"/>
                  <w:rFonts w:ascii="Verdana" w:hAnsi="Verdana"/>
                  <w:sz w:val="18"/>
                  <w:szCs w:val="18"/>
                </w:rPr>
                <w:t>aangeboden aan uw Kamer op 11 juli 2025</w:t>
              </w:r>
            </w:hyperlink>
            <w:r w:rsidRPr="002A1F9A">
              <w:rPr>
                <w:rFonts w:ascii="Verdana" w:hAnsi="Verdana"/>
                <w:sz w:val="18"/>
                <w:szCs w:val="18"/>
              </w:rPr>
              <w:t>.</w:t>
            </w:r>
          </w:p>
          <w:p w:rsidRPr="002A1F9A" w:rsidR="00025018" w:rsidRDefault="00025018" w14:paraId="6FAB1BA9" w14:textId="03F36B28">
            <w:pPr>
              <w:rPr>
                <w:rFonts w:ascii="Verdana" w:hAnsi="Verdana"/>
                <w:sz w:val="18"/>
                <w:szCs w:val="18"/>
              </w:rPr>
            </w:pPr>
          </w:p>
        </w:tc>
        <w:tc>
          <w:tcPr>
            <w:tcW w:w="850" w:type="dxa"/>
          </w:tcPr>
          <w:p w:rsidRPr="002A1F9A" w:rsidR="001256CA" w:rsidRDefault="001856D0" w14:paraId="12511CFB"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4CD182F4"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1C99A635"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B3529BA" w14:textId="77777777">
        <w:tc>
          <w:tcPr>
            <w:tcW w:w="567" w:type="dxa"/>
          </w:tcPr>
          <w:p w:rsidRPr="002A1F9A" w:rsidR="001256CA" w:rsidRDefault="001856D0" w14:paraId="3FFE03EF" w14:textId="77777777">
            <w:pPr>
              <w:rPr>
                <w:rFonts w:ascii="Verdana" w:hAnsi="Verdana"/>
                <w:sz w:val="18"/>
                <w:szCs w:val="18"/>
              </w:rPr>
            </w:pPr>
            <w:r w:rsidRPr="002A1F9A">
              <w:rPr>
                <w:rFonts w:ascii="Verdana" w:hAnsi="Verdana"/>
                <w:sz w:val="18"/>
                <w:szCs w:val="18"/>
              </w:rPr>
              <w:t>116</w:t>
            </w:r>
          </w:p>
        </w:tc>
        <w:tc>
          <w:tcPr>
            <w:tcW w:w="6521" w:type="dxa"/>
          </w:tcPr>
          <w:p w:rsidRPr="002A1F9A" w:rsidR="001256CA" w:rsidRDefault="001856D0" w14:paraId="0C03A83C" w14:textId="77777777">
            <w:pPr>
              <w:rPr>
                <w:rFonts w:ascii="Verdana" w:hAnsi="Verdana"/>
                <w:sz w:val="18"/>
                <w:szCs w:val="18"/>
              </w:rPr>
            </w:pPr>
            <w:r w:rsidRPr="002A1F9A">
              <w:rPr>
                <w:rFonts w:ascii="Verdana" w:hAnsi="Verdana"/>
                <w:sz w:val="18"/>
                <w:szCs w:val="18"/>
              </w:rPr>
              <w:t xml:space="preserve">Welke maatregelen worden er genomen om de politiek veiliger te maken voor vrouwen en </w:t>
            </w:r>
            <w:proofErr w:type="spellStart"/>
            <w:r w:rsidRPr="002A1F9A">
              <w:rPr>
                <w:rFonts w:ascii="Verdana" w:hAnsi="Verdana"/>
                <w:sz w:val="18"/>
                <w:szCs w:val="18"/>
              </w:rPr>
              <w:t>lhbtiqia</w:t>
            </w:r>
            <w:proofErr w:type="spellEnd"/>
            <w:r w:rsidRPr="002A1F9A">
              <w:rPr>
                <w:rFonts w:ascii="Verdana" w:hAnsi="Verdana"/>
                <w:sz w:val="18"/>
                <w:szCs w:val="18"/>
              </w:rPr>
              <w:t>+ personen?</w:t>
            </w:r>
          </w:p>
          <w:p w:rsidRPr="002A1F9A" w:rsidR="00025018" w:rsidRDefault="00025018" w14:paraId="242DCEC8" w14:textId="77777777">
            <w:pPr>
              <w:rPr>
                <w:rFonts w:ascii="Verdana" w:hAnsi="Verdana"/>
                <w:sz w:val="18"/>
                <w:szCs w:val="18"/>
              </w:rPr>
            </w:pPr>
          </w:p>
          <w:p w:rsidRPr="002A1F9A" w:rsidR="008A2F1E" w:rsidRDefault="008A2F1E" w14:paraId="026706A8" w14:textId="77777777">
            <w:pPr>
              <w:rPr>
                <w:rFonts w:ascii="Verdana" w:hAnsi="Verdana"/>
                <w:sz w:val="18"/>
                <w:szCs w:val="18"/>
              </w:rPr>
            </w:pPr>
            <w:r w:rsidRPr="002A1F9A">
              <w:rPr>
                <w:rFonts w:ascii="Verdana" w:hAnsi="Verdana"/>
                <w:sz w:val="18"/>
                <w:szCs w:val="18"/>
              </w:rPr>
              <w:t xml:space="preserve">Met het programma Weerbaar Bestuur zet het ministerie van Binnenlandse Zaken en Koninkrijksrelaties (BZK) zich in om de politiek veiliger te maken voor raadsleden, burgemeesters en alle andere politieke ambtsdragers. Dit doet BZK in nauwe samenwerking met het Netwerk Weerbaar Bestuur met ruim 30 partners, zoals de beroeps- en belangenverenigingen van politieke ambtsdragers, politie, het openbaar ministerie en bijvoorbeeld Stem op een Vrouw. Het is belangrijk dat juist ook specifieke groepen in de politiek, zoals vrouwen 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geen drempels voelen om incidenten te melden en weten dat ze er op het gebied van persoonlijke veiligheid niet alleen voor staan. Zo zijn er in meer dan de helft van gemeenteraden en Provinciale Staten weerbaarheidssessies gehouden wat vaak de aanleiding vormt om gezamenlijk normen vast te leggen in bijvoorbeeld agressieprotocollen. Dit om er voor te zorgen dat politici zich veilig en zonder druk van buitenaf kunnen blijven uitspreken. Daarnaast ondersteunt het ministerie van OCW tot en met 2027 de alliantie Politica, vanuit het emancipatiebeleid. In die alliantie zetten de maatschappelijke organisaties WO=MEN, de Nederlandse Vrouwenraad, Stem op een Vrouw en Emancipator zich in voor meer vrouwen in de politiek. Hierbij is de aanpak van onveiligheid in de politiek onderdeel van de activiteiten.</w:t>
            </w:r>
          </w:p>
          <w:p w:rsidRPr="002A1F9A" w:rsidR="008A2F1E" w:rsidRDefault="008A2F1E" w14:paraId="0EE9BEAB" w14:textId="0C629611">
            <w:pPr>
              <w:rPr>
                <w:rFonts w:ascii="Verdana" w:hAnsi="Verdana"/>
                <w:sz w:val="18"/>
                <w:szCs w:val="18"/>
              </w:rPr>
            </w:pPr>
          </w:p>
        </w:tc>
        <w:tc>
          <w:tcPr>
            <w:tcW w:w="850" w:type="dxa"/>
          </w:tcPr>
          <w:p w:rsidRPr="002A1F9A" w:rsidR="001256CA" w:rsidRDefault="001856D0" w14:paraId="38446D9A"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42D91BA"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533C4BC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0422F51" w14:textId="77777777">
        <w:tc>
          <w:tcPr>
            <w:tcW w:w="567" w:type="dxa"/>
          </w:tcPr>
          <w:p w:rsidRPr="002A1F9A" w:rsidR="001256CA" w:rsidRDefault="001856D0" w14:paraId="518EA321" w14:textId="77777777">
            <w:pPr>
              <w:rPr>
                <w:rFonts w:ascii="Verdana" w:hAnsi="Verdana"/>
                <w:sz w:val="18"/>
                <w:szCs w:val="18"/>
              </w:rPr>
            </w:pPr>
            <w:r w:rsidRPr="002A1F9A">
              <w:rPr>
                <w:rFonts w:ascii="Verdana" w:hAnsi="Verdana"/>
                <w:sz w:val="18"/>
                <w:szCs w:val="18"/>
              </w:rPr>
              <w:t>117</w:t>
            </w:r>
          </w:p>
        </w:tc>
        <w:tc>
          <w:tcPr>
            <w:tcW w:w="6521" w:type="dxa"/>
          </w:tcPr>
          <w:p w:rsidRPr="002A1F9A" w:rsidR="001256CA" w:rsidRDefault="001856D0" w14:paraId="0A8FD0B2" w14:textId="77777777">
            <w:pPr>
              <w:rPr>
                <w:rFonts w:ascii="Verdana" w:hAnsi="Verdana"/>
                <w:sz w:val="18"/>
                <w:szCs w:val="18"/>
              </w:rPr>
            </w:pPr>
            <w:r w:rsidRPr="002A1F9A">
              <w:rPr>
                <w:rFonts w:ascii="Verdana" w:hAnsi="Verdana"/>
                <w:sz w:val="18"/>
                <w:szCs w:val="18"/>
              </w:rPr>
              <w:t>Welke maatregelen worden er genomen om de politiek toegankelijker te maken voor mensen met een beperking?</w:t>
            </w:r>
          </w:p>
          <w:p w:rsidRPr="002A1F9A" w:rsidR="008A2F1E" w:rsidRDefault="008A2F1E" w14:paraId="7A144FFC" w14:textId="77777777">
            <w:pPr>
              <w:rPr>
                <w:rFonts w:ascii="Verdana" w:hAnsi="Verdana"/>
                <w:sz w:val="18"/>
                <w:szCs w:val="18"/>
              </w:rPr>
            </w:pPr>
          </w:p>
          <w:p w:rsidRPr="002A1F9A" w:rsidR="008A2F1E" w:rsidP="008A2F1E" w:rsidRDefault="008A2F1E" w14:paraId="784D79E5" w14:textId="77777777">
            <w:pPr>
              <w:rPr>
                <w:rFonts w:ascii="Verdana" w:hAnsi="Verdana"/>
                <w:sz w:val="18"/>
                <w:szCs w:val="18"/>
              </w:rPr>
            </w:pPr>
            <w:r w:rsidRPr="002A1F9A">
              <w:rPr>
                <w:rFonts w:ascii="Verdana" w:hAnsi="Verdana"/>
                <w:sz w:val="18"/>
                <w:szCs w:val="18"/>
              </w:rPr>
              <w:t xml:space="preserve">BZK zet zich er onder andere via het project Politiek Actief met een beperking van </w:t>
            </w:r>
            <w:proofErr w:type="spellStart"/>
            <w:r w:rsidRPr="002A1F9A">
              <w:rPr>
                <w:rFonts w:ascii="Verdana" w:hAnsi="Verdana"/>
                <w:sz w:val="18"/>
                <w:szCs w:val="18"/>
              </w:rPr>
              <w:t>ZorgBelang</w:t>
            </w:r>
            <w:proofErr w:type="spellEnd"/>
            <w:r w:rsidRPr="002A1F9A">
              <w:rPr>
                <w:rFonts w:ascii="Verdana" w:hAnsi="Verdana"/>
                <w:sz w:val="18"/>
                <w:szCs w:val="18"/>
              </w:rPr>
              <w:t xml:space="preserve"> inclusief voor in dat mensen met een beperking actief gemotiveerd worden om de politiek in te gaan. Hierbij worden mensen met een beperking begeleid in hun wens om politiek actief te worden. </w:t>
            </w:r>
          </w:p>
          <w:p w:rsidRPr="002A1F9A" w:rsidR="008A2F1E" w:rsidP="008A2F1E" w:rsidRDefault="008A2F1E" w14:paraId="4F4A3011" w14:textId="0B36BC9A">
            <w:pPr>
              <w:rPr>
                <w:rFonts w:ascii="Verdana" w:hAnsi="Verdana"/>
                <w:sz w:val="18"/>
                <w:szCs w:val="18"/>
              </w:rPr>
            </w:pPr>
            <w:r w:rsidRPr="002A1F9A">
              <w:rPr>
                <w:rFonts w:ascii="Verdana" w:hAnsi="Verdana"/>
                <w:sz w:val="18"/>
                <w:szCs w:val="18"/>
              </w:rPr>
              <w:t xml:space="preserve">In het rechtspositiebesluit politieke ambtsdragers zijn daarnaast specifieke vergoedingen en voorzieningen opgenomen voor mensen met een beperking om </w:t>
            </w:r>
            <w:r w:rsidRPr="002A1F9A" w:rsidR="009C1E65">
              <w:rPr>
                <w:rFonts w:ascii="Verdana" w:hAnsi="Verdana"/>
                <w:sz w:val="18"/>
                <w:szCs w:val="18"/>
              </w:rPr>
              <w:t>hen</w:t>
            </w:r>
            <w:r w:rsidRPr="002A1F9A">
              <w:rPr>
                <w:rFonts w:ascii="Verdana" w:hAnsi="Verdana"/>
                <w:sz w:val="18"/>
                <w:szCs w:val="18"/>
              </w:rPr>
              <w:t xml:space="preserve"> in staat te stellen hun politieke ambt uit te oefenen. </w:t>
            </w:r>
          </w:p>
          <w:p w:rsidRPr="002A1F9A" w:rsidR="008A2F1E" w:rsidP="008A2F1E" w:rsidRDefault="008A2F1E" w14:paraId="4CA3AAA6" w14:textId="545F91FD">
            <w:pPr>
              <w:rPr>
                <w:rFonts w:ascii="Verdana" w:hAnsi="Verdana"/>
                <w:sz w:val="18"/>
                <w:szCs w:val="18"/>
              </w:rPr>
            </w:pPr>
            <w:r w:rsidRPr="002A1F9A">
              <w:rPr>
                <w:rFonts w:ascii="Verdana" w:hAnsi="Verdana"/>
                <w:sz w:val="18"/>
                <w:szCs w:val="18"/>
              </w:rPr>
              <w:t xml:space="preserve">Daarnaast heeft BZK dit jaar het Diversiteitsplein in het leven geroepen. Een digitaal platform waarin politici (met een beperking), beleidsmedewerkers en andere betrokkenen elkaar kunnen inspireren en tips kunnen geven over politiek actief zijn met een beperking. Het platform is ook bedoeld als informatievoorziening voor (kandidaat) politieke ambtsdragers met een beperking. Tot die informatie behoren onder andere beschrijvingen per soort arbeidsongeschiktheidsuitkering en de zorg- en huurtoeslag en hoe de </w:t>
            </w:r>
            <w:proofErr w:type="spellStart"/>
            <w:r w:rsidRPr="002A1F9A">
              <w:rPr>
                <w:rFonts w:ascii="Verdana" w:hAnsi="Verdana"/>
                <w:sz w:val="18"/>
                <w:szCs w:val="18"/>
              </w:rPr>
              <w:t>verrekeningssystematiek</w:t>
            </w:r>
            <w:proofErr w:type="spellEnd"/>
            <w:r w:rsidRPr="002A1F9A">
              <w:rPr>
                <w:rFonts w:ascii="Verdana" w:hAnsi="Verdana"/>
                <w:sz w:val="18"/>
                <w:szCs w:val="18"/>
              </w:rPr>
              <w:t xml:space="preserve"> in zijn algemeenheid werkt. Voor meer duiding over de complexiteit van raadsvergoedingen voor uitkeringsgerechtigde raadsleden verwijs ik u naar het onlangs gegeven </w:t>
            </w:r>
            <w:hyperlink w:history="1" r:id="rId74">
              <w:r w:rsidRPr="002A1F9A">
                <w:rPr>
                  <w:rStyle w:val="Hyperlink"/>
                  <w:rFonts w:ascii="Verdana" w:hAnsi="Verdana"/>
                  <w:sz w:val="18"/>
                  <w:szCs w:val="18"/>
                </w:rPr>
                <w:t>antwoord</w:t>
              </w:r>
            </w:hyperlink>
            <w:r w:rsidRPr="002A1F9A">
              <w:rPr>
                <w:rFonts w:ascii="Verdana" w:hAnsi="Verdana"/>
                <w:sz w:val="18"/>
                <w:szCs w:val="18"/>
              </w:rPr>
              <w:t xml:space="preserve"> van de minister van BZK (mede namens de minister van SZW) op Kamervragen van de leden </w:t>
            </w:r>
            <w:proofErr w:type="spellStart"/>
            <w:r w:rsidRPr="002A1F9A">
              <w:rPr>
                <w:rFonts w:ascii="Verdana" w:hAnsi="Verdana"/>
                <w:sz w:val="18"/>
                <w:szCs w:val="18"/>
              </w:rPr>
              <w:t>Chakor</w:t>
            </w:r>
            <w:proofErr w:type="spellEnd"/>
            <w:r w:rsidRPr="002A1F9A">
              <w:rPr>
                <w:rFonts w:ascii="Verdana" w:hAnsi="Verdana"/>
                <w:sz w:val="18"/>
                <w:szCs w:val="18"/>
              </w:rPr>
              <w:t xml:space="preserve"> en </w:t>
            </w:r>
            <w:proofErr w:type="spellStart"/>
            <w:r w:rsidRPr="002A1F9A">
              <w:rPr>
                <w:rFonts w:ascii="Verdana" w:hAnsi="Verdana"/>
                <w:sz w:val="18"/>
                <w:szCs w:val="18"/>
              </w:rPr>
              <w:t>Lahlah</w:t>
            </w:r>
            <w:proofErr w:type="spellEnd"/>
            <w:r w:rsidRPr="002A1F9A">
              <w:rPr>
                <w:rFonts w:ascii="Verdana" w:hAnsi="Verdana"/>
                <w:sz w:val="18"/>
                <w:szCs w:val="18"/>
              </w:rPr>
              <w:t xml:space="preserve"> </w:t>
            </w:r>
            <w:r w:rsidRPr="002A1F9A" w:rsidR="009C1E65">
              <w:rPr>
                <w:rFonts w:ascii="Verdana" w:hAnsi="Verdana"/>
                <w:sz w:val="18"/>
                <w:szCs w:val="18"/>
              </w:rPr>
              <w:t>hier</w:t>
            </w:r>
            <w:r w:rsidRPr="002A1F9A">
              <w:rPr>
                <w:rFonts w:ascii="Verdana" w:hAnsi="Verdana"/>
                <w:sz w:val="18"/>
                <w:szCs w:val="18"/>
              </w:rPr>
              <w:t>ove</w:t>
            </w:r>
            <w:r w:rsidRPr="002A1F9A" w:rsidR="009C1E65">
              <w:rPr>
                <w:rFonts w:ascii="Verdana" w:hAnsi="Verdana"/>
                <w:sz w:val="18"/>
                <w:szCs w:val="18"/>
              </w:rPr>
              <w:t>r</w:t>
            </w:r>
            <w:r w:rsidRPr="002A1F9A">
              <w:rPr>
                <w:rFonts w:ascii="Verdana" w:hAnsi="Verdana"/>
                <w:sz w:val="18"/>
                <w:szCs w:val="18"/>
              </w:rPr>
              <w:t>.</w:t>
            </w:r>
          </w:p>
          <w:p w:rsidRPr="002A1F9A" w:rsidR="008A2F1E" w:rsidP="008A2F1E" w:rsidRDefault="008A2F1E" w14:paraId="68150BAB" w14:textId="6C22C8FA">
            <w:pPr>
              <w:rPr>
                <w:rFonts w:ascii="Verdana" w:hAnsi="Verdana"/>
                <w:sz w:val="18"/>
                <w:szCs w:val="18"/>
              </w:rPr>
            </w:pPr>
          </w:p>
        </w:tc>
        <w:tc>
          <w:tcPr>
            <w:tcW w:w="850" w:type="dxa"/>
          </w:tcPr>
          <w:p w:rsidRPr="002A1F9A" w:rsidR="001256CA" w:rsidRDefault="001856D0" w14:paraId="0A6D816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60B186D"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12B4E1AC"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A7BB684" w14:textId="77777777">
        <w:tc>
          <w:tcPr>
            <w:tcW w:w="567" w:type="dxa"/>
          </w:tcPr>
          <w:p w:rsidRPr="002A1F9A" w:rsidR="001256CA" w:rsidRDefault="001856D0" w14:paraId="461E1A3B" w14:textId="77777777">
            <w:pPr>
              <w:rPr>
                <w:rFonts w:ascii="Verdana" w:hAnsi="Verdana"/>
                <w:sz w:val="18"/>
                <w:szCs w:val="18"/>
              </w:rPr>
            </w:pPr>
            <w:r w:rsidRPr="002A1F9A">
              <w:rPr>
                <w:rFonts w:ascii="Verdana" w:hAnsi="Verdana"/>
                <w:sz w:val="18"/>
                <w:szCs w:val="18"/>
              </w:rPr>
              <w:t>118</w:t>
            </w:r>
          </w:p>
        </w:tc>
        <w:tc>
          <w:tcPr>
            <w:tcW w:w="6521" w:type="dxa"/>
          </w:tcPr>
          <w:p w:rsidRPr="002A1F9A" w:rsidR="001256CA" w:rsidRDefault="001856D0" w14:paraId="04FB3CF4" w14:textId="77777777">
            <w:pPr>
              <w:rPr>
                <w:rFonts w:ascii="Verdana" w:hAnsi="Verdana"/>
                <w:sz w:val="18"/>
                <w:szCs w:val="18"/>
              </w:rPr>
            </w:pPr>
            <w:r w:rsidRPr="002A1F9A">
              <w:rPr>
                <w:rFonts w:ascii="Verdana" w:hAnsi="Verdana"/>
                <w:sz w:val="18"/>
                <w:szCs w:val="18"/>
              </w:rPr>
              <w:t>In hoeverre voldoet Nederland momenteel aan internationale verplichtingen, voortvloeiende uit wetgeving en verdragen, met haar huidige emancipatiebeleid</w:t>
            </w:r>
            <w:r w:rsidRPr="002A1F9A" w:rsidR="008602E2">
              <w:rPr>
                <w:rFonts w:ascii="Verdana" w:hAnsi="Verdana"/>
                <w:sz w:val="18"/>
                <w:szCs w:val="18"/>
              </w:rPr>
              <w:t xml:space="preserve"> en z</w:t>
            </w:r>
            <w:r w:rsidRPr="002A1F9A">
              <w:rPr>
                <w:rFonts w:ascii="Verdana" w:hAnsi="Verdana"/>
                <w:sz w:val="18"/>
                <w:szCs w:val="18"/>
              </w:rPr>
              <w:t>ijn er nog eventuele verbeterpunten?</w:t>
            </w:r>
          </w:p>
          <w:p w:rsidRPr="002A1F9A" w:rsidR="008A2F1E" w:rsidRDefault="008A2F1E" w14:paraId="75AE3448" w14:textId="77777777">
            <w:pPr>
              <w:rPr>
                <w:rFonts w:ascii="Verdana" w:hAnsi="Verdana"/>
                <w:sz w:val="18"/>
                <w:szCs w:val="18"/>
              </w:rPr>
            </w:pPr>
          </w:p>
          <w:p w:rsidRPr="002A1F9A" w:rsidR="008A2F1E" w:rsidP="008A2F1E" w:rsidRDefault="008A2F1E" w14:paraId="3718A60B" w14:textId="77777777">
            <w:pPr>
              <w:rPr>
                <w:rFonts w:ascii="Verdana" w:hAnsi="Verdana"/>
                <w:sz w:val="18"/>
                <w:szCs w:val="18"/>
              </w:rPr>
            </w:pPr>
            <w:r w:rsidRPr="002A1F9A">
              <w:rPr>
                <w:rFonts w:ascii="Verdana" w:hAnsi="Verdana"/>
                <w:sz w:val="18"/>
                <w:szCs w:val="18"/>
              </w:rPr>
              <w:lastRenderedPageBreak/>
              <w:t xml:space="preserve">Op het emancipatiebeleid zijn honderden internationale verplichtingen, voortvloeiende uit wetgeving en verdragen, direct of indirect van toepassing. Nederland voldoet aan veel van deze verplichtingen. De mate en wijze waarop Nederland hieraan voldoet, is onder andere terug te vinden in de betreffende periodieke rapportages, zoals via de CEDAW dialoog gericht op het </w:t>
            </w:r>
            <w:hyperlink w:history="1" r:id="rId75">
              <w:r w:rsidRPr="002A1F9A">
                <w:rPr>
                  <w:rStyle w:val="Hyperlink"/>
                  <w:rFonts w:ascii="Verdana" w:hAnsi="Verdana"/>
                  <w:sz w:val="18"/>
                  <w:szCs w:val="18"/>
                </w:rPr>
                <w:t>VN Verdrag</w:t>
              </w:r>
            </w:hyperlink>
            <w:r w:rsidRPr="002A1F9A">
              <w:rPr>
                <w:rFonts w:ascii="Verdana" w:hAnsi="Verdana"/>
                <w:sz w:val="18"/>
                <w:szCs w:val="18"/>
              </w:rPr>
              <w:t xml:space="preserve"> inzake de uitbanning van alle vormen van discriminatie van vrouwen welke Nederland in 1991 heeft geratificeerd. Daar waar het Europese wetgeving betreft, is uit de notificatie van nationale implementatie af te lezen op welke wijze Nederland voldoet of gaat voldoen aan Europese richtlijnen, zoals de </w:t>
            </w:r>
            <w:hyperlink w:history="1" r:id="rId76">
              <w:r w:rsidRPr="002A1F9A">
                <w:rPr>
                  <w:rStyle w:val="Hyperlink"/>
                  <w:rFonts w:ascii="Verdana" w:hAnsi="Verdana"/>
                  <w:sz w:val="18"/>
                  <w:szCs w:val="18"/>
                </w:rPr>
                <w:t>Richtlijn Loontransparantie</w:t>
              </w:r>
            </w:hyperlink>
            <w:r w:rsidRPr="002A1F9A">
              <w:rPr>
                <w:rFonts w:ascii="Verdana" w:hAnsi="Verdana"/>
                <w:sz w:val="18"/>
                <w:szCs w:val="18"/>
              </w:rPr>
              <w:t xml:space="preserve"> of de </w:t>
            </w:r>
            <w:hyperlink w:history="1" r:id="rId77">
              <w:r w:rsidRPr="002A1F9A">
                <w:rPr>
                  <w:rStyle w:val="Hyperlink"/>
                  <w:rFonts w:ascii="Verdana" w:hAnsi="Verdana"/>
                  <w:sz w:val="18"/>
                  <w:szCs w:val="18"/>
                </w:rPr>
                <w:t>Richtlijn ter bestrijding van Geweld tegen Vrouwen en Huiselijk Geweld</w:t>
              </w:r>
            </w:hyperlink>
            <w:r w:rsidRPr="002A1F9A">
              <w:rPr>
                <w:rFonts w:ascii="Verdana" w:hAnsi="Verdana"/>
                <w:sz w:val="18"/>
                <w:szCs w:val="18"/>
              </w:rPr>
              <w:t xml:space="preserve">. Daar waar Nederland nog niet voldoet aan internationale verplichtingen is het kabinet voornemens dit alsnog te doen via maatregelen aangekondigd in </w:t>
            </w:r>
            <w:hyperlink w:history="1" r:id="rId78">
              <w:r w:rsidRPr="002A1F9A">
                <w:rPr>
                  <w:rStyle w:val="Hyperlink"/>
                  <w:rFonts w:ascii="Verdana" w:hAnsi="Verdana"/>
                  <w:sz w:val="18"/>
                  <w:szCs w:val="18"/>
                </w:rPr>
                <w:t>de ‘Emancipatienota: Veilig Meedoen!’</w:t>
              </w:r>
            </w:hyperlink>
            <w:r w:rsidRPr="002A1F9A">
              <w:rPr>
                <w:rFonts w:ascii="Verdana" w:hAnsi="Verdana"/>
                <w:sz w:val="18"/>
                <w:szCs w:val="18"/>
              </w:rPr>
              <w:t xml:space="preserve"> of wordt er op basis van nationale omstandigheden andere beleidskeuzes gemaakt. </w:t>
            </w:r>
          </w:p>
          <w:p w:rsidRPr="002A1F9A" w:rsidR="008A2F1E" w:rsidRDefault="008A2F1E" w14:paraId="0BE1212E" w14:textId="20383756">
            <w:pPr>
              <w:rPr>
                <w:rFonts w:ascii="Verdana" w:hAnsi="Verdana"/>
                <w:sz w:val="18"/>
                <w:szCs w:val="18"/>
              </w:rPr>
            </w:pPr>
          </w:p>
        </w:tc>
        <w:tc>
          <w:tcPr>
            <w:tcW w:w="850" w:type="dxa"/>
          </w:tcPr>
          <w:p w:rsidRPr="002A1F9A" w:rsidR="001256CA" w:rsidRDefault="001856D0" w14:paraId="56C289B9"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002A57E7" w14:textId="77777777">
            <w:pPr>
              <w:jc w:val="right"/>
              <w:rPr>
                <w:rFonts w:ascii="Verdana" w:hAnsi="Verdana"/>
                <w:sz w:val="18"/>
                <w:szCs w:val="18"/>
              </w:rPr>
            </w:pPr>
            <w:r w:rsidRPr="002A1F9A">
              <w:rPr>
                <w:rFonts w:ascii="Verdana" w:hAnsi="Verdana"/>
                <w:sz w:val="18"/>
                <w:szCs w:val="18"/>
              </w:rPr>
              <w:t>39</w:t>
            </w:r>
          </w:p>
        </w:tc>
        <w:tc>
          <w:tcPr>
            <w:tcW w:w="567" w:type="dxa"/>
            <w:tcBorders>
              <w:left w:val="nil"/>
            </w:tcBorders>
          </w:tcPr>
          <w:p w:rsidRPr="002A1F9A" w:rsidR="001256CA" w:rsidRDefault="001856D0" w14:paraId="737AD64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3780E965" w14:textId="77777777">
        <w:tc>
          <w:tcPr>
            <w:tcW w:w="567" w:type="dxa"/>
          </w:tcPr>
          <w:p w:rsidRPr="002A1F9A" w:rsidR="001256CA" w:rsidRDefault="001856D0" w14:paraId="0715C1E5" w14:textId="77777777">
            <w:pPr>
              <w:rPr>
                <w:rFonts w:ascii="Verdana" w:hAnsi="Verdana"/>
                <w:sz w:val="18"/>
                <w:szCs w:val="18"/>
              </w:rPr>
            </w:pPr>
            <w:r w:rsidRPr="002A1F9A">
              <w:rPr>
                <w:rFonts w:ascii="Verdana" w:hAnsi="Verdana"/>
                <w:sz w:val="18"/>
                <w:szCs w:val="18"/>
              </w:rPr>
              <w:t>119</w:t>
            </w:r>
          </w:p>
        </w:tc>
        <w:tc>
          <w:tcPr>
            <w:tcW w:w="6521" w:type="dxa"/>
          </w:tcPr>
          <w:p w:rsidRPr="002A1F9A" w:rsidR="001256CA" w:rsidRDefault="001856D0" w14:paraId="6ADF56DC" w14:textId="77777777">
            <w:pPr>
              <w:rPr>
                <w:rFonts w:ascii="Verdana" w:hAnsi="Verdana"/>
                <w:sz w:val="18"/>
                <w:szCs w:val="18"/>
              </w:rPr>
            </w:pPr>
            <w:r w:rsidRPr="002A1F9A">
              <w:rPr>
                <w:rFonts w:ascii="Verdana" w:hAnsi="Verdana"/>
                <w:sz w:val="18"/>
                <w:szCs w:val="18"/>
              </w:rPr>
              <w:t>Hoeveel stille reserve is er in het po en hoeveel in het vo?</w:t>
            </w:r>
          </w:p>
          <w:p w:rsidRPr="002A1F9A" w:rsidR="00DB2CBB" w:rsidRDefault="00DB2CBB" w14:paraId="41707256" w14:textId="77777777">
            <w:pPr>
              <w:rPr>
                <w:rFonts w:ascii="Verdana" w:hAnsi="Verdana"/>
                <w:sz w:val="18"/>
                <w:szCs w:val="18"/>
              </w:rPr>
            </w:pPr>
          </w:p>
          <w:p w:rsidRPr="002A1F9A" w:rsidR="00DB2CBB" w:rsidP="00DB2CBB" w:rsidRDefault="00DB2CBB" w14:paraId="11DF3519" w14:textId="77777777">
            <w:pPr>
              <w:rPr>
                <w:rFonts w:ascii="Verdana" w:hAnsi="Verdana"/>
                <w:sz w:val="18"/>
                <w:szCs w:val="18"/>
              </w:rPr>
            </w:pPr>
            <w:r w:rsidRPr="002A1F9A">
              <w:rPr>
                <w:rFonts w:ascii="Verdana" w:hAnsi="Verdana"/>
                <w:sz w:val="18"/>
                <w:szCs w:val="18"/>
              </w:rPr>
              <w:t>Zie antwoord op vraag 70.</w:t>
            </w:r>
          </w:p>
          <w:p w:rsidRPr="002A1F9A" w:rsidR="00DB2CBB" w:rsidRDefault="00DB2CBB" w14:paraId="68BC1CCB" w14:textId="77777777">
            <w:pPr>
              <w:rPr>
                <w:rFonts w:ascii="Verdana" w:hAnsi="Verdana"/>
                <w:sz w:val="18"/>
                <w:szCs w:val="18"/>
              </w:rPr>
            </w:pPr>
          </w:p>
        </w:tc>
        <w:tc>
          <w:tcPr>
            <w:tcW w:w="850" w:type="dxa"/>
          </w:tcPr>
          <w:p w:rsidRPr="002A1F9A" w:rsidR="001256CA" w:rsidRDefault="001856D0" w14:paraId="13A9973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6C1A583D" w14:textId="77777777">
            <w:pPr>
              <w:jc w:val="right"/>
              <w:rPr>
                <w:rFonts w:ascii="Verdana" w:hAnsi="Verdana"/>
                <w:sz w:val="18"/>
                <w:szCs w:val="18"/>
              </w:rPr>
            </w:pPr>
            <w:r w:rsidRPr="002A1F9A">
              <w:rPr>
                <w:rFonts w:ascii="Verdana" w:hAnsi="Verdana"/>
                <w:sz w:val="18"/>
                <w:szCs w:val="18"/>
              </w:rPr>
              <w:t>41</w:t>
            </w:r>
          </w:p>
        </w:tc>
        <w:tc>
          <w:tcPr>
            <w:tcW w:w="567" w:type="dxa"/>
            <w:tcBorders>
              <w:left w:val="nil"/>
            </w:tcBorders>
          </w:tcPr>
          <w:p w:rsidRPr="002A1F9A" w:rsidR="001256CA" w:rsidRDefault="001856D0" w14:paraId="49B81EC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75591BB" w14:textId="77777777">
        <w:tc>
          <w:tcPr>
            <w:tcW w:w="567" w:type="dxa"/>
          </w:tcPr>
          <w:p w:rsidRPr="002A1F9A" w:rsidR="001256CA" w:rsidRDefault="001856D0" w14:paraId="67869743" w14:textId="77777777">
            <w:pPr>
              <w:rPr>
                <w:rFonts w:ascii="Verdana" w:hAnsi="Verdana"/>
                <w:sz w:val="18"/>
                <w:szCs w:val="18"/>
              </w:rPr>
            </w:pPr>
            <w:r w:rsidRPr="002A1F9A">
              <w:rPr>
                <w:rFonts w:ascii="Verdana" w:hAnsi="Verdana"/>
                <w:sz w:val="18"/>
                <w:szCs w:val="18"/>
              </w:rPr>
              <w:t>120</w:t>
            </w:r>
          </w:p>
        </w:tc>
        <w:tc>
          <w:tcPr>
            <w:tcW w:w="6521" w:type="dxa"/>
          </w:tcPr>
          <w:p w:rsidRPr="002A1F9A" w:rsidR="001256CA" w:rsidRDefault="001856D0" w14:paraId="32EFF47D" w14:textId="046287BE">
            <w:pPr>
              <w:rPr>
                <w:rFonts w:ascii="Verdana" w:hAnsi="Verdana"/>
                <w:sz w:val="18"/>
                <w:szCs w:val="18"/>
              </w:rPr>
            </w:pPr>
            <w:r w:rsidRPr="002A1F9A">
              <w:rPr>
                <w:rFonts w:ascii="Verdana" w:hAnsi="Verdana"/>
                <w:sz w:val="18"/>
                <w:szCs w:val="18"/>
              </w:rPr>
              <w:t>Wat is de gemiddelde klassengro</w:t>
            </w:r>
            <w:r w:rsidRPr="002A1F9A" w:rsidR="009C1E65">
              <w:rPr>
                <w:rFonts w:ascii="Verdana" w:hAnsi="Verdana"/>
                <w:sz w:val="18"/>
                <w:szCs w:val="18"/>
              </w:rPr>
              <w:t>ot</w:t>
            </w:r>
            <w:r w:rsidRPr="002A1F9A">
              <w:rPr>
                <w:rFonts w:ascii="Verdana" w:hAnsi="Verdana"/>
                <w:sz w:val="18"/>
                <w:szCs w:val="18"/>
              </w:rPr>
              <w:t>te in het vo? Hoe heeft zich dit de afgelopen tien jaar ontwikkeld?</w:t>
            </w:r>
          </w:p>
          <w:p w:rsidRPr="002A1F9A" w:rsidR="00DB2CBB" w:rsidRDefault="00DB2CBB" w14:paraId="54721DDD" w14:textId="77777777">
            <w:pPr>
              <w:rPr>
                <w:rFonts w:ascii="Verdana" w:hAnsi="Verdana"/>
                <w:sz w:val="18"/>
                <w:szCs w:val="18"/>
              </w:rPr>
            </w:pPr>
          </w:p>
          <w:p w:rsidRPr="002A1F9A" w:rsidR="00DB2CBB" w:rsidP="00DB2CBB" w:rsidRDefault="00DB2CBB" w14:paraId="38F09521" w14:textId="77777777">
            <w:pPr>
              <w:rPr>
                <w:rFonts w:ascii="Verdana" w:hAnsi="Verdana"/>
                <w:sz w:val="18"/>
                <w:szCs w:val="18"/>
              </w:rPr>
            </w:pPr>
            <w:r w:rsidRPr="002A1F9A">
              <w:rPr>
                <w:rFonts w:ascii="Verdana" w:hAnsi="Verdana"/>
                <w:sz w:val="18"/>
                <w:szCs w:val="18"/>
              </w:rPr>
              <w:t xml:space="preserve">Er zijn momenteel geen recente cijfers beschikbaar over klassengroottes in het voortgezet onderwijs. Tijdens het Commissiedebat Funderend Onderwijs van 30 september is de toezegging gedaan dat er voor de zomer 2026 een verkenning wordt gedaan naar de klassengrootte.  </w:t>
            </w:r>
          </w:p>
          <w:p w:rsidRPr="002A1F9A" w:rsidR="00DB2CBB" w:rsidRDefault="00DB2CBB" w14:paraId="3165E1CC" w14:textId="77777777">
            <w:pPr>
              <w:rPr>
                <w:rFonts w:ascii="Verdana" w:hAnsi="Verdana"/>
                <w:sz w:val="18"/>
                <w:szCs w:val="18"/>
              </w:rPr>
            </w:pPr>
          </w:p>
        </w:tc>
        <w:tc>
          <w:tcPr>
            <w:tcW w:w="850" w:type="dxa"/>
          </w:tcPr>
          <w:p w:rsidRPr="002A1F9A" w:rsidR="001256CA" w:rsidRDefault="001856D0" w14:paraId="2C941DA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941B77A" w14:textId="77777777">
            <w:pPr>
              <w:jc w:val="right"/>
              <w:rPr>
                <w:rFonts w:ascii="Verdana" w:hAnsi="Verdana"/>
                <w:sz w:val="18"/>
                <w:szCs w:val="18"/>
              </w:rPr>
            </w:pPr>
            <w:r w:rsidRPr="002A1F9A">
              <w:rPr>
                <w:rFonts w:ascii="Verdana" w:hAnsi="Verdana"/>
                <w:sz w:val="18"/>
                <w:szCs w:val="18"/>
              </w:rPr>
              <w:t>42</w:t>
            </w:r>
          </w:p>
        </w:tc>
        <w:tc>
          <w:tcPr>
            <w:tcW w:w="567" w:type="dxa"/>
            <w:tcBorders>
              <w:left w:val="nil"/>
            </w:tcBorders>
          </w:tcPr>
          <w:p w:rsidRPr="002A1F9A" w:rsidR="001256CA" w:rsidRDefault="001856D0" w14:paraId="7928A52C"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0384273" w14:textId="77777777">
        <w:tc>
          <w:tcPr>
            <w:tcW w:w="567" w:type="dxa"/>
          </w:tcPr>
          <w:p w:rsidRPr="002A1F9A" w:rsidR="001256CA" w:rsidRDefault="001856D0" w14:paraId="18C47972" w14:textId="77777777">
            <w:pPr>
              <w:rPr>
                <w:rFonts w:ascii="Verdana" w:hAnsi="Verdana"/>
                <w:sz w:val="18"/>
                <w:szCs w:val="18"/>
              </w:rPr>
            </w:pPr>
            <w:r w:rsidRPr="002A1F9A">
              <w:rPr>
                <w:rFonts w:ascii="Verdana" w:hAnsi="Verdana"/>
                <w:sz w:val="18"/>
                <w:szCs w:val="18"/>
              </w:rPr>
              <w:t>121</w:t>
            </w:r>
          </w:p>
        </w:tc>
        <w:tc>
          <w:tcPr>
            <w:tcW w:w="6521" w:type="dxa"/>
          </w:tcPr>
          <w:p w:rsidRPr="002A1F9A" w:rsidR="001256CA" w:rsidRDefault="001856D0" w14:paraId="469744B0" w14:textId="77777777">
            <w:pPr>
              <w:rPr>
                <w:rFonts w:ascii="Verdana" w:hAnsi="Verdana"/>
                <w:sz w:val="18"/>
                <w:szCs w:val="18"/>
              </w:rPr>
            </w:pPr>
            <w:r w:rsidRPr="002A1F9A">
              <w:rPr>
                <w:rFonts w:ascii="Verdana" w:hAnsi="Verdana"/>
                <w:sz w:val="18"/>
                <w:szCs w:val="18"/>
              </w:rPr>
              <w:t xml:space="preserve">Hoeveel zou het kosten als alle stagiairs in het primair onderwijs een stagevergoeding krijgen van </w:t>
            </w:r>
            <w:r w:rsidRPr="002A1F9A" w:rsidR="008602E2">
              <w:rPr>
                <w:rFonts w:ascii="Verdana" w:hAnsi="Verdana"/>
                <w:sz w:val="18"/>
                <w:szCs w:val="18"/>
              </w:rPr>
              <w:t xml:space="preserve">€ </w:t>
            </w:r>
            <w:r w:rsidRPr="002A1F9A">
              <w:rPr>
                <w:rFonts w:ascii="Verdana" w:hAnsi="Verdana"/>
                <w:sz w:val="18"/>
                <w:szCs w:val="18"/>
              </w:rPr>
              <w:t>750 bij fulltime dienstverband?</w:t>
            </w:r>
          </w:p>
          <w:p w:rsidRPr="002A1F9A" w:rsidR="0015763C" w:rsidP="0015763C" w:rsidRDefault="0015763C" w14:paraId="32D255C3" w14:textId="77777777">
            <w:pPr>
              <w:spacing w:before="0" w:after="160" w:line="259" w:lineRule="auto"/>
              <w:rPr>
                <w:rFonts w:ascii="Verdana" w:hAnsi="Verdana" w:eastAsia="Calibri"/>
                <w:kern w:val="2"/>
                <w:sz w:val="18"/>
                <w:szCs w:val="18"/>
                <w:lang w:eastAsia="en-US"/>
                <w14:ligatures w14:val="standardContextual"/>
              </w:rPr>
            </w:pPr>
          </w:p>
          <w:p w:rsidRPr="002A1F9A" w:rsidR="0015763C" w:rsidP="0015763C" w:rsidRDefault="0015763C" w14:paraId="3432FC3D" w14:textId="38B222BE">
            <w:pPr>
              <w:spacing w:before="0" w:after="160" w:line="259" w:lineRule="auto"/>
              <w:rPr>
                <w:rFonts w:ascii="Verdana" w:hAnsi="Verdana" w:eastAsia="Calibri"/>
                <w:kern w:val="2"/>
                <w:sz w:val="18"/>
                <w:szCs w:val="18"/>
                <w:lang w:eastAsia="en-US"/>
                <w14:ligatures w14:val="standardContextual"/>
              </w:rPr>
            </w:pPr>
            <w:r w:rsidRPr="002A1F9A">
              <w:rPr>
                <w:rFonts w:ascii="Verdana" w:hAnsi="Verdana" w:eastAsia="Calibri"/>
                <w:kern w:val="2"/>
                <w:sz w:val="18"/>
                <w:szCs w:val="18"/>
                <w:lang w:eastAsia="en-US"/>
                <w14:ligatures w14:val="standardContextual"/>
              </w:rPr>
              <w:t>De sociale partners beslissen over de hoogte van de stagevergoeding en aan welke stagairs het wordt toegekend. Zie</w:t>
            </w:r>
            <w:r w:rsidRPr="002A1F9A" w:rsidR="009C1E65">
              <w:rPr>
                <w:rFonts w:ascii="Verdana" w:hAnsi="Verdana" w:eastAsia="Calibri"/>
                <w:kern w:val="2"/>
                <w:sz w:val="18"/>
                <w:szCs w:val="18"/>
                <w:lang w:eastAsia="en-US"/>
                <w14:ligatures w14:val="standardContextual"/>
              </w:rPr>
              <w:t xml:space="preserve"> de</w:t>
            </w:r>
            <w:r w:rsidRPr="002A1F9A">
              <w:rPr>
                <w:rFonts w:ascii="Verdana" w:hAnsi="Verdana" w:eastAsia="Calibri"/>
                <w:kern w:val="2"/>
                <w:sz w:val="18"/>
                <w:szCs w:val="18"/>
                <w:lang w:eastAsia="en-US"/>
                <w14:ligatures w14:val="standardContextual"/>
              </w:rPr>
              <w:t xml:space="preserve"> </w:t>
            </w:r>
            <w:hyperlink w:history="1" r:id="rId79">
              <w:r w:rsidRPr="002A1F9A">
                <w:rPr>
                  <w:rFonts w:ascii="Verdana" w:hAnsi="Verdana" w:eastAsia="Calibri"/>
                  <w:color w:val="0563C1"/>
                  <w:kern w:val="2"/>
                  <w:sz w:val="18"/>
                  <w:szCs w:val="18"/>
                  <w:u w:val="single"/>
                  <w:lang w:eastAsia="en-US"/>
                  <w14:ligatures w14:val="standardContextual"/>
                </w:rPr>
                <w:t>Kamerbrief lerarenstrategie juni 2024 bijlage moties en toezeggingen</w:t>
              </w:r>
            </w:hyperlink>
            <w:r w:rsidRPr="002A1F9A">
              <w:rPr>
                <w:rFonts w:ascii="Verdana" w:hAnsi="Verdana" w:eastAsia="Calibri"/>
                <w:kern w:val="2"/>
                <w:sz w:val="18"/>
                <w:szCs w:val="18"/>
                <w:lang w:eastAsia="en-US"/>
                <w14:ligatures w14:val="standardContextual"/>
              </w:rPr>
              <w:t xml:space="preserve">. Uiteindelijk hangen de totale kosten af van deze keuzes. </w:t>
            </w:r>
          </w:p>
          <w:p w:rsidRPr="002A1F9A" w:rsidR="0015763C" w:rsidP="0015763C" w:rsidRDefault="0015763C" w14:paraId="23038402" w14:textId="6C7F766B">
            <w:pPr>
              <w:spacing w:before="0" w:after="160" w:line="259" w:lineRule="auto"/>
              <w:rPr>
                <w:rFonts w:ascii="Verdana" w:hAnsi="Verdana" w:eastAsia="Calibri"/>
                <w:kern w:val="2"/>
                <w:sz w:val="18"/>
                <w:szCs w:val="18"/>
                <w:lang w:eastAsia="en-US"/>
                <w14:ligatures w14:val="standardContextual"/>
              </w:rPr>
            </w:pPr>
            <w:r w:rsidRPr="002A1F9A">
              <w:rPr>
                <w:rFonts w:ascii="Verdana" w:hAnsi="Verdana" w:eastAsia="Calibri"/>
                <w:kern w:val="2"/>
                <w:sz w:val="18"/>
                <w:szCs w:val="18"/>
                <w:lang w:eastAsia="en-US"/>
                <w14:ligatures w14:val="standardContextual"/>
              </w:rPr>
              <w:t xml:space="preserve">De totale kostenraming voor een stagevergoeding in het po van maandelijks € 750 bedraagt naar schatting € 136 miljoen per jaar. Dit is inclusief </w:t>
            </w:r>
            <w:proofErr w:type="spellStart"/>
            <w:r w:rsidRPr="002A1F9A">
              <w:rPr>
                <w:rFonts w:ascii="Verdana" w:hAnsi="Verdana" w:eastAsia="Calibri"/>
                <w:kern w:val="2"/>
                <w:sz w:val="18"/>
                <w:szCs w:val="18"/>
                <w:lang w:eastAsia="en-US"/>
                <w14:ligatures w14:val="standardContextual"/>
              </w:rPr>
              <w:t>Zvw</w:t>
            </w:r>
            <w:proofErr w:type="spellEnd"/>
            <w:r w:rsidRPr="002A1F9A">
              <w:rPr>
                <w:rFonts w:ascii="Verdana" w:hAnsi="Verdana" w:eastAsia="Calibri"/>
                <w:kern w:val="2"/>
                <w:sz w:val="18"/>
                <w:szCs w:val="18"/>
                <w:lang w:eastAsia="en-US"/>
                <w14:ligatures w14:val="standardContextual"/>
              </w:rPr>
              <w:t xml:space="preserve">-premie. In deze berekening is geen rekening gehouden met het aandeel stagiairs dat al een stagevergoeding krijgt. </w:t>
            </w:r>
            <w:r w:rsidRPr="002A1F9A" w:rsidR="009A3C2E">
              <w:rPr>
                <w:rFonts w:ascii="Verdana" w:hAnsi="Verdana" w:eastAsia="Calibri"/>
                <w:kern w:val="2"/>
                <w:sz w:val="18"/>
                <w:szCs w:val="18"/>
                <w:lang w:eastAsia="en-US"/>
                <w14:ligatures w14:val="standardContextual"/>
              </w:rPr>
              <w:t xml:space="preserve">Het ministerie van </w:t>
            </w:r>
            <w:r w:rsidRPr="002A1F9A">
              <w:rPr>
                <w:rFonts w:ascii="Verdana" w:hAnsi="Verdana" w:eastAsia="Calibri"/>
                <w:kern w:val="2"/>
                <w:sz w:val="18"/>
                <w:szCs w:val="18"/>
                <w:lang w:eastAsia="en-US"/>
                <w14:ligatures w14:val="standardContextual"/>
              </w:rPr>
              <w:t>OCW heeft hier geen zicht op. In deze berekening worden studenten onderwijsassistenten, overig onderwijsondersteunend personeel (OOP) en Pabo meegenomen. In totaal zijn er jaarlijks ongeveer 42.600 stagairs in het primair onderwijs (o.b.v. ramingen over 2024). De berekening gaat er verder vanuit dat studenten 10 maanden stagelopen met gemiddeld 2 dagen per week over de hele studie.</w:t>
            </w:r>
          </w:p>
          <w:p w:rsidRPr="002A1F9A" w:rsidR="0015763C" w:rsidRDefault="0015763C" w14:paraId="4473BAF8" w14:textId="332CC04B">
            <w:pPr>
              <w:rPr>
                <w:rFonts w:ascii="Verdana" w:hAnsi="Verdana"/>
                <w:sz w:val="18"/>
                <w:szCs w:val="18"/>
              </w:rPr>
            </w:pPr>
          </w:p>
        </w:tc>
        <w:tc>
          <w:tcPr>
            <w:tcW w:w="850" w:type="dxa"/>
          </w:tcPr>
          <w:p w:rsidRPr="002A1F9A" w:rsidR="001256CA" w:rsidRDefault="001856D0" w14:paraId="26D88A8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C47D727" w14:textId="77777777">
            <w:pPr>
              <w:jc w:val="right"/>
              <w:rPr>
                <w:rFonts w:ascii="Verdana" w:hAnsi="Verdana"/>
                <w:sz w:val="18"/>
                <w:szCs w:val="18"/>
              </w:rPr>
            </w:pPr>
            <w:r w:rsidRPr="002A1F9A">
              <w:rPr>
                <w:rFonts w:ascii="Verdana" w:hAnsi="Verdana"/>
                <w:sz w:val="18"/>
                <w:szCs w:val="18"/>
              </w:rPr>
              <w:t>42</w:t>
            </w:r>
          </w:p>
        </w:tc>
        <w:tc>
          <w:tcPr>
            <w:tcW w:w="567" w:type="dxa"/>
            <w:tcBorders>
              <w:left w:val="nil"/>
            </w:tcBorders>
          </w:tcPr>
          <w:p w:rsidRPr="002A1F9A" w:rsidR="001256CA" w:rsidRDefault="001856D0" w14:paraId="4B15D925"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E2F7400" w14:textId="77777777">
        <w:tc>
          <w:tcPr>
            <w:tcW w:w="567" w:type="dxa"/>
          </w:tcPr>
          <w:p w:rsidRPr="002A1F9A" w:rsidR="001256CA" w:rsidRDefault="001856D0" w14:paraId="2959FFBC" w14:textId="77777777">
            <w:pPr>
              <w:rPr>
                <w:rFonts w:ascii="Verdana" w:hAnsi="Verdana"/>
                <w:sz w:val="18"/>
                <w:szCs w:val="18"/>
              </w:rPr>
            </w:pPr>
            <w:bookmarkStart w:name="_Hlk212625404" w:id="30"/>
            <w:r w:rsidRPr="002A1F9A">
              <w:rPr>
                <w:rFonts w:ascii="Verdana" w:hAnsi="Verdana"/>
                <w:sz w:val="18"/>
                <w:szCs w:val="18"/>
              </w:rPr>
              <w:t>122</w:t>
            </w:r>
          </w:p>
        </w:tc>
        <w:tc>
          <w:tcPr>
            <w:tcW w:w="6521" w:type="dxa"/>
          </w:tcPr>
          <w:p w:rsidRPr="002A1F9A" w:rsidR="001256CA" w:rsidRDefault="001856D0" w14:paraId="156500E8" w14:textId="77777777">
            <w:pPr>
              <w:rPr>
                <w:rFonts w:ascii="Verdana" w:hAnsi="Verdana"/>
                <w:sz w:val="18"/>
                <w:szCs w:val="18"/>
              </w:rPr>
            </w:pPr>
            <w:r w:rsidRPr="002A1F9A">
              <w:rPr>
                <w:rFonts w:ascii="Verdana" w:hAnsi="Verdana"/>
                <w:sz w:val="18"/>
                <w:szCs w:val="18"/>
              </w:rPr>
              <w:t xml:space="preserve">Hoeveel zou de bekostiging van de scholen in totaal omhoog moeten om de groepsgrootte in het basisonderwijs en de klassengrootte in het voortgezet onderwijs te binden aan een maximum van dertig leerlingen en hoeveel </w:t>
            </w:r>
            <w:r w:rsidRPr="002A1F9A" w:rsidR="0098304B">
              <w:rPr>
                <w:rFonts w:ascii="Verdana" w:hAnsi="Verdana"/>
                <w:sz w:val="18"/>
                <w:szCs w:val="18"/>
              </w:rPr>
              <w:t xml:space="preserve">zou het kosten om hen te binden aan een </w:t>
            </w:r>
            <w:r w:rsidRPr="002A1F9A" w:rsidR="001918F6">
              <w:rPr>
                <w:rFonts w:ascii="Verdana" w:hAnsi="Verdana"/>
                <w:sz w:val="18"/>
                <w:szCs w:val="18"/>
              </w:rPr>
              <w:t>klassengrootte</w:t>
            </w:r>
            <w:r w:rsidRPr="002A1F9A" w:rsidR="0098304B">
              <w:rPr>
                <w:rFonts w:ascii="Verdana" w:hAnsi="Verdana"/>
                <w:sz w:val="18"/>
                <w:szCs w:val="18"/>
              </w:rPr>
              <w:t xml:space="preserve"> van </w:t>
            </w:r>
            <w:r w:rsidRPr="002A1F9A" w:rsidR="001918F6">
              <w:rPr>
                <w:rFonts w:ascii="Verdana" w:hAnsi="Verdana"/>
                <w:sz w:val="18"/>
                <w:szCs w:val="18"/>
              </w:rPr>
              <w:t>23-29 leerlingen?</w:t>
            </w:r>
          </w:p>
          <w:p w:rsidRPr="002A1F9A" w:rsidR="00DB2CBB" w:rsidRDefault="00DB2CBB" w14:paraId="6598710D" w14:textId="77777777">
            <w:pPr>
              <w:rPr>
                <w:rFonts w:ascii="Verdana" w:hAnsi="Verdana"/>
                <w:sz w:val="18"/>
                <w:szCs w:val="18"/>
              </w:rPr>
            </w:pPr>
          </w:p>
          <w:p w:rsidRPr="00D13EC2" w:rsidR="00D13EC2" w:rsidP="00D13EC2" w:rsidRDefault="00D13EC2" w14:paraId="3ECE16FF" w14:textId="126DB68E">
            <w:pPr>
              <w:rPr>
                <w:rFonts w:ascii="Verdana" w:hAnsi="Verdana"/>
                <w:sz w:val="18"/>
                <w:szCs w:val="18"/>
              </w:rPr>
            </w:pPr>
            <w:r w:rsidRPr="00D13EC2">
              <w:rPr>
                <w:rFonts w:ascii="Verdana" w:hAnsi="Verdana"/>
                <w:sz w:val="18"/>
                <w:szCs w:val="18"/>
              </w:rPr>
              <w:lastRenderedPageBreak/>
              <w:t>Dit is afhankelijk van de uitwerking. De klassengrootte op scholen hangt namelijk ook samen met de pedagogische visie en soms ook praktische zaken. Scholen kunnen zelf kiezen welke inrichting het beste past. Dit in combinatie met een mogelijk verhoogde vraag naar leraren en huisvesting maakt een wettelijke norm voor de klassengrootte niet wenselijk.</w:t>
            </w:r>
          </w:p>
          <w:p w:rsidRPr="002A1F9A" w:rsidR="00DB2CBB" w:rsidRDefault="00D13EC2" w14:paraId="7CB48D7C" w14:textId="77E835D6">
            <w:pPr>
              <w:rPr>
                <w:rFonts w:ascii="Verdana" w:hAnsi="Verdana"/>
                <w:sz w:val="18"/>
                <w:szCs w:val="18"/>
              </w:rPr>
            </w:pPr>
            <w:r w:rsidRPr="00D13EC2">
              <w:rPr>
                <w:rFonts w:ascii="Verdana" w:hAnsi="Verdana"/>
                <w:sz w:val="18"/>
                <w:szCs w:val="18"/>
              </w:rPr>
              <w:t xml:space="preserve">In 2024/25 lag de gemiddelde groepsgrootte in het primair onderwijs op 22,6 leerlingen en in 2024 was het aandeel groepen met meer dan dertig leerlingen 5,3% in het basisonderwijs. </w:t>
            </w:r>
          </w:p>
        </w:tc>
        <w:tc>
          <w:tcPr>
            <w:tcW w:w="850" w:type="dxa"/>
          </w:tcPr>
          <w:p w:rsidRPr="002A1F9A" w:rsidR="001256CA" w:rsidRDefault="001856D0" w14:paraId="35A4C51C"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0D2A8EC7" w14:textId="77777777">
            <w:pPr>
              <w:jc w:val="right"/>
              <w:rPr>
                <w:rFonts w:ascii="Verdana" w:hAnsi="Verdana"/>
                <w:sz w:val="18"/>
                <w:szCs w:val="18"/>
              </w:rPr>
            </w:pPr>
            <w:r w:rsidRPr="002A1F9A">
              <w:rPr>
                <w:rFonts w:ascii="Verdana" w:hAnsi="Verdana"/>
                <w:sz w:val="18"/>
                <w:szCs w:val="18"/>
              </w:rPr>
              <w:t>42</w:t>
            </w:r>
          </w:p>
        </w:tc>
        <w:tc>
          <w:tcPr>
            <w:tcW w:w="567" w:type="dxa"/>
            <w:tcBorders>
              <w:left w:val="nil"/>
            </w:tcBorders>
          </w:tcPr>
          <w:p w:rsidRPr="002A1F9A" w:rsidR="001256CA" w:rsidRDefault="001856D0" w14:paraId="34B42656" w14:textId="77777777">
            <w:pPr>
              <w:jc w:val="right"/>
              <w:rPr>
                <w:rFonts w:ascii="Verdana" w:hAnsi="Verdana"/>
                <w:sz w:val="18"/>
                <w:szCs w:val="18"/>
              </w:rPr>
            </w:pPr>
            <w:r w:rsidRPr="002A1F9A">
              <w:rPr>
                <w:rFonts w:ascii="Verdana" w:hAnsi="Verdana"/>
                <w:sz w:val="18"/>
                <w:szCs w:val="18"/>
              </w:rPr>
              <w:t xml:space="preserve">57 </w:t>
            </w:r>
          </w:p>
        </w:tc>
      </w:tr>
      <w:bookmarkEnd w:id="30"/>
      <w:tr w:rsidRPr="002A1F9A" w:rsidR="001256CA" w:rsidTr="00E7153D" w14:paraId="18F87CAB" w14:textId="77777777">
        <w:tc>
          <w:tcPr>
            <w:tcW w:w="567" w:type="dxa"/>
          </w:tcPr>
          <w:p w:rsidRPr="002A1F9A" w:rsidR="001256CA" w:rsidRDefault="001856D0" w14:paraId="7D821E21" w14:textId="77777777">
            <w:pPr>
              <w:rPr>
                <w:rFonts w:ascii="Verdana" w:hAnsi="Verdana"/>
                <w:sz w:val="18"/>
                <w:szCs w:val="18"/>
              </w:rPr>
            </w:pPr>
            <w:r w:rsidRPr="002A1F9A">
              <w:rPr>
                <w:rFonts w:ascii="Verdana" w:hAnsi="Verdana"/>
                <w:sz w:val="18"/>
                <w:szCs w:val="18"/>
              </w:rPr>
              <w:t>123</w:t>
            </w:r>
          </w:p>
        </w:tc>
        <w:tc>
          <w:tcPr>
            <w:tcW w:w="6521" w:type="dxa"/>
          </w:tcPr>
          <w:p w:rsidRPr="002A1F9A" w:rsidR="001256CA" w:rsidRDefault="001856D0" w14:paraId="384DD13E" w14:textId="77777777">
            <w:pPr>
              <w:rPr>
                <w:rFonts w:ascii="Verdana" w:hAnsi="Verdana"/>
                <w:sz w:val="18"/>
                <w:szCs w:val="18"/>
              </w:rPr>
            </w:pPr>
            <w:r w:rsidRPr="002A1F9A">
              <w:rPr>
                <w:rFonts w:ascii="Verdana" w:hAnsi="Verdana"/>
                <w:sz w:val="18"/>
                <w:szCs w:val="18"/>
              </w:rPr>
              <w:t xml:space="preserve">Op grond van welke overwegingen is uw ambtsvoorganger niet in beroep gegaan tegen het oordeel van de </w:t>
            </w:r>
            <w:r w:rsidRPr="002A1F9A" w:rsidR="007D3BA1">
              <w:rPr>
                <w:rFonts w:ascii="Verdana" w:hAnsi="Verdana"/>
                <w:sz w:val="18"/>
                <w:szCs w:val="18"/>
              </w:rPr>
              <w:t>r</w:t>
            </w:r>
            <w:r w:rsidRPr="002A1F9A">
              <w:rPr>
                <w:rFonts w:ascii="Verdana" w:hAnsi="Verdana"/>
                <w:sz w:val="18"/>
                <w:szCs w:val="18"/>
              </w:rPr>
              <w:t>echtbank Midden-Nederland in begin 2025 die de sanctiemaatregel op de bekostiging van samenwerkingsverbanden voor passend onderwijs in verband met een teveel aan bovenmatig publiek eigen vermogen, onrechtmatig verklaarde?</w:t>
            </w:r>
          </w:p>
          <w:p w:rsidRPr="002A1F9A" w:rsidR="00DB2CBB" w:rsidRDefault="00DB2CBB" w14:paraId="5109A3CC" w14:textId="77777777">
            <w:pPr>
              <w:rPr>
                <w:rFonts w:ascii="Verdana" w:hAnsi="Verdana"/>
                <w:sz w:val="18"/>
                <w:szCs w:val="18"/>
              </w:rPr>
            </w:pPr>
          </w:p>
          <w:p w:rsidRPr="002A1F9A" w:rsidR="00DB2CBB" w:rsidP="00DB2CBB" w:rsidRDefault="00DB2CBB" w14:paraId="79DD97EE" w14:textId="3E2CB6DF">
            <w:pPr>
              <w:rPr>
                <w:rFonts w:ascii="Verdana" w:hAnsi="Verdana"/>
                <w:sz w:val="18"/>
                <w:szCs w:val="18"/>
              </w:rPr>
            </w:pPr>
            <w:r w:rsidRPr="002A1F9A">
              <w:rPr>
                <w:rFonts w:ascii="Verdana" w:hAnsi="Verdana"/>
                <w:sz w:val="18"/>
                <w:szCs w:val="18"/>
              </w:rPr>
              <w:t>De rechtbank heeft geoordeeld dat de wijze waarop de generieke korting is toegepast</w:t>
            </w:r>
            <w:r w:rsidRPr="002A1F9A" w:rsidR="009C1E65">
              <w:rPr>
                <w:rFonts w:ascii="Verdana" w:hAnsi="Verdana"/>
                <w:sz w:val="18"/>
                <w:szCs w:val="18"/>
              </w:rPr>
              <w:t>,</w:t>
            </w:r>
            <w:r w:rsidRPr="002A1F9A">
              <w:rPr>
                <w:rFonts w:ascii="Verdana" w:hAnsi="Verdana"/>
                <w:sz w:val="18"/>
                <w:szCs w:val="18"/>
              </w:rPr>
              <w:t xml:space="preserve"> juridisch niet correct is. Zoals aangegeven met de </w:t>
            </w:r>
            <w:hyperlink w:history="1" r:id="rId80">
              <w:r w:rsidRPr="002A1F9A">
                <w:rPr>
                  <w:rStyle w:val="Hyperlink"/>
                  <w:rFonts w:ascii="Verdana" w:hAnsi="Verdana"/>
                  <w:sz w:val="18"/>
                  <w:szCs w:val="18"/>
                </w:rPr>
                <w:t>kamerbrief van 24 april 2025</w:t>
              </w:r>
            </w:hyperlink>
            <w:r w:rsidRPr="002A1F9A">
              <w:rPr>
                <w:rFonts w:ascii="Verdana" w:hAnsi="Verdana"/>
                <w:sz w:val="18"/>
                <w:szCs w:val="18"/>
              </w:rPr>
              <w:t xml:space="preserve"> is mede op basis van juridisch advies van de Landsadvocaat besloten om niet in hoger beroep te gaan. Dat is ook ingegeven door het feit dat de bovenmatige reserves van de samenwerkingsverbanden de laatste jaren duidelijk zijn afgenomen waardoor het doel van de korting voor een deel is bereikt.</w:t>
            </w:r>
          </w:p>
          <w:p w:rsidRPr="002A1F9A" w:rsidR="00DB2CBB" w:rsidRDefault="00DB2CBB" w14:paraId="03CADB31" w14:textId="36552055">
            <w:pPr>
              <w:rPr>
                <w:rFonts w:ascii="Verdana" w:hAnsi="Verdana"/>
                <w:sz w:val="18"/>
                <w:szCs w:val="18"/>
              </w:rPr>
            </w:pPr>
          </w:p>
        </w:tc>
        <w:tc>
          <w:tcPr>
            <w:tcW w:w="850" w:type="dxa"/>
          </w:tcPr>
          <w:p w:rsidRPr="002A1F9A" w:rsidR="001256CA" w:rsidRDefault="001856D0" w14:paraId="18479C61"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E46E3D9" w14:textId="77777777">
            <w:pPr>
              <w:jc w:val="right"/>
              <w:rPr>
                <w:rFonts w:ascii="Verdana" w:hAnsi="Verdana"/>
                <w:sz w:val="18"/>
                <w:szCs w:val="18"/>
              </w:rPr>
            </w:pPr>
            <w:r w:rsidRPr="002A1F9A">
              <w:rPr>
                <w:rFonts w:ascii="Verdana" w:hAnsi="Verdana"/>
                <w:sz w:val="18"/>
                <w:szCs w:val="18"/>
              </w:rPr>
              <w:t>45</w:t>
            </w:r>
          </w:p>
        </w:tc>
        <w:tc>
          <w:tcPr>
            <w:tcW w:w="567" w:type="dxa"/>
            <w:tcBorders>
              <w:left w:val="nil"/>
            </w:tcBorders>
          </w:tcPr>
          <w:p w:rsidRPr="002A1F9A" w:rsidR="001256CA" w:rsidRDefault="001856D0" w14:paraId="509FAE8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E062EA8" w14:textId="77777777">
        <w:tc>
          <w:tcPr>
            <w:tcW w:w="567" w:type="dxa"/>
          </w:tcPr>
          <w:p w:rsidRPr="002A1F9A" w:rsidR="001256CA" w:rsidRDefault="001856D0" w14:paraId="0FD361FF" w14:textId="77777777">
            <w:pPr>
              <w:rPr>
                <w:rFonts w:ascii="Verdana" w:hAnsi="Verdana"/>
                <w:sz w:val="18"/>
                <w:szCs w:val="18"/>
              </w:rPr>
            </w:pPr>
            <w:r w:rsidRPr="002A1F9A">
              <w:rPr>
                <w:rFonts w:ascii="Verdana" w:hAnsi="Verdana"/>
                <w:sz w:val="18"/>
                <w:szCs w:val="18"/>
              </w:rPr>
              <w:t>124</w:t>
            </w:r>
          </w:p>
        </w:tc>
        <w:tc>
          <w:tcPr>
            <w:tcW w:w="6521" w:type="dxa"/>
          </w:tcPr>
          <w:p w:rsidRPr="002A1F9A" w:rsidR="001256CA" w:rsidRDefault="001856D0" w14:paraId="05C2619E" w14:textId="77777777">
            <w:pPr>
              <w:rPr>
                <w:rFonts w:ascii="Verdana" w:hAnsi="Verdana"/>
                <w:sz w:val="18"/>
                <w:szCs w:val="18"/>
              </w:rPr>
            </w:pPr>
            <w:r w:rsidRPr="002A1F9A">
              <w:rPr>
                <w:rFonts w:ascii="Verdana" w:hAnsi="Verdana"/>
                <w:sz w:val="18"/>
                <w:szCs w:val="18"/>
              </w:rPr>
              <w:t xml:space="preserve">Wat zijn de consequenties van de uitspraak van de </w:t>
            </w:r>
            <w:r w:rsidRPr="002A1F9A" w:rsidR="007D3BA1">
              <w:rPr>
                <w:rFonts w:ascii="Verdana" w:hAnsi="Verdana"/>
                <w:sz w:val="18"/>
                <w:szCs w:val="18"/>
              </w:rPr>
              <w:t>r</w:t>
            </w:r>
            <w:r w:rsidRPr="002A1F9A">
              <w:rPr>
                <w:rFonts w:ascii="Verdana" w:hAnsi="Verdana"/>
                <w:sz w:val="18"/>
                <w:szCs w:val="18"/>
              </w:rPr>
              <w:t>echtbank Midden-Nederland in begin 2025 die de sanctiemaatregel op de bekostiging van samenwerkingsverbanden voor passend onderwijs in verband met een teveel aan bovenmatig publiek eigen vermogen, onrechtmatig verklaarde?</w:t>
            </w:r>
          </w:p>
          <w:p w:rsidRPr="002A1F9A" w:rsidR="00DB2CBB" w:rsidRDefault="00DB2CBB" w14:paraId="45CED5CE" w14:textId="77777777">
            <w:pPr>
              <w:rPr>
                <w:rFonts w:ascii="Verdana" w:hAnsi="Verdana"/>
                <w:sz w:val="18"/>
                <w:szCs w:val="18"/>
              </w:rPr>
            </w:pPr>
          </w:p>
          <w:p w:rsidRPr="002A1F9A" w:rsidR="00DB2CBB" w:rsidP="00DB2CBB" w:rsidRDefault="00DB2CBB" w14:paraId="2AED06F2" w14:textId="77777777">
            <w:pPr>
              <w:rPr>
                <w:rFonts w:ascii="Verdana" w:hAnsi="Verdana"/>
                <w:sz w:val="18"/>
                <w:szCs w:val="18"/>
              </w:rPr>
            </w:pPr>
            <w:bookmarkStart w:name="_Hlk211268637" w:id="31"/>
            <w:r w:rsidRPr="002A1F9A">
              <w:rPr>
                <w:rFonts w:ascii="Verdana" w:hAnsi="Verdana"/>
                <w:sz w:val="18"/>
                <w:szCs w:val="18"/>
              </w:rPr>
              <w:t>De uitspraak heeft tot gevolg gehad dat de bedragen voor 2023 opnieuw zijn vastgesteld en de compensatieregeling is ingetrokken. Samenwerkingsverbanden die niet of slechts gedeeltelijk zijn gecompenseerd voor de generieke korting hebben in juli 2025 een nabetaling gekregen.</w:t>
            </w:r>
            <w:bookmarkEnd w:id="31"/>
          </w:p>
          <w:p w:rsidRPr="002A1F9A" w:rsidR="00DB2CBB" w:rsidRDefault="00DB2CBB" w14:paraId="3B633E1E" w14:textId="17524D9C">
            <w:pPr>
              <w:rPr>
                <w:rFonts w:ascii="Verdana" w:hAnsi="Verdana"/>
                <w:sz w:val="18"/>
                <w:szCs w:val="18"/>
              </w:rPr>
            </w:pPr>
          </w:p>
        </w:tc>
        <w:tc>
          <w:tcPr>
            <w:tcW w:w="850" w:type="dxa"/>
          </w:tcPr>
          <w:p w:rsidRPr="002A1F9A" w:rsidR="001256CA" w:rsidRDefault="001856D0" w14:paraId="6952CD80"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8A2A814" w14:textId="77777777">
            <w:pPr>
              <w:jc w:val="right"/>
              <w:rPr>
                <w:rFonts w:ascii="Verdana" w:hAnsi="Verdana"/>
                <w:sz w:val="18"/>
                <w:szCs w:val="18"/>
              </w:rPr>
            </w:pPr>
            <w:r w:rsidRPr="002A1F9A">
              <w:rPr>
                <w:rFonts w:ascii="Verdana" w:hAnsi="Verdana"/>
                <w:sz w:val="18"/>
                <w:szCs w:val="18"/>
              </w:rPr>
              <w:t>45</w:t>
            </w:r>
          </w:p>
        </w:tc>
        <w:tc>
          <w:tcPr>
            <w:tcW w:w="567" w:type="dxa"/>
            <w:tcBorders>
              <w:left w:val="nil"/>
            </w:tcBorders>
          </w:tcPr>
          <w:p w:rsidRPr="002A1F9A" w:rsidR="001256CA" w:rsidRDefault="001856D0" w14:paraId="0316D56B"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369301A" w14:textId="77777777">
        <w:tc>
          <w:tcPr>
            <w:tcW w:w="567" w:type="dxa"/>
          </w:tcPr>
          <w:p w:rsidRPr="002A1F9A" w:rsidR="001256CA" w:rsidRDefault="001856D0" w14:paraId="6E38B321" w14:textId="77777777">
            <w:pPr>
              <w:rPr>
                <w:rFonts w:ascii="Verdana" w:hAnsi="Verdana"/>
                <w:sz w:val="18"/>
                <w:szCs w:val="18"/>
              </w:rPr>
            </w:pPr>
            <w:r w:rsidRPr="002A1F9A">
              <w:rPr>
                <w:rFonts w:ascii="Verdana" w:hAnsi="Verdana"/>
                <w:sz w:val="18"/>
                <w:szCs w:val="18"/>
              </w:rPr>
              <w:t>125</w:t>
            </w:r>
          </w:p>
        </w:tc>
        <w:tc>
          <w:tcPr>
            <w:tcW w:w="6521" w:type="dxa"/>
          </w:tcPr>
          <w:p w:rsidRPr="002A1F9A" w:rsidR="001256CA" w:rsidRDefault="001856D0" w14:paraId="7BBED115" w14:textId="77777777">
            <w:pPr>
              <w:rPr>
                <w:rFonts w:ascii="Verdana" w:hAnsi="Verdana"/>
                <w:sz w:val="18"/>
                <w:szCs w:val="18"/>
              </w:rPr>
            </w:pPr>
            <w:r w:rsidRPr="002A1F9A">
              <w:rPr>
                <w:rFonts w:ascii="Verdana" w:hAnsi="Verdana"/>
                <w:sz w:val="18"/>
                <w:szCs w:val="18"/>
              </w:rPr>
              <w:t xml:space="preserve">Hoeveel aanvragen voor de subsidie School en </w:t>
            </w:r>
            <w:r w:rsidRPr="002A1F9A" w:rsidR="007D3BA1">
              <w:rPr>
                <w:rFonts w:ascii="Verdana" w:hAnsi="Verdana"/>
                <w:sz w:val="18"/>
                <w:szCs w:val="18"/>
              </w:rPr>
              <w:t>o</w:t>
            </w:r>
            <w:r w:rsidRPr="002A1F9A">
              <w:rPr>
                <w:rFonts w:ascii="Verdana" w:hAnsi="Verdana"/>
                <w:sz w:val="18"/>
                <w:szCs w:val="18"/>
              </w:rPr>
              <w:t xml:space="preserve">mgeving van de </w:t>
            </w:r>
            <w:r w:rsidRPr="002A1F9A" w:rsidR="00FD0F4D">
              <w:rPr>
                <w:rFonts w:ascii="Verdana" w:hAnsi="Verdana"/>
                <w:sz w:val="18"/>
                <w:szCs w:val="18"/>
              </w:rPr>
              <w:t xml:space="preserve">tien procent </w:t>
            </w:r>
            <w:r w:rsidRPr="002A1F9A">
              <w:rPr>
                <w:rFonts w:ascii="Verdana" w:hAnsi="Verdana"/>
                <w:sz w:val="18"/>
                <w:szCs w:val="18"/>
              </w:rPr>
              <w:t>scholen met de hoogste onderwijsachterstanden konden dit jaar niet ingewilligd worden en hoeveel leerlingen heeft dit geraakt?</w:t>
            </w:r>
          </w:p>
          <w:p w:rsidRPr="002A1F9A" w:rsidR="00E924C2" w:rsidRDefault="00E924C2" w14:paraId="4AD5C783" w14:textId="77777777">
            <w:pPr>
              <w:rPr>
                <w:rFonts w:ascii="Verdana" w:hAnsi="Verdana"/>
                <w:sz w:val="18"/>
                <w:szCs w:val="18"/>
              </w:rPr>
            </w:pPr>
          </w:p>
          <w:p w:rsidRPr="002A1F9A" w:rsidR="00E924C2" w:rsidP="00E924C2" w:rsidRDefault="00E924C2" w14:paraId="0653C48F" w14:textId="7B39BAC8">
            <w:pPr>
              <w:rPr>
                <w:rFonts w:ascii="Verdana" w:hAnsi="Verdana"/>
                <w:sz w:val="18"/>
                <w:szCs w:val="18"/>
              </w:rPr>
            </w:pPr>
            <w:r w:rsidRPr="002A1F9A">
              <w:rPr>
                <w:rFonts w:ascii="Verdana" w:hAnsi="Verdana"/>
                <w:sz w:val="18"/>
                <w:szCs w:val="18"/>
              </w:rPr>
              <w:t xml:space="preserve">Voor de subsidieregeling ‘School en Omgeving 2025-2028’ zijn alle aanvragen van scholen binnen de </w:t>
            </w:r>
            <w:r w:rsidRPr="002A1F9A" w:rsidR="00514931">
              <w:rPr>
                <w:rFonts w:ascii="Verdana" w:hAnsi="Verdana"/>
                <w:sz w:val="18"/>
                <w:szCs w:val="18"/>
              </w:rPr>
              <w:t xml:space="preserve">10% </w:t>
            </w:r>
            <w:r w:rsidRPr="002A1F9A">
              <w:rPr>
                <w:rFonts w:ascii="Verdana" w:hAnsi="Verdana"/>
                <w:sz w:val="18"/>
                <w:szCs w:val="18"/>
              </w:rPr>
              <w:t>hoogste onderwijsachterstandsscores, die aan de subsidievoorwaarden voldeden, ingewilligd.</w:t>
            </w:r>
          </w:p>
          <w:p w:rsidRPr="002A1F9A" w:rsidR="00E924C2" w:rsidRDefault="00E924C2" w14:paraId="103CF081" w14:textId="3C07CBB7">
            <w:pPr>
              <w:rPr>
                <w:rFonts w:ascii="Verdana" w:hAnsi="Verdana"/>
                <w:sz w:val="18"/>
                <w:szCs w:val="18"/>
              </w:rPr>
            </w:pPr>
          </w:p>
        </w:tc>
        <w:tc>
          <w:tcPr>
            <w:tcW w:w="850" w:type="dxa"/>
          </w:tcPr>
          <w:p w:rsidRPr="002A1F9A" w:rsidR="001256CA" w:rsidRDefault="001856D0" w14:paraId="0CE32D8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25745E8"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692173ED"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580B6FA" w14:textId="77777777">
        <w:tc>
          <w:tcPr>
            <w:tcW w:w="567" w:type="dxa"/>
          </w:tcPr>
          <w:p w:rsidRPr="002A1F9A" w:rsidR="001256CA" w:rsidRDefault="001856D0" w14:paraId="35674098" w14:textId="77777777">
            <w:pPr>
              <w:rPr>
                <w:rFonts w:ascii="Verdana" w:hAnsi="Verdana"/>
                <w:sz w:val="18"/>
                <w:szCs w:val="18"/>
              </w:rPr>
            </w:pPr>
            <w:r w:rsidRPr="002A1F9A">
              <w:rPr>
                <w:rFonts w:ascii="Verdana" w:hAnsi="Verdana"/>
                <w:sz w:val="18"/>
                <w:szCs w:val="18"/>
              </w:rPr>
              <w:t>126</w:t>
            </w:r>
          </w:p>
        </w:tc>
        <w:tc>
          <w:tcPr>
            <w:tcW w:w="6521" w:type="dxa"/>
          </w:tcPr>
          <w:p w:rsidRPr="002A1F9A" w:rsidR="001256CA" w:rsidRDefault="001856D0" w14:paraId="2BAE646F" w14:textId="77777777">
            <w:pPr>
              <w:rPr>
                <w:rFonts w:ascii="Verdana" w:hAnsi="Verdana"/>
                <w:sz w:val="18"/>
                <w:szCs w:val="18"/>
              </w:rPr>
            </w:pPr>
            <w:r w:rsidRPr="002A1F9A">
              <w:rPr>
                <w:rFonts w:ascii="Verdana" w:hAnsi="Verdana"/>
                <w:sz w:val="18"/>
                <w:szCs w:val="18"/>
              </w:rPr>
              <w:t>Welke overwegingen liggen eraan ten grondslag dat de middelen voor de aanpak lerarentekort G5 worden overgeheveld naar de onderwijsregio’s?</w:t>
            </w:r>
          </w:p>
          <w:p w:rsidRPr="002A1F9A" w:rsidR="00E924C2" w:rsidRDefault="00E924C2" w14:paraId="7C76127D" w14:textId="77777777">
            <w:pPr>
              <w:rPr>
                <w:rFonts w:ascii="Verdana" w:hAnsi="Verdana"/>
                <w:sz w:val="18"/>
                <w:szCs w:val="18"/>
              </w:rPr>
            </w:pPr>
          </w:p>
          <w:p w:rsidRPr="002A1F9A" w:rsidR="00E924C2" w:rsidP="00E924C2" w:rsidRDefault="00E924C2" w14:paraId="58B0368D" w14:textId="7E50041C">
            <w:pPr>
              <w:rPr>
                <w:rFonts w:ascii="Verdana" w:hAnsi="Verdana"/>
                <w:sz w:val="18"/>
                <w:szCs w:val="18"/>
              </w:rPr>
            </w:pPr>
            <w:r w:rsidRPr="002A1F9A">
              <w:rPr>
                <w:rFonts w:ascii="Verdana" w:hAnsi="Verdana"/>
                <w:sz w:val="18"/>
                <w:szCs w:val="18"/>
              </w:rPr>
              <w:t xml:space="preserve">De geïntensiveerde aanpak in de G5 po is een gezamenlijke aanpak met gemeenten, schoolbesturen, scholen, opleidingen en </w:t>
            </w:r>
            <w:r w:rsidRPr="002A1F9A" w:rsidR="009A3C2E">
              <w:rPr>
                <w:rFonts w:ascii="Verdana" w:hAnsi="Verdana"/>
                <w:sz w:val="18"/>
                <w:szCs w:val="18"/>
              </w:rPr>
              <w:t xml:space="preserve">het ministerie van </w:t>
            </w:r>
            <w:r w:rsidRPr="002A1F9A">
              <w:rPr>
                <w:rFonts w:ascii="Verdana" w:hAnsi="Verdana"/>
                <w:sz w:val="18"/>
                <w:szCs w:val="18"/>
              </w:rPr>
              <w:t xml:space="preserve">OCW. De ervaringen die de G5 sinds 2020 hebben opgedaan, zijn meegenomen in de ontwikkeling van de onderwijsregio’s. De G5 is daarmee een voorloper geweest van de onderwijsregio’s. Met de verbreding van de regionale aanpak via de vorming van onderwijsregio’s is de aanpak geharmoniseerd en ingebed, waarmee een aparte aanpak niet meer nodig is. Vanwege de grotere maatschappelijke opgave die de G5 heeft, ontvangen zij wel meer geld </w:t>
            </w:r>
            <w:r w:rsidRPr="002A1F9A">
              <w:rPr>
                <w:rFonts w:ascii="Verdana" w:hAnsi="Verdana"/>
                <w:sz w:val="18"/>
                <w:szCs w:val="18"/>
              </w:rPr>
              <w:lastRenderedPageBreak/>
              <w:t xml:space="preserve">dan andere regio’s voor de aanpak van de tekorten. Het bundelen van de geïntensiveerde aanpak in de G5 met de regionale aanpak personeelstekorten via de onderwijsregio’s komt tegemoet aan de wens van </w:t>
            </w:r>
            <w:r w:rsidRPr="002A1F9A" w:rsidR="009C1E65">
              <w:rPr>
                <w:rFonts w:ascii="Verdana" w:hAnsi="Verdana"/>
                <w:sz w:val="18"/>
                <w:szCs w:val="18"/>
              </w:rPr>
              <w:t>uw</w:t>
            </w:r>
            <w:r w:rsidRPr="002A1F9A">
              <w:rPr>
                <w:rFonts w:ascii="Verdana" w:hAnsi="Verdana"/>
                <w:sz w:val="18"/>
                <w:szCs w:val="18"/>
              </w:rPr>
              <w:t xml:space="preserve"> Kamer om versnippering van subsidieregelingen omtrent het lerarentekort tegen te gaan.</w:t>
            </w:r>
          </w:p>
          <w:p w:rsidRPr="002A1F9A" w:rsidR="00E924C2" w:rsidRDefault="00E924C2" w14:paraId="5525D751" w14:textId="77777777">
            <w:pPr>
              <w:rPr>
                <w:rFonts w:ascii="Verdana" w:hAnsi="Verdana"/>
                <w:sz w:val="18"/>
                <w:szCs w:val="18"/>
              </w:rPr>
            </w:pPr>
          </w:p>
        </w:tc>
        <w:tc>
          <w:tcPr>
            <w:tcW w:w="850" w:type="dxa"/>
          </w:tcPr>
          <w:p w:rsidRPr="002A1F9A" w:rsidR="001256CA" w:rsidRDefault="001856D0" w14:paraId="27C21EE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D298EDD"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1E5A9E8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FA2A431" w14:textId="77777777">
        <w:tc>
          <w:tcPr>
            <w:tcW w:w="567" w:type="dxa"/>
          </w:tcPr>
          <w:p w:rsidRPr="002A1F9A" w:rsidR="001256CA" w:rsidRDefault="001856D0" w14:paraId="05F85A0F" w14:textId="77777777">
            <w:pPr>
              <w:rPr>
                <w:rFonts w:ascii="Verdana" w:hAnsi="Verdana"/>
                <w:sz w:val="18"/>
                <w:szCs w:val="18"/>
              </w:rPr>
            </w:pPr>
            <w:r w:rsidRPr="002A1F9A">
              <w:rPr>
                <w:rFonts w:ascii="Verdana" w:hAnsi="Verdana"/>
                <w:sz w:val="18"/>
                <w:szCs w:val="18"/>
              </w:rPr>
              <w:t>127</w:t>
            </w:r>
          </w:p>
        </w:tc>
        <w:tc>
          <w:tcPr>
            <w:tcW w:w="6521" w:type="dxa"/>
          </w:tcPr>
          <w:p w:rsidRPr="002A1F9A" w:rsidR="001256CA" w:rsidRDefault="001856D0" w14:paraId="22D8B0A1" w14:textId="77777777">
            <w:pPr>
              <w:rPr>
                <w:rFonts w:ascii="Verdana" w:hAnsi="Verdana"/>
                <w:sz w:val="18"/>
                <w:szCs w:val="18"/>
              </w:rPr>
            </w:pPr>
            <w:r w:rsidRPr="002A1F9A">
              <w:rPr>
                <w:rFonts w:ascii="Verdana" w:hAnsi="Verdana"/>
                <w:sz w:val="18"/>
                <w:szCs w:val="18"/>
              </w:rPr>
              <w:t>Wat wordt door de overheveling van middelen voor de aanpak lerarentekort G5, het budget voor de onderwijsregio’s en blijft hierdoor hetzelfde budget beschikbaar voor de aanpak van het lerarentekort?</w:t>
            </w:r>
          </w:p>
          <w:p w:rsidRPr="002A1F9A" w:rsidR="00E924C2" w:rsidRDefault="00E924C2" w14:paraId="15780696" w14:textId="77777777">
            <w:pPr>
              <w:rPr>
                <w:rFonts w:ascii="Verdana" w:hAnsi="Verdana"/>
                <w:sz w:val="18"/>
                <w:szCs w:val="18"/>
              </w:rPr>
            </w:pPr>
          </w:p>
          <w:p w:rsidRPr="002A1F9A" w:rsidR="00E924C2" w:rsidP="00E924C2" w:rsidRDefault="00E924C2" w14:paraId="38A161F7" w14:textId="77777777">
            <w:pPr>
              <w:rPr>
                <w:rFonts w:ascii="Verdana" w:hAnsi="Verdana"/>
                <w:sz w:val="18"/>
                <w:szCs w:val="18"/>
              </w:rPr>
            </w:pPr>
            <w:r w:rsidRPr="002A1F9A">
              <w:rPr>
                <w:rFonts w:ascii="Verdana" w:hAnsi="Verdana"/>
                <w:sz w:val="18"/>
                <w:szCs w:val="18"/>
              </w:rPr>
              <w:t>Voor de onderwijsregio’s is in 2026 € 272,4 miljoen beschikbaar. Er is, met de eerste suppletoire begroting 2025, € 33,5 miljoen vanuit de aanpak leraren G5 naar dit budget overgeheveld. Deze € 33,5 miljoen is bedoeld voor de geïntensiveerde aanpak van de tekorten in het po in de G5 (Amsterdam, Rotterdam, Den Haag, Utrecht en Almere). Zoals eerder aangekondigd worden deze middelen vanaf 2026 via de onderwijsregio’s uitgekeerd, in plaats van een aparte subsidieregeling voor de G5. Deze € 33,5 miljoen gaat naar de onderwijsregio’s po in de G5 om de geïntensiveerde aanpak van de tekorten voort te zetten. Dit is het volledige budget dat voor de G5 gereserveerd stond. Het totaal beschikbare budget voor de aanpak van het lerarentekort blijft hiermee gelijk.</w:t>
            </w:r>
          </w:p>
          <w:p w:rsidRPr="002A1F9A" w:rsidR="00E924C2" w:rsidRDefault="00E924C2" w14:paraId="23A39EA2" w14:textId="77777777">
            <w:pPr>
              <w:rPr>
                <w:rFonts w:ascii="Verdana" w:hAnsi="Verdana"/>
                <w:sz w:val="18"/>
                <w:szCs w:val="18"/>
              </w:rPr>
            </w:pPr>
          </w:p>
        </w:tc>
        <w:tc>
          <w:tcPr>
            <w:tcW w:w="850" w:type="dxa"/>
          </w:tcPr>
          <w:p w:rsidRPr="002A1F9A" w:rsidR="001256CA" w:rsidRDefault="001856D0" w14:paraId="570974A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0CC4524"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57854B32"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B2DB2AD" w14:textId="77777777">
        <w:tc>
          <w:tcPr>
            <w:tcW w:w="567" w:type="dxa"/>
          </w:tcPr>
          <w:p w:rsidRPr="002A1F9A" w:rsidR="001256CA" w:rsidRDefault="001856D0" w14:paraId="0D81BC47" w14:textId="77777777">
            <w:pPr>
              <w:rPr>
                <w:rFonts w:ascii="Verdana" w:hAnsi="Verdana"/>
                <w:sz w:val="18"/>
                <w:szCs w:val="18"/>
              </w:rPr>
            </w:pPr>
            <w:r w:rsidRPr="002A1F9A">
              <w:rPr>
                <w:rFonts w:ascii="Verdana" w:hAnsi="Verdana"/>
                <w:sz w:val="18"/>
                <w:szCs w:val="18"/>
              </w:rPr>
              <w:t>128</w:t>
            </w:r>
          </w:p>
        </w:tc>
        <w:tc>
          <w:tcPr>
            <w:tcW w:w="6521" w:type="dxa"/>
          </w:tcPr>
          <w:p w:rsidRPr="002A1F9A" w:rsidR="001256CA" w:rsidRDefault="001856D0" w14:paraId="51C5498A" w14:textId="77777777">
            <w:pPr>
              <w:rPr>
                <w:rFonts w:ascii="Verdana" w:hAnsi="Verdana"/>
                <w:sz w:val="18"/>
                <w:szCs w:val="18"/>
              </w:rPr>
            </w:pPr>
            <w:r w:rsidRPr="002A1F9A">
              <w:rPr>
                <w:rFonts w:ascii="Verdana" w:hAnsi="Verdana"/>
                <w:sz w:val="18"/>
                <w:szCs w:val="18"/>
              </w:rPr>
              <w:t xml:space="preserve">Leidt de overheveling (een gedeelte) van het budget van basisvaardigheden naar directe bekostiging tot een lager </w:t>
            </w:r>
            <w:r w:rsidRPr="002A1F9A" w:rsidR="006B7B12">
              <w:rPr>
                <w:rFonts w:ascii="Verdana" w:hAnsi="Verdana"/>
                <w:sz w:val="18"/>
                <w:szCs w:val="18"/>
              </w:rPr>
              <w:t>totaalbedrag</w:t>
            </w:r>
            <w:r w:rsidRPr="002A1F9A">
              <w:rPr>
                <w:rFonts w:ascii="Verdana" w:hAnsi="Verdana"/>
                <w:sz w:val="18"/>
                <w:szCs w:val="18"/>
              </w:rPr>
              <w:t xml:space="preserve"> voor basisvaardigheden?</w:t>
            </w:r>
          </w:p>
          <w:p w:rsidRPr="002A1F9A" w:rsidR="00E924C2" w:rsidRDefault="00E924C2" w14:paraId="45AAD64C" w14:textId="77777777">
            <w:pPr>
              <w:rPr>
                <w:rFonts w:ascii="Verdana" w:hAnsi="Verdana"/>
                <w:sz w:val="18"/>
                <w:szCs w:val="18"/>
              </w:rPr>
            </w:pPr>
          </w:p>
          <w:p w:rsidRPr="002A1F9A" w:rsidR="00E924C2" w:rsidP="00E924C2" w:rsidRDefault="00E924C2" w14:paraId="45EBF7B4" w14:textId="77777777">
            <w:pPr>
              <w:rPr>
                <w:rFonts w:ascii="Verdana" w:hAnsi="Verdana"/>
                <w:sz w:val="18"/>
                <w:szCs w:val="18"/>
              </w:rPr>
            </w:pPr>
            <w:r w:rsidRPr="002A1F9A">
              <w:rPr>
                <w:rFonts w:ascii="Verdana" w:hAnsi="Verdana"/>
                <w:sz w:val="18"/>
                <w:szCs w:val="18"/>
              </w:rPr>
              <w:t xml:space="preserve">Nee, met de gerichte bekostiging ontvangen alle po- en vo-scholen een bedrag van minimaal € 182 per leerling voor het verbeteren van basisvaardigheden zoals al in de </w:t>
            </w:r>
            <w:hyperlink w:history="1" r:id="rId81">
              <w:r w:rsidRPr="002A1F9A">
                <w:rPr>
                  <w:rStyle w:val="Hyperlink"/>
                  <w:rFonts w:ascii="Verdana" w:hAnsi="Verdana"/>
                  <w:sz w:val="18"/>
                  <w:szCs w:val="18"/>
                </w:rPr>
                <w:t>vierde voortgangsbrief Masterplan basisvaardigheden</w:t>
              </w:r>
            </w:hyperlink>
            <w:r w:rsidRPr="002A1F9A">
              <w:rPr>
                <w:rFonts w:ascii="Verdana" w:hAnsi="Verdana"/>
                <w:sz w:val="18"/>
                <w:szCs w:val="18"/>
              </w:rPr>
              <w:t xml:space="preserve"> in 2024 is gecommuniceerd. Wel is het zo dat dit bedrag per leerling lager ligt ten opzichte van het bedrag dat middels subsidie werd verstrekt, omdat alle scholen de gerichte bekostiging zullen ontvangen in tegenstelling tot de subsidie die aan een deel van de scholen wordt verstrekt.</w:t>
            </w:r>
          </w:p>
          <w:p w:rsidRPr="002A1F9A" w:rsidR="00E924C2" w:rsidRDefault="00E924C2" w14:paraId="4520A66A" w14:textId="4A5E93FE">
            <w:pPr>
              <w:rPr>
                <w:rFonts w:ascii="Verdana" w:hAnsi="Verdana"/>
                <w:sz w:val="18"/>
                <w:szCs w:val="18"/>
              </w:rPr>
            </w:pPr>
          </w:p>
        </w:tc>
        <w:tc>
          <w:tcPr>
            <w:tcW w:w="850" w:type="dxa"/>
          </w:tcPr>
          <w:p w:rsidRPr="002A1F9A" w:rsidR="001256CA" w:rsidRDefault="001856D0" w14:paraId="109D1A4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6070E74"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07C27C78"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A8EDBB4" w14:textId="77777777">
        <w:tc>
          <w:tcPr>
            <w:tcW w:w="567" w:type="dxa"/>
          </w:tcPr>
          <w:p w:rsidRPr="002A1F9A" w:rsidR="001256CA" w:rsidRDefault="001856D0" w14:paraId="332C81B2" w14:textId="77777777">
            <w:pPr>
              <w:rPr>
                <w:rFonts w:ascii="Verdana" w:hAnsi="Verdana"/>
                <w:sz w:val="18"/>
                <w:szCs w:val="18"/>
              </w:rPr>
            </w:pPr>
            <w:r w:rsidRPr="002A1F9A">
              <w:rPr>
                <w:rFonts w:ascii="Verdana" w:hAnsi="Verdana"/>
                <w:sz w:val="18"/>
                <w:szCs w:val="18"/>
              </w:rPr>
              <w:t>129</w:t>
            </w:r>
          </w:p>
        </w:tc>
        <w:tc>
          <w:tcPr>
            <w:tcW w:w="6521" w:type="dxa"/>
          </w:tcPr>
          <w:p w:rsidRPr="002A1F9A" w:rsidR="001256CA" w:rsidRDefault="001856D0" w14:paraId="2591D407" w14:textId="77777777">
            <w:pPr>
              <w:rPr>
                <w:rFonts w:ascii="Verdana" w:hAnsi="Verdana"/>
                <w:sz w:val="18"/>
                <w:szCs w:val="18"/>
              </w:rPr>
            </w:pPr>
            <w:r w:rsidRPr="002A1F9A">
              <w:rPr>
                <w:rFonts w:ascii="Verdana" w:hAnsi="Verdana"/>
                <w:sz w:val="18"/>
                <w:szCs w:val="18"/>
              </w:rPr>
              <w:t>Kunt u per jaar specificeren wat de totale uitgaven zijn voor basisvaardigheden en kunt u eveneens, per jaar, specificeren in hoeverre dit achterblijft op de inflatie?</w:t>
            </w:r>
            <w:r w:rsidRPr="002A1F9A" w:rsidR="005C63D5">
              <w:rPr>
                <w:rFonts w:ascii="Verdana" w:hAnsi="Verdana"/>
                <w:sz w:val="18"/>
                <w:szCs w:val="18"/>
              </w:rPr>
              <w:t xml:space="preserve"> </w:t>
            </w:r>
          </w:p>
          <w:p w:rsidRPr="002A1F9A" w:rsidR="00E924C2" w:rsidRDefault="00E924C2" w14:paraId="5036527A" w14:textId="77777777">
            <w:pPr>
              <w:rPr>
                <w:rFonts w:ascii="Verdana" w:hAnsi="Verdana"/>
                <w:sz w:val="18"/>
                <w:szCs w:val="18"/>
              </w:rPr>
            </w:pPr>
          </w:p>
          <w:p w:rsidRPr="002A1F9A" w:rsidR="007F7133" w:rsidP="00E924C2" w:rsidRDefault="00E924C2" w14:paraId="463C0E1F" w14:textId="2B35C99F">
            <w:pPr>
              <w:rPr>
                <w:rFonts w:ascii="Verdana" w:hAnsi="Verdana"/>
                <w:sz w:val="18"/>
                <w:szCs w:val="18"/>
              </w:rPr>
            </w:pPr>
            <w:r w:rsidRPr="002A1F9A">
              <w:rPr>
                <w:rFonts w:ascii="Verdana" w:hAnsi="Verdana"/>
                <w:sz w:val="18"/>
                <w:szCs w:val="18"/>
              </w:rPr>
              <w:t xml:space="preserve">In onderstaande tabel wordt het totale budget voor po en vo voor de gerichte bekostiging basisvaardigheden - en de niet-uitgekeerde loon- en prijsbijstelling getoond. Dit betreft de loon- en prijsbijstelling tranche 2024 en de prijsbijstelling tranche 2025. Deze middelen zijn ingezet voor de dekkingsopgave op de OCW-begroting bij Voorjaarsnota 2025. Aanvullend zijn ook de resterende middelen van het monitoringsprogramma basisvaardigheden die op dit budget stonden ingezet voor deze dekkingsopgave. Ook na bovenstaande inzet resteert een minimaal bedrag van € 182 per leerling zoals is gecommuniceerd aan scholen in de </w:t>
            </w:r>
            <w:hyperlink w:history="1" r:id="rId82">
              <w:r w:rsidRPr="002A1F9A">
                <w:rPr>
                  <w:rStyle w:val="Hyperlink"/>
                  <w:rFonts w:ascii="Verdana" w:hAnsi="Verdana"/>
                  <w:sz w:val="18"/>
                  <w:szCs w:val="18"/>
                </w:rPr>
                <w:t>vierde voortgangsbrief Masterplan basisvaardigheden</w:t>
              </w:r>
            </w:hyperlink>
            <w:r w:rsidRPr="002A1F9A">
              <w:rPr>
                <w:rFonts w:ascii="Verdana" w:hAnsi="Verdana"/>
                <w:sz w:val="18"/>
                <w:szCs w:val="18"/>
              </w:rPr>
              <w:t xml:space="preserve"> in 2024. Of dit budget in 2026 en opvolgende jaren verhoogd kan worden met de loon- en prijsbijstelling is afhankelijk van de voorjaarsnotabesluitvorming 2026. </w:t>
            </w:r>
          </w:p>
          <w:p w:rsidRPr="002A1F9A" w:rsidR="007F7133" w:rsidP="00E924C2" w:rsidRDefault="007F7133" w14:paraId="74B1EFE9" w14:textId="77777777">
            <w:pPr>
              <w:rPr>
                <w:rFonts w:ascii="Verdana" w:hAnsi="Verdana"/>
                <w:sz w:val="18"/>
                <w:szCs w:val="18"/>
              </w:rPr>
            </w:pPr>
          </w:p>
          <w:tbl>
            <w:tblPr>
              <w:tblpPr w:leftFromText="141" w:rightFromText="141" w:bottomFromText="155" w:vertAnchor="text" w:horzAnchor="margin" w:tblpY="50"/>
              <w:tblOverlap w:val="never"/>
              <w:tblW w:w="6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87"/>
              <w:gridCol w:w="852"/>
              <w:gridCol w:w="852"/>
              <w:gridCol w:w="852"/>
              <w:gridCol w:w="852"/>
            </w:tblGrid>
            <w:tr w:rsidRPr="002A1F9A" w:rsidR="00E924C2" w:rsidTr="004D09D9" w14:paraId="789A9CE5" w14:textId="77777777">
              <w:trPr>
                <w:trHeight w:val="299"/>
              </w:trPr>
              <w:tc>
                <w:tcPr>
                  <w:tcW w:w="2687" w:type="dxa"/>
                  <w:noWrap/>
                  <w:tcMar>
                    <w:top w:w="0" w:type="dxa"/>
                    <w:left w:w="70" w:type="dxa"/>
                    <w:bottom w:w="0" w:type="dxa"/>
                    <w:right w:w="70" w:type="dxa"/>
                  </w:tcMar>
                  <w:hideMark/>
                </w:tcPr>
                <w:p w:rsidRPr="002A1F9A" w:rsidR="00E924C2" w:rsidP="00E924C2" w:rsidRDefault="00E924C2" w14:paraId="58C10581" w14:textId="48953AA2">
                  <w:pPr>
                    <w:spacing w:after="160" w:line="259" w:lineRule="auto"/>
                    <w:jc w:val="center"/>
                    <w:rPr>
                      <w:rFonts w:ascii="Verdana" w:hAnsi="Verdana"/>
                      <w:sz w:val="16"/>
                      <w:szCs w:val="16"/>
                    </w:rPr>
                  </w:pPr>
                </w:p>
              </w:tc>
              <w:tc>
                <w:tcPr>
                  <w:tcW w:w="852" w:type="dxa"/>
                  <w:noWrap/>
                  <w:tcMar>
                    <w:top w:w="0" w:type="dxa"/>
                    <w:left w:w="70" w:type="dxa"/>
                    <w:bottom w:w="0" w:type="dxa"/>
                    <w:right w:w="70" w:type="dxa"/>
                  </w:tcMar>
                  <w:hideMark/>
                </w:tcPr>
                <w:p w:rsidRPr="002A1F9A" w:rsidR="00E924C2" w:rsidP="00E924C2" w:rsidRDefault="00E924C2" w14:paraId="7FFD0505" w14:textId="77777777">
                  <w:pPr>
                    <w:spacing w:after="160" w:line="259" w:lineRule="auto"/>
                    <w:jc w:val="center"/>
                    <w:rPr>
                      <w:rFonts w:ascii="Verdana" w:hAnsi="Verdana"/>
                      <w:b/>
                      <w:bCs/>
                      <w:sz w:val="16"/>
                      <w:szCs w:val="16"/>
                    </w:rPr>
                  </w:pPr>
                  <w:r w:rsidRPr="002A1F9A">
                    <w:rPr>
                      <w:rFonts w:ascii="Verdana" w:hAnsi="Verdana"/>
                      <w:b/>
                      <w:bCs/>
                      <w:sz w:val="16"/>
                      <w:szCs w:val="16"/>
                    </w:rPr>
                    <w:t>2027</w:t>
                  </w:r>
                </w:p>
              </w:tc>
              <w:tc>
                <w:tcPr>
                  <w:tcW w:w="852" w:type="dxa"/>
                  <w:noWrap/>
                  <w:tcMar>
                    <w:top w:w="0" w:type="dxa"/>
                    <w:left w:w="70" w:type="dxa"/>
                    <w:bottom w:w="0" w:type="dxa"/>
                    <w:right w:w="70" w:type="dxa"/>
                  </w:tcMar>
                  <w:hideMark/>
                </w:tcPr>
                <w:p w:rsidRPr="002A1F9A" w:rsidR="00E924C2" w:rsidP="00E924C2" w:rsidRDefault="00E924C2" w14:paraId="28B684E2" w14:textId="77777777">
                  <w:pPr>
                    <w:spacing w:after="160" w:line="259" w:lineRule="auto"/>
                    <w:jc w:val="center"/>
                    <w:rPr>
                      <w:rFonts w:ascii="Verdana" w:hAnsi="Verdana"/>
                      <w:b/>
                      <w:bCs/>
                      <w:sz w:val="16"/>
                      <w:szCs w:val="16"/>
                    </w:rPr>
                  </w:pPr>
                  <w:r w:rsidRPr="002A1F9A">
                    <w:rPr>
                      <w:rFonts w:ascii="Verdana" w:hAnsi="Verdana"/>
                      <w:b/>
                      <w:bCs/>
                      <w:sz w:val="16"/>
                      <w:szCs w:val="16"/>
                    </w:rPr>
                    <w:t>2028</w:t>
                  </w:r>
                </w:p>
              </w:tc>
              <w:tc>
                <w:tcPr>
                  <w:tcW w:w="852" w:type="dxa"/>
                  <w:noWrap/>
                  <w:tcMar>
                    <w:top w:w="0" w:type="dxa"/>
                    <w:left w:w="70" w:type="dxa"/>
                    <w:bottom w:w="0" w:type="dxa"/>
                    <w:right w:w="70" w:type="dxa"/>
                  </w:tcMar>
                  <w:hideMark/>
                </w:tcPr>
                <w:p w:rsidRPr="002A1F9A" w:rsidR="00E924C2" w:rsidP="00E924C2" w:rsidRDefault="00E924C2" w14:paraId="7D149383" w14:textId="77777777">
                  <w:pPr>
                    <w:spacing w:after="160" w:line="259" w:lineRule="auto"/>
                    <w:jc w:val="center"/>
                    <w:rPr>
                      <w:rFonts w:ascii="Verdana" w:hAnsi="Verdana"/>
                      <w:b/>
                      <w:bCs/>
                      <w:sz w:val="16"/>
                      <w:szCs w:val="16"/>
                    </w:rPr>
                  </w:pPr>
                  <w:r w:rsidRPr="002A1F9A">
                    <w:rPr>
                      <w:rFonts w:ascii="Verdana" w:hAnsi="Verdana"/>
                      <w:b/>
                      <w:bCs/>
                      <w:sz w:val="16"/>
                      <w:szCs w:val="16"/>
                    </w:rPr>
                    <w:t>2029</w:t>
                  </w:r>
                </w:p>
              </w:tc>
              <w:tc>
                <w:tcPr>
                  <w:tcW w:w="852" w:type="dxa"/>
                </w:tcPr>
                <w:p w:rsidRPr="002A1F9A" w:rsidR="00E924C2" w:rsidP="00E924C2" w:rsidRDefault="00E924C2" w14:paraId="7C7FDDBD" w14:textId="3F16566F">
                  <w:pPr>
                    <w:spacing w:after="160" w:line="259" w:lineRule="auto"/>
                    <w:jc w:val="center"/>
                    <w:rPr>
                      <w:rFonts w:ascii="Verdana" w:hAnsi="Verdana"/>
                      <w:b/>
                      <w:bCs/>
                      <w:sz w:val="16"/>
                      <w:szCs w:val="16"/>
                    </w:rPr>
                  </w:pPr>
                  <w:proofErr w:type="spellStart"/>
                  <w:r w:rsidRPr="002A1F9A">
                    <w:rPr>
                      <w:rFonts w:ascii="Verdana" w:hAnsi="Verdana"/>
                      <w:b/>
                      <w:bCs/>
                      <w:sz w:val="16"/>
                      <w:szCs w:val="16"/>
                    </w:rPr>
                    <w:t>Struc</w:t>
                  </w:r>
                  <w:proofErr w:type="spellEnd"/>
                  <w:r w:rsidRPr="002A1F9A">
                    <w:rPr>
                      <w:rFonts w:ascii="Verdana" w:hAnsi="Verdana"/>
                      <w:b/>
                      <w:bCs/>
                      <w:sz w:val="16"/>
                      <w:szCs w:val="16"/>
                    </w:rPr>
                    <w:t>.</w:t>
                  </w:r>
                </w:p>
              </w:tc>
            </w:tr>
            <w:tr w:rsidRPr="002A1F9A" w:rsidR="00E924C2" w:rsidTr="004D09D9" w14:paraId="4DF16DB4" w14:textId="77777777">
              <w:trPr>
                <w:trHeight w:val="299"/>
              </w:trPr>
              <w:tc>
                <w:tcPr>
                  <w:tcW w:w="2687" w:type="dxa"/>
                  <w:noWrap/>
                  <w:tcMar>
                    <w:top w:w="0" w:type="dxa"/>
                    <w:left w:w="70" w:type="dxa"/>
                    <w:bottom w:w="0" w:type="dxa"/>
                    <w:right w:w="70" w:type="dxa"/>
                  </w:tcMar>
                  <w:hideMark/>
                </w:tcPr>
                <w:p w:rsidRPr="002A1F9A" w:rsidR="00E924C2" w:rsidP="00E924C2" w:rsidRDefault="00E924C2" w14:paraId="5E81FE71" w14:textId="6A4397C1">
                  <w:pPr>
                    <w:spacing w:after="160" w:line="259" w:lineRule="auto"/>
                    <w:rPr>
                      <w:rFonts w:ascii="Verdana" w:hAnsi="Verdana"/>
                      <w:b/>
                      <w:bCs/>
                      <w:sz w:val="16"/>
                      <w:szCs w:val="16"/>
                    </w:rPr>
                  </w:pPr>
                  <w:r w:rsidRPr="002A1F9A">
                    <w:rPr>
                      <w:rFonts w:ascii="Verdana" w:hAnsi="Verdana"/>
                      <w:b/>
                      <w:bCs/>
                      <w:sz w:val="16"/>
                      <w:szCs w:val="16"/>
                    </w:rPr>
                    <w:t>Huidig budget</w:t>
                  </w:r>
                </w:p>
              </w:tc>
              <w:tc>
                <w:tcPr>
                  <w:tcW w:w="852" w:type="dxa"/>
                  <w:noWrap/>
                  <w:tcMar>
                    <w:top w:w="0" w:type="dxa"/>
                    <w:left w:w="70" w:type="dxa"/>
                    <w:bottom w:w="0" w:type="dxa"/>
                    <w:right w:w="70" w:type="dxa"/>
                  </w:tcMar>
                  <w:hideMark/>
                </w:tcPr>
                <w:p w:rsidRPr="002A1F9A" w:rsidR="00E924C2" w:rsidP="00E924C2" w:rsidRDefault="00E924C2" w14:paraId="3C0B1BA1" w14:textId="77777777">
                  <w:pPr>
                    <w:spacing w:after="160" w:line="259" w:lineRule="auto"/>
                    <w:jc w:val="center"/>
                    <w:rPr>
                      <w:rFonts w:ascii="Verdana" w:hAnsi="Verdana"/>
                      <w:sz w:val="16"/>
                      <w:szCs w:val="16"/>
                    </w:rPr>
                  </w:pPr>
                  <w:r w:rsidRPr="002A1F9A">
                    <w:rPr>
                      <w:rFonts w:ascii="Verdana" w:hAnsi="Verdana"/>
                      <w:sz w:val="16"/>
                      <w:szCs w:val="16"/>
                    </w:rPr>
                    <w:t>496.944</w:t>
                  </w:r>
                </w:p>
              </w:tc>
              <w:tc>
                <w:tcPr>
                  <w:tcW w:w="852" w:type="dxa"/>
                  <w:noWrap/>
                  <w:tcMar>
                    <w:top w:w="0" w:type="dxa"/>
                    <w:left w:w="70" w:type="dxa"/>
                    <w:bottom w:w="0" w:type="dxa"/>
                    <w:right w:w="70" w:type="dxa"/>
                  </w:tcMar>
                  <w:hideMark/>
                </w:tcPr>
                <w:p w:rsidRPr="002A1F9A" w:rsidR="00E924C2" w:rsidP="00E924C2" w:rsidRDefault="00E924C2" w14:paraId="112FBC85" w14:textId="77777777">
                  <w:pPr>
                    <w:spacing w:after="160" w:line="259" w:lineRule="auto"/>
                    <w:jc w:val="center"/>
                    <w:rPr>
                      <w:rFonts w:ascii="Verdana" w:hAnsi="Verdana"/>
                      <w:sz w:val="16"/>
                      <w:szCs w:val="16"/>
                    </w:rPr>
                  </w:pPr>
                  <w:r w:rsidRPr="002A1F9A">
                    <w:rPr>
                      <w:rFonts w:ascii="Verdana" w:hAnsi="Verdana"/>
                      <w:sz w:val="16"/>
                      <w:szCs w:val="16"/>
                    </w:rPr>
                    <w:t>494.850</w:t>
                  </w:r>
                </w:p>
              </w:tc>
              <w:tc>
                <w:tcPr>
                  <w:tcW w:w="852" w:type="dxa"/>
                  <w:noWrap/>
                  <w:tcMar>
                    <w:top w:w="0" w:type="dxa"/>
                    <w:left w:w="70" w:type="dxa"/>
                    <w:bottom w:w="0" w:type="dxa"/>
                    <w:right w:w="70" w:type="dxa"/>
                  </w:tcMar>
                  <w:hideMark/>
                </w:tcPr>
                <w:p w:rsidRPr="002A1F9A" w:rsidR="00E924C2" w:rsidP="00E924C2" w:rsidRDefault="00E924C2" w14:paraId="6F5FE34D" w14:textId="77777777">
                  <w:pPr>
                    <w:spacing w:after="160" w:line="259" w:lineRule="auto"/>
                    <w:jc w:val="center"/>
                    <w:rPr>
                      <w:rFonts w:ascii="Verdana" w:hAnsi="Verdana"/>
                      <w:sz w:val="16"/>
                      <w:szCs w:val="16"/>
                    </w:rPr>
                  </w:pPr>
                  <w:r w:rsidRPr="002A1F9A">
                    <w:rPr>
                      <w:rFonts w:ascii="Verdana" w:hAnsi="Verdana"/>
                      <w:sz w:val="16"/>
                      <w:szCs w:val="16"/>
                    </w:rPr>
                    <w:t>496.054</w:t>
                  </w:r>
                </w:p>
              </w:tc>
              <w:tc>
                <w:tcPr>
                  <w:tcW w:w="852" w:type="dxa"/>
                </w:tcPr>
                <w:p w:rsidRPr="002A1F9A" w:rsidR="00E924C2" w:rsidP="00E924C2" w:rsidRDefault="00E924C2" w14:paraId="259C7704" w14:textId="48F34F94">
                  <w:pPr>
                    <w:spacing w:after="160" w:line="259" w:lineRule="auto"/>
                    <w:jc w:val="center"/>
                    <w:rPr>
                      <w:rFonts w:ascii="Verdana" w:hAnsi="Verdana"/>
                      <w:sz w:val="16"/>
                      <w:szCs w:val="16"/>
                    </w:rPr>
                  </w:pPr>
                  <w:r w:rsidRPr="002A1F9A">
                    <w:rPr>
                      <w:rFonts w:ascii="Verdana" w:hAnsi="Verdana"/>
                      <w:sz w:val="16"/>
                      <w:szCs w:val="16"/>
                    </w:rPr>
                    <w:t>496.054</w:t>
                  </w:r>
                </w:p>
              </w:tc>
            </w:tr>
            <w:tr w:rsidRPr="002A1F9A" w:rsidR="00E924C2" w:rsidTr="004D09D9" w14:paraId="59B242F3" w14:textId="77777777">
              <w:trPr>
                <w:trHeight w:val="299"/>
              </w:trPr>
              <w:tc>
                <w:tcPr>
                  <w:tcW w:w="2687" w:type="dxa"/>
                  <w:noWrap/>
                  <w:tcMar>
                    <w:top w:w="0" w:type="dxa"/>
                    <w:left w:w="70" w:type="dxa"/>
                    <w:bottom w:w="0" w:type="dxa"/>
                    <w:right w:w="70" w:type="dxa"/>
                  </w:tcMar>
                  <w:hideMark/>
                </w:tcPr>
                <w:p w:rsidRPr="002A1F9A" w:rsidR="00E924C2" w:rsidP="00E924C2" w:rsidRDefault="00E924C2" w14:paraId="420A8016" w14:textId="77777777">
                  <w:pPr>
                    <w:spacing w:after="160" w:line="259" w:lineRule="auto"/>
                    <w:rPr>
                      <w:rFonts w:ascii="Verdana" w:hAnsi="Verdana"/>
                      <w:b/>
                      <w:bCs/>
                      <w:sz w:val="16"/>
                      <w:szCs w:val="16"/>
                    </w:rPr>
                  </w:pPr>
                  <w:r w:rsidRPr="002A1F9A">
                    <w:rPr>
                      <w:rFonts w:ascii="Verdana" w:hAnsi="Verdana"/>
                      <w:b/>
                      <w:bCs/>
                      <w:sz w:val="16"/>
                      <w:szCs w:val="16"/>
                    </w:rPr>
                    <w:lastRenderedPageBreak/>
                    <w:t>Niet uitgekeerde loon- en prijsbijstelling</w:t>
                  </w:r>
                </w:p>
              </w:tc>
              <w:tc>
                <w:tcPr>
                  <w:tcW w:w="852" w:type="dxa"/>
                  <w:noWrap/>
                  <w:tcMar>
                    <w:top w:w="0" w:type="dxa"/>
                    <w:left w:w="70" w:type="dxa"/>
                    <w:bottom w:w="0" w:type="dxa"/>
                    <w:right w:w="70" w:type="dxa"/>
                  </w:tcMar>
                  <w:hideMark/>
                </w:tcPr>
                <w:p w:rsidRPr="002A1F9A" w:rsidR="00E924C2" w:rsidP="00E924C2" w:rsidRDefault="00E924C2" w14:paraId="27E0A2D6" w14:textId="77777777">
                  <w:pPr>
                    <w:spacing w:after="160" w:line="259" w:lineRule="auto"/>
                    <w:jc w:val="center"/>
                    <w:rPr>
                      <w:rFonts w:ascii="Verdana" w:hAnsi="Verdana"/>
                      <w:sz w:val="16"/>
                      <w:szCs w:val="16"/>
                    </w:rPr>
                  </w:pPr>
                  <w:r w:rsidRPr="002A1F9A">
                    <w:rPr>
                      <w:rFonts w:ascii="Verdana" w:hAnsi="Verdana"/>
                      <w:sz w:val="16"/>
                      <w:szCs w:val="16"/>
                    </w:rPr>
                    <w:t>0</w:t>
                  </w:r>
                </w:p>
              </w:tc>
              <w:tc>
                <w:tcPr>
                  <w:tcW w:w="852" w:type="dxa"/>
                  <w:noWrap/>
                  <w:tcMar>
                    <w:top w:w="0" w:type="dxa"/>
                    <w:left w:w="70" w:type="dxa"/>
                    <w:bottom w:w="0" w:type="dxa"/>
                    <w:right w:w="70" w:type="dxa"/>
                  </w:tcMar>
                  <w:hideMark/>
                </w:tcPr>
                <w:p w:rsidRPr="002A1F9A" w:rsidR="00E924C2" w:rsidP="00E924C2" w:rsidRDefault="00E924C2" w14:paraId="6FD3B339" w14:textId="77777777">
                  <w:pPr>
                    <w:spacing w:after="160" w:line="259" w:lineRule="auto"/>
                    <w:jc w:val="center"/>
                    <w:rPr>
                      <w:rFonts w:ascii="Verdana" w:hAnsi="Verdana"/>
                      <w:sz w:val="16"/>
                      <w:szCs w:val="16"/>
                    </w:rPr>
                  </w:pPr>
                  <w:r w:rsidRPr="002A1F9A">
                    <w:rPr>
                      <w:rFonts w:ascii="Verdana" w:hAnsi="Verdana"/>
                      <w:sz w:val="16"/>
                      <w:szCs w:val="16"/>
                    </w:rPr>
                    <w:t>-2.952</w:t>
                  </w:r>
                </w:p>
              </w:tc>
              <w:tc>
                <w:tcPr>
                  <w:tcW w:w="852" w:type="dxa"/>
                  <w:noWrap/>
                  <w:tcMar>
                    <w:top w:w="0" w:type="dxa"/>
                    <w:left w:w="70" w:type="dxa"/>
                    <w:bottom w:w="0" w:type="dxa"/>
                    <w:right w:w="70" w:type="dxa"/>
                  </w:tcMar>
                  <w:hideMark/>
                </w:tcPr>
                <w:p w:rsidRPr="002A1F9A" w:rsidR="00E924C2" w:rsidP="00E924C2" w:rsidRDefault="00E924C2" w14:paraId="278F767D" w14:textId="77777777">
                  <w:pPr>
                    <w:spacing w:after="160" w:line="259" w:lineRule="auto"/>
                    <w:jc w:val="center"/>
                    <w:rPr>
                      <w:rFonts w:ascii="Verdana" w:hAnsi="Verdana"/>
                      <w:sz w:val="16"/>
                      <w:szCs w:val="16"/>
                    </w:rPr>
                  </w:pPr>
                  <w:r w:rsidRPr="002A1F9A">
                    <w:rPr>
                      <w:rFonts w:ascii="Verdana" w:hAnsi="Verdana"/>
                      <w:sz w:val="16"/>
                      <w:szCs w:val="16"/>
                    </w:rPr>
                    <w:t>-29.571</w:t>
                  </w:r>
                </w:p>
              </w:tc>
              <w:tc>
                <w:tcPr>
                  <w:tcW w:w="852" w:type="dxa"/>
                </w:tcPr>
                <w:p w:rsidRPr="002A1F9A" w:rsidR="00E924C2" w:rsidP="00E924C2" w:rsidRDefault="00E924C2" w14:paraId="3FEFC561" w14:textId="3940B642">
                  <w:pPr>
                    <w:spacing w:after="160" w:line="259" w:lineRule="auto"/>
                    <w:jc w:val="center"/>
                    <w:rPr>
                      <w:rFonts w:ascii="Verdana" w:hAnsi="Verdana"/>
                      <w:sz w:val="16"/>
                      <w:szCs w:val="16"/>
                    </w:rPr>
                  </w:pPr>
                  <w:r w:rsidRPr="002A1F9A">
                    <w:rPr>
                      <w:rFonts w:ascii="Verdana" w:hAnsi="Verdana"/>
                      <w:sz w:val="16"/>
                      <w:szCs w:val="16"/>
                    </w:rPr>
                    <w:t>-29.571</w:t>
                  </w:r>
                </w:p>
              </w:tc>
            </w:tr>
            <w:tr w:rsidRPr="002A1F9A" w:rsidR="00E924C2" w:rsidTr="004D09D9" w14:paraId="7701A391" w14:textId="77777777">
              <w:trPr>
                <w:trHeight w:val="299"/>
              </w:trPr>
              <w:tc>
                <w:tcPr>
                  <w:tcW w:w="2687" w:type="dxa"/>
                  <w:noWrap/>
                  <w:tcMar>
                    <w:top w:w="0" w:type="dxa"/>
                    <w:left w:w="70" w:type="dxa"/>
                    <w:bottom w:w="0" w:type="dxa"/>
                    <w:right w:w="70" w:type="dxa"/>
                  </w:tcMar>
                  <w:hideMark/>
                </w:tcPr>
                <w:p w:rsidRPr="002A1F9A" w:rsidR="00E924C2" w:rsidP="00E924C2" w:rsidRDefault="00E924C2" w14:paraId="26BF5B1E" w14:textId="77777777">
                  <w:pPr>
                    <w:spacing w:after="160" w:line="259" w:lineRule="auto"/>
                    <w:rPr>
                      <w:rFonts w:ascii="Verdana" w:hAnsi="Verdana"/>
                      <w:b/>
                      <w:bCs/>
                      <w:sz w:val="16"/>
                      <w:szCs w:val="16"/>
                    </w:rPr>
                  </w:pPr>
                  <w:r w:rsidRPr="002A1F9A">
                    <w:rPr>
                      <w:rFonts w:ascii="Verdana" w:hAnsi="Verdana"/>
                      <w:b/>
                      <w:bCs/>
                      <w:sz w:val="16"/>
                      <w:szCs w:val="16"/>
                    </w:rPr>
                    <w:t>Budget wanneer volledige loon-en prijsbijstelling was uitgekeerd.</w:t>
                  </w:r>
                </w:p>
              </w:tc>
              <w:tc>
                <w:tcPr>
                  <w:tcW w:w="852" w:type="dxa"/>
                  <w:noWrap/>
                  <w:tcMar>
                    <w:top w:w="0" w:type="dxa"/>
                    <w:left w:w="70" w:type="dxa"/>
                    <w:bottom w:w="0" w:type="dxa"/>
                    <w:right w:w="70" w:type="dxa"/>
                  </w:tcMar>
                  <w:hideMark/>
                </w:tcPr>
                <w:p w:rsidRPr="002A1F9A" w:rsidR="00E924C2" w:rsidP="00E924C2" w:rsidRDefault="00E924C2" w14:paraId="16174486" w14:textId="77777777">
                  <w:pPr>
                    <w:spacing w:after="160" w:line="259" w:lineRule="auto"/>
                    <w:jc w:val="center"/>
                    <w:rPr>
                      <w:rFonts w:ascii="Verdana" w:hAnsi="Verdana"/>
                      <w:sz w:val="16"/>
                      <w:szCs w:val="16"/>
                    </w:rPr>
                  </w:pPr>
                  <w:r w:rsidRPr="002A1F9A">
                    <w:rPr>
                      <w:rFonts w:ascii="Verdana" w:hAnsi="Verdana"/>
                      <w:sz w:val="16"/>
                      <w:szCs w:val="16"/>
                    </w:rPr>
                    <w:t>496.944</w:t>
                  </w:r>
                </w:p>
              </w:tc>
              <w:tc>
                <w:tcPr>
                  <w:tcW w:w="852" w:type="dxa"/>
                  <w:noWrap/>
                  <w:tcMar>
                    <w:top w:w="0" w:type="dxa"/>
                    <w:left w:w="70" w:type="dxa"/>
                    <w:bottom w:w="0" w:type="dxa"/>
                    <w:right w:w="70" w:type="dxa"/>
                  </w:tcMar>
                  <w:hideMark/>
                </w:tcPr>
                <w:p w:rsidRPr="002A1F9A" w:rsidR="00E924C2" w:rsidP="00E924C2" w:rsidRDefault="00E924C2" w14:paraId="15AC8C1E" w14:textId="77777777">
                  <w:pPr>
                    <w:spacing w:after="160" w:line="259" w:lineRule="auto"/>
                    <w:jc w:val="center"/>
                    <w:rPr>
                      <w:rFonts w:ascii="Verdana" w:hAnsi="Verdana"/>
                      <w:sz w:val="16"/>
                      <w:szCs w:val="16"/>
                    </w:rPr>
                  </w:pPr>
                  <w:r w:rsidRPr="002A1F9A">
                    <w:rPr>
                      <w:rFonts w:ascii="Verdana" w:hAnsi="Verdana"/>
                      <w:sz w:val="16"/>
                      <w:szCs w:val="16"/>
                    </w:rPr>
                    <w:t>497.802</w:t>
                  </w:r>
                </w:p>
              </w:tc>
              <w:tc>
                <w:tcPr>
                  <w:tcW w:w="852" w:type="dxa"/>
                  <w:noWrap/>
                  <w:tcMar>
                    <w:top w:w="0" w:type="dxa"/>
                    <w:left w:w="70" w:type="dxa"/>
                    <w:bottom w:w="0" w:type="dxa"/>
                    <w:right w:w="70" w:type="dxa"/>
                  </w:tcMar>
                  <w:hideMark/>
                </w:tcPr>
                <w:p w:rsidRPr="002A1F9A" w:rsidR="00E924C2" w:rsidP="00E924C2" w:rsidRDefault="00E924C2" w14:paraId="178820A9" w14:textId="596F9BAC">
                  <w:pPr>
                    <w:spacing w:after="160" w:line="259" w:lineRule="auto"/>
                    <w:jc w:val="center"/>
                    <w:rPr>
                      <w:rFonts w:ascii="Verdana" w:hAnsi="Verdana"/>
                      <w:sz w:val="16"/>
                      <w:szCs w:val="16"/>
                    </w:rPr>
                  </w:pPr>
                  <w:r w:rsidRPr="002A1F9A">
                    <w:rPr>
                      <w:rFonts w:ascii="Verdana" w:hAnsi="Verdana"/>
                      <w:sz w:val="16"/>
                      <w:szCs w:val="16"/>
                    </w:rPr>
                    <w:t>525.625</w:t>
                  </w:r>
                </w:p>
              </w:tc>
              <w:tc>
                <w:tcPr>
                  <w:tcW w:w="852" w:type="dxa"/>
                </w:tcPr>
                <w:p w:rsidRPr="002A1F9A" w:rsidR="00E924C2" w:rsidP="00E924C2" w:rsidRDefault="00E924C2" w14:paraId="3722780B" w14:textId="029CE57C">
                  <w:pPr>
                    <w:spacing w:after="160"/>
                    <w:jc w:val="center"/>
                    <w:rPr>
                      <w:rFonts w:ascii="Verdana" w:hAnsi="Verdana"/>
                      <w:sz w:val="16"/>
                      <w:szCs w:val="16"/>
                    </w:rPr>
                  </w:pPr>
                  <w:r w:rsidRPr="002A1F9A">
                    <w:rPr>
                      <w:rFonts w:ascii="Verdana" w:hAnsi="Verdana"/>
                      <w:sz w:val="16"/>
                      <w:szCs w:val="16"/>
                    </w:rPr>
                    <w:t>525.625</w:t>
                  </w:r>
                </w:p>
              </w:tc>
            </w:tr>
          </w:tbl>
          <w:p w:rsidRPr="002A1F9A" w:rsidR="00E924C2" w:rsidRDefault="00E924C2" w14:paraId="4D786440" w14:textId="3AE92A3D">
            <w:pPr>
              <w:rPr>
                <w:rFonts w:ascii="Verdana" w:hAnsi="Verdana"/>
                <w:sz w:val="18"/>
                <w:szCs w:val="18"/>
              </w:rPr>
            </w:pPr>
          </w:p>
        </w:tc>
        <w:tc>
          <w:tcPr>
            <w:tcW w:w="850" w:type="dxa"/>
          </w:tcPr>
          <w:p w:rsidRPr="002A1F9A" w:rsidR="001256CA" w:rsidRDefault="001856D0" w14:paraId="1EAADC3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1BD00D11"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1792172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3D1107CF" w14:textId="77777777">
        <w:tc>
          <w:tcPr>
            <w:tcW w:w="567" w:type="dxa"/>
          </w:tcPr>
          <w:p w:rsidRPr="002A1F9A" w:rsidR="001256CA" w:rsidRDefault="001856D0" w14:paraId="358F6C7F" w14:textId="77777777">
            <w:pPr>
              <w:rPr>
                <w:rFonts w:ascii="Verdana" w:hAnsi="Verdana"/>
                <w:sz w:val="18"/>
                <w:szCs w:val="18"/>
              </w:rPr>
            </w:pPr>
            <w:r w:rsidRPr="002A1F9A">
              <w:rPr>
                <w:rFonts w:ascii="Verdana" w:hAnsi="Verdana"/>
                <w:sz w:val="18"/>
                <w:szCs w:val="18"/>
              </w:rPr>
              <w:t>130</w:t>
            </w:r>
          </w:p>
        </w:tc>
        <w:tc>
          <w:tcPr>
            <w:tcW w:w="6521" w:type="dxa"/>
          </w:tcPr>
          <w:p w:rsidRPr="002A1F9A" w:rsidR="00E924C2" w:rsidRDefault="001856D0" w14:paraId="19D16883" w14:textId="77777777">
            <w:pPr>
              <w:rPr>
                <w:rFonts w:ascii="Verdana" w:hAnsi="Verdana"/>
                <w:sz w:val="18"/>
                <w:szCs w:val="18"/>
              </w:rPr>
            </w:pPr>
            <w:r w:rsidRPr="002A1F9A">
              <w:rPr>
                <w:rFonts w:ascii="Verdana" w:hAnsi="Verdana"/>
                <w:sz w:val="18"/>
                <w:szCs w:val="18"/>
              </w:rPr>
              <w:t>Kunt u voor de komende jaren een overzicht geven van de totale middelen voor de basisvaardigheden inclusief en exclusief de bezuiniging op de loon- en prijsbijstelling van de basisvaardigheden?</w:t>
            </w:r>
          </w:p>
          <w:p w:rsidRPr="002A1F9A" w:rsidR="00E924C2" w:rsidRDefault="00E924C2" w14:paraId="38ECAEDE" w14:textId="77777777">
            <w:pPr>
              <w:rPr>
                <w:rFonts w:ascii="Verdana" w:hAnsi="Verdana"/>
                <w:sz w:val="18"/>
                <w:szCs w:val="18"/>
              </w:rPr>
            </w:pPr>
          </w:p>
          <w:p w:rsidRPr="002A1F9A" w:rsidR="00E924C2" w:rsidP="00E924C2" w:rsidRDefault="00E924C2" w14:paraId="4DF34BE3" w14:textId="77777777">
            <w:pPr>
              <w:rPr>
                <w:rFonts w:ascii="Verdana" w:hAnsi="Verdana"/>
                <w:sz w:val="18"/>
                <w:szCs w:val="18"/>
              </w:rPr>
            </w:pPr>
            <w:r w:rsidRPr="002A1F9A">
              <w:rPr>
                <w:rFonts w:ascii="Verdana" w:hAnsi="Verdana"/>
                <w:sz w:val="18"/>
                <w:szCs w:val="18"/>
              </w:rPr>
              <w:t>Zie het antwoord op vraag 129.</w:t>
            </w:r>
          </w:p>
          <w:p w:rsidRPr="002A1F9A" w:rsidR="001256CA" w:rsidRDefault="005C63D5" w14:paraId="5A421163" w14:textId="11A3186C">
            <w:pPr>
              <w:rPr>
                <w:rFonts w:ascii="Verdana" w:hAnsi="Verdana"/>
                <w:sz w:val="18"/>
                <w:szCs w:val="18"/>
              </w:rPr>
            </w:pPr>
            <w:r w:rsidRPr="002A1F9A">
              <w:rPr>
                <w:rFonts w:ascii="Verdana" w:hAnsi="Verdana"/>
                <w:color w:val="FF0000"/>
                <w:sz w:val="18"/>
                <w:szCs w:val="18"/>
              </w:rPr>
              <w:t xml:space="preserve"> </w:t>
            </w:r>
          </w:p>
        </w:tc>
        <w:tc>
          <w:tcPr>
            <w:tcW w:w="850" w:type="dxa"/>
          </w:tcPr>
          <w:p w:rsidRPr="002A1F9A" w:rsidR="001256CA" w:rsidRDefault="001856D0" w14:paraId="33A1E73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65302A88"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03DC7F6C"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6CF65B36" w14:textId="77777777">
        <w:tc>
          <w:tcPr>
            <w:tcW w:w="567" w:type="dxa"/>
          </w:tcPr>
          <w:p w:rsidRPr="002A1F9A" w:rsidR="001256CA" w:rsidRDefault="001856D0" w14:paraId="5165652B" w14:textId="77777777">
            <w:pPr>
              <w:rPr>
                <w:rFonts w:ascii="Verdana" w:hAnsi="Verdana"/>
                <w:sz w:val="18"/>
                <w:szCs w:val="18"/>
              </w:rPr>
            </w:pPr>
            <w:r w:rsidRPr="002A1F9A">
              <w:rPr>
                <w:rFonts w:ascii="Verdana" w:hAnsi="Verdana"/>
                <w:sz w:val="18"/>
                <w:szCs w:val="18"/>
              </w:rPr>
              <w:t>131</w:t>
            </w:r>
          </w:p>
        </w:tc>
        <w:tc>
          <w:tcPr>
            <w:tcW w:w="6521" w:type="dxa"/>
          </w:tcPr>
          <w:p w:rsidRPr="002A1F9A" w:rsidR="001256CA" w:rsidRDefault="001856D0" w14:paraId="7D95D663" w14:textId="77777777">
            <w:pPr>
              <w:rPr>
                <w:rFonts w:ascii="Verdana" w:hAnsi="Verdana"/>
                <w:color w:val="FF0000"/>
                <w:sz w:val="18"/>
                <w:szCs w:val="18"/>
              </w:rPr>
            </w:pPr>
            <w:r w:rsidRPr="002A1F9A">
              <w:rPr>
                <w:rFonts w:ascii="Verdana" w:hAnsi="Verdana"/>
                <w:sz w:val="18"/>
                <w:szCs w:val="18"/>
              </w:rPr>
              <w:t>Klopt het beeld dat het niet indexeren van de basisvaardigheden ertoe leidt dat het bedrag gelijkt blijft dat scholen ontvangen, maar de kosten (vanwege de inflatie) ondertussen stijgen en u deze indexering niet compenseert?</w:t>
            </w:r>
            <w:r w:rsidRPr="002A1F9A" w:rsidR="005C63D5">
              <w:rPr>
                <w:rFonts w:ascii="Verdana" w:hAnsi="Verdana"/>
                <w:color w:val="FF0000"/>
                <w:sz w:val="18"/>
                <w:szCs w:val="18"/>
              </w:rPr>
              <w:t xml:space="preserve"> </w:t>
            </w:r>
          </w:p>
          <w:p w:rsidRPr="002A1F9A" w:rsidR="00E924C2" w:rsidRDefault="00E924C2" w14:paraId="78D94FE6" w14:textId="77777777">
            <w:pPr>
              <w:rPr>
                <w:rFonts w:ascii="Verdana" w:hAnsi="Verdana"/>
                <w:color w:val="FF0000"/>
                <w:sz w:val="18"/>
                <w:szCs w:val="18"/>
              </w:rPr>
            </w:pPr>
          </w:p>
          <w:p w:rsidRPr="002A1F9A" w:rsidR="00E924C2" w:rsidP="00E924C2" w:rsidRDefault="00E924C2" w14:paraId="43DB34CC" w14:textId="09A7DB96">
            <w:pPr>
              <w:rPr>
                <w:rFonts w:ascii="Verdana" w:hAnsi="Verdana"/>
                <w:sz w:val="18"/>
                <w:szCs w:val="18"/>
              </w:rPr>
            </w:pPr>
            <w:r w:rsidRPr="002A1F9A">
              <w:rPr>
                <w:rFonts w:ascii="Verdana" w:hAnsi="Verdana"/>
                <w:sz w:val="18"/>
                <w:szCs w:val="18"/>
              </w:rPr>
              <w:t xml:space="preserve">De gerichte bekostiging basisvaardigheden gaat pas op z’n vroegst in per 2027. Scholen hebben deze middelen dus niet eerder ontvangen. Scholen hebben wel eerder kunnen deelnemen aan de subsidieregeling ‘Basisvaardigheden’ met een looptijd van 2 jaar. Aan scholen is gecommuniceerd dat de bekostiging per 2027 € 182 euro per leerling zou zijn en dat is nog steeds het geval. Voor de indexatie van dit budget in 2026 (en verder) geldt dat er niet vooruitgelopen kan worden op toekomstige besluitvorming over indexatie. Dit volgt bij Voorjaarsnota 2026. Zie ook </w:t>
            </w:r>
            <w:r w:rsidRPr="002A1F9A" w:rsidR="009C1E65">
              <w:rPr>
                <w:rFonts w:ascii="Verdana" w:hAnsi="Verdana"/>
                <w:sz w:val="18"/>
                <w:szCs w:val="18"/>
              </w:rPr>
              <w:t xml:space="preserve">het antwoord op </w:t>
            </w:r>
            <w:r w:rsidRPr="002A1F9A">
              <w:rPr>
                <w:rFonts w:ascii="Verdana" w:hAnsi="Verdana"/>
                <w:sz w:val="18"/>
                <w:szCs w:val="18"/>
              </w:rPr>
              <w:t>vraag 128.</w:t>
            </w:r>
          </w:p>
          <w:p w:rsidRPr="002A1F9A" w:rsidR="00E924C2" w:rsidRDefault="00E924C2" w14:paraId="39E6FBB6" w14:textId="277742D6">
            <w:pPr>
              <w:rPr>
                <w:rFonts w:ascii="Verdana" w:hAnsi="Verdana"/>
                <w:sz w:val="18"/>
                <w:szCs w:val="18"/>
              </w:rPr>
            </w:pPr>
          </w:p>
        </w:tc>
        <w:tc>
          <w:tcPr>
            <w:tcW w:w="850" w:type="dxa"/>
          </w:tcPr>
          <w:p w:rsidRPr="002A1F9A" w:rsidR="001256CA" w:rsidRDefault="001856D0" w14:paraId="6D534DD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FDDC09E" w14:textId="77777777">
            <w:pPr>
              <w:jc w:val="right"/>
              <w:rPr>
                <w:rFonts w:ascii="Verdana" w:hAnsi="Verdana"/>
                <w:sz w:val="18"/>
                <w:szCs w:val="18"/>
              </w:rPr>
            </w:pPr>
            <w:r w:rsidRPr="002A1F9A">
              <w:rPr>
                <w:rFonts w:ascii="Verdana" w:hAnsi="Verdana"/>
                <w:sz w:val="18"/>
                <w:szCs w:val="18"/>
              </w:rPr>
              <w:t>46</w:t>
            </w:r>
          </w:p>
        </w:tc>
        <w:tc>
          <w:tcPr>
            <w:tcW w:w="567" w:type="dxa"/>
            <w:tcBorders>
              <w:left w:val="nil"/>
            </w:tcBorders>
          </w:tcPr>
          <w:p w:rsidRPr="002A1F9A" w:rsidR="001256CA" w:rsidRDefault="001856D0" w14:paraId="693337F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67C3E377" w14:textId="77777777">
        <w:tc>
          <w:tcPr>
            <w:tcW w:w="567" w:type="dxa"/>
          </w:tcPr>
          <w:p w:rsidRPr="002A1F9A" w:rsidR="001256CA" w:rsidRDefault="001856D0" w14:paraId="42162313" w14:textId="77777777">
            <w:pPr>
              <w:rPr>
                <w:rFonts w:ascii="Verdana" w:hAnsi="Verdana"/>
                <w:sz w:val="18"/>
                <w:szCs w:val="18"/>
              </w:rPr>
            </w:pPr>
            <w:r w:rsidRPr="002A1F9A">
              <w:rPr>
                <w:rFonts w:ascii="Verdana" w:hAnsi="Verdana"/>
                <w:sz w:val="18"/>
                <w:szCs w:val="18"/>
              </w:rPr>
              <w:t>132</w:t>
            </w:r>
          </w:p>
        </w:tc>
        <w:tc>
          <w:tcPr>
            <w:tcW w:w="6521" w:type="dxa"/>
          </w:tcPr>
          <w:p w:rsidRPr="002A1F9A" w:rsidR="001256CA" w:rsidRDefault="001856D0" w14:paraId="3F234039" w14:textId="77777777">
            <w:pPr>
              <w:rPr>
                <w:rFonts w:ascii="Verdana" w:hAnsi="Verdana"/>
                <w:sz w:val="18"/>
                <w:szCs w:val="18"/>
              </w:rPr>
            </w:pPr>
            <w:r w:rsidRPr="002A1F9A">
              <w:rPr>
                <w:rFonts w:ascii="Verdana" w:hAnsi="Verdana"/>
                <w:sz w:val="18"/>
                <w:szCs w:val="18"/>
              </w:rPr>
              <w:t>Hoeveel procent van de scholen in het primair en voortgezet onderwijs maken gebruik van het programma Schoolmaaltijden?</w:t>
            </w:r>
          </w:p>
          <w:p w:rsidRPr="002A1F9A" w:rsidR="00E924C2" w:rsidRDefault="00E924C2" w14:paraId="79670C9D" w14:textId="77777777">
            <w:pPr>
              <w:rPr>
                <w:rFonts w:ascii="Verdana" w:hAnsi="Verdana"/>
                <w:sz w:val="18"/>
                <w:szCs w:val="18"/>
              </w:rPr>
            </w:pPr>
          </w:p>
          <w:p w:rsidRPr="002A1F9A" w:rsidR="00E924C2" w:rsidP="00E924C2" w:rsidRDefault="00E924C2" w14:paraId="015BCDF6" w14:textId="30C281BE">
            <w:pPr>
              <w:rPr>
                <w:rFonts w:ascii="Verdana" w:hAnsi="Verdana"/>
                <w:sz w:val="18"/>
                <w:szCs w:val="18"/>
              </w:rPr>
            </w:pPr>
            <w:r w:rsidRPr="002A1F9A">
              <w:rPr>
                <w:rFonts w:ascii="Verdana" w:hAnsi="Verdana"/>
                <w:sz w:val="18"/>
                <w:szCs w:val="18"/>
              </w:rPr>
              <w:t>Ruim 32</w:t>
            </w:r>
            <w:r w:rsidRPr="002A1F9A" w:rsidR="00514931">
              <w:rPr>
                <w:rFonts w:ascii="Verdana" w:hAnsi="Verdana"/>
                <w:sz w:val="18"/>
                <w:szCs w:val="18"/>
              </w:rPr>
              <w:t xml:space="preserve">% </w:t>
            </w:r>
            <w:r w:rsidRPr="002A1F9A">
              <w:rPr>
                <w:rFonts w:ascii="Verdana" w:hAnsi="Verdana"/>
                <w:sz w:val="18"/>
                <w:szCs w:val="18"/>
              </w:rPr>
              <w:t>van de scholen in het primair en voortgezet onderwijs maakt gebruik van het programma ‘Schoolmaaltijden’.</w:t>
            </w:r>
          </w:p>
          <w:p w:rsidRPr="002A1F9A" w:rsidR="00E924C2" w:rsidRDefault="00E924C2" w14:paraId="664C5E80" w14:textId="77777777">
            <w:pPr>
              <w:rPr>
                <w:rFonts w:ascii="Verdana" w:hAnsi="Verdana"/>
                <w:sz w:val="18"/>
                <w:szCs w:val="18"/>
              </w:rPr>
            </w:pPr>
          </w:p>
        </w:tc>
        <w:tc>
          <w:tcPr>
            <w:tcW w:w="850" w:type="dxa"/>
          </w:tcPr>
          <w:p w:rsidRPr="002A1F9A" w:rsidR="001256CA" w:rsidRDefault="001856D0" w14:paraId="1AD24319"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F64CD75" w14:textId="77777777">
            <w:pPr>
              <w:jc w:val="right"/>
              <w:rPr>
                <w:rFonts w:ascii="Verdana" w:hAnsi="Verdana"/>
                <w:sz w:val="18"/>
                <w:szCs w:val="18"/>
              </w:rPr>
            </w:pPr>
            <w:r w:rsidRPr="002A1F9A">
              <w:rPr>
                <w:rFonts w:ascii="Verdana" w:hAnsi="Verdana"/>
                <w:sz w:val="18"/>
                <w:szCs w:val="18"/>
              </w:rPr>
              <w:t>47</w:t>
            </w:r>
          </w:p>
        </w:tc>
        <w:tc>
          <w:tcPr>
            <w:tcW w:w="567" w:type="dxa"/>
            <w:tcBorders>
              <w:left w:val="nil"/>
            </w:tcBorders>
          </w:tcPr>
          <w:p w:rsidRPr="002A1F9A" w:rsidR="001256CA" w:rsidRDefault="001856D0" w14:paraId="292ABDE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9A0B0A0" w14:textId="77777777">
        <w:tc>
          <w:tcPr>
            <w:tcW w:w="567" w:type="dxa"/>
          </w:tcPr>
          <w:p w:rsidRPr="002A1F9A" w:rsidR="001256CA" w:rsidRDefault="001856D0" w14:paraId="60FA2DEF" w14:textId="77777777">
            <w:pPr>
              <w:rPr>
                <w:rFonts w:ascii="Verdana" w:hAnsi="Verdana"/>
                <w:sz w:val="18"/>
                <w:szCs w:val="18"/>
              </w:rPr>
            </w:pPr>
            <w:r w:rsidRPr="002A1F9A">
              <w:rPr>
                <w:rFonts w:ascii="Verdana" w:hAnsi="Verdana"/>
                <w:sz w:val="18"/>
                <w:szCs w:val="18"/>
              </w:rPr>
              <w:t>133</w:t>
            </w:r>
          </w:p>
        </w:tc>
        <w:tc>
          <w:tcPr>
            <w:tcW w:w="6521" w:type="dxa"/>
          </w:tcPr>
          <w:p w:rsidRPr="002A1F9A" w:rsidR="001256CA" w:rsidRDefault="001856D0" w14:paraId="60034BF6" w14:textId="77777777">
            <w:pPr>
              <w:rPr>
                <w:rFonts w:ascii="Verdana" w:hAnsi="Verdana"/>
                <w:sz w:val="18"/>
                <w:szCs w:val="18"/>
              </w:rPr>
            </w:pPr>
            <w:r w:rsidRPr="002A1F9A">
              <w:rPr>
                <w:rFonts w:ascii="Verdana" w:hAnsi="Verdana"/>
                <w:sz w:val="18"/>
                <w:szCs w:val="18"/>
              </w:rPr>
              <w:t>Op hoeveel procent van de scholen in het primair onderwijs is er op dit moment een brugfunctionaris werkzaam?</w:t>
            </w:r>
          </w:p>
          <w:p w:rsidRPr="002A1F9A" w:rsidR="00E924C2" w:rsidRDefault="00E924C2" w14:paraId="28846467" w14:textId="77777777">
            <w:pPr>
              <w:rPr>
                <w:rFonts w:ascii="Verdana" w:hAnsi="Verdana"/>
                <w:sz w:val="18"/>
                <w:szCs w:val="18"/>
              </w:rPr>
            </w:pPr>
          </w:p>
          <w:p w:rsidRPr="002A1F9A" w:rsidR="00E924C2" w:rsidP="00E924C2" w:rsidRDefault="00E924C2" w14:paraId="7A0C9277" w14:textId="51657014">
            <w:pPr>
              <w:rPr>
                <w:rFonts w:ascii="Verdana" w:hAnsi="Verdana"/>
                <w:sz w:val="18"/>
                <w:szCs w:val="18"/>
              </w:rPr>
            </w:pPr>
            <w:r w:rsidRPr="002A1F9A">
              <w:rPr>
                <w:rFonts w:ascii="Verdana" w:hAnsi="Verdana"/>
                <w:sz w:val="18"/>
                <w:szCs w:val="18"/>
              </w:rPr>
              <w:t>Circa 15</w:t>
            </w:r>
            <w:r w:rsidRPr="002A1F9A" w:rsidR="00514931">
              <w:rPr>
                <w:rFonts w:ascii="Verdana" w:hAnsi="Verdana"/>
                <w:sz w:val="18"/>
                <w:szCs w:val="18"/>
              </w:rPr>
              <w:t xml:space="preserve">% </w:t>
            </w:r>
            <w:r w:rsidRPr="002A1F9A">
              <w:rPr>
                <w:rFonts w:ascii="Verdana" w:hAnsi="Verdana"/>
                <w:sz w:val="18"/>
                <w:szCs w:val="18"/>
              </w:rPr>
              <w:t>van de scholen in het primair onderwijs ontvangt subsidie voor een brugfunctionaris. Daarnaast zijn er ook scholen die werken met een brugfunctionaris, maar daarvoor geen rijkssubsidie inzetten. Hiervan zijn alleen geen gegevens bekend.</w:t>
            </w:r>
          </w:p>
          <w:p w:rsidRPr="002A1F9A" w:rsidR="00E924C2" w:rsidRDefault="00E924C2" w14:paraId="78C124A1" w14:textId="77777777">
            <w:pPr>
              <w:rPr>
                <w:rFonts w:ascii="Verdana" w:hAnsi="Verdana"/>
                <w:sz w:val="18"/>
                <w:szCs w:val="18"/>
              </w:rPr>
            </w:pPr>
          </w:p>
        </w:tc>
        <w:tc>
          <w:tcPr>
            <w:tcW w:w="850" w:type="dxa"/>
          </w:tcPr>
          <w:p w:rsidRPr="002A1F9A" w:rsidR="001256CA" w:rsidRDefault="001856D0" w14:paraId="24A72987"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BF0EF65" w14:textId="77777777">
            <w:pPr>
              <w:jc w:val="right"/>
              <w:rPr>
                <w:rFonts w:ascii="Verdana" w:hAnsi="Verdana"/>
                <w:sz w:val="18"/>
                <w:szCs w:val="18"/>
              </w:rPr>
            </w:pPr>
            <w:r w:rsidRPr="002A1F9A">
              <w:rPr>
                <w:rFonts w:ascii="Verdana" w:hAnsi="Verdana"/>
                <w:sz w:val="18"/>
                <w:szCs w:val="18"/>
              </w:rPr>
              <w:t>47</w:t>
            </w:r>
          </w:p>
        </w:tc>
        <w:tc>
          <w:tcPr>
            <w:tcW w:w="567" w:type="dxa"/>
            <w:tcBorders>
              <w:left w:val="nil"/>
            </w:tcBorders>
          </w:tcPr>
          <w:p w:rsidRPr="002A1F9A" w:rsidR="001256CA" w:rsidRDefault="001856D0" w14:paraId="251CB6E2"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E35CFCE" w14:textId="77777777">
        <w:tc>
          <w:tcPr>
            <w:tcW w:w="567" w:type="dxa"/>
          </w:tcPr>
          <w:p w:rsidRPr="002A1F9A" w:rsidR="001256CA" w:rsidRDefault="001856D0" w14:paraId="04A4D0A1" w14:textId="77777777">
            <w:pPr>
              <w:rPr>
                <w:rFonts w:ascii="Verdana" w:hAnsi="Verdana"/>
                <w:sz w:val="18"/>
                <w:szCs w:val="18"/>
              </w:rPr>
            </w:pPr>
            <w:r w:rsidRPr="002A1F9A">
              <w:rPr>
                <w:rFonts w:ascii="Verdana" w:hAnsi="Verdana"/>
                <w:sz w:val="18"/>
                <w:szCs w:val="18"/>
              </w:rPr>
              <w:t>134</w:t>
            </w:r>
          </w:p>
        </w:tc>
        <w:tc>
          <w:tcPr>
            <w:tcW w:w="6521" w:type="dxa"/>
          </w:tcPr>
          <w:p w:rsidRPr="002A1F9A" w:rsidR="001256CA" w:rsidRDefault="001856D0" w14:paraId="0D6F5741" w14:textId="77777777">
            <w:pPr>
              <w:rPr>
                <w:rFonts w:ascii="Verdana" w:hAnsi="Verdana"/>
                <w:sz w:val="18"/>
                <w:szCs w:val="18"/>
              </w:rPr>
            </w:pPr>
            <w:r w:rsidRPr="002A1F9A">
              <w:rPr>
                <w:rFonts w:ascii="Verdana" w:hAnsi="Verdana"/>
                <w:sz w:val="18"/>
                <w:szCs w:val="18"/>
              </w:rPr>
              <w:t xml:space="preserve">Hoeveel zou het kosten als alle stagiairs in het voortgezet onderwijs een stagevergoeding krijgen van </w:t>
            </w:r>
            <w:r w:rsidRPr="002A1F9A" w:rsidR="00B85F01">
              <w:rPr>
                <w:rFonts w:ascii="Verdana" w:hAnsi="Verdana"/>
                <w:sz w:val="18"/>
                <w:szCs w:val="18"/>
              </w:rPr>
              <w:t xml:space="preserve">€ </w:t>
            </w:r>
            <w:r w:rsidRPr="002A1F9A">
              <w:rPr>
                <w:rFonts w:ascii="Verdana" w:hAnsi="Verdana"/>
                <w:sz w:val="18"/>
                <w:szCs w:val="18"/>
              </w:rPr>
              <w:t>750 bij fulltime dienstverband?</w:t>
            </w:r>
          </w:p>
          <w:p w:rsidRPr="002A1F9A" w:rsidR="0015763C" w:rsidP="0015763C" w:rsidRDefault="0015763C" w14:paraId="23598914" w14:textId="77777777">
            <w:pPr>
              <w:rPr>
                <w:rFonts w:ascii="Verdana" w:hAnsi="Verdana"/>
                <w:sz w:val="18"/>
                <w:szCs w:val="18"/>
              </w:rPr>
            </w:pPr>
          </w:p>
          <w:p w:rsidRPr="002A1F9A" w:rsidR="0015763C" w:rsidP="0015763C" w:rsidRDefault="0015763C" w14:paraId="03731C21" w14:textId="7E79D7D2">
            <w:pPr>
              <w:rPr>
                <w:rFonts w:ascii="Verdana" w:hAnsi="Verdana"/>
                <w:sz w:val="18"/>
                <w:szCs w:val="18"/>
              </w:rPr>
            </w:pPr>
            <w:r w:rsidRPr="002A1F9A">
              <w:rPr>
                <w:rFonts w:ascii="Verdana" w:hAnsi="Verdana"/>
                <w:sz w:val="18"/>
                <w:szCs w:val="18"/>
              </w:rPr>
              <w:t xml:space="preserve">De sociale partners beslissen over de hoogte van de stagevergoeding en aan welke stagairs het wordt toegekend. Sociale partners in het vo hebben reeds afspraken gemaakt over de stagevergoeding, die in hoogte verschilt per leerjaar. Zie artikel 13.5 in de cao vo 2024-2025 en Zie </w:t>
            </w:r>
            <w:hyperlink w:history="1" r:id="rId83">
              <w:r w:rsidRPr="002A1F9A">
                <w:rPr>
                  <w:rStyle w:val="Hyperlink"/>
                  <w:rFonts w:ascii="Verdana" w:hAnsi="Verdana"/>
                  <w:sz w:val="18"/>
                  <w:szCs w:val="18"/>
                </w:rPr>
                <w:t>Kamerbrief lerarenstrategie juni 2024 bijlage moties en toezeggingen</w:t>
              </w:r>
            </w:hyperlink>
            <w:r w:rsidRPr="002A1F9A">
              <w:rPr>
                <w:rFonts w:ascii="Verdana" w:hAnsi="Verdana"/>
                <w:sz w:val="18"/>
                <w:szCs w:val="18"/>
              </w:rPr>
              <w:t>.</w:t>
            </w:r>
          </w:p>
          <w:p w:rsidRPr="002A1F9A" w:rsidR="0015763C" w:rsidP="0015763C" w:rsidRDefault="0015763C" w14:paraId="720AC459" w14:textId="1734EC0C">
            <w:pPr>
              <w:rPr>
                <w:rFonts w:ascii="Verdana" w:hAnsi="Verdana"/>
                <w:sz w:val="18"/>
                <w:szCs w:val="18"/>
              </w:rPr>
            </w:pPr>
            <w:r w:rsidRPr="002A1F9A">
              <w:rPr>
                <w:rFonts w:ascii="Verdana" w:hAnsi="Verdana"/>
                <w:sz w:val="18"/>
                <w:szCs w:val="18"/>
              </w:rPr>
              <w:t>De totale kostenraming voor een stagevergoeding in het vo van maandelijks € 750 bedraagt naar schatting € 108 miljoen per jaar.</w:t>
            </w:r>
            <w:r w:rsidRPr="002A1F9A">
              <w:rPr>
                <w:rFonts w:ascii="Verdana" w:hAnsi="Verdana" w:eastAsia="Calibri"/>
                <w:kern w:val="2"/>
                <w:sz w:val="18"/>
                <w:szCs w:val="18"/>
                <w:lang w:eastAsia="en-US"/>
                <w14:ligatures w14:val="standardContextual"/>
              </w:rPr>
              <w:t xml:space="preserve"> Dit is inclusief </w:t>
            </w:r>
            <w:proofErr w:type="spellStart"/>
            <w:r w:rsidRPr="002A1F9A">
              <w:rPr>
                <w:rFonts w:ascii="Verdana" w:hAnsi="Verdana" w:eastAsia="Calibri"/>
                <w:kern w:val="2"/>
                <w:sz w:val="18"/>
                <w:szCs w:val="18"/>
                <w:lang w:eastAsia="en-US"/>
                <w14:ligatures w14:val="standardContextual"/>
              </w:rPr>
              <w:t>Zvw</w:t>
            </w:r>
            <w:proofErr w:type="spellEnd"/>
            <w:r w:rsidRPr="002A1F9A">
              <w:rPr>
                <w:rFonts w:ascii="Verdana" w:hAnsi="Verdana" w:eastAsia="Calibri"/>
                <w:kern w:val="2"/>
                <w:sz w:val="18"/>
                <w:szCs w:val="18"/>
                <w:lang w:eastAsia="en-US"/>
                <w14:ligatures w14:val="standardContextual"/>
              </w:rPr>
              <w:t xml:space="preserve">-premie. In deze berekening is geen rekening gehouden met het aandeel stagiairs dat al een stagevergoeding krijgt. </w:t>
            </w:r>
            <w:r w:rsidRPr="002A1F9A" w:rsidR="009A3C2E">
              <w:rPr>
                <w:rFonts w:ascii="Verdana" w:hAnsi="Verdana" w:eastAsia="Calibri"/>
                <w:kern w:val="2"/>
                <w:sz w:val="18"/>
                <w:szCs w:val="18"/>
                <w:lang w:eastAsia="en-US"/>
                <w14:ligatures w14:val="standardContextual"/>
              </w:rPr>
              <w:t xml:space="preserve">Het ministerie van </w:t>
            </w:r>
            <w:r w:rsidRPr="002A1F9A">
              <w:rPr>
                <w:rFonts w:ascii="Verdana" w:hAnsi="Verdana" w:eastAsia="Calibri"/>
                <w:kern w:val="2"/>
                <w:sz w:val="18"/>
                <w:szCs w:val="18"/>
                <w:lang w:eastAsia="en-US"/>
                <w14:ligatures w14:val="standardContextual"/>
              </w:rPr>
              <w:t xml:space="preserve">OCW heeft hier geen zicht op. </w:t>
            </w:r>
            <w:r w:rsidRPr="002A1F9A">
              <w:rPr>
                <w:rFonts w:ascii="Verdana" w:hAnsi="Verdana"/>
                <w:sz w:val="18"/>
                <w:szCs w:val="18"/>
              </w:rPr>
              <w:t xml:space="preserve">In deze berekening </w:t>
            </w:r>
            <w:r w:rsidRPr="002A1F9A">
              <w:rPr>
                <w:rFonts w:ascii="Verdana" w:hAnsi="Verdana"/>
                <w:sz w:val="18"/>
                <w:szCs w:val="18"/>
              </w:rPr>
              <w:lastRenderedPageBreak/>
              <w:t>worden studenten overig onderwijsondersteunend personeel (OOP) en leraar 1</w:t>
            </w:r>
            <w:r w:rsidRPr="002A1F9A">
              <w:rPr>
                <w:rFonts w:ascii="Verdana" w:hAnsi="Verdana"/>
                <w:sz w:val="18"/>
                <w:szCs w:val="18"/>
                <w:vertAlign w:val="superscript"/>
              </w:rPr>
              <w:t>e</w:t>
            </w:r>
            <w:r w:rsidRPr="002A1F9A">
              <w:rPr>
                <w:rFonts w:ascii="Verdana" w:hAnsi="Verdana"/>
                <w:sz w:val="18"/>
                <w:szCs w:val="18"/>
              </w:rPr>
              <w:t xml:space="preserve"> en 2</w:t>
            </w:r>
            <w:r w:rsidRPr="002A1F9A">
              <w:rPr>
                <w:rFonts w:ascii="Verdana" w:hAnsi="Verdana"/>
                <w:sz w:val="18"/>
                <w:szCs w:val="18"/>
                <w:vertAlign w:val="superscript"/>
              </w:rPr>
              <w:t>e</w:t>
            </w:r>
            <w:r w:rsidRPr="002A1F9A">
              <w:rPr>
                <w:rFonts w:ascii="Verdana" w:hAnsi="Verdana"/>
                <w:sz w:val="18"/>
                <w:szCs w:val="18"/>
              </w:rPr>
              <w:t xml:space="preserve"> </w:t>
            </w:r>
            <w:proofErr w:type="spellStart"/>
            <w:r w:rsidRPr="002A1F9A">
              <w:rPr>
                <w:rFonts w:ascii="Verdana" w:hAnsi="Verdana"/>
                <w:sz w:val="18"/>
                <w:szCs w:val="18"/>
              </w:rPr>
              <w:t>graads</w:t>
            </w:r>
            <w:proofErr w:type="spellEnd"/>
            <w:r w:rsidRPr="002A1F9A">
              <w:rPr>
                <w:rFonts w:ascii="Verdana" w:hAnsi="Verdana"/>
                <w:sz w:val="18"/>
                <w:szCs w:val="18"/>
              </w:rPr>
              <w:t xml:space="preserve"> meegenomen. In totaal zijn er jaarlijks ongeveer 33.800 stagairs in het voortgezet onderwijs (o.b.v. ramingen over 2024). De berekening gaat er verder vanuit dat studenten 10 maanden stagelopen met gemiddeld 2 dagen per week over de hele studie.</w:t>
            </w:r>
          </w:p>
          <w:p w:rsidRPr="002A1F9A" w:rsidR="0015763C" w:rsidRDefault="0015763C" w14:paraId="41E4768C" w14:textId="2B803645">
            <w:pPr>
              <w:rPr>
                <w:rFonts w:ascii="Verdana" w:hAnsi="Verdana"/>
                <w:sz w:val="18"/>
                <w:szCs w:val="18"/>
              </w:rPr>
            </w:pPr>
          </w:p>
        </w:tc>
        <w:tc>
          <w:tcPr>
            <w:tcW w:w="850" w:type="dxa"/>
          </w:tcPr>
          <w:p w:rsidRPr="002A1F9A" w:rsidR="001256CA" w:rsidRDefault="001856D0" w14:paraId="74A4AC54"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6C73F9B1" w14:textId="77777777">
            <w:pPr>
              <w:jc w:val="right"/>
              <w:rPr>
                <w:rFonts w:ascii="Verdana" w:hAnsi="Verdana"/>
                <w:sz w:val="18"/>
                <w:szCs w:val="18"/>
              </w:rPr>
            </w:pPr>
            <w:r w:rsidRPr="002A1F9A">
              <w:rPr>
                <w:rFonts w:ascii="Verdana" w:hAnsi="Verdana"/>
                <w:sz w:val="18"/>
                <w:szCs w:val="18"/>
              </w:rPr>
              <w:t>50</w:t>
            </w:r>
          </w:p>
        </w:tc>
        <w:tc>
          <w:tcPr>
            <w:tcW w:w="567" w:type="dxa"/>
            <w:tcBorders>
              <w:left w:val="nil"/>
            </w:tcBorders>
          </w:tcPr>
          <w:p w:rsidRPr="002A1F9A" w:rsidR="001256CA" w:rsidRDefault="001856D0" w14:paraId="383ED9C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9BE66BF" w14:textId="77777777">
        <w:tc>
          <w:tcPr>
            <w:tcW w:w="567" w:type="dxa"/>
          </w:tcPr>
          <w:p w:rsidRPr="002A1F9A" w:rsidR="001256CA" w:rsidRDefault="001856D0" w14:paraId="5171FF3B" w14:textId="77777777">
            <w:pPr>
              <w:rPr>
                <w:rFonts w:ascii="Verdana" w:hAnsi="Verdana"/>
                <w:sz w:val="18"/>
                <w:szCs w:val="18"/>
              </w:rPr>
            </w:pPr>
            <w:r w:rsidRPr="002A1F9A">
              <w:rPr>
                <w:rFonts w:ascii="Verdana" w:hAnsi="Verdana"/>
                <w:sz w:val="18"/>
                <w:szCs w:val="18"/>
              </w:rPr>
              <w:t>135</w:t>
            </w:r>
          </w:p>
        </w:tc>
        <w:tc>
          <w:tcPr>
            <w:tcW w:w="6521" w:type="dxa"/>
          </w:tcPr>
          <w:p w:rsidRPr="002A1F9A" w:rsidR="001256CA" w:rsidRDefault="001856D0" w14:paraId="042F677B" w14:textId="77777777">
            <w:pPr>
              <w:rPr>
                <w:rFonts w:ascii="Verdana" w:hAnsi="Verdana"/>
                <w:sz w:val="18"/>
                <w:szCs w:val="18"/>
              </w:rPr>
            </w:pPr>
            <w:r w:rsidRPr="002A1F9A">
              <w:rPr>
                <w:rFonts w:ascii="Verdana" w:hAnsi="Verdana"/>
                <w:sz w:val="18"/>
                <w:szCs w:val="18"/>
              </w:rPr>
              <w:t>Welke belemmeringen kent de wet- en regelgeving die in de weg staan dat scholieren in Caribisch Nederland hun centrale examens - met uitzondering van dat voor het vak Nederlands - afleggen in het Spaans of het Engels als dit hun thuistaal is?</w:t>
            </w:r>
          </w:p>
          <w:p w:rsidRPr="002A1F9A" w:rsidR="00E924C2" w:rsidRDefault="00E924C2" w14:paraId="381853E4" w14:textId="77777777">
            <w:pPr>
              <w:rPr>
                <w:rFonts w:ascii="Verdana" w:hAnsi="Verdana"/>
                <w:sz w:val="18"/>
                <w:szCs w:val="18"/>
              </w:rPr>
            </w:pPr>
          </w:p>
          <w:p w:rsidRPr="002A1F9A" w:rsidR="00E924C2" w:rsidP="00E924C2" w:rsidRDefault="00E924C2" w14:paraId="18572BAB" w14:textId="77777777">
            <w:pPr>
              <w:rPr>
                <w:rFonts w:ascii="Verdana" w:hAnsi="Verdana"/>
                <w:sz w:val="18"/>
                <w:szCs w:val="18"/>
              </w:rPr>
            </w:pPr>
            <w:r w:rsidRPr="002A1F9A">
              <w:rPr>
                <w:rFonts w:ascii="Verdana" w:hAnsi="Verdana"/>
                <w:sz w:val="18"/>
                <w:szCs w:val="18"/>
              </w:rPr>
              <w:t xml:space="preserve">Op St. Eustatius en Saba geldt dat zij een Engelstalig curriculum volgen en Engelstalige examens doen van de Caribbean </w:t>
            </w:r>
            <w:proofErr w:type="spellStart"/>
            <w:r w:rsidRPr="002A1F9A">
              <w:rPr>
                <w:rFonts w:ascii="Verdana" w:hAnsi="Verdana"/>
                <w:sz w:val="18"/>
                <w:szCs w:val="18"/>
              </w:rPr>
              <w:t>Examinations</w:t>
            </w:r>
            <w:proofErr w:type="spellEnd"/>
            <w:r w:rsidRPr="002A1F9A">
              <w:rPr>
                <w:rFonts w:ascii="Verdana" w:hAnsi="Verdana"/>
                <w:sz w:val="18"/>
                <w:szCs w:val="18"/>
              </w:rPr>
              <w:t xml:space="preserve"> Council (CXC). Op Bonaire wordt wel hetzelfde curriculum gevolgd als in Europees Nederland en leggen leerlingen de Nederlandstalige centrale examens af. De belemmering voor het afleggen van het centraal examen in een andere taal dan het Nederlands is vooral van praktische aard. De centrale examens worden in het Nederlands opgesteld en afgenomen en het correctievoorschrift beschrijft in het Nederlands welke antwoorden goed mogen worden gerekend, waarbij vaak ook specifieke, Nederlandse, terminologie benoemd wordt. Tevens is vastgelegd dat er tweede correctie plaatsvindt op centrale examens, door een onafhankelijke tweede corrector die door DUO wordt toegewezen. Voor een degelijke correctie moeten zowel de eerste als de tweede corrector de taal machtig zijn die door de leerling in de beantwoording wordt gebruikt. Dit kan niet gegarandeerd worden als leerlingen het examen in een andere taal mogen afleggen.</w:t>
            </w:r>
          </w:p>
          <w:p w:rsidRPr="002A1F9A" w:rsidR="00E924C2" w:rsidRDefault="00E924C2" w14:paraId="1D595BC5" w14:textId="2C60F4B7">
            <w:pPr>
              <w:rPr>
                <w:rFonts w:ascii="Verdana" w:hAnsi="Verdana"/>
                <w:sz w:val="18"/>
                <w:szCs w:val="18"/>
              </w:rPr>
            </w:pPr>
          </w:p>
        </w:tc>
        <w:tc>
          <w:tcPr>
            <w:tcW w:w="850" w:type="dxa"/>
          </w:tcPr>
          <w:p w:rsidRPr="002A1F9A" w:rsidR="001256CA" w:rsidRDefault="001856D0" w14:paraId="0822462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5EAC2E7" w14:textId="77777777">
            <w:pPr>
              <w:jc w:val="right"/>
              <w:rPr>
                <w:rFonts w:ascii="Verdana" w:hAnsi="Verdana"/>
                <w:sz w:val="18"/>
                <w:szCs w:val="18"/>
              </w:rPr>
            </w:pPr>
            <w:r w:rsidRPr="002A1F9A">
              <w:rPr>
                <w:rFonts w:ascii="Verdana" w:hAnsi="Verdana"/>
                <w:sz w:val="18"/>
                <w:szCs w:val="18"/>
              </w:rPr>
              <w:t>52</w:t>
            </w:r>
          </w:p>
        </w:tc>
        <w:tc>
          <w:tcPr>
            <w:tcW w:w="567" w:type="dxa"/>
            <w:tcBorders>
              <w:left w:val="nil"/>
            </w:tcBorders>
          </w:tcPr>
          <w:p w:rsidRPr="002A1F9A" w:rsidR="001256CA" w:rsidRDefault="001856D0" w14:paraId="3A43E53F"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830625E" w14:textId="77777777">
        <w:tc>
          <w:tcPr>
            <w:tcW w:w="567" w:type="dxa"/>
          </w:tcPr>
          <w:p w:rsidRPr="002A1F9A" w:rsidR="001256CA" w:rsidRDefault="001856D0" w14:paraId="78788473" w14:textId="77777777">
            <w:pPr>
              <w:rPr>
                <w:rFonts w:ascii="Verdana" w:hAnsi="Verdana"/>
                <w:sz w:val="18"/>
                <w:szCs w:val="18"/>
              </w:rPr>
            </w:pPr>
            <w:r w:rsidRPr="002A1F9A">
              <w:rPr>
                <w:rFonts w:ascii="Verdana" w:hAnsi="Verdana"/>
                <w:sz w:val="18"/>
                <w:szCs w:val="18"/>
              </w:rPr>
              <w:t>136</w:t>
            </w:r>
          </w:p>
        </w:tc>
        <w:tc>
          <w:tcPr>
            <w:tcW w:w="6521" w:type="dxa"/>
          </w:tcPr>
          <w:p w:rsidRPr="002A1F9A" w:rsidR="001256CA" w:rsidRDefault="001856D0" w14:paraId="39AE31ED" w14:textId="77777777">
            <w:pPr>
              <w:rPr>
                <w:rFonts w:ascii="Verdana" w:hAnsi="Verdana"/>
                <w:sz w:val="18"/>
                <w:szCs w:val="18"/>
              </w:rPr>
            </w:pPr>
            <w:r w:rsidRPr="002A1F9A">
              <w:rPr>
                <w:rFonts w:ascii="Verdana" w:hAnsi="Verdana"/>
                <w:sz w:val="18"/>
                <w:szCs w:val="18"/>
              </w:rPr>
              <w:t>Hoeveel geld zou ervoor nodig zijn om mogelijk te maken dat scholieren in Caribisch Nederland hun centrale examens - met uitzondering van dat voor het vak Nederlands - afleggen in het Spaans of het Engels als dit hun thuistaal is?</w:t>
            </w:r>
          </w:p>
          <w:p w:rsidRPr="002A1F9A" w:rsidR="00E924C2" w:rsidRDefault="00E924C2" w14:paraId="1ABEBF2B" w14:textId="77777777">
            <w:pPr>
              <w:rPr>
                <w:rFonts w:ascii="Verdana" w:hAnsi="Verdana"/>
                <w:sz w:val="18"/>
                <w:szCs w:val="18"/>
              </w:rPr>
            </w:pPr>
          </w:p>
          <w:p w:rsidRPr="002A1F9A" w:rsidR="00E924C2" w:rsidP="00E924C2" w:rsidRDefault="00E924C2" w14:paraId="22B8827B" w14:textId="77777777">
            <w:pPr>
              <w:rPr>
                <w:rFonts w:ascii="Verdana" w:hAnsi="Verdana"/>
                <w:sz w:val="18"/>
                <w:szCs w:val="18"/>
              </w:rPr>
            </w:pPr>
            <w:r w:rsidRPr="002A1F9A">
              <w:rPr>
                <w:rFonts w:ascii="Verdana" w:hAnsi="Verdana"/>
                <w:sz w:val="18"/>
                <w:szCs w:val="18"/>
              </w:rPr>
              <w:t>De kosten voor centrale examens in een andere taal dan het Nederlands zijn sterk afhankelijk van verschillende factoren. Primair is het de vraag of gedoeld wordt op een geheel vertaald examen of alleen een vertaald correctievoorschrift en in hoeveel talen deze beschikbaar moeten zijn. Indien het een geheel vertaald examen betreft spelen ook nog allerlei andere factoren een rol, zoals of het een papieren of een digitaal examen moet zijn, in hoeveel tijdvakken het examen wordt aangeboden en of de examenopgaven na afloop geheim blijven (en dus hergebruikt kunnen worden) of dat deze openbaar worden. Los van de examens en/of het correctievoorschrift zouden er ook andere gerelateerde kosten zijn, bijvoorbeeld voor docentprofessionalisering als er een Engelstalige of Spaanstalige tweede correctie zou moeten worden verricht. Derhalve is er geen eenduidige schatting te geven van het benodigde bedrag.</w:t>
            </w:r>
          </w:p>
          <w:p w:rsidRPr="002A1F9A" w:rsidR="00E924C2" w:rsidRDefault="00E924C2" w14:paraId="427E3287" w14:textId="5B286FDB">
            <w:pPr>
              <w:rPr>
                <w:rFonts w:ascii="Verdana" w:hAnsi="Verdana"/>
                <w:sz w:val="18"/>
                <w:szCs w:val="18"/>
              </w:rPr>
            </w:pPr>
          </w:p>
        </w:tc>
        <w:tc>
          <w:tcPr>
            <w:tcW w:w="850" w:type="dxa"/>
          </w:tcPr>
          <w:p w:rsidRPr="002A1F9A" w:rsidR="001256CA" w:rsidRDefault="001856D0" w14:paraId="7E653D8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0CF6781B" w14:textId="77777777">
            <w:pPr>
              <w:jc w:val="right"/>
              <w:rPr>
                <w:rFonts w:ascii="Verdana" w:hAnsi="Verdana"/>
                <w:sz w:val="18"/>
                <w:szCs w:val="18"/>
              </w:rPr>
            </w:pPr>
            <w:r w:rsidRPr="002A1F9A">
              <w:rPr>
                <w:rFonts w:ascii="Verdana" w:hAnsi="Verdana"/>
                <w:sz w:val="18"/>
                <w:szCs w:val="18"/>
              </w:rPr>
              <w:t>52</w:t>
            </w:r>
          </w:p>
        </w:tc>
        <w:tc>
          <w:tcPr>
            <w:tcW w:w="567" w:type="dxa"/>
            <w:tcBorders>
              <w:left w:val="nil"/>
            </w:tcBorders>
          </w:tcPr>
          <w:p w:rsidRPr="002A1F9A" w:rsidR="001256CA" w:rsidRDefault="001856D0" w14:paraId="666A544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CA5D879" w14:textId="77777777">
        <w:tc>
          <w:tcPr>
            <w:tcW w:w="567" w:type="dxa"/>
          </w:tcPr>
          <w:p w:rsidRPr="002A1F9A" w:rsidR="001256CA" w:rsidRDefault="001856D0" w14:paraId="133A6E91" w14:textId="77777777">
            <w:pPr>
              <w:rPr>
                <w:rFonts w:ascii="Verdana" w:hAnsi="Verdana"/>
                <w:sz w:val="18"/>
                <w:szCs w:val="18"/>
              </w:rPr>
            </w:pPr>
            <w:r w:rsidRPr="002A1F9A">
              <w:rPr>
                <w:rFonts w:ascii="Verdana" w:hAnsi="Verdana"/>
                <w:sz w:val="18"/>
                <w:szCs w:val="18"/>
              </w:rPr>
              <w:t>137</w:t>
            </w:r>
          </w:p>
        </w:tc>
        <w:tc>
          <w:tcPr>
            <w:tcW w:w="6521" w:type="dxa"/>
          </w:tcPr>
          <w:p w:rsidRPr="002A1F9A" w:rsidR="001256CA" w:rsidRDefault="001856D0" w14:paraId="38AF8E62" w14:textId="77777777">
            <w:pPr>
              <w:rPr>
                <w:rFonts w:ascii="Verdana" w:hAnsi="Verdana"/>
                <w:sz w:val="18"/>
                <w:szCs w:val="18"/>
              </w:rPr>
            </w:pPr>
            <w:r w:rsidRPr="002A1F9A">
              <w:rPr>
                <w:rFonts w:ascii="Verdana" w:hAnsi="Verdana"/>
                <w:sz w:val="18"/>
                <w:szCs w:val="18"/>
              </w:rPr>
              <w:t xml:space="preserve">Wat is het gevolg van de verlaging van de arbeidsmarkttoelage </w:t>
            </w:r>
            <w:r w:rsidRPr="002A1F9A" w:rsidR="00182E0A">
              <w:rPr>
                <w:rFonts w:ascii="Verdana" w:hAnsi="Verdana"/>
                <w:sz w:val="18"/>
                <w:szCs w:val="18"/>
              </w:rPr>
              <w:t>vo</w:t>
            </w:r>
            <w:r w:rsidRPr="002A1F9A">
              <w:rPr>
                <w:rFonts w:ascii="Verdana" w:hAnsi="Verdana"/>
                <w:sz w:val="18"/>
                <w:szCs w:val="18"/>
              </w:rPr>
              <w:t xml:space="preserve"> voor individuele werknemers die recht hebben op deze arbeidsmarkttoelage?</w:t>
            </w:r>
          </w:p>
          <w:p w:rsidRPr="002A1F9A" w:rsidR="00307026" w:rsidRDefault="00307026" w14:paraId="169A6C55" w14:textId="77777777">
            <w:pPr>
              <w:rPr>
                <w:rFonts w:ascii="Verdana" w:hAnsi="Verdana"/>
                <w:sz w:val="18"/>
                <w:szCs w:val="18"/>
              </w:rPr>
            </w:pPr>
          </w:p>
          <w:p w:rsidRPr="002A1F9A" w:rsidR="00307026" w:rsidP="00307026" w:rsidRDefault="00307026" w14:paraId="3D3AC7EE" w14:textId="7E973673">
            <w:pPr>
              <w:rPr>
                <w:rFonts w:ascii="Verdana" w:hAnsi="Verdana"/>
                <w:sz w:val="18"/>
                <w:szCs w:val="18"/>
              </w:rPr>
            </w:pPr>
            <w:r w:rsidRPr="002A1F9A">
              <w:rPr>
                <w:rFonts w:ascii="Verdana" w:hAnsi="Verdana"/>
                <w:sz w:val="18"/>
                <w:szCs w:val="18"/>
              </w:rPr>
              <w:t xml:space="preserve">Het is aannemelijk dat de meeste werknemers in het vo die recht hebben op de Arbeidsmarkttoelage (AMT) in 2026 een lagere toelage zullen ontvangen dan in 2025. De selectie van vestigingen die de AMT in 2026 ontvangen blijft gelijk aan 2025, met inachtneming van fusies en opheffingen. De verlaging van het budget van de AMT vo met € 10 miljoen betekent dat individuele werknemers werkzaam op deze vestigingen een gemiddeld lagere toelage zullen ontvangen in 2026. In </w:t>
            </w:r>
            <w:r w:rsidRPr="002A1F9A">
              <w:rPr>
                <w:rFonts w:ascii="Verdana" w:hAnsi="Verdana"/>
                <w:sz w:val="18"/>
                <w:szCs w:val="18"/>
              </w:rPr>
              <w:lastRenderedPageBreak/>
              <w:t xml:space="preserve">2025 gaat het in het vo om een toelage van gemiddeld 9% van het salaris. In 2026 zal het in het vo gaan om een toelage van gemiddeld 8% van het salaris. </w:t>
            </w:r>
            <w:r w:rsidRPr="002A1F9A" w:rsidDel="00021A0D">
              <w:rPr>
                <w:rFonts w:ascii="Verdana" w:hAnsi="Verdana"/>
                <w:sz w:val="18"/>
                <w:szCs w:val="18"/>
              </w:rPr>
              <w:t>Het bedrag dat een individuele medewerker werkzaam op een AMT-vestiging ontvangt</w:t>
            </w:r>
            <w:r w:rsidRPr="002A1F9A" w:rsidR="009C1E65">
              <w:rPr>
                <w:rFonts w:ascii="Verdana" w:hAnsi="Verdana"/>
                <w:sz w:val="18"/>
                <w:szCs w:val="18"/>
              </w:rPr>
              <w:t>,</w:t>
            </w:r>
            <w:r w:rsidRPr="002A1F9A" w:rsidDel="00021A0D">
              <w:rPr>
                <w:rFonts w:ascii="Verdana" w:hAnsi="Verdana"/>
                <w:sz w:val="18"/>
                <w:szCs w:val="18"/>
              </w:rPr>
              <w:t xml:space="preserve"> verschilt. </w:t>
            </w:r>
            <w:r w:rsidRPr="002A1F9A">
              <w:rPr>
                <w:rFonts w:ascii="Verdana" w:hAnsi="Verdana"/>
                <w:sz w:val="18"/>
                <w:szCs w:val="18"/>
              </w:rPr>
              <w:t xml:space="preserve">Eind dit jaar publiceert </w:t>
            </w:r>
            <w:r w:rsidRPr="002A1F9A" w:rsidR="009A3C2E">
              <w:rPr>
                <w:rFonts w:ascii="Verdana" w:hAnsi="Verdana"/>
                <w:sz w:val="18"/>
                <w:szCs w:val="18"/>
              </w:rPr>
              <w:t xml:space="preserve">het ministerie van </w:t>
            </w:r>
            <w:r w:rsidRPr="002A1F9A">
              <w:rPr>
                <w:rFonts w:ascii="Verdana" w:hAnsi="Verdana"/>
                <w:sz w:val="18"/>
                <w:szCs w:val="18"/>
              </w:rPr>
              <w:t>OCW een rekentool waarin scholen kunnen opzoeken hoeveel AMT ze in 2026 zullen ontvangen.</w:t>
            </w:r>
          </w:p>
          <w:p w:rsidRPr="002A1F9A" w:rsidR="00307026" w:rsidRDefault="00307026" w14:paraId="43B06FEA" w14:textId="29902143">
            <w:pPr>
              <w:rPr>
                <w:rFonts w:ascii="Verdana" w:hAnsi="Verdana"/>
                <w:sz w:val="18"/>
                <w:szCs w:val="18"/>
              </w:rPr>
            </w:pPr>
          </w:p>
        </w:tc>
        <w:tc>
          <w:tcPr>
            <w:tcW w:w="850" w:type="dxa"/>
          </w:tcPr>
          <w:p w:rsidRPr="002A1F9A" w:rsidR="001256CA" w:rsidRDefault="001856D0" w14:paraId="62C24989"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528BEB54" w14:textId="77777777">
            <w:pPr>
              <w:jc w:val="right"/>
              <w:rPr>
                <w:rFonts w:ascii="Verdana" w:hAnsi="Verdana"/>
                <w:sz w:val="18"/>
                <w:szCs w:val="18"/>
              </w:rPr>
            </w:pPr>
            <w:r w:rsidRPr="002A1F9A">
              <w:rPr>
                <w:rFonts w:ascii="Verdana" w:hAnsi="Verdana"/>
                <w:sz w:val="18"/>
                <w:szCs w:val="18"/>
              </w:rPr>
              <w:t>53</w:t>
            </w:r>
          </w:p>
        </w:tc>
        <w:tc>
          <w:tcPr>
            <w:tcW w:w="567" w:type="dxa"/>
            <w:tcBorders>
              <w:left w:val="nil"/>
            </w:tcBorders>
          </w:tcPr>
          <w:p w:rsidRPr="002A1F9A" w:rsidR="001256CA" w:rsidRDefault="001856D0" w14:paraId="5CCFD832"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84B9A33" w14:textId="77777777">
        <w:tc>
          <w:tcPr>
            <w:tcW w:w="567" w:type="dxa"/>
          </w:tcPr>
          <w:p w:rsidRPr="002A1F9A" w:rsidR="001256CA" w:rsidRDefault="001856D0" w14:paraId="716E596B" w14:textId="77777777">
            <w:pPr>
              <w:rPr>
                <w:rFonts w:ascii="Verdana" w:hAnsi="Verdana"/>
                <w:sz w:val="18"/>
                <w:szCs w:val="18"/>
              </w:rPr>
            </w:pPr>
            <w:r w:rsidRPr="002A1F9A">
              <w:rPr>
                <w:rFonts w:ascii="Verdana" w:hAnsi="Verdana"/>
                <w:sz w:val="18"/>
                <w:szCs w:val="18"/>
              </w:rPr>
              <w:t>138</w:t>
            </w:r>
          </w:p>
        </w:tc>
        <w:tc>
          <w:tcPr>
            <w:tcW w:w="6521" w:type="dxa"/>
          </w:tcPr>
          <w:p w:rsidRPr="002A1F9A" w:rsidR="001256CA" w:rsidRDefault="001856D0" w14:paraId="7F14DCE6" w14:textId="77777777">
            <w:pPr>
              <w:rPr>
                <w:rFonts w:ascii="Verdana" w:hAnsi="Verdana"/>
                <w:sz w:val="18"/>
                <w:szCs w:val="18"/>
              </w:rPr>
            </w:pPr>
            <w:r w:rsidRPr="002A1F9A">
              <w:rPr>
                <w:rFonts w:ascii="Verdana" w:hAnsi="Verdana"/>
                <w:sz w:val="18"/>
                <w:szCs w:val="18"/>
              </w:rPr>
              <w:t xml:space="preserve">Hoeveel werknemers worden geraakt door de bezuiniging op de arbeidsmarkttoelage </w:t>
            </w:r>
            <w:r w:rsidRPr="002A1F9A" w:rsidR="00182E0A">
              <w:rPr>
                <w:rFonts w:ascii="Verdana" w:hAnsi="Verdana"/>
                <w:sz w:val="18"/>
                <w:szCs w:val="18"/>
              </w:rPr>
              <w:t>vo</w:t>
            </w:r>
            <w:r w:rsidRPr="002A1F9A">
              <w:rPr>
                <w:rFonts w:ascii="Verdana" w:hAnsi="Verdana"/>
                <w:sz w:val="18"/>
                <w:szCs w:val="18"/>
              </w:rPr>
              <w:t>?</w:t>
            </w:r>
          </w:p>
          <w:p w:rsidRPr="002A1F9A" w:rsidR="00307026" w:rsidRDefault="00307026" w14:paraId="583822B9" w14:textId="77777777">
            <w:pPr>
              <w:rPr>
                <w:rFonts w:ascii="Verdana" w:hAnsi="Verdana"/>
                <w:sz w:val="18"/>
                <w:szCs w:val="18"/>
              </w:rPr>
            </w:pPr>
          </w:p>
          <w:p w:rsidRPr="002A1F9A" w:rsidR="00307026" w:rsidP="00307026" w:rsidRDefault="00307026" w14:paraId="7C98FC67" w14:textId="4B551D3E">
            <w:pPr>
              <w:rPr>
                <w:rFonts w:ascii="Verdana" w:hAnsi="Verdana"/>
                <w:sz w:val="18"/>
                <w:szCs w:val="18"/>
              </w:rPr>
            </w:pPr>
            <w:r w:rsidRPr="002A1F9A">
              <w:rPr>
                <w:rFonts w:ascii="Verdana" w:hAnsi="Verdana"/>
                <w:sz w:val="18"/>
                <w:szCs w:val="18"/>
              </w:rPr>
              <w:t xml:space="preserve">In het vo ontvangen 273 vestigingen de arbeidsmarkttoelage. Dit bedraagt circa 19% van alle vo-vestigingen in Europees Nederland. Het gaat om de vestigingen in zowel praktijkonderwijs als overig voortgezet onderwijs met de relatief hoogste achterstandsscores. Zie voor meer informatie de </w:t>
            </w:r>
            <w:hyperlink w:history="1" r:id="rId84">
              <w:r w:rsidRPr="002A1F9A">
                <w:rPr>
                  <w:rStyle w:val="Hyperlink"/>
                  <w:rFonts w:ascii="Verdana" w:hAnsi="Verdana"/>
                  <w:sz w:val="18"/>
                  <w:szCs w:val="18"/>
                </w:rPr>
                <w:t>regeling voor de Arbeidsmarkttoelage in 2025</w:t>
              </w:r>
            </w:hyperlink>
            <w:r w:rsidRPr="002A1F9A">
              <w:rPr>
                <w:rFonts w:ascii="Verdana" w:hAnsi="Verdana"/>
                <w:sz w:val="18"/>
                <w:szCs w:val="18"/>
              </w:rPr>
              <w:t xml:space="preserve">. Gegevens over het exacte aantal werknemers op deze vestigingen zijn niet voorhanden. Er waren in 2024 in totaal circa </w:t>
            </w:r>
            <w:hyperlink w:history="1" r:id="rId85">
              <w:r w:rsidRPr="002A1F9A">
                <w:rPr>
                  <w:rStyle w:val="Hyperlink"/>
                  <w:rFonts w:ascii="Verdana" w:hAnsi="Verdana"/>
                  <w:sz w:val="18"/>
                  <w:szCs w:val="18"/>
                </w:rPr>
                <w:t>89.000 voltijdsbanen</w:t>
              </w:r>
            </w:hyperlink>
            <w:r w:rsidRPr="002A1F9A">
              <w:rPr>
                <w:rFonts w:ascii="Verdana" w:hAnsi="Verdana"/>
                <w:sz w:val="18"/>
                <w:szCs w:val="18"/>
              </w:rPr>
              <w:t xml:space="preserve"> in het voortgezet onderwijs in Nederland. Circa 86.000 daarvan zijn in de klas of ondersteunend. Naar schatting is circa 12% daarvan op vestigingen die arbeidsmarkttoelage ontvangen.</w:t>
            </w:r>
          </w:p>
          <w:p w:rsidRPr="002A1F9A" w:rsidR="00307026" w:rsidRDefault="00307026" w14:paraId="3169584E" w14:textId="3582D58E">
            <w:pPr>
              <w:rPr>
                <w:rFonts w:ascii="Verdana" w:hAnsi="Verdana"/>
                <w:sz w:val="18"/>
                <w:szCs w:val="18"/>
              </w:rPr>
            </w:pPr>
          </w:p>
        </w:tc>
        <w:tc>
          <w:tcPr>
            <w:tcW w:w="850" w:type="dxa"/>
          </w:tcPr>
          <w:p w:rsidRPr="002A1F9A" w:rsidR="001256CA" w:rsidRDefault="001856D0" w14:paraId="316D7AA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00856F4" w14:textId="77777777">
            <w:pPr>
              <w:jc w:val="right"/>
              <w:rPr>
                <w:rFonts w:ascii="Verdana" w:hAnsi="Verdana"/>
                <w:sz w:val="18"/>
                <w:szCs w:val="18"/>
              </w:rPr>
            </w:pPr>
            <w:r w:rsidRPr="002A1F9A">
              <w:rPr>
                <w:rFonts w:ascii="Verdana" w:hAnsi="Verdana"/>
                <w:sz w:val="18"/>
                <w:szCs w:val="18"/>
              </w:rPr>
              <w:t>53</w:t>
            </w:r>
          </w:p>
        </w:tc>
        <w:tc>
          <w:tcPr>
            <w:tcW w:w="567" w:type="dxa"/>
            <w:tcBorders>
              <w:left w:val="nil"/>
            </w:tcBorders>
          </w:tcPr>
          <w:p w:rsidRPr="002A1F9A" w:rsidR="001256CA" w:rsidRDefault="001856D0" w14:paraId="6AFC9E2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955947B" w14:textId="77777777">
        <w:tc>
          <w:tcPr>
            <w:tcW w:w="567" w:type="dxa"/>
          </w:tcPr>
          <w:p w:rsidRPr="002A1F9A" w:rsidR="001256CA" w:rsidRDefault="001856D0" w14:paraId="07678F8A" w14:textId="77777777">
            <w:pPr>
              <w:rPr>
                <w:rFonts w:ascii="Verdana" w:hAnsi="Verdana"/>
                <w:sz w:val="18"/>
                <w:szCs w:val="18"/>
              </w:rPr>
            </w:pPr>
            <w:bookmarkStart w:name="_Hlk212625417" w:id="32"/>
            <w:r w:rsidRPr="002A1F9A">
              <w:rPr>
                <w:rFonts w:ascii="Verdana" w:hAnsi="Verdana"/>
                <w:sz w:val="18"/>
                <w:szCs w:val="18"/>
              </w:rPr>
              <w:t>139</w:t>
            </w:r>
          </w:p>
        </w:tc>
        <w:tc>
          <w:tcPr>
            <w:tcW w:w="6521" w:type="dxa"/>
          </w:tcPr>
          <w:p w:rsidRPr="002A1F9A" w:rsidR="001256CA" w:rsidRDefault="001856D0" w14:paraId="347A3B5E" w14:textId="77777777">
            <w:pPr>
              <w:rPr>
                <w:rFonts w:ascii="Verdana" w:hAnsi="Verdana"/>
                <w:sz w:val="18"/>
                <w:szCs w:val="18"/>
              </w:rPr>
            </w:pPr>
            <w:r w:rsidRPr="002A1F9A">
              <w:rPr>
                <w:rFonts w:ascii="Verdana" w:hAnsi="Verdana"/>
                <w:sz w:val="18"/>
                <w:szCs w:val="18"/>
              </w:rPr>
              <w:t>Kunt u aangeven hoeveel leerlingen langer dan een maand en langer dan drie maanden thuis zitten, uitgesplitst naar po, vo en mbo?</w:t>
            </w:r>
          </w:p>
          <w:p w:rsidRPr="002A1F9A" w:rsidR="00AC209A" w:rsidRDefault="00AC209A" w14:paraId="6778FE8D" w14:textId="77777777">
            <w:pPr>
              <w:rPr>
                <w:rFonts w:ascii="Verdana" w:hAnsi="Verdana"/>
                <w:sz w:val="18"/>
                <w:szCs w:val="18"/>
              </w:rPr>
            </w:pPr>
          </w:p>
          <w:p w:rsidRPr="002A1F9A" w:rsidR="00AC209A" w:rsidP="00AC209A" w:rsidRDefault="00AC209A" w14:paraId="27CA4303" w14:textId="77777777">
            <w:pPr>
              <w:rPr>
                <w:rFonts w:ascii="Verdana" w:hAnsi="Verdana"/>
                <w:sz w:val="18"/>
                <w:szCs w:val="18"/>
              </w:rPr>
            </w:pPr>
            <w:r w:rsidRPr="002A1F9A">
              <w:rPr>
                <w:rFonts w:ascii="Verdana" w:hAnsi="Verdana"/>
                <w:sz w:val="18"/>
                <w:szCs w:val="18"/>
              </w:rPr>
              <w:t xml:space="preserve">De laatste </w:t>
            </w:r>
            <w:hyperlink w:history="1" r:id="rId86">
              <w:r w:rsidRPr="002A1F9A">
                <w:rPr>
                  <w:rStyle w:val="Hyperlink"/>
                  <w:rFonts w:ascii="Verdana" w:hAnsi="Verdana"/>
                  <w:i/>
                  <w:iCs/>
                  <w:sz w:val="18"/>
                  <w:szCs w:val="18"/>
                </w:rPr>
                <w:t>Leerplichttelling</w:t>
              </w:r>
            </w:hyperlink>
            <w:r w:rsidRPr="002A1F9A">
              <w:rPr>
                <w:rFonts w:ascii="Verdana" w:hAnsi="Verdana"/>
                <w:i/>
                <w:iCs/>
                <w:sz w:val="18"/>
                <w:szCs w:val="18"/>
              </w:rPr>
              <w:t xml:space="preserve"> </w:t>
            </w:r>
            <w:r w:rsidRPr="002A1F9A">
              <w:rPr>
                <w:rFonts w:ascii="Verdana" w:hAnsi="Verdana"/>
                <w:sz w:val="18"/>
                <w:szCs w:val="18"/>
              </w:rPr>
              <w:t xml:space="preserve">over het schooljaar 2023–2024 is in april 2025 met de Kamer gedeeld. Het aantal leer- en </w:t>
            </w:r>
            <w:proofErr w:type="spellStart"/>
            <w:r w:rsidRPr="002A1F9A">
              <w:rPr>
                <w:rFonts w:ascii="Verdana" w:hAnsi="Verdana"/>
                <w:sz w:val="18"/>
                <w:szCs w:val="18"/>
              </w:rPr>
              <w:t>kwalificatieplichtige</w:t>
            </w:r>
            <w:proofErr w:type="spellEnd"/>
            <w:r w:rsidRPr="002A1F9A">
              <w:rPr>
                <w:rFonts w:ascii="Verdana" w:hAnsi="Verdana"/>
                <w:sz w:val="18"/>
                <w:szCs w:val="18"/>
              </w:rPr>
              <w:t xml:space="preserve"> kinderen dat gedurende het schooljaar wel ingeschreven was op school maar tenminste langer dan een maand ongeoorloofd niet naar school ging (langdurig relatief verzuim), uitgesplitst per schoolsoort, is:</w:t>
            </w:r>
          </w:p>
          <w:p w:rsidRPr="002A1F9A" w:rsidR="00AC209A" w:rsidP="00AC209A" w:rsidRDefault="00AC209A" w14:paraId="15799120" w14:textId="77777777">
            <w:pPr>
              <w:numPr>
                <w:ilvl w:val="0"/>
                <w:numId w:val="1"/>
              </w:numPr>
              <w:rPr>
                <w:rFonts w:ascii="Verdana" w:hAnsi="Verdana"/>
                <w:sz w:val="18"/>
                <w:szCs w:val="18"/>
              </w:rPr>
            </w:pPr>
            <w:r w:rsidRPr="002A1F9A">
              <w:rPr>
                <w:rFonts w:ascii="Verdana" w:hAnsi="Verdana"/>
                <w:sz w:val="18"/>
                <w:szCs w:val="18"/>
              </w:rPr>
              <w:t xml:space="preserve">po: 880 kinderen </w:t>
            </w:r>
          </w:p>
          <w:p w:rsidRPr="002A1F9A" w:rsidR="00AC209A" w:rsidP="00AC209A" w:rsidRDefault="00AC209A" w14:paraId="73C13397" w14:textId="77777777">
            <w:pPr>
              <w:numPr>
                <w:ilvl w:val="0"/>
                <w:numId w:val="1"/>
              </w:numPr>
              <w:rPr>
                <w:rFonts w:ascii="Verdana" w:hAnsi="Verdana"/>
                <w:sz w:val="18"/>
                <w:szCs w:val="18"/>
              </w:rPr>
            </w:pPr>
            <w:r w:rsidRPr="002A1F9A">
              <w:rPr>
                <w:rFonts w:ascii="Verdana" w:hAnsi="Verdana"/>
                <w:sz w:val="18"/>
                <w:szCs w:val="18"/>
              </w:rPr>
              <w:t>(v)</w:t>
            </w:r>
            <w:proofErr w:type="spellStart"/>
            <w:r w:rsidRPr="002A1F9A">
              <w:rPr>
                <w:rFonts w:ascii="Verdana" w:hAnsi="Verdana"/>
                <w:sz w:val="18"/>
                <w:szCs w:val="18"/>
              </w:rPr>
              <w:t>so</w:t>
            </w:r>
            <w:proofErr w:type="spellEnd"/>
            <w:r w:rsidRPr="002A1F9A">
              <w:rPr>
                <w:rFonts w:ascii="Verdana" w:hAnsi="Verdana"/>
                <w:sz w:val="18"/>
                <w:szCs w:val="18"/>
              </w:rPr>
              <w:t xml:space="preserve">: 719 kinderen  </w:t>
            </w:r>
          </w:p>
          <w:p w:rsidRPr="002A1F9A" w:rsidR="00AC209A" w:rsidP="00AC209A" w:rsidRDefault="00AC209A" w14:paraId="55E5262F" w14:textId="77777777">
            <w:pPr>
              <w:numPr>
                <w:ilvl w:val="0"/>
                <w:numId w:val="1"/>
              </w:numPr>
              <w:rPr>
                <w:rFonts w:ascii="Verdana" w:hAnsi="Verdana"/>
                <w:sz w:val="18"/>
                <w:szCs w:val="18"/>
              </w:rPr>
            </w:pPr>
            <w:r w:rsidRPr="002A1F9A">
              <w:rPr>
                <w:rFonts w:ascii="Verdana" w:hAnsi="Verdana"/>
                <w:sz w:val="18"/>
                <w:szCs w:val="18"/>
              </w:rPr>
              <w:t xml:space="preserve">vo: 2.179 kinderen  </w:t>
            </w:r>
          </w:p>
          <w:p w:rsidRPr="002A1F9A" w:rsidR="00AC209A" w:rsidP="00AC209A" w:rsidRDefault="00AC209A" w14:paraId="52F6BC81" w14:textId="77777777">
            <w:pPr>
              <w:numPr>
                <w:ilvl w:val="0"/>
                <w:numId w:val="1"/>
              </w:numPr>
              <w:rPr>
                <w:rFonts w:ascii="Verdana" w:hAnsi="Verdana"/>
                <w:sz w:val="18"/>
                <w:szCs w:val="18"/>
              </w:rPr>
            </w:pPr>
            <w:r w:rsidRPr="002A1F9A">
              <w:rPr>
                <w:rFonts w:ascii="Verdana" w:hAnsi="Verdana"/>
                <w:sz w:val="18"/>
                <w:szCs w:val="18"/>
              </w:rPr>
              <w:t xml:space="preserve">mbo: 516 kinderen </w:t>
            </w:r>
          </w:p>
          <w:p w:rsidRPr="002A1F9A" w:rsidR="00AC209A" w:rsidP="00AC209A" w:rsidRDefault="00AC209A" w14:paraId="5EAA7C20" w14:textId="77777777">
            <w:pPr>
              <w:rPr>
                <w:rFonts w:ascii="Verdana" w:hAnsi="Verdana"/>
                <w:sz w:val="18"/>
                <w:szCs w:val="18"/>
              </w:rPr>
            </w:pPr>
            <w:r w:rsidRPr="002A1F9A">
              <w:rPr>
                <w:rFonts w:ascii="Verdana" w:hAnsi="Verdana"/>
                <w:sz w:val="18"/>
                <w:szCs w:val="18"/>
              </w:rPr>
              <w:t xml:space="preserve">Het aantal leer- en </w:t>
            </w:r>
            <w:proofErr w:type="spellStart"/>
            <w:r w:rsidRPr="002A1F9A">
              <w:rPr>
                <w:rFonts w:ascii="Verdana" w:hAnsi="Verdana"/>
                <w:sz w:val="18"/>
                <w:szCs w:val="18"/>
              </w:rPr>
              <w:t>kwalificatieplichtige</w:t>
            </w:r>
            <w:proofErr w:type="spellEnd"/>
            <w:r w:rsidRPr="002A1F9A">
              <w:rPr>
                <w:rFonts w:ascii="Verdana" w:hAnsi="Verdana"/>
                <w:sz w:val="18"/>
                <w:szCs w:val="18"/>
              </w:rPr>
              <w:t xml:space="preserve"> kinderen dat gedurende het schooljaar 2023–2024 wel ingeschreven was op school maar tenminste langer dan drie maanden ongeoorloofd niet naar school ging (langdurig relatief verzuim langer dan 3 maanden), uitgesplitst per schoolsoort, is: </w:t>
            </w:r>
          </w:p>
          <w:p w:rsidRPr="002A1F9A" w:rsidR="00AC209A" w:rsidP="00AC209A" w:rsidRDefault="00AC209A" w14:paraId="4D68BA9B" w14:textId="77777777">
            <w:pPr>
              <w:numPr>
                <w:ilvl w:val="0"/>
                <w:numId w:val="1"/>
              </w:numPr>
              <w:rPr>
                <w:rFonts w:ascii="Verdana" w:hAnsi="Verdana"/>
                <w:sz w:val="18"/>
                <w:szCs w:val="18"/>
              </w:rPr>
            </w:pPr>
            <w:r w:rsidRPr="002A1F9A">
              <w:rPr>
                <w:rFonts w:ascii="Verdana" w:hAnsi="Verdana"/>
                <w:sz w:val="18"/>
                <w:szCs w:val="18"/>
              </w:rPr>
              <w:t xml:space="preserve">po: 640 kinderen </w:t>
            </w:r>
          </w:p>
          <w:p w:rsidRPr="002A1F9A" w:rsidR="00AC209A" w:rsidP="00AC209A" w:rsidRDefault="00AC209A" w14:paraId="45CBA420" w14:textId="77777777">
            <w:pPr>
              <w:numPr>
                <w:ilvl w:val="0"/>
                <w:numId w:val="1"/>
              </w:numPr>
              <w:rPr>
                <w:rFonts w:ascii="Verdana" w:hAnsi="Verdana"/>
                <w:sz w:val="18"/>
                <w:szCs w:val="18"/>
              </w:rPr>
            </w:pPr>
            <w:r w:rsidRPr="002A1F9A">
              <w:rPr>
                <w:rFonts w:ascii="Verdana" w:hAnsi="Verdana"/>
                <w:sz w:val="18"/>
                <w:szCs w:val="18"/>
              </w:rPr>
              <w:t>(v)</w:t>
            </w:r>
            <w:proofErr w:type="spellStart"/>
            <w:r w:rsidRPr="002A1F9A">
              <w:rPr>
                <w:rFonts w:ascii="Verdana" w:hAnsi="Verdana"/>
                <w:sz w:val="18"/>
                <w:szCs w:val="18"/>
              </w:rPr>
              <w:t>so</w:t>
            </w:r>
            <w:proofErr w:type="spellEnd"/>
            <w:r w:rsidRPr="002A1F9A">
              <w:rPr>
                <w:rFonts w:ascii="Verdana" w:hAnsi="Verdana"/>
                <w:sz w:val="18"/>
                <w:szCs w:val="18"/>
              </w:rPr>
              <w:t xml:space="preserve">: 631 kinderen  </w:t>
            </w:r>
          </w:p>
          <w:p w:rsidRPr="002A1F9A" w:rsidR="00AC209A" w:rsidP="00AC209A" w:rsidRDefault="00AC209A" w14:paraId="306434F8" w14:textId="77777777">
            <w:pPr>
              <w:numPr>
                <w:ilvl w:val="0"/>
                <w:numId w:val="1"/>
              </w:numPr>
              <w:rPr>
                <w:rFonts w:ascii="Verdana" w:hAnsi="Verdana"/>
                <w:sz w:val="18"/>
                <w:szCs w:val="18"/>
              </w:rPr>
            </w:pPr>
            <w:r w:rsidRPr="002A1F9A">
              <w:rPr>
                <w:rFonts w:ascii="Verdana" w:hAnsi="Verdana"/>
                <w:sz w:val="18"/>
                <w:szCs w:val="18"/>
              </w:rPr>
              <w:t xml:space="preserve">vo: 1.682 kinderen  </w:t>
            </w:r>
          </w:p>
          <w:p w:rsidRPr="002A1F9A" w:rsidR="00AC209A" w:rsidP="00AC209A" w:rsidRDefault="00AC209A" w14:paraId="0F50E3AA" w14:textId="77777777">
            <w:pPr>
              <w:numPr>
                <w:ilvl w:val="0"/>
                <w:numId w:val="1"/>
              </w:numPr>
              <w:rPr>
                <w:rFonts w:ascii="Verdana" w:hAnsi="Verdana"/>
                <w:sz w:val="18"/>
                <w:szCs w:val="18"/>
              </w:rPr>
            </w:pPr>
            <w:r w:rsidRPr="002A1F9A">
              <w:rPr>
                <w:rFonts w:ascii="Verdana" w:hAnsi="Verdana"/>
                <w:sz w:val="18"/>
                <w:szCs w:val="18"/>
              </w:rPr>
              <w:t xml:space="preserve">mbo: 332 kinderen </w:t>
            </w:r>
          </w:p>
          <w:p w:rsidRPr="002A1F9A" w:rsidR="00AC209A" w:rsidP="00AC209A" w:rsidRDefault="00AC209A" w14:paraId="2D3AB4DE" w14:textId="64339A39">
            <w:pPr>
              <w:rPr>
                <w:rFonts w:ascii="Verdana" w:hAnsi="Verdana"/>
                <w:sz w:val="18"/>
                <w:szCs w:val="18"/>
              </w:rPr>
            </w:pPr>
            <w:r w:rsidRPr="002A1F9A">
              <w:rPr>
                <w:rFonts w:ascii="Verdana" w:hAnsi="Verdana"/>
                <w:sz w:val="18"/>
                <w:szCs w:val="18"/>
              </w:rPr>
              <w:t xml:space="preserve">Een groot deel van deze groep, namelijk 1.952 van de 4.294 kinderen en jongeren, werd gedurende het schooljaar weer teruggeleid naar school. </w:t>
            </w:r>
            <w:r w:rsidRPr="002A1F9A" w:rsidR="00F84712">
              <w:rPr>
                <w:rFonts w:ascii="Verdana" w:hAnsi="Verdana"/>
                <w:sz w:val="18"/>
                <w:szCs w:val="18"/>
              </w:rPr>
              <w:t>Uw</w:t>
            </w:r>
            <w:r w:rsidRPr="002A1F9A">
              <w:rPr>
                <w:rFonts w:ascii="Verdana" w:hAnsi="Verdana"/>
                <w:sz w:val="18"/>
                <w:szCs w:val="18"/>
              </w:rPr>
              <w:t xml:space="preserve"> Kamer wordt in het voorjaar van 2026, zoals gebruikelijk, geïnformeerd over de nieuwste leerplichttelling.</w:t>
            </w:r>
          </w:p>
          <w:p w:rsidRPr="002A1F9A" w:rsidR="00AC209A" w:rsidRDefault="00AC209A" w14:paraId="2AFA6219" w14:textId="77777777">
            <w:pPr>
              <w:rPr>
                <w:rFonts w:ascii="Verdana" w:hAnsi="Verdana"/>
                <w:sz w:val="18"/>
                <w:szCs w:val="18"/>
              </w:rPr>
            </w:pPr>
          </w:p>
        </w:tc>
        <w:tc>
          <w:tcPr>
            <w:tcW w:w="850" w:type="dxa"/>
          </w:tcPr>
          <w:p w:rsidRPr="002A1F9A" w:rsidR="001256CA" w:rsidRDefault="001856D0" w14:paraId="62921F10"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ABE9BAE" w14:textId="77777777">
            <w:pPr>
              <w:jc w:val="right"/>
              <w:rPr>
                <w:rFonts w:ascii="Verdana" w:hAnsi="Verdana"/>
                <w:sz w:val="18"/>
                <w:szCs w:val="18"/>
              </w:rPr>
            </w:pPr>
            <w:r w:rsidRPr="002A1F9A">
              <w:rPr>
                <w:rFonts w:ascii="Verdana" w:hAnsi="Verdana"/>
                <w:sz w:val="18"/>
                <w:szCs w:val="18"/>
              </w:rPr>
              <w:t>54</w:t>
            </w:r>
          </w:p>
        </w:tc>
        <w:tc>
          <w:tcPr>
            <w:tcW w:w="567" w:type="dxa"/>
            <w:tcBorders>
              <w:left w:val="nil"/>
            </w:tcBorders>
          </w:tcPr>
          <w:p w:rsidRPr="002A1F9A" w:rsidR="001256CA" w:rsidRDefault="001856D0" w14:paraId="1D672726" w14:textId="77777777">
            <w:pPr>
              <w:jc w:val="right"/>
              <w:rPr>
                <w:rFonts w:ascii="Verdana" w:hAnsi="Verdana"/>
                <w:sz w:val="18"/>
                <w:szCs w:val="18"/>
              </w:rPr>
            </w:pPr>
            <w:r w:rsidRPr="002A1F9A">
              <w:rPr>
                <w:rFonts w:ascii="Verdana" w:hAnsi="Verdana"/>
                <w:sz w:val="18"/>
                <w:szCs w:val="18"/>
              </w:rPr>
              <w:t xml:space="preserve"> </w:t>
            </w:r>
          </w:p>
        </w:tc>
      </w:tr>
      <w:bookmarkEnd w:id="32"/>
      <w:tr w:rsidRPr="002A1F9A" w:rsidR="001256CA" w:rsidTr="00E7153D" w14:paraId="2ACBA45D" w14:textId="77777777">
        <w:tc>
          <w:tcPr>
            <w:tcW w:w="567" w:type="dxa"/>
          </w:tcPr>
          <w:p w:rsidRPr="002A1F9A" w:rsidR="001256CA" w:rsidRDefault="001856D0" w14:paraId="032DE497" w14:textId="77777777">
            <w:pPr>
              <w:rPr>
                <w:rFonts w:ascii="Verdana" w:hAnsi="Verdana"/>
                <w:sz w:val="18"/>
                <w:szCs w:val="18"/>
              </w:rPr>
            </w:pPr>
            <w:r w:rsidRPr="002A1F9A">
              <w:rPr>
                <w:rFonts w:ascii="Verdana" w:hAnsi="Verdana"/>
                <w:sz w:val="18"/>
                <w:szCs w:val="18"/>
              </w:rPr>
              <w:t>140</w:t>
            </w:r>
          </w:p>
        </w:tc>
        <w:tc>
          <w:tcPr>
            <w:tcW w:w="6521" w:type="dxa"/>
          </w:tcPr>
          <w:p w:rsidRPr="002A1F9A" w:rsidR="001256CA" w:rsidRDefault="001856D0" w14:paraId="0FB78EDD" w14:textId="77777777">
            <w:pPr>
              <w:rPr>
                <w:rFonts w:ascii="Verdana" w:hAnsi="Verdana"/>
                <w:sz w:val="18"/>
                <w:szCs w:val="18"/>
              </w:rPr>
            </w:pPr>
            <w:r w:rsidRPr="002A1F9A">
              <w:rPr>
                <w:rFonts w:ascii="Verdana" w:hAnsi="Verdana"/>
                <w:sz w:val="18"/>
                <w:szCs w:val="18"/>
              </w:rPr>
              <w:t xml:space="preserve">Welke overwegingen liggen eraan ten grondslag dat de middelen voor </w:t>
            </w:r>
            <w:r w:rsidRPr="002A1F9A" w:rsidR="00272B6C">
              <w:rPr>
                <w:rFonts w:ascii="Verdana" w:hAnsi="Verdana"/>
                <w:sz w:val="18"/>
                <w:szCs w:val="18"/>
              </w:rPr>
              <w:t>s</w:t>
            </w:r>
            <w:r w:rsidRPr="002A1F9A">
              <w:rPr>
                <w:rFonts w:ascii="Verdana" w:hAnsi="Verdana"/>
                <w:sz w:val="18"/>
                <w:szCs w:val="18"/>
              </w:rPr>
              <w:t>trategisch personeelsbeleid, begeleiding starters en thuiszitters worden toegevoegd aan de basisbekostiging en is dit geld dan ook geoormerkt?</w:t>
            </w:r>
          </w:p>
          <w:p w:rsidRPr="002A1F9A" w:rsidR="00307026" w:rsidRDefault="00307026" w14:paraId="1533D0BB" w14:textId="77777777">
            <w:pPr>
              <w:rPr>
                <w:rFonts w:ascii="Verdana" w:hAnsi="Verdana"/>
                <w:sz w:val="18"/>
                <w:szCs w:val="18"/>
              </w:rPr>
            </w:pPr>
          </w:p>
          <w:p w:rsidRPr="002A1F9A" w:rsidR="00307026" w:rsidP="00307026" w:rsidRDefault="00307026" w14:paraId="7FDB49EE" w14:textId="77777777">
            <w:pPr>
              <w:rPr>
                <w:rFonts w:ascii="Verdana" w:hAnsi="Verdana"/>
                <w:sz w:val="18"/>
                <w:szCs w:val="18"/>
              </w:rPr>
            </w:pPr>
            <w:bookmarkStart w:name="_Hlk211421851" w:id="33"/>
            <w:r w:rsidRPr="002A1F9A">
              <w:rPr>
                <w:rFonts w:ascii="Verdana" w:hAnsi="Verdana"/>
                <w:sz w:val="18"/>
                <w:szCs w:val="18"/>
              </w:rPr>
              <w:t xml:space="preserve">Deze middelen worden toegevoegd aan de basisbekostiging om schoolbesturen te ondersteunen bij het voeren van het strategisch personeelsbeleid en het geven van invulling aan de vereisten uit het wetsvoorstel. Door deze toevoeging krijgen schoolbesturen meerjarig </w:t>
            </w:r>
            <w:r w:rsidRPr="002A1F9A">
              <w:rPr>
                <w:rFonts w:ascii="Verdana" w:hAnsi="Verdana"/>
                <w:sz w:val="18"/>
                <w:szCs w:val="18"/>
              </w:rPr>
              <w:lastRenderedPageBreak/>
              <w:t xml:space="preserve">duidelijkheid over de beschikbaarheid van middelen voor deze doelen. Hiermee bieden we scholen stabiliteit en continuïteit. Geld dat schoolbesturen ontvangen via de basisbekostiging is niet geoormerkt. Het </w:t>
            </w:r>
            <w:r w:rsidRPr="002A1F9A">
              <w:rPr>
                <w:rStyle w:val="cf01"/>
                <w:rFonts w:ascii="Verdana" w:hAnsi="Verdana"/>
              </w:rPr>
              <w:t xml:space="preserve">wetsvoorstel Strategisch personeelsbeleid en arbeidsmarktmaatregelen wordt vijf jaar na de inwerkingtreding geëvalueerd. </w:t>
            </w:r>
            <w:bookmarkEnd w:id="33"/>
          </w:p>
          <w:p w:rsidRPr="002A1F9A" w:rsidR="00307026" w:rsidRDefault="00307026" w14:paraId="12A72749" w14:textId="08A5E258">
            <w:pPr>
              <w:rPr>
                <w:rFonts w:ascii="Verdana" w:hAnsi="Verdana"/>
                <w:sz w:val="18"/>
                <w:szCs w:val="18"/>
              </w:rPr>
            </w:pPr>
          </w:p>
        </w:tc>
        <w:tc>
          <w:tcPr>
            <w:tcW w:w="850" w:type="dxa"/>
          </w:tcPr>
          <w:p w:rsidRPr="002A1F9A" w:rsidR="001256CA" w:rsidRDefault="001856D0" w14:paraId="319AD85D"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1C6B4526" w14:textId="77777777">
            <w:pPr>
              <w:jc w:val="right"/>
              <w:rPr>
                <w:rFonts w:ascii="Verdana" w:hAnsi="Verdana"/>
                <w:sz w:val="18"/>
                <w:szCs w:val="18"/>
              </w:rPr>
            </w:pPr>
            <w:r w:rsidRPr="002A1F9A">
              <w:rPr>
                <w:rFonts w:ascii="Verdana" w:hAnsi="Verdana"/>
                <w:sz w:val="18"/>
                <w:szCs w:val="18"/>
              </w:rPr>
              <w:t>54</w:t>
            </w:r>
          </w:p>
        </w:tc>
        <w:tc>
          <w:tcPr>
            <w:tcW w:w="567" w:type="dxa"/>
            <w:tcBorders>
              <w:left w:val="nil"/>
            </w:tcBorders>
          </w:tcPr>
          <w:p w:rsidRPr="002A1F9A" w:rsidR="001256CA" w:rsidRDefault="001856D0" w14:paraId="5A4882B8"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68C3A8B" w14:textId="77777777">
        <w:tc>
          <w:tcPr>
            <w:tcW w:w="567" w:type="dxa"/>
          </w:tcPr>
          <w:p w:rsidRPr="002A1F9A" w:rsidR="001256CA" w:rsidRDefault="001856D0" w14:paraId="616D3D41" w14:textId="77777777">
            <w:pPr>
              <w:rPr>
                <w:rFonts w:ascii="Verdana" w:hAnsi="Verdana"/>
                <w:sz w:val="18"/>
                <w:szCs w:val="18"/>
              </w:rPr>
            </w:pPr>
            <w:r w:rsidRPr="002A1F9A">
              <w:rPr>
                <w:rFonts w:ascii="Verdana" w:hAnsi="Verdana"/>
                <w:sz w:val="18"/>
                <w:szCs w:val="18"/>
              </w:rPr>
              <w:t>141</w:t>
            </w:r>
          </w:p>
        </w:tc>
        <w:tc>
          <w:tcPr>
            <w:tcW w:w="6521" w:type="dxa"/>
          </w:tcPr>
          <w:p w:rsidRPr="002A1F9A" w:rsidR="001256CA" w:rsidRDefault="001856D0" w14:paraId="2AEBED91" w14:textId="77777777">
            <w:pPr>
              <w:rPr>
                <w:rFonts w:ascii="Verdana" w:hAnsi="Verdana"/>
                <w:sz w:val="18"/>
                <w:szCs w:val="18"/>
              </w:rPr>
            </w:pPr>
            <w:r w:rsidRPr="002A1F9A">
              <w:rPr>
                <w:rFonts w:ascii="Verdana" w:hAnsi="Verdana"/>
                <w:sz w:val="18"/>
                <w:szCs w:val="18"/>
              </w:rPr>
              <w:t>Leidt de overheveling van (een gedeelte) van het budget van basisvaardigheden naar directe bekostiging tot een lager totaalbedrag voor basisvaardigheden?</w:t>
            </w:r>
          </w:p>
          <w:p w:rsidRPr="002A1F9A" w:rsidR="00307026" w:rsidRDefault="00307026" w14:paraId="4C9975BA" w14:textId="77777777">
            <w:pPr>
              <w:rPr>
                <w:rFonts w:ascii="Verdana" w:hAnsi="Verdana"/>
                <w:sz w:val="18"/>
                <w:szCs w:val="18"/>
              </w:rPr>
            </w:pPr>
          </w:p>
          <w:p w:rsidRPr="002A1F9A" w:rsidR="00307026" w:rsidP="00307026" w:rsidRDefault="006169C2" w14:paraId="36465024" w14:textId="1D9A5485">
            <w:pPr>
              <w:rPr>
                <w:rFonts w:ascii="Verdana" w:hAnsi="Verdana"/>
                <w:sz w:val="18"/>
                <w:szCs w:val="18"/>
              </w:rPr>
            </w:pPr>
            <w:r w:rsidRPr="002A1F9A">
              <w:rPr>
                <w:rFonts w:ascii="Verdana" w:hAnsi="Verdana"/>
                <w:sz w:val="18"/>
                <w:szCs w:val="18"/>
              </w:rPr>
              <w:t>Nee, z</w:t>
            </w:r>
            <w:r w:rsidRPr="002A1F9A" w:rsidR="00307026">
              <w:rPr>
                <w:rFonts w:ascii="Verdana" w:hAnsi="Verdana"/>
                <w:sz w:val="18"/>
                <w:szCs w:val="18"/>
              </w:rPr>
              <w:t xml:space="preserve">ie </w:t>
            </w:r>
            <w:r w:rsidRPr="002A1F9A" w:rsidR="00F84712">
              <w:rPr>
                <w:rFonts w:ascii="Verdana" w:hAnsi="Verdana"/>
                <w:sz w:val="18"/>
                <w:szCs w:val="18"/>
              </w:rPr>
              <w:t xml:space="preserve">het </w:t>
            </w:r>
            <w:r w:rsidRPr="002A1F9A" w:rsidR="00307026">
              <w:rPr>
                <w:rFonts w:ascii="Verdana" w:hAnsi="Verdana"/>
                <w:sz w:val="18"/>
                <w:szCs w:val="18"/>
              </w:rPr>
              <w:t>antwoord op vraag 128.</w:t>
            </w:r>
          </w:p>
          <w:p w:rsidRPr="002A1F9A" w:rsidR="00307026" w:rsidRDefault="00307026" w14:paraId="36D3CCAB" w14:textId="77777777">
            <w:pPr>
              <w:rPr>
                <w:rFonts w:ascii="Verdana" w:hAnsi="Verdana"/>
                <w:sz w:val="18"/>
                <w:szCs w:val="18"/>
              </w:rPr>
            </w:pPr>
          </w:p>
        </w:tc>
        <w:tc>
          <w:tcPr>
            <w:tcW w:w="850" w:type="dxa"/>
          </w:tcPr>
          <w:p w:rsidRPr="002A1F9A" w:rsidR="001256CA" w:rsidRDefault="001856D0" w14:paraId="765F7EB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88DB821" w14:textId="77777777">
            <w:pPr>
              <w:jc w:val="right"/>
              <w:rPr>
                <w:rFonts w:ascii="Verdana" w:hAnsi="Verdana"/>
                <w:sz w:val="18"/>
                <w:szCs w:val="18"/>
              </w:rPr>
            </w:pPr>
            <w:r w:rsidRPr="002A1F9A">
              <w:rPr>
                <w:rFonts w:ascii="Verdana" w:hAnsi="Verdana"/>
                <w:sz w:val="18"/>
                <w:szCs w:val="18"/>
              </w:rPr>
              <w:t>54</w:t>
            </w:r>
          </w:p>
        </w:tc>
        <w:tc>
          <w:tcPr>
            <w:tcW w:w="567" w:type="dxa"/>
            <w:tcBorders>
              <w:left w:val="nil"/>
            </w:tcBorders>
          </w:tcPr>
          <w:p w:rsidRPr="002A1F9A" w:rsidR="001256CA" w:rsidRDefault="001856D0" w14:paraId="7FDDAEEA"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A76AFE1" w14:textId="77777777">
        <w:tc>
          <w:tcPr>
            <w:tcW w:w="567" w:type="dxa"/>
          </w:tcPr>
          <w:p w:rsidRPr="002A1F9A" w:rsidR="001256CA" w:rsidRDefault="001856D0" w14:paraId="7CAEEA4B" w14:textId="77777777">
            <w:pPr>
              <w:rPr>
                <w:rFonts w:ascii="Verdana" w:hAnsi="Verdana"/>
                <w:sz w:val="18"/>
                <w:szCs w:val="18"/>
              </w:rPr>
            </w:pPr>
            <w:r w:rsidRPr="002A1F9A">
              <w:rPr>
                <w:rFonts w:ascii="Verdana" w:hAnsi="Verdana"/>
                <w:sz w:val="18"/>
                <w:szCs w:val="18"/>
              </w:rPr>
              <w:t>142</w:t>
            </w:r>
          </w:p>
        </w:tc>
        <w:tc>
          <w:tcPr>
            <w:tcW w:w="6521" w:type="dxa"/>
          </w:tcPr>
          <w:p w:rsidRPr="002A1F9A" w:rsidR="001256CA" w:rsidRDefault="001856D0" w14:paraId="15E0A94F" w14:textId="77777777">
            <w:pPr>
              <w:rPr>
                <w:rFonts w:ascii="Verdana" w:hAnsi="Verdana"/>
                <w:sz w:val="18"/>
                <w:szCs w:val="18"/>
              </w:rPr>
            </w:pPr>
            <w:r w:rsidRPr="002A1F9A">
              <w:rPr>
                <w:rFonts w:ascii="Verdana" w:hAnsi="Verdana"/>
                <w:sz w:val="18"/>
                <w:szCs w:val="18"/>
              </w:rPr>
              <w:t>Kunt u voor de komende jaren een overzicht geven van de totale middelen voor de basisvaardigheden inclusief en exclusief de bezuiniging op de loon- en prijsbijstelling van de basisvaardigheden?</w:t>
            </w:r>
          </w:p>
          <w:p w:rsidRPr="002A1F9A" w:rsidR="00307026" w:rsidRDefault="00307026" w14:paraId="397DD931" w14:textId="77777777">
            <w:pPr>
              <w:rPr>
                <w:rFonts w:ascii="Verdana" w:hAnsi="Verdana"/>
                <w:sz w:val="18"/>
                <w:szCs w:val="18"/>
              </w:rPr>
            </w:pPr>
          </w:p>
          <w:p w:rsidRPr="002A1F9A" w:rsidR="00307026" w:rsidP="00307026" w:rsidRDefault="00307026" w14:paraId="2C01FFE6" w14:textId="113A2941">
            <w:pPr>
              <w:rPr>
                <w:rFonts w:ascii="Verdana" w:hAnsi="Verdana"/>
                <w:sz w:val="18"/>
                <w:szCs w:val="18"/>
              </w:rPr>
            </w:pPr>
            <w:r w:rsidRPr="002A1F9A">
              <w:rPr>
                <w:rFonts w:ascii="Verdana" w:hAnsi="Verdana"/>
                <w:sz w:val="18"/>
                <w:szCs w:val="18"/>
              </w:rPr>
              <w:t xml:space="preserve">Zie </w:t>
            </w:r>
            <w:r w:rsidRPr="002A1F9A" w:rsidR="00F84712">
              <w:rPr>
                <w:rFonts w:ascii="Verdana" w:hAnsi="Verdana"/>
                <w:sz w:val="18"/>
                <w:szCs w:val="18"/>
              </w:rPr>
              <w:t xml:space="preserve">het </w:t>
            </w:r>
            <w:r w:rsidRPr="002A1F9A">
              <w:rPr>
                <w:rFonts w:ascii="Verdana" w:hAnsi="Verdana"/>
                <w:sz w:val="18"/>
                <w:szCs w:val="18"/>
              </w:rPr>
              <w:t>antwoord op vraag 129.</w:t>
            </w:r>
          </w:p>
          <w:p w:rsidRPr="002A1F9A" w:rsidR="00307026" w:rsidRDefault="00307026" w14:paraId="5D5F2C91" w14:textId="246A9232">
            <w:pPr>
              <w:rPr>
                <w:rFonts w:ascii="Verdana" w:hAnsi="Verdana"/>
                <w:sz w:val="18"/>
                <w:szCs w:val="18"/>
              </w:rPr>
            </w:pPr>
          </w:p>
        </w:tc>
        <w:tc>
          <w:tcPr>
            <w:tcW w:w="850" w:type="dxa"/>
          </w:tcPr>
          <w:p w:rsidRPr="002A1F9A" w:rsidR="001256CA" w:rsidRDefault="001856D0" w14:paraId="273D911E"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FF4E896" w14:textId="77777777">
            <w:pPr>
              <w:jc w:val="right"/>
              <w:rPr>
                <w:rFonts w:ascii="Verdana" w:hAnsi="Verdana"/>
                <w:sz w:val="18"/>
                <w:szCs w:val="18"/>
              </w:rPr>
            </w:pPr>
            <w:r w:rsidRPr="002A1F9A">
              <w:rPr>
                <w:rFonts w:ascii="Verdana" w:hAnsi="Verdana"/>
                <w:sz w:val="18"/>
                <w:szCs w:val="18"/>
              </w:rPr>
              <w:t>54</w:t>
            </w:r>
          </w:p>
        </w:tc>
        <w:tc>
          <w:tcPr>
            <w:tcW w:w="567" w:type="dxa"/>
            <w:tcBorders>
              <w:left w:val="nil"/>
            </w:tcBorders>
          </w:tcPr>
          <w:p w:rsidRPr="002A1F9A" w:rsidR="001256CA" w:rsidRDefault="001856D0" w14:paraId="718BC7A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401ABFE" w14:textId="77777777">
        <w:tc>
          <w:tcPr>
            <w:tcW w:w="567" w:type="dxa"/>
          </w:tcPr>
          <w:p w:rsidRPr="002A1F9A" w:rsidR="001256CA" w:rsidRDefault="001856D0" w14:paraId="5646015C" w14:textId="77777777">
            <w:pPr>
              <w:rPr>
                <w:rFonts w:ascii="Verdana" w:hAnsi="Verdana"/>
                <w:sz w:val="18"/>
                <w:szCs w:val="18"/>
              </w:rPr>
            </w:pPr>
            <w:r w:rsidRPr="002A1F9A">
              <w:rPr>
                <w:rFonts w:ascii="Verdana" w:hAnsi="Verdana"/>
                <w:sz w:val="18"/>
                <w:szCs w:val="18"/>
              </w:rPr>
              <w:t>143</w:t>
            </w:r>
          </w:p>
        </w:tc>
        <w:tc>
          <w:tcPr>
            <w:tcW w:w="6521" w:type="dxa"/>
          </w:tcPr>
          <w:p w:rsidRPr="002A1F9A" w:rsidR="001256CA" w:rsidRDefault="001856D0" w14:paraId="6FCBBD71" w14:textId="77777777">
            <w:pPr>
              <w:rPr>
                <w:rFonts w:ascii="Verdana" w:hAnsi="Verdana"/>
                <w:sz w:val="18"/>
                <w:szCs w:val="18"/>
              </w:rPr>
            </w:pPr>
            <w:r w:rsidRPr="002A1F9A">
              <w:rPr>
                <w:rFonts w:ascii="Verdana" w:hAnsi="Verdana"/>
                <w:sz w:val="18"/>
                <w:szCs w:val="18"/>
              </w:rPr>
              <w:t>Hoeveel thuiszitters zijn er momenteel</w:t>
            </w:r>
            <w:r w:rsidRPr="002A1F9A" w:rsidR="00122AEB">
              <w:rPr>
                <w:rFonts w:ascii="Verdana" w:hAnsi="Verdana"/>
                <w:sz w:val="18"/>
                <w:szCs w:val="18"/>
              </w:rPr>
              <w:t>, h</w:t>
            </w:r>
            <w:r w:rsidRPr="002A1F9A">
              <w:rPr>
                <w:rFonts w:ascii="Verdana" w:hAnsi="Verdana"/>
                <w:sz w:val="18"/>
                <w:szCs w:val="18"/>
              </w:rPr>
              <w:t>oeveel thuiszitters waren er de afgelopen vijf jaar en wat zijn de prognoses voor de komende vijf jaar?</w:t>
            </w:r>
          </w:p>
          <w:p w:rsidRPr="002A1F9A" w:rsidR="00307026" w:rsidRDefault="00307026" w14:paraId="1A0AD1B5" w14:textId="77777777">
            <w:pPr>
              <w:rPr>
                <w:rFonts w:ascii="Verdana" w:hAnsi="Verdana"/>
                <w:sz w:val="18"/>
                <w:szCs w:val="18"/>
              </w:rPr>
            </w:pPr>
          </w:p>
          <w:p w:rsidRPr="002A1F9A" w:rsidR="00307026" w:rsidP="00307026" w:rsidRDefault="00307026" w14:paraId="2C1BDD9A" w14:textId="77777777">
            <w:pPr>
              <w:rPr>
                <w:rFonts w:ascii="Verdana" w:hAnsi="Verdana"/>
                <w:sz w:val="18"/>
                <w:szCs w:val="18"/>
              </w:rPr>
            </w:pPr>
            <w:r w:rsidRPr="002A1F9A">
              <w:rPr>
                <w:rFonts w:ascii="Verdana" w:hAnsi="Verdana"/>
                <w:sz w:val="18"/>
                <w:szCs w:val="18"/>
              </w:rPr>
              <w:t xml:space="preserve">Aan het einde van het schooljaar 2023-2024 waren dit nog 1.992 kinderen. In de </w:t>
            </w:r>
            <w:hyperlink w:history="1" r:id="rId87">
              <w:r w:rsidRPr="002A1F9A">
                <w:rPr>
                  <w:rStyle w:val="Hyperlink"/>
                  <w:rFonts w:ascii="Verdana" w:hAnsi="Verdana"/>
                  <w:i/>
                  <w:iCs/>
                  <w:sz w:val="18"/>
                  <w:szCs w:val="18"/>
                </w:rPr>
                <w:t>Leerplichttelling</w:t>
              </w:r>
            </w:hyperlink>
            <w:r w:rsidRPr="002A1F9A">
              <w:rPr>
                <w:rFonts w:ascii="Verdana" w:hAnsi="Verdana"/>
                <w:sz w:val="18"/>
                <w:szCs w:val="18"/>
              </w:rPr>
              <w:t xml:space="preserve"> vindt u de verzuimcijfers van de afgelopen 8 jaar en de ontwikkeling hiervan. Er bestaat geen prognose voor de aankomende vijf jaar. De laatste cijfers tonen een trend van een hoog en zorgelijk schoolverzuim, maar één waarbij de stijging van het langdurig verzuim afzwakt. We zien bovendien dat meer uitgevallen kinderen gedurende het schooljaar worden teruggeleid naar school. </w:t>
            </w:r>
          </w:p>
          <w:p w:rsidRPr="002A1F9A" w:rsidR="00307026" w:rsidRDefault="00307026" w14:paraId="56AF1038" w14:textId="1D51F259">
            <w:pPr>
              <w:rPr>
                <w:rFonts w:ascii="Verdana" w:hAnsi="Verdana"/>
                <w:sz w:val="18"/>
                <w:szCs w:val="18"/>
              </w:rPr>
            </w:pPr>
          </w:p>
        </w:tc>
        <w:tc>
          <w:tcPr>
            <w:tcW w:w="850" w:type="dxa"/>
          </w:tcPr>
          <w:p w:rsidRPr="002A1F9A" w:rsidR="001256CA" w:rsidRDefault="001856D0" w14:paraId="150E2078"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A005330" w14:textId="77777777">
            <w:pPr>
              <w:jc w:val="right"/>
              <w:rPr>
                <w:rFonts w:ascii="Verdana" w:hAnsi="Verdana"/>
                <w:sz w:val="18"/>
                <w:szCs w:val="18"/>
              </w:rPr>
            </w:pPr>
            <w:r w:rsidRPr="002A1F9A">
              <w:rPr>
                <w:rFonts w:ascii="Verdana" w:hAnsi="Verdana"/>
                <w:sz w:val="18"/>
                <w:szCs w:val="18"/>
              </w:rPr>
              <w:t>54</w:t>
            </w:r>
          </w:p>
        </w:tc>
        <w:tc>
          <w:tcPr>
            <w:tcW w:w="567" w:type="dxa"/>
            <w:tcBorders>
              <w:left w:val="nil"/>
            </w:tcBorders>
          </w:tcPr>
          <w:p w:rsidRPr="002A1F9A" w:rsidR="001256CA" w:rsidRDefault="001856D0" w14:paraId="5984501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322B0DA0" w14:textId="77777777">
        <w:tc>
          <w:tcPr>
            <w:tcW w:w="567" w:type="dxa"/>
          </w:tcPr>
          <w:p w:rsidRPr="002A1F9A" w:rsidR="001256CA" w:rsidRDefault="001856D0" w14:paraId="0F30121B" w14:textId="77777777">
            <w:pPr>
              <w:rPr>
                <w:rFonts w:ascii="Verdana" w:hAnsi="Verdana"/>
                <w:sz w:val="18"/>
                <w:szCs w:val="18"/>
              </w:rPr>
            </w:pPr>
            <w:r w:rsidRPr="002A1F9A">
              <w:rPr>
                <w:rFonts w:ascii="Verdana" w:hAnsi="Verdana"/>
                <w:sz w:val="18"/>
                <w:szCs w:val="18"/>
              </w:rPr>
              <w:t>144</w:t>
            </w:r>
          </w:p>
        </w:tc>
        <w:tc>
          <w:tcPr>
            <w:tcW w:w="6521" w:type="dxa"/>
          </w:tcPr>
          <w:p w:rsidRPr="002A1F9A" w:rsidR="001256CA" w:rsidRDefault="001856D0" w14:paraId="208DD444" w14:textId="77777777">
            <w:pPr>
              <w:rPr>
                <w:rFonts w:ascii="Verdana" w:hAnsi="Verdana"/>
                <w:sz w:val="18"/>
                <w:szCs w:val="18"/>
              </w:rPr>
            </w:pPr>
            <w:r w:rsidRPr="002A1F9A">
              <w:rPr>
                <w:rFonts w:ascii="Verdana" w:hAnsi="Verdana"/>
                <w:sz w:val="18"/>
                <w:szCs w:val="18"/>
              </w:rPr>
              <w:t>Wat is het equivalent in euro</w:t>
            </w:r>
            <w:r w:rsidRPr="002A1F9A" w:rsidR="00122AEB">
              <w:rPr>
                <w:rFonts w:ascii="Verdana" w:hAnsi="Verdana"/>
                <w:sz w:val="18"/>
                <w:szCs w:val="18"/>
              </w:rPr>
              <w:t>’s</w:t>
            </w:r>
            <w:r w:rsidRPr="002A1F9A">
              <w:rPr>
                <w:rFonts w:ascii="Verdana" w:hAnsi="Verdana"/>
                <w:sz w:val="18"/>
                <w:szCs w:val="18"/>
              </w:rPr>
              <w:t xml:space="preserve"> van 2026 van de € 730 miljoen per jaar (prijspeil 2019) die het tekort aan financiën voor de onderwijshuisvesting volgens de IBO Onderwijshuisvesting</w:t>
            </w:r>
            <w:r w:rsidRPr="002A1F9A" w:rsidR="00E12441">
              <w:rPr>
                <w:rFonts w:ascii="Verdana" w:hAnsi="Verdana"/>
                <w:sz w:val="18"/>
                <w:szCs w:val="18"/>
              </w:rPr>
              <w:t xml:space="preserve"> funderend onderwijs</w:t>
            </w:r>
            <w:r w:rsidRPr="002A1F9A" w:rsidR="00EC2A90">
              <w:rPr>
                <w:rStyle w:val="Voetnootmarkering"/>
                <w:rFonts w:ascii="Verdana" w:hAnsi="Verdana"/>
                <w:sz w:val="18"/>
                <w:szCs w:val="18"/>
              </w:rPr>
              <w:footnoteReference w:id="11"/>
            </w:r>
            <w:r w:rsidRPr="002A1F9A">
              <w:rPr>
                <w:rFonts w:ascii="Verdana" w:hAnsi="Verdana"/>
                <w:sz w:val="18"/>
                <w:szCs w:val="18"/>
              </w:rPr>
              <w:t xml:space="preserve"> uit 2021 bedroeg?</w:t>
            </w:r>
          </w:p>
          <w:p w:rsidRPr="002A1F9A" w:rsidR="00307026" w:rsidRDefault="00307026" w14:paraId="4AF0894D" w14:textId="77777777">
            <w:pPr>
              <w:rPr>
                <w:rFonts w:ascii="Verdana" w:hAnsi="Verdana"/>
                <w:sz w:val="18"/>
                <w:szCs w:val="18"/>
              </w:rPr>
            </w:pPr>
          </w:p>
          <w:p w:rsidRPr="002A1F9A" w:rsidR="00307026" w:rsidP="00307026" w:rsidRDefault="00307026" w14:paraId="08D03B3F" w14:textId="0F872EEF">
            <w:pPr>
              <w:rPr>
                <w:rFonts w:ascii="Verdana" w:hAnsi="Verdana"/>
                <w:sz w:val="18"/>
                <w:szCs w:val="18"/>
              </w:rPr>
            </w:pPr>
            <w:r w:rsidRPr="002A1F9A">
              <w:rPr>
                <w:rFonts w:ascii="Verdana" w:hAnsi="Verdana"/>
                <w:sz w:val="18"/>
                <w:szCs w:val="18"/>
              </w:rPr>
              <w:t>In het IBO onderwijshuisvesting uit 2021 wordt geconcludeerd dat er tot en met 2050 een jaarlijks tekort is van € 730 miljoen (prijspeil 2019) om de achterstanden in onderwijshuisvesting aan te pakken en de schoolgebouwen aan de klimaatdoelstellingen te laten voldoen. Als wordt gekeken naar de gemiddelde inflatie over de jaren 2019-2025 komt dit bedrag</w:t>
            </w:r>
            <w:r w:rsidRPr="002A1F9A" w:rsidR="00F84712">
              <w:rPr>
                <w:rFonts w:ascii="Verdana" w:hAnsi="Verdana"/>
                <w:sz w:val="18"/>
                <w:szCs w:val="18"/>
              </w:rPr>
              <w:t xml:space="preserve"> nu</w:t>
            </w:r>
            <w:r w:rsidRPr="002A1F9A">
              <w:rPr>
                <w:rFonts w:ascii="Verdana" w:hAnsi="Verdana"/>
                <w:sz w:val="18"/>
                <w:szCs w:val="18"/>
              </w:rPr>
              <w:t xml:space="preserve"> uit op € 930 miljoen</w:t>
            </w:r>
            <w:r w:rsidRPr="002A1F9A" w:rsidR="00F84712">
              <w:rPr>
                <w:rFonts w:ascii="Verdana" w:hAnsi="Verdana"/>
                <w:sz w:val="18"/>
                <w:szCs w:val="18"/>
              </w:rPr>
              <w:t xml:space="preserve"> per jaar tot en met 2050</w:t>
            </w:r>
            <w:r w:rsidRPr="002A1F9A">
              <w:rPr>
                <w:rFonts w:ascii="Verdana" w:hAnsi="Verdana"/>
                <w:sz w:val="18"/>
                <w:szCs w:val="18"/>
              </w:rPr>
              <w:t>. De prijsontwikkeling in 2026 is nog onbekend en zo ook het equivalent van dit bedrag in 2026.</w:t>
            </w:r>
          </w:p>
          <w:p w:rsidRPr="002A1F9A" w:rsidR="00307026" w:rsidRDefault="00307026" w14:paraId="42335FB0" w14:textId="74B65EFF">
            <w:pPr>
              <w:rPr>
                <w:rFonts w:ascii="Verdana" w:hAnsi="Verdana"/>
                <w:sz w:val="18"/>
                <w:szCs w:val="18"/>
              </w:rPr>
            </w:pPr>
          </w:p>
        </w:tc>
        <w:tc>
          <w:tcPr>
            <w:tcW w:w="850" w:type="dxa"/>
          </w:tcPr>
          <w:p w:rsidRPr="002A1F9A" w:rsidR="001256CA" w:rsidRDefault="001856D0" w14:paraId="47EAC08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3E8A980" w14:textId="77777777">
            <w:pPr>
              <w:jc w:val="right"/>
              <w:rPr>
                <w:rFonts w:ascii="Verdana" w:hAnsi="Verdana"/>
                <w:sz w:val="18"/>
                <w:szCs w:val="18"/>
              </w:rPr>
            </w:pPr>
            <w:r w:rsidRPr="002A1F9A">
              <w:rPr>
                <w:rFonts w:ascii="Verdana" w:hAnsi="Verdana"/>
                <w:sz w:val="18"/>
                <w:szCs w:val="18"/>
              </w:rPr>
              <w:t>55</w:t>
            </w:r>
          </w:p>
        </w:tc>
        <w:tc>
          <w:tcPr>
            <w:tcW w:w="567" w:type="dxa"/>
            <w:tcBorders>
              <w:left w:val="nil"/>
            </w:tcBorders>
          </w:tcPr>
          <w:p w:rsidRPr="002A1F9A" w:rsidR="001256CA" w:rsidRDefault="001856D0" w14:paraId="5FBB5EA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D8D999E" w14:textId="77777777">
        <w:tc>
          <w:tcPr>
            <w:tcW w:w="567" w:type="dxa"/>
          </w:tcPr>
          <w:p w:rsidRPr="002A1F9A" w:rsidR="001256CA" w:rsidRDefault="001856D0" w14:paraId="38B68E9D" w14:textId="77777777">
            <w:pPr>
              <w:rPr>
                <w:rFonts w:ascii="Verdana" w:hAnsi="Verdana"/>
                <w:sz w:val="18"/>
                <w:szCs w:val="18"/>
              </w:rPr>
            </w:pPr>
            <w:bookmarkStart w:name="_Hlk212625437" w:id="34"/>
            <w:r w:rsidRPr="002A1F9A">
              <w:rPr>
                <w:rFonts w:ascii="Verdana" w:hAnsi="Verdana"/>
                <w:sz w:val="18"/>
                <w:szCs w:val="18"/>
              </w:rPr>
              <w:t>145</w:t>
            </w:r>
          </w:p>
        </w:tc>
        <w:tc>
          <w:tcPr>
            <w:tcW w:w="6521" w:type="dxa"/>
          </w:tcPr>
          <w:p w:rsidRPr="002A1F9A" w:rsidR="001256CA" w:rsidRDefault="001856D0" w14:paraId="78EDC161" w14:textId="77777777">
            <w:pPr>
              <w:rPr>
                <w:rFonts w:ascii="Verdana" w:hAnsi="Verdana"/>
                <w:sz w:val="18"/>
                <w:szCs w:val="18"/>
              </w:rPr>
            </w:pPr>
            <w:r w:rsidRPr="002A1F9A">
              <w:rPr>
                <w:rFonts w:ascii="Verdana" w:hAnsi="Verdana"/>
                <w:sz w:val="18"/>
                <w:szCs w:val="18"/>
              </w:rPr>
              <w:t>Hoe wordt het bedrag voor de onderwijskansenregeling in 2026 regionaal verdeeld, en hoe wordt de effectiviteit gemeten?</w:t>
            </w:r>
          </w:p>
          <w:p w:rsidRPr="002A1F9A" w:rsidR="00307026" w:rsidRDefault="00307026" w14:paraId="04E5C00F" w14:textId="77777777">
            <w:pPr>
              <w:rPr>
                <w:rFonts w:ascii="Verdana" w:hAnsi="Verdana"/>
                <w:sz w:val="18"/>
                <w:szCs w:val="18"/>
              </w:rPr>
            </w:pPr>
          </w:p>
          <w:p w:rsidRPr="002A1F9A" w:rsidR="00E63BD8" w:rsidP="00307026" w:rsidRDefault="00E63BD8" w14:paraId="75B014CD" w14:textId="77777777">
            <w:pPr>
              <w:rPr>
                <w:rFonts w:ascii="Verdana" w:hAnsi="Verdana"/>
                <w:sz w:val="18"/>
                <w:szCs w:val="18"/>
              </w:rPr>
            </w:pPr>
          </w:p>
          <w:p w:rsidRPr="002A1F9A" w:rsidR="00E63BD8" w:rsidP="00E63BD8" w:rsidRDefault="00E63BD8" w14:paraId="2AB50D07" w14:textId="77777777">
            <w:pPr>
              <w:rPr>
                <w:rFonts w:ascii="Verdana" w:hAnsi="Verdana"/>
                <w:sz w:val="18"/>
                <w:szCs w:val="18"/>
              </w:rPr>
            </w:pPr>
            <w:r w:rsidRPr="002A1F9A">
              <w:rPr>
                <w:rFonts w:ascii="Verdana" w:hAnsi="Verdana"/>
                <w:sz w:val="18"/>
                <w:szCs w:val="18"/>
              </w:rPr>
              <w:t xml:space="preserve">De middelen voor de onderwijskansenregeling worden verdeeld op basis van de onderwijskansenscores van vestigingen. Deze scores geven een inschatting van het risico op onbenut leerpotentieel op een schoolvestiging. De verdeling van de middelen van de </w:t>
            </w:r>
            <w:r w:rsidRPr="002A1F9A">
              <w:rPr>
                <w:rFonts w:ascii="Verdana" w:hAnsi="Verdana"/>
                <w:sz w:val="18"/>
                <w:szCs w:val="18"/>
              </w:rPr>
              <w:lastRenderedPageBreak/>
              <w:t xml:space="preserve">onderwijskansenregeling over vestigingen van scholen voor 2026 is nog niet bekend. Voor 2025 is de verdeling over de provincies in onderstaande tabel weergegeven. Hierin is ook het aandeel in het totaal aantal vo-leerlingen op dezelfde teldatum weergegeven per provincie. </w:t>
            </w:r>
          </w:p>
          <w:p w:rsidRPr="002A1F9A" w:rsidR="00E63BD8" w:rsidP="00E63BD8" w:rsidRDefault="00E63BD8" w14:paraId="7EC19590" w14:textId="77777777">
            <w:pPr>
              <w:rPr>
                <w:rFonts w:ascii="Verdana" w:hAnsi="Verdana"/>
                <w:sz w:val="18"/>
                <w:szCs w:val="18"/>
              </w:rPr>
            </w:pPr>
          </w:p>
          <w:p w:rsidRPr="002A1F9A" w:rsidR="00E63BD8" w:rsidP="00E63BD8" w:rsidRDefault="00E63BD8" w14:paraId="6393B537" w14:textId="7EC9B0D0">
            <w:pPr>
              <w:rPr>
                <w:rFonts w:ascii="Verdana" w:hAnsi="Verdana"/>
                <w:sz w:val="18"/>
                <w:szCs w:val="18"/>
              </w:rPr>
            </w:pPr>
            <w:r w:rsidRPr="002A1F9A">
              <w:rPr>
                <w:rFonts w:ascii="Verdana" w:hAnsi="Verdana"/>
                <w:sz w:val="18"/>
                <w:szCs w:val="18"/>
              </w:rPr>
              <w:t>Zoals toegelicht in de antwoorden op de feitelijke vragen van de Eerste Kamer over de Voorjaarsnota, beoordeelt de strategische evaluatie van het kansengelijkheidsbeleid Kiezen voor kansen de huidige vormgeving van de regeling als ‘aannemelijk doeltreffend’ en ‘in theorie doeltreffend’.</w:t>
            </w:r>
            <w:r w:rsidRPr="002A1F9A" w:rsidR="009A3C2E">
              <w:rPr>
                <w:rFonts w:ascii="Verdana" w:hAnsi="Verdana"/>
                <w:sz w:val="18"/>
                <w:szCs w:val="18"/>
              </w:rPr>
              <w:t xml:space="preserve"> </w:t>
            </w:r>
            <w:r w:rsidRPr="002A1F9A">
              <w:rPr>
                <w:rFonts w:ascii="Verdana" w:hAnsi="Verdana"/>
                <w:sz w:val="18"/>
                <w:szCs w:val="18"/>
              </w:rPr>
              <w:t>In 2026 wordt een meerjarige monitor opgezet om de inzet en de effectiviteit van deze middelen te meten.</w:t>
            </w:r>
          </w:p>
          <w:p w:rsidRPr="002A1F9A" w:rsidR="00E63BD8" w:rsidP="00307026" w:rsidRDefault="00E63BD8" w14:paraId="14567E12" w14:textId="56505F1D">
            <w:pPr>
              <w:rPr>
                <w:rFonts w:ascii="Verdana" w:hAnsi="Verdana"/>
                <w:sz w:val="18"/>
                <w:szCs w:val="18"/>
              </w:rPr>
            </w:pPr>
          </w:p>
          <w:tbl>
            <w:tblPr>
              <w:tblpPr w:leftFromText="141" w:rightFromText="141" w:vertAnchor="text" w:horzAnchor="margin" w:tblpY="263"/>
              <w:tblOverlap w:val="never"/>
              <w:tblW w:w="6218" w:type="dxa"/>
              <w:tblLayout w:type="fixed"/>
              <w:tblCellMar>
                <w:left w:w="0" w:type="dxa"/>
                <w:right w:w="0" w:type="dxa"/>
              </w:tblCellMar>
              <w:tblLook w:val="04A0" w:firstRow="1" w:lastRow="0" w:firstColumn="1" w:lastColumn="0" w:noHBand="0" w:noVBand="1"/>
            </w:tblPr>
            <w:tblGrid>
              <w:gridCol w:w="1124"/>
              <w:gridCol w:w="1560"/>
              <w:gridCol w:w="1275"/>
              <w:gridCol w:w="984"/>
              <w:gridCol w:w="1275"/>
            </w:tblGrid>
            <w:tr w:rsidRPr="002A1F9A" w:rsidR="00307026" w:rsidTr="00307026" w14:paraId="1A5AA2BD" w14:textId="77777777">
              <w:trPr>
                <w:trHeight w:val="204"/>
              </w:trPr>
              <w:tc>
                <w:tcPr>
                  <w:tcW w:w="1124"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E3DE4D0" w14:textId="77777777">
                  <w:pPr>
                    <w:spacing w:after="160" w:line="259" w:lineRule="auto"/>
                    <w:rPr>
                      <w:rFonts w:ascii="Verdana" w:hAnsi="Verdana"/>
                      <w:b/>
                      <w:bCs/>
                      <w:sz w:val="14"/>
                      <w:szCs w:val="14"/>
                    </w:rPr>
                  </w:pPr>
                  <w:r w:rsidRPr="002A1F9A">
                    <w:rPr>
                      <w:rFonts w:ascii="Verdana" w:hAnsi="Verdana"/>
                      <w:b/>
                      <w:bCs/>
                      <w:sz w:val="14"/>
                      <w:szCs w:val="14"/>
                    </w:rPr>
                    <w:t>Provincie</w:t>
                  </w:r>
                </w:p>
              </w:tc>
              <w:tc>
                <w:tcPr>
                  <w:tcW w:w="15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77FE04C" w14:textId="77777777">
                  <w:pPr>
                    <w:spacing w:after="160" w:line="259" w:lineRule="auto"/>
                    <w:rPr>
                      <w:rFonts w:ascii="Verdana" w:hAnsi="Verdana"/>
                      <w:b/>
                      <w:bCs/>
                      <w:sz w:val="14"/>
                      <w:szCs w:val="14"/>
                    </w:rPr>
                  </w:pPr>
                  <w:r w:rsidRPr="002A1F9A">
                    <w:rPr>
                      <w:rFonts w:ascii="Verdana" w:hAnsi="Verdana"/>
                      <w:b/>
                      <w:bCs/>
                      <w:sz w:val="14"/>
                      <w:szCs w:val="14"/>
                    </w:rPr>
                    <w:t>Bedrag regeling onderwijskansen 2025 (€)</w:t>
                  </w:r>
                </w:p>
              </w:tc>
              <w:tc>
                <w:tcPr>
                  <w:tcW w:w="127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FCC8A31" w14:textId="77777777">
                  <w:pPr>
                    <w:spacing w:after="160" w:line="259" w:lineRule="auto"/>
                    <w:rPr>
                      <w:rFonts w:ascii="Verdana" w:hAnsi="Verdana"/>
                      <w:b/>
                      <w:bCs/>
                      <w:sz w:val="14"/>
                      <w:szCs w:val="14"/>
                    </w:rPr>
                  </w:pPr>
                  <w:r w:rsidRPr="002A1F9A">
                    <w:rPr>
                      <w:rFonts w:ascii="Verdana" w:hAnsi="Verdana"/>
                      <w:b/>
                      <w:bCs/>
                      <w:sz w:val="14"/>
                      <w:szCs w:val="14"/>
                    </w:rPr>
                    <w:t>Totaal aantal leerlingen vo*</w:t>
                  </w:r>
                </w:p>
              </w:tc>
              <w:tc>
                <w:tcPr>
                  <w:tcW w:w="98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4DE57AF" w14:textId="77777777">
                  <w:pPr>
                    <w:spacing w:after="160" w:line="259" w:lineRule="auto"/>
                    <w:rPr>
                      <w:rFonts w:ascii="Verdana" w:hAnsi="Verdana"/>
                      <w:b/>
                      <w:bCs/>
                      <w:sz w:val="14"/>
                      <w:szCs w:val="14"/>
                    </w:rPr>
                  </w:pPr>
                  <w:r w:rsidRPr="002A1F9A">
                    <w:rPr>
                      <w:rFonts w:ascii="Verdana" w:hAnsi="Verdana"/>
                      <w:b/>
                      <w:bCs/>
                      <w:sz w:val="14"/>
                      <w:szCs w:val="14"/>
                    </w:rPr>
                    <w:t>Bedrag als % van totaal</w:t>
                  </w:r>
                </w:p>
              </w:tc>
              <w:tc>
                <w:tcPr>
                  <w:tcW w:w="127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0D6C545" w14:textId="77777777">
                  <w:pPr>
                    <w:spacing w:after="160" w:line="259" w:lineRule="auto"/>
                    <w:rPr>
                      <w:rFonts w:ascii="Verdana" w:hAnsi="Verdana"/>
                      <w:b/>
                      <w:bCs/>
                      <w:sz w:val="14"/>
                      <w:szCs w:val="14"/>
                    </w:rPr>
                  </w:pPr>
                  <w:r w:rsidRPr="002A1F9A">
                    <w:rPr>
                      <w:rFonts w:ascii="Verdana" w:hAnsi="Verdana"/>
                      <w:b/>
                      <w:bCs/>
                      <w:sz w:val="14"/>
                      <w:szCs w:val="14"/>
                    </w:rPr>
                    <w:t>Leerlingen als % van totaal</w:t>
                  </w:r>
                </w:p>
              </w:tc>
            </w:tr>
            <w:tr w:rsidRPr="002A1F9A" w:rsidR="00307026" w:rsidTr="00307026" w14:paraId="180C37A7" w14:textId="77777777">
              <w:trPr>
                <w:trHeight w:val="572"/>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221E8C1" w14:textId="77777777">
                  <w:pPr>
                    <w:spacing w:after="160" w:line="259" w:lineRule="auto"/>
                    <w:rPr>
                      <w:rFonts w:ascii="Verdana" w:hAnsi="Verdana"/>
                      <w:b/>
                      <w:bCs/>
                      <w:sz w:val="14"/>
                      <w:szCs w:val="14"/>
                    </w:rPr>
                  </w:pPr>
                  <w:r w:rsidRPr="002A1F9A">
                    <w:rPr>
                      <w:rFonts w:ascii="Verdana" w:hAnsi="Verdana"/>
                      <w:b/>
                      <w:bCs/>
                      <w:sz w:val="14"/>
                      <w:szCs w:val="14"/>
                    </w:rPr>
                    <w:t>Drenthe</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9EB0185" w14:textId="77777777">
                  <w:pPr>
                    <w:spacing w:after="160" w:line="259" w:lineRule="auto"/>
                    <w:jc w:val="center"/>
                    <w:rPr>
                      <w:rFonts w:ascii="Verdana" w:hAnsi="Verdana"/>
                      <w:sz w:val="14"/>
                      <w:szCs w:val="14"/>
                    </w:rPr>
                  </w:pPr>
                  <w:r w:rsidRPr="002A1F9A">
                    <w:rPr>
                      <w:rFonts w:ascii="Verdana" w:hAnsi="Verdana"/>
                      <w:sz w:val="14"/>
                      <w:szCs w:val="14"/>
                    </w:rPr>
                    <w:t>2.745.000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7A5F0C9" w14:textId="77777777">
                  <w:pPr>
                    <w:spacing w:after="160" w:line="259" w:lineRule="auto"/>
                    <w:jc w:val="center"/>
                    <w:rPr>
                      <w:rFonts w:ascii="Verdana" w:hAnsi="Verdana"/>
                      <w:sz w:val="14"/>
                      <w:szCs w:val="14"/>
                    </w:rPr>
                  </w:pPr>
                  <w:r w:rsidRPr="002A1F9A">
                    <w:rPr>
                      <w:rFonts w:ascii="Verdana" w:hAnsi="Verdana"/>
                      <w:sz w:val="14"/>
                      <w:szCs w:val="14"/>
                    </w:rPr>
                    <w:t>23.513,5</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412FB9A" w14:textId="77777777">
                  <w:pPr>
                    <w:spacing w:after="160" w:line="259" w:lineRule="auto"/>
                    <w:rPr>
                      <w:rFonts w:ascii="Verdana" w:hAnsi="Verdana"/>
                      <w:sz w:val="14"/>
                      <w:szCs w:val="14"/>
                    </w:rPr>
                  </w:pPr>
                  <w:r w:rsidRPr="002A1F9A">
                    <w:rPr>
                      <w:rFonts w:ascii="Verdana" w:hAnsi="Verdana"/>
                      <w:sz w:val="14"/>
                      <w:szCs w:val="14"/>
                    </w:rPr>
                    <w:t>1%</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74B1FB4" w14:textId="77777777">
                  <w:pPr>
                    <w:spacing w:after="160" w:line="259" w:lineRule="auto"/>
                    <w:rPr>
                      <w:rFonts w:ascii="Verdana" w:hAnsi="Verdana"/>
                      <w:sz w:val="14"/>
                      <w:szCs w:val="14"/>
                    </w:rPr>
                  </w:pPr>
                  <w:r w:rsidRPr="002A1F9A">
                    <w:rPr>
                      <w:rFonts w:ascii="Verdana" w:hAnsi="Verdana"/>
                      <w:sz w:val="14"/>
                      <w:szCs w:val="14"/>
                    </w:rPr>
                    <w:t>2%</w:t>
                  </w:r>
                </w:p>
              </w:tc>
            </w:tr>
            <w:tr w:rsidRPr="002A1F9A" w:rsidR="00307026" w:rsidTr="00307026" w14:paraId="0C8B95B2"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7BFAD81" w14:textId="77777777">
                  <w:pPr>
                    <w:spacing w:after="160" w:line="259" w:lineRule="auto"/>
                    <w:rPr>
                      <w:rFonts w:ascii="Verdana" w:hAnsi="Verdana"/>
                      <w:b/>
                      <w:bCs/>
                      <w:sz w:val="14"/>
                      <w:szCs w:val="14"/>
                    </w:rPr>
                  </w:pPr>
                  <w:r w:rsidRPr="002A1F9A">
                    <w:rPr>
                      <w:rFonts w:ascii="Verdana" w:hAnsi="Verdana"/>
                      <w:b/>
                      <w:bCs/>
                      <w:sz w:val="14"/>
                      <w:szCs w:val="14"/>
                    </w:rPr>
                    <w:t>Flevoland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F6FEB4D" w14:textId="77777777">
                  <w:pPr>
                    <w:spacing w:after="160" w:line="259" w:lineRule="auto"/>
                    <w:jc w:val="center"/>
                    <w:rPr>
                      <w:rFonts w:ascii="Verdana" w:hAnsi="Verdana"/>
                      <w:sz w:val="14"/>
                      <w:szCs w:val="14"/>
                    </w:rPr>
                  </w:pPr>
                  <w:r w:rsidRPr="002A1F9A">
                    <w:rPr>
                      <w:rFonts w:ascii="Verdana" w:hAnsi="Verdana"/>
                      <w:sz w:val="14"/>
                      <w:szCs w:val="14"/>
                    </w:rPr>
                    <w:t>6.287.000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3A2E715" w14:textId="77777777">
                  <w:pPr>
                    <w:spacing w:after="160" w:line="259" w:lineRule="auto"/>
                    <w:jc w:val="center"/>
                    <w:rPr>
                      <w:rFonts w:ascii="Verdana" w:hAnsi="Verdana"/>
                      <w:sz w:val="14"/>
                      <w:szCs w:val="14"/>
                    </w:rPr>
                  </w:pPr>
                  <w:r w:rsidRPr="002A1F9A">
                    <w:rPr>
                      <w:rFonts w:ascii="Verdana" w:hAnsi="Verdana"/>
                      <w:sz w:val="14"/>
                      <w:szCs w:val="14"/>
                    </w:rPr>
                    <w:t>25.041,0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B87B8B8" w14:textId="77777777">
                  <w:pPr>
                    <w:spacing w:after="160" w:line="259" w:lineRule="auto"/>
                    <w:rPr>
                      <w:rFonts w:ascii="Verdana" w:hAnsi="Verdana"/>
                      <w:sz w:val="14"/>
                      <w:szCs w:val="14"/>
                    </w:rPr>
                  </w:pPr>
                  <w:r w:rsidRPr="002A1F9A">
                    <w:rPr>
                      <w:rFonts w:ascii="Verdana" w:hAnsi="Verdana"/>
                      <w:sz w:val="14"/>
                      <w:szCs w:val="14"/>
                    </w:rPr>
                    <w:t>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0C62523" w14:textId="77777777">
                  <w:pPr>
                    <w:spacing w:after="160" w:line="259" w:lineRule="auto"/>
                    <w:rPr>
                      <w:rFonts w:ascii="Verdana" w:hAnsi="Verdana"/>
                      <w:sz w:val="14"/>
                      <w:szCs w:val="14"/>
                    </w:rPr>
                  </w:pPr>
                  <w:r w:rsidRPr="002A1F9A">
                    <w:rPr>
                      <w:rFonts w:ascii="Verdana" w:hAnsi="Verdana"/>
                      <w:sz w:val="14"/>
                      <w:szCs w:val="14"/>
                    </w:rPr>
                    <w:t>3%</w:t>
                  </w:r>
                </w:p>
              </w:tc>
            </w:tr>
            <w:tr w:rsidRPr="002A1F9A" w:rsidR="00307026" w:rsidTr="00307026" w14:paraId="471E7022"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1FA894E" w14:textId="77777777">
                  <w:pPr>
                    <w:spacing w:after="160" w:line="259" w:lineRule="auto"/>
                    <w:rPr>
                      <w:rFonts w:ascii="Verdana" w:hAnsi="Verdana"/>
                      <w:b/>
                      <w:bCs/>
                      <w:sz w:val="14"/>
                      <w:szCs w:val="14"/>
                    </w:rPr>
                  </w:pPr>
                  <w:r w:rsidRPr="002A1F9A">
                    <w:rPr>
                      <w:rFonts w:ascii="Verdana" w:hAnsi="Verdana"/>
                      <w:b/>
                      <w:bCs/>
                      <w:sz w:val="14"/>
                      <w:szCs w:val="14"/>
                    </w:rPr>
                    <w:t>Friesland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37265A7" w14:textId="77777777">
                  <w:pPr>
                    <w:spacing w:after="160" w:line="259" w:lineRule="auto"/>
                    <w:jc w:val="center"/>
                    <w:rPr>
                      <w:rFonts w:ascii="Verdana" w:hAnsi="Verdana"/>
                      <w:sz w:val="14"/>
                      <w:szCs w:val="14"/>
                    </w:rPr>
                  </w:pPr>
                  <w:r w:rsidRPr="002A1F9A">
                    <w:rPr>
                      <w:rFonts w:ascii="Verdana" w:hAnsi="Verdana"/>
                      <w:sz w:val="14"/>
                      <w:szCs w:val="14"/>
                    </w:rPr>
                    <w:t>3.817.000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6B29C39" w14:textId="77777777">
                  <w:pPr>
                    <w:spacing w:after="160" w:line="259" w:lineRule="auto"/>
                    <w:jc w:val="center"/>
                    <w:rPr>
                      <w:rFonts w:ascii="Verdana" w:hAnsi="Verdana"/>
                      <w:sz w:val="14"/>
                      <w:szCs w:val="14"/>
                    </w:rPr>
                  </w:pPr>
                  <w:r w:rsidRPr="002A1F9A">
                    <w:rPr>
                      <w:rFonts w:ascii="Verdana" w:hAnsi="Verdana"/>
                      <w:sz w:val="14"/>
                      <w:szCs w:val="14"/>
                    </w:rPr>
                    <w:t>36.088,5</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D200767" w14:textId="77777777">
                  <w:pPr>
                    <w:spacing w:after="160" w:line="259" w:lineRule="auto"/>
                    <w:rPr>
                      <w:rFonts w:ascii="Verdana" w:hAnsi="Verdana"/>
                      <w:sz w:val="14"/>
                      <w:szCs w:val="14"/>
                    </w:rPr>
                  </w:pPr>
                  <w:r w:rsidRPr="002A1F9A">
                    <w:rPr>
                      <w:rFonts w:ascii="Verdana" w:hAnsi="Verdana"/>
                      <w:sz w:val="14"/>
                      <w:szCs w:val="14"/>
                    </w:rPr>
                    <w:t>2%</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0C8EC4F" w14:textId="77777777">
                  <w:pPr>
                    <w:spacing w:after="160" w:line="259" w:lineRule="auto"/>
                    <w:rPr>
                      <w:rFonts w:ascii="Verdana" w:hAnsi="Verdana"/>
                      <w:sz w:val="14"/>
                      <w:szCs w:val="14"/>
                    </w:rPr>
                  </w:pPr>
                  <w:r w:rsidRPr="002A1F9A">
                    <w:rPr>
                      <w:rFonts w:ascii="Verdana" w:hAnsi="Verdana"/>
                      <w:sz w:val="14"/>
                      <w:szCs w:val="14"/>
                    </w:rPr>
                    <w:t>4%</w:t>
                  </w:r>
                </w:p>
              </w:tc>
            </w:tr>
            <w:tr w:rsidRPr="002A1F9A" w:rsidR="00307026" w:rsidTr="00307026" w14:paraId="3724833B"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5C0B598" w14:textId="77777777">
                  <w:pPr>
                    <w:spacing w:after="160" w:line="259" w:lineRule="auto"/>
                    <w:rPr>
                      <w:rFonts w:ascii="Verdana" w:hAnsi="Verdana"/>
                      <w:b/>
                      <w:bCs/>
                      <w:sz w:val="14"/>
                      <w:szCs w:val="14"/>
                    </w:rPr>
                  </w:pPr>
                  <w:r w:rsidRPr="002A1F9A">
                    <w:rPr>
                      <w:rFonts w:ascii="Verdana" w:hAnsi="Verdana"/>
                      <w:b/>
                      <w:bCs/>
                      <w:sz w:val="14"/>
                      <w:szCs w:val="14"/>
                    </w:rPr>
                    <w:t>Gelderland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D0381F9" w14:textId="77777777">
                  <w:pPr>
                    <w:spacing w:after="160" w:line="259" w:lineRule="auto"/>
                    <w:jc w:val="center"/>
                    <w:rPr>
                      <w:rFonts w:ascii="Verdana" w:hAnsi="Verdana"/>
                      <w:sz w:val="14"/>
                      <w:szCs w:val="14"/>
                    </w:rPr>
                  </w:pPr>
                  <w:r w:rsidRPr="002A1F9A">
                    <w:rPr>
                      <w:rFonts w:ascii="Verdana" w:hAnsi="Verdana"/>
                      <w:sz w:val="14"/>
                      <w:szCs w:val="14"/>
                    </w:rPr>
                    <w:t>16.237.000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A9E341B" w14:textId="77777777">
                  <w:pPr>
                    <w:spacing w:after="160" w:line="259" w:lineRule="auto"/>
                    <w:jc w:val="center"/>
                    <w:rPr>
                      <w:rFonts w:ascii="Verdana" w:hAnsi="Verdana"/>
                      <w:sz w:val="14"/>
                      <w:szCs w:val="14"/>
                    </w:rPr>
                  </w:pPr>
                  <w:r w:rsidRPr="002A1F9A">
                    <w:rPr>
                      <w:rFonts w:ascii="Verdana" w:hAnsi="Verdana"/>
                      <w:sz w:val="14"/>
                      <w:szCs w:val="14"/>
                    </w:rPr>
                    <w:t>113.833,0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241B304" w14:textId="77777777">
                  <w:pPr>
                    <w:spacing w:after="160" w:line="259" w:lineRule="auto"/>
                    <w:rPr>
                      <w:rFonts w:ascii="Verdana" w:hAnsi="Verdana"/>
                      <w:sz w:val="14"/>
                      <w:szCs w:val="14"/>
                    </w:rPr>
                  </w:pPr>
                  <w:r w:rsidRPr="002A1F9A">
                    <w:rPr>
                      <w:rFonts w:ascii="Verdana" w:hAnsi="Verdana"/>
                      <w:sz w:val="14"/>
                      <w:szCs w:val="14"/>
                    </w:rPr>
                    <w:t>9%</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D7D9E08" w14:textId="77777777">
                  <w:pPr>
                    <w:spacing w:after="160" w:line="259" w:lineRule="auto"/>
                    <w:rPr>
                      <w:rFonts w:ascii="Verdana" w:hAnsi="Verdana"/>
                      <w:sz w:val="14"/>
                      <w:szCs w:val="14"/>
                    </w:rPr>
                  </w:pPr>
                  <w:r w:rsidRPr="002A1F9A">
                    <w:rPr>
                      <w:rFonts w:ascii="Verdana" w:hAnsi="Verdana"/>
                      <w:sz w:val="14"/>
                      <w:szCs w:val="14"/>
                    </w:rPr>
                    <w:t>12%</w:t>
                  </w:r>
                </w:p>
              </w:tc>
            </w:tr>
            <w:tr w:rsidRPr="002A1F9A" w:rsidR="00307026" w:rsidTr="00307026" w14:paraId="42AD8EE1"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ECB3E9C" w14:textId="77777777">
                  <w:pPr>
                    <w:spacing w:after="160" w:line="259" w:lineRule="auto"/>
                    <w:rPr>
                      <w:rFonts w:ascii="Verdana" w:hAnsi="Verdana"/>
                      <w:b/>
                      <w:bCs/>
                      <w:sz w:val="14"/>
                      <w:szCs w:val="14"/>
                    </w:rPr>
                  </w:pPr>
                  <w:r w:rsidRPr="002A1F9A">
                    <w:rPr>
                      <w:rFonts w:ascii="Verdana" w:hAnsi="Verdana"/>
                      <w:b/>
                      <w:bCs/>
                      <w:sz w:val="14"/>
                      <w:szCs w:val="14"/>
                    </w:rPr>
                    <w:t>Groningen</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62DA7C9" w14:textId="77777777">
                  <w:pPr>
                    <w:spacing w:after="160" w:line="259" w:lineRule="auto"/>
                    <w:jc w:val="center"/>
                    <w:rPr>
                      <w:rFonts w:ascii="Verdana" w:hAnsi="Verdana"/>
                      <w:sz w:val="14"/>
                      <w:szCs w:val="14"/>
                    </w:rPr>
                  </w:pPr>
                  <w:r w:rsidRPr="002A1F9A">
                    <w:rPr>
                      <w:rFonts w:ascii="Verdana" w:hAnsi="Verdana"/>
                      <w:sz w:val="14"/>
                      <w:szCs w:val="14"/>
                    </w:rPr>
                    <w:t>4.648.000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08A9DF1" w14:textId="77777777">
                  <w:pPr>
                    <w:spacing w:after="160" w:line="259" w:lineRule="auto"/>
                    <w:jc w:val="center"/>
                    <w:rPr>
                      <w:rFonts w:ascii="Verdana" w:hAnsi="Verdana"/>
                      <w:sz w:val="14"/>
                      <w:szCs w:val="14"/>
                    </w:rPr>
                  </w:pPr>
                  <w:r w:rsidRPr="002A1F9A">
                    <w:rPr>
                      <w:rFonts w:ascii="Verdana" w:hAnsi="Verdana"/>
                      <w:sz w:val="14"/>
                      <w:szCs w:val="14"/>
                    </w:rPr>
                    <w:t>31.588,0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0D9EAD0" w14:textId="77777777">
                  <w:pPr>
                    <w:spacing w:after="160" w:line="259" w:lineRule="auto"/>
                    <w:rPr>
                      <w:rFonts w:ascii="Verdana" w:hAnsi="Verdana"/>
                      <w:sz w:val="14"/>
                      <w:szCs w:val="14"/>
                    </w:rPr>
                  </w:pPr>
                  <w:r w:rsidRPr="002A1F9A">
                    <w:rPr>
                      <w:rFonts w:ascii="Verdana" w:hAnsi="Verdana"/>
                      <w:sz w:val="14"/>
                      <w:szCs w:val="14"/>
                    </w:rPr>
                    <w:t>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311F33E" w14:textId="77777777">
                  <w:pPr>
                    <w:spacing w:after="160" w:line="259" w:lineRule="auto"/>
                    <w:rPr>
                      <w:rFonts w:ascii="Verdana" w:hAnsi="Verdana"/>
                      <w:sz w:val="14"/>
                      <w:szCs w:val="14"/>
                    </w:rPr>
                  </w:pPr>
                  <w:r w:rsidRPr="002A1F9A">
                    <w:rPr>
                      <w:rFonts w:ascii="Verdana" w:hAnsi="Verdana"/>
                      <w:sz w:val="14"/>
                      <w:szCs w:val="14"/>
                    </w:rPr>
                    <w:t>3%</w:t>
                  </w:r>
                </w:p>
              </w:tc>
            </w:tr>
            <w:tr w:rsidRPr="002A1F9A" w:rsidR="00307026" w:rsidTr="00307026" w14:paraId="5DBADD8A"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74F2329" w14:textId="77777777">
                  <w:pPr>
                    <w:spacing w:after="160" w:line="259" w:lineRule="auto"/>
                    <w:rPr>
                      <w:rFonts w:ascii="Verdana" w:hAnsi="Verdana"/>
                      <w:b/>
                      <w:bCs/>
                      <w:sz w:val="14"/>
                      <w:szCs w:val="14"/>
                    </w:rPr>
                  </w:pPr>
                  <w:r w:rsidRPr="002A1F9A">
                    <w:rPr>
                      <w:rFonts w:ascii="Verdana" w:hAnsi="Verdana"/>
                      <w:b/>
                      <w:bCs/>
                      <w:sz w:val="14"/>
                      <w:szCs w:val="14"/>
                    </w:rPr>
                    <w:t>Limburg</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2049211" w14:textId="77777777">
                  <w:pPr>
                    <w:spacing w:after="160" w:line="259" w:lineRule="auto"/>
                    <w:jc w:val="center"/>
                    <w:rPr>
                      <w:rFonts w:ascii="Verdana" w:hAnsi="Verdana"/>
                      <w:sz w:val="14"/>
                      <w:szCs w:val="14"/>
                    </w:rPr>
                  </w:pPr>
                  <w:r w:rsidRPr="002A1F9A">
                    <w:rPr>
                      <w:rFonts w:ascii="Verdana" w:hAnsi="Verdana"/>
                      <w:sz w:val="14"/>
                      <w:szCs w:val="14"/>
                    </w:rPr>
                    <w:t>9.354.000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4647C88" w14:textId="77777777">
                  <w:pPr>
                    <w:spacing w:after="160" w:line="259" w:lineRule="auto"/>
                    <w:jc w:val="center"/>
                    <w:rPr>
                      <w:rFonts w:ascii="Verdana" w:hAnsi="Verdana"/>
                      <w:sz w:val="14"/>
                      <w:szCs w:val="14"/>
                    </w:rPr>
                  </w:pPr>
                  <w:r w:rsidRPr="002A1F9A">
                    <w:rPr>
                      <w:rFonts w:ascii="Verdana" w:hAnsi="Verdana"/>
                      <w:sz w:val="14"/>
                      <w:szCs w:val="14"/>
                    </w:rPr>
                    <w:t>48.002,0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E0A2586" w14:textId="77777777">
                  <w:pPr>
                    <w:spacing w:after="160" w:line="259" w:lineRule="auto"/>
                    <w:rPr>
                      <w:rFonts w:ascii="Verdana" w:hAnsi="Verdana"/>
                      <w:sz w:val="14"/>
                      <w:szCs w:val="14"/>
                    </w:rPr>
                  </w:pPr>
                  <w:r w:rsidRPr="002A1F9A">
                    <w:rPr>
                      <w:rFonts w:ascii="Verdana" w:hAnsi="Verdana"/>
                      <w:sz w:val="14"/>
                      <w:szCs w:val="14"/>
                    </w:rPr>
                    <w:t>5%</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64E87C2" w14:textId="77777777">
                  <w:pPr>
                    <w:spacing w:after="160" w:line="259" w:lineRule="auto"/>
                    <w:rPr>
                      <w:rFonts w:ascii="Verdana" w:hAnsi="Verdana"/>
                      <w:sz w:val="14"/>
                      <w:szCs w:val="14"/>
                    </w:rPr>
                  </w:pPr>
                  <w:r w:rsidRPr="002A1F9A">
                    <w:rPr>
                      <w:rFonts w:ascii="Verdana" w:hAnsi="Verdana"/>
                      <w:sz w:val="14"/>
                      <w:szCs w:val="14"/>
                    </w:rPr>
                    <w:t>5%</w:t>
                  </w:r>
                </w:p>
              </w:tc>
            </w:tr>
            <w:tr w:rsidRPr="002A1F9A" w:rsidR="00307026" w:rsidTr="00307026" w14:paraId="613CA9E4"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4D1DC95" w14:textId="77777777">
                  <w:pPr>
                    <w:spacing w:after="160" w:line="259" w:lineRule="auto"/>
                    <w:rPr>
                      <w:rFonts w:ascii="Verdana" w:hAnsi="Verdana"/>
                      <w:b/>
                      <w:bCs/>
                      <w:sz w:val="14"/>
                      <w:szCs w:val="14"/>
                    </w:rPr>
                  </w:pPr>
                  <w:r w:rsidRPr="002A1F9A">
                    <w:rPr>
                      <w:rFonts w:ascii="Verdana" w:hAnsi="Verdana"/>
                      <w:b/>
                      <w:bCs/>
                      <w:sz w:val="14"/>
                      <w:szCs w:val="14"/>
                    </w:rPr>
                    <w:t>Noord-Brabant</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2083E15" w14:textId="77777777">
                  <w:pPr>
                    <w:spacing w:after="160" w:line="259" w:lineRule="auto"/>
                    <w:jc w:val="center"/>
                    <w:rPr>
                      <w:rFonts w:ascii="Verdana" w:hAnsi="Verdana"/>
                      <w:sz w:val="14"/>
                      <w:szCs w:val="14"/>
                    </w:rPr>
                  </w:pPr>
                  <w:r w:rsidRPr="002A1F9A">
                    <w:rPr>
                      <w:rFonts w:ascii="Verdana" w:hAnsi="Verdana"/>
                      <w:sz w:val="14"/>
                      <w:szCs w:val="14"/>
                    </w:rPr>
                    <w:t>22.054.000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142926E" w14:textId="77777777">
                  <w:pPr>
                    <w:spacing w:after="160" w:line="259" w:lineRule="auto"/>
                    <w:jc w:val="center"/>
                    <w:rPr>
                      <w:rFonts w:ascii="Verdana" w:hAnsi="Verdana"/>
                      <w:sz w:val="14"/>
                      <w:szCs w:val="14"/>
                    </w:rPr>
                  </w:pPr>
                  <w:r w:rsidRPr="002A1F9A">
                    <w:rPr>
                      <w:rFonts w:ascii="Verdana" w:hAnsi="Verdana"/>
                      <w:sz w:val="14"/>
                      <w:szCs w:val="14"/>
                    </w:rPr>
                    <w:t>135.972,0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1F867E5" w14:textId="77777777">
                  <w:pPr>
                    <w:spacing w:after="160" w:line="259" w:lineRule="auto"/>
                    <w:rPr>
                      <w:rFonts w:ascii="Verdana" w:hAnsi="Verdana"/>
                      <w:sz w:val="14"/>
                      <w:szCs w:val="14"/>
                    </w:rPr>
                  </w:pPr>
                  <w:r w:rsidRPr="002A1F9A">
                    <w:rPr>
                      <w:rFonts w:ascii="Verdana" w:hAnsi="Verdana"/>
                      <w:sz w:val="14"/>
                      <w:szCs w:val="14"/>
                    </w:rPr>
                    <w:t>12%</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1B67F40" w14:textId="77777777">
                  <w:pPr>
                    <w:spacing w:after="160" w:line="259" w:lineRule="auto"/>
                    <w:rPr>
                      <w:rFonts w:ascii="Verdana" w:hAnsi="Verdana"/>
                      <w:sz w:val="14"/>
                      <w:szCs w:val="14"/>
                    </w:rPr>
                  </w:pPr>
                  <w:r w:rsidRPr="002A1F9A">
                    <w:rPr>
                      <w:rFonts w:ascii="Verdana" w:hAnsi="Verdana"/>
                      <w:sz w:val="14"/>
                      <w:szCs w:val="14"/>
                    </w:rPr>
                    <w:t>14%</w:t>
                  </w:r>
                </w:p>
              </w:tc>
            </w:tr>
            <w:tr w:rsidRPr="002A1F9A" w:rsidR="00307026" w:rsidTr="00307026" w14:paraId="0F9F5B2F"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F4E8264" w14:textId="77777777">
                  <w:pPr>
                    <w:spacing w:after="160" w:line="259" w:lineRule="auto"/>
                    <w:rPr>
                      <w:rFonts w:ascii="Verdana" w:hAnsi="Verdana"/>
                      <w:b/>
                      <w:bCs/>
                      <w:sz w:val="14"/>
                      <w:szCs w:val="14"/>
                    </w:rPr>
                  </w:pPr>
                  <w:r w:rsidRPr="002A1F9A">
                    <w:rPr>
                      <w:rFonts w:ascii="Verdana" w:hAnsi="Verdana"/>
                      <w:b/>
                      <w:bCs/>
                      <w:sz w:val="14"/>
                      <w:szCs w:val="14"/>
                    </w:rPr>
                    <w:t>Noord-Holland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1ED2C1E" w14:textId="77777777">
                  <w:pPr>
                    <w:spacing w:after="160" w:line="259" w:lineRule="auto"/>
                    <w:jc w:val="center"/>
                    <w:rPr>
                      <w:rFonts w:ascii="Verdana" w:hAnsi="Verdana"/>
                      <w:sz w:val="14"/>
                      <w:szCs w:val="14"/>
                    </w:rPr>
                  </w:pPr>
                  <w:r w:rsidRPr="002A1F9A">
                    <w:rPr>
                      <w:rFonts w:ascii="Verdana" w:hAnsi="Verdana"/>
                      <w:sz w:val="14"/>
                      <w:szCs w:val="14"/>
                    </w:rPr>
                    <w:t>35.261.000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2C2430D" w14:textId="77777777">
                  <w:pPr>
                    <w:spacing w:after="160" w:line="259" w:lineRule="auto"/>
                    <w:jc w:val="center"/>
                    <w:rPr>
                      <w:rFonts w:ascii="Verdana" w:hAnsi="Verdana"/>
                      <w:sz w:val="14"/>
                      <w:szCs w:val="14"/>
                    </w:rPr>
                  </w:pPr>
                  <w:r w:rsidRPr="002A1F9A">
                    <w:rPr>
                      <w:rFonts w:ascii="Verdana" w:hAnsi="Verdana"/>
                      <w:sz w:val="14"/>
                      <w:szCs w:val="14"/>
                    </w:rPr>
                    <w:t>157.712,0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19346DB" w14:textId="77777777">
                  <w:pPr>
                    <w:spacing w:after="160" w:line="259" w:lineRule="auto"/>
                    <w:rPr>
                      <w:rFonts w:ascii="Verdana" w:hAnsi="Verdana"/>
                      <w:sz w:val="14"/>
                      <w:szCs w:val="14"/>
                    </w:rPr>
                  </w:pPr>
                  <w:r w:rsidRPr="002A1F9A">
                    <w:rPr>
                      <w:rFonts w:ascii="Verdana" w:hAnsi="Verdana"/>
                      <w:sz w:val="14"/>
                      <w:szCs w:val="14"/>
                    </w:rPr>
                    <w:t>19%</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A120039" w14:textId="77777777">
                  <w:pPr>
                    <w:spacing w:after="160" w:line="259" w:lineRule="auto"/>
                    <w:rPr>
                      <w:rFonts w:ascii="Verdana" w:hAnsi="Verdana"/>
                      <w:sz w:val="14"/>
                      <w:szCs w:val="14"/>
                    </w:rPr>
                  </w:pPr>
                  <w:r w:rsidRPr="002A1F9A">
                    <w:rPr>
                      <w:rFonts w:ascii="Verdana" w:hAnsi="Verdana"/>
                      <w:sz w:val="14"/>
                      <w:szCs w:val="14"/>
                    </w:rPr>
                    <w:t>17%</w:t>
                  </w:r>
                </w:p>
              </w:tc>
            </w:tr>
            <w:tr w:rsidRPr="002A1F9A" w:rsidR="00307026" w:rsidTr="00307026" w14:paraId="67B58659"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F79D0B2" w14:textId="77777777">
                  <w:pPr>
                    <w:spacing w:after="160" w:line="259" w:lineRule="auto"/>
                    <w:rPr>
                      <w:rFonts w:ascii="Verdana" w:hAnsi="Verdana"/>
                      <w:b/>
                      <w:bCs/>
                      <w:sz w:val="14"/>
                      <w:szCs w:val="14"/>
                    </w:rPr>
                  </w:pPr>
                  <w:r w:rsidRPr="002A1F9A">
                    <w:rPr>
                      <w:rFonts w:ascii="Verdana" w:hAnsi="Verdana"/>
                      <w:b/>
                      <w:bCs/>
                      <w:sz w:val="14"/>
                      <w:szCs w:val="14"/>
                    </w:rPr>
                    <w:t>Overijssel</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F482677" w14:textId="77777777">
                  <w:pPr>
                    <w:spacing w:after="160" w:line="259" w:lineRule="auto"/>
                    <w:jc w:val="center"/>
                    <w:rPr>
                      <w:rFonts w:ascii="Verdana" w:hAnsi="Verdana"/>
                      <w:sz w:val="14"/>
                      <w:szCs w:val="14"/>
                    </w:rPr>
                  </w:pPr>
                  <w:r w:rsidRPr="002A1F9A">
                    <w:rPr>
                      <w:rFonts w:ascii="Verdana" w:hAnsi="Verdana"/>
                      <w:sz w:val="14"/>
                      <w:szCs w:val="14"/>
                    </w:rPr>
                    <w:t>9.197.000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DF868FC" w14:textId="77777777">
                  <w:pPr>
                    <w:spacing w:after="160" w:line="259" w:lineRule="auto"/>
                    <w:jc w:val="center"/>
                    <w:rPr>
                      <w:rFonts w:ascii="Verdana" w:hAnsi="Verdana"/>
                      <w:sz w:val="14"/>
                      <w:szCs w:val="14"/>
                    </w:rPr>
                  </w:pPr>
                  <w:r w:rsidRPr="002A1F9A">
                    <w:rPr>
                      <w:rFonts w:ascii="Verdana" w:hAnsi="Verdana"/>
                      <w:sz w:val="14"/>
                      <w:szCs w:val="14"/>
                    </w:rPr>
                    <w:t>67.703,5</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DE08FDF" w14:textId="77777777">
                  <w:pPr>
                    <w:spacing w:after="160" w:line="259" w:lineRule="auto"/>
                    <w:rPr>
                      <w:rFonts w:ascii="Verdana" w:hAnsi="Verdana"/>
                      <w:sz w:val="14"/>
                      <w:szCs w:val="14"/>
                    </w:rPr>
                  </w:pPr>
                  <w:r w:rsidRPr="002A1F9A">
                    <w:rPr>
                      <w:rFonts w:ascii="Verdana" w:hAnsi="Verdana"/>
                      <w:sz w:val="14"/>
                      <w:szCs w:val="14"/>
                    </w:rPr>
                    <w:t>5%</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AFC2F75" w14:textId="77777777">
                  <w:pPr>
                    <w:spacing w:after="160" w:line="259" w:lineRule="auto"/>
                    <w:rPr>
                      <w:rFonts w:ascii="Verdana" w:hAnsi="Verdana"/>
                      <w:sz w:val="14"/>
                      <w:szCs w:val="14"/>
                    </w:rPr>
                  </w:pPr>
                  <w:r w:rsidRPr="002A1F9A">
                    <w:rPr>
                      <w:rFonts w:ascii="Verdana" w:hAnsi="Verdana"/>
                      <w:sz w:val="14"/>
                      <w:szCs w:val="14"/>
                    </w:rPr>
                    <w:t>7%</w:t>
                  </w:r>
                </w:p>
              </w:tc>
            </w:tr>
            <w:tr w:rsidRPr="002A1F9A" w:rsidR="00307026" w:rsidTr="00307026" w14:paraId="06CDE6B8"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9F0056F" w14:textId="77777777">
                  <w:pPr>
                    <w:spacing w:after="160" w:line="259" w:lineRule="auto"/>
                    <w:rPr>
                      <w:rFonts w:ascii="Verdana" w:hAnsi="Verdana"/>
                      <w:b/>
                      <w:bCs/>
                      <w:sz w:val="14"/>
                      <w:szCs w:val="14"/>
                    </w:rPr>
                  </w:pPr>
                  <w:r w:rsidRPr="002A1F9A">
                    <w:rPr>
                      <w:rFonts w:ascii="Verdana" w:hAnsi="Verdana"/>
                      <w:b/>
                      <w:bCs/>
                      <w:sz w:val="14"/>
                      <w:szCs w:val="14"/>
                    </w:rPr>
                    <w:t>Utrecht</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80D4BE4" w14:textId="77777777">
                  <w:pPr>
                    <w:spacing w:after="160" w:line="259" w:lineRule="auto"/>
                    <w:jc w:val="center"/>
                    <w:rPr>
                      <w:rFonts w:ascii="Verdana" w:hAnsi="Verdana"/>
                      <w:sz w:val="14"/>
                      <w:szCs w:val="14"/>
                    </w:rPr>
                  </w:pPr>
                  <w:r w:rsidRPr="002A1F9A">
                    <w:rPr>
                      <w:rFonts w:ascii="Verdana" w:hAnsi="Verdana"/>
                      <w:sz w:val="14"/>
                      <w:szCs w:val="14"/>
                    </w:rPr>
                    <w:t>12.040.000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1253821" w14:textId="77777777">
                  <w:pPr>
                    <w:spacing w:after="160" w:line="259" w:lineRule="auto"/>
                    <w:jc w:val="center"/>
                    <w:rPr>
                      <w:rFonts w:ascii="Verdana" w:hAnsi="Verdana"/>
                      <w:sz w:val="14"/>
                      <w:szCs w:val="14"/>
                    </w:rPr>
                  </w:pPr>
                  <w:r w:rsidRPr="002A1F9A">
                    <w:rPr>
                      <w:rFonts w:ascii="Verdana" w:hAnsi="Verdana"/>
                      <w:sz w:val="14"/>
                      <w:szCs w:val="14"/>
                    </w:rPr>
                    <w:t>77.585,5</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BE71CB5" w14:textId="77777777">
                  <w:pPr>
                    <w:spacing w:after="160" w:line="259" w:lineRule="auto"/>
                    <w:rPr>
                      <w:rFonts w:ascii="Verdana" w:hAnsi="Verdana"/>
                      <w:sz w:val="14"/>
                      <w:szCs w:val="14"/>
                    </w:rPr>
                  </w:pPr>
                  <w:r w:rsidRPr="002A1F9A">
                    <w:rPr>
                      <w:rFonts w:ascii="Verdana" w:hAnsi="Verdana"/>
                      <w:sz w:val="14"/>
                      <w:szCs w:val="14"/>
                    </w:rPr>
                    <w:t>6%</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C4539F8" w14:textId="77777777">
                  <w:pPr>
                    <w:spacing w:after="160" w:line="259" w:lineRule="auto"/>
                    <w:rPr>
                      <w:rFonts w:ascii="Verdana" w:hAnsi="Verdana"/>
                      <w:sz w:val="14"/>
                      <w:szCs w:val="14"/>
                    </w:rPr>
                  </w:pPr>
                  <w:r w:rsidRPr="002A1F9A">
                    <w:rPr>
                      <w:rFonts w:ascii="Verdana" w:hAnsi="Verdana"/>
                      <w:sz w:val="14"/>
                      <w:szCs w:val="14"/>
                    </w:rPr>
                    <w:t>8%</w:t>
                  </w:r>
                </w:p>
              </w:tc>
            </w:tr>
            <w:tr w:rsidRPr="002A1F9A" w:rsidR="00307026" w:rsidTr="00307026" w14:paraId="57AA6BC5"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418CBA1" w14:textId="77777777">
                  <w:pPr>
                    <w:spacing w:after="160" w:line="259" w:lineRule="auto"/>
                    <w:rPr>
                      <w:rFonts w:ascii="Verdana" w:hAnsi="Verdana"/>
                      <w:b/>
                      <w:bCs/>
                      <w:sz w:val="14"/>
                      <w:szCs w:val="14"/>
                    </w:rPr>
                  </w:pPr>
                  <w:r w:rsidRPr="002A1F9A">
                    <w:rPr>
                      <w:rFonts w:ascii="Verdana" w:hAnsi="Verdana"/>
                      <w:b/>
                      <w:bCs/>
                      <w:sz w:val="14"/>
                      <w:szCs w:val="14"/>
                    </w:rPr>
                    <w:t>Zeeland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648AE76" w14:textId="77777777">
                  <w:pPr>
                    <w:spacing w:after="160" w:line="259" w:lineRule="auto"/>
                    <w:jc w:val="center"/>
                    <w:rPr>
                      <w:rFonts w:ascii="Verdana" w:hAnsi="Verdana"/>
                      <w:sz w:val="14"/>
                      <w:szCs w:val="14"/>
                    </w:rPr>
                  </w:pPr>
                  <w:r w:rsidRPr="002A1F9A">
                    <w:rPr>
                      <w:rFonts w:ascii="Verdana" w:hAnsi="Verdana"/>
                      <w:sz w:val="14"/>
                      <w:szCs w:val="14"/>
                    </w:rPr>
                    <w:t>2.353.000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0D59CFF1" w14:textId="77777777">
                  <w:pPr>
                    <w:spacing w:after="160" w:line="259" w:lineRule="auto"/>
                    <w:jc w:val="center"/>
                    <w:rPr>
                      <w:rFonts w:ascii="Verdana" w:hAnsi="Verdana"/>
                      <w:sz w:val="14"/>
                      <w:szCs w:val="14"/>
                    </w:rPr>
                  </w:pPr>
                  <w:r w:rsidRPr="002A1F9A">
                    <w:rPr>
                      <w:rFonts w:ascii="Verdana" w:hAnsi="Verdana"/>
                      <w:sz w:val="14"/>
                      <w:szCs w:val="14"/>
                    </w:rPr>
                    <w:t>17.828,0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98B19AE" w14:textId="77777777">
                  <w:pPr>
                    <w:spacing w:after="160" w:line="259" w:lineRule="auto"/>
                    <w:rPr>
                      <w:rFonts w:ascii="Verdana" w:hAnsi="Verdana"/>
                      <w:sz w:val="14"/>
                      <w:szCs w:val="14"/>
                    </w:rPr>
                  </w:pPr>
                  <w:r w:rsidRPr="002A1F9A">
                    <w:rPr>
                      <w:rFonts w:ascii="Verdana" w:hAnsi="Verdana"/>
                      <w:sz w:val="14"/>
                      <w:szCs w:val="14"/>
                    </w:rPr>
                    <w:t>1%</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8650CD6" w14:textId="77777777">
                  <w:pPr>
                    <w:spacing w:after="160" w:line="259" w:lineRule="auto"/>
                    <w:rPr>
                      <w:rFonts w:ascii="Verdana" w:hAnsi="Verdana"/>
                      <w:sz w:val="14"/>
                      <w:szCs w:val="14"/>
                    </w:rPr>
                  </w:pPr>
                  <w:r w:rsidRPr="002A1F9A">
                    <w:rPr>
                      <w:rFonts w:ascii="Verdana" w:hAnsi="Verdana"/>
                      <w:sz w:val="14"/>
                      <w:szCs w:val="14"/>
                    </w:rPr>
                    <w:t>2%</w:t>
                  </w:r>
                </w:p>
              </w:tc>
            </w:tr>
            <w:tr w:rsidRPr="002A1F9A" w:rsidR="00307026" w:rsidTr="00307026" w14:paraId="4AF92649"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FF5527D" w14:textId="77777777">
                  <w:pPr>
                    <w:spacing w:after="160" w:line="259" w:lineRule="auto"/>
                    <w:rPr>
                      <w:rFonts w:ascii="Verdana" w:hAnsi="Verdana"/>
                      <w:b/>
                      <w:bCs/>
                      <w:sz w:val="14"/>
                      <w:szCs w:val="14"/>
                    </w:rPr>
                  </w:pPr>
                  <w:r w:rsidRPr="002A1F9A">
                    <w:rPr>
                      <w:rFonts w:ascii="Verdana" w:hAnsi="Verdana"/>
                      <w:b/>
                      <w:bCs/>
                      <w:sz w:val="14"/>
                      <w:szCs w:val="14"/>
                    </w:rPr>
                    <w:t>Zuid-Holland</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416A4ACB" w14:textId="77777777">
                  <w:pPr>
                    <w:spacing w:after="160" w:line="259" w:lineRule="auto"/>
                    <w:jc w:val="center"/>
                    <w:rPr>
                      <w:rFonts w:ascii="Verdana" w:hAnsi="Verdana"/>
                      <w:sz w:val="14"/>
                      <w:szCs w:val="14"/>
                    </w:rPr>
                  </w:pPr>
                  <w:r w:rsidRPr="002A1F9A">
                    <w:rPr>
                      <w:rFonts w:ascii="Verdana" w:hAnsi="Verdana"/>
                      <w:sz w:val="14"/>
                      <w:szCs w:val="14"/>
                    </w:rPr>
                    <w:t>61.934.000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5C42F3B" w14:textId="77777777">
                  <w:pPr>
                    <w:spacing w:after="160" w:line="259" w:lineRule="auto"/>
                    <w:jc w:val="center"/>
                    <w:rPr>
                      <w:rFonts w:ascii="Verdana" w:hAnsi="Verdana"/>
                      <w:sz w:val="14"/>
                      <w:szCs w:val="14"/>
                    </w:rPr>
                  </w:pPr>
                  <w:r w:rsidRPr="002A1F9A">
                    <w:rPr>
                      <w:rFonts w:ascii="Verdana" w:hAnsi="Verdana"/>
                      <w:sz w:val="14"/>
                      <w:szCs w:val="14"/>
                    </w:rPr>
                    <w:t>208.562,0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7254A9F8" w14:textId="77777777">
                  <w:pPr>
                    <w:spacing w:after="160" w:line="259" w:lineRule="auto"/>
                    <w:rPr>
                      <w:rFonts w:ascii="Verdana" w:hAnsi="Verdana"/>
                      <w:sz w:val="14"/>
                      <w:szCs w:val="14"/>
                    </w:rPr>
                  </w:pPr>
                  <w:r w:rsidRPr="002A1F9A">
                    <w:rPr>
                      <w:rFonts w:ascii="Verdana" w:hAnsi="Verdana"/>
                      <w:sz w:val="14"/>
                      <w:szCs w:val="14"/>
                    </w:rPr>
                    <w:t>33%</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509907F" w14:textId="77777777">
                  <w:pPr>
                    <w:spacing w:after="160" w:line="259" w:lineRule="auto"/>
                    <w:rPr>
                      <w:rFonts w:ascii="Verdana" w:hAnsi="Verdana"/>
                      <w:sz w:val="14"/>
                      <w:szCs w:val="14"/>
                    </w:rPr>
                  </w:pPr>
                  <w:r w:rsidRPr="002A1F9A">
                    <w:rPr>
                      <w:rFonts w:ascii="Verdana" w:hAnsi="Verdana"/>
                      <w:sz w:val="14"/>
                      <w:szCs w:val="14"/>
                    </w:rPr>
                    <w:t>22%</w:t>
                  </w:r>
                </w:p>
              </w:tc>
            </w:tr>
            <w:tr w:rsidRPr="002A1F9A" w:rsidR="00307026" w:rsidTr="00307026" w14:paraId="2500F191" w14:textId="77777777">
              <w:trPr>
                <w:trHeight w:val="204"/>
              </w:trPr>
              <w:tc>
                <w:tcPr>
                  <w:tcW w:w="112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533EA9AB" w14:textId="77777777">
                  <w:pPr>
                    <w:spacing w:after="160" w:line="259" w:lineRule="auto"/>
                    <w:rPr>
                      <w:rFonts w:ascii="Verdana" w:hAnsi="Verdana"/>
                      <w:b/>
                      <w:bCs/>
                      <w:sz w:val="14"/>
                      <w:szCs w:val="14"/>
                    </w:rPr>
                  </w:pPr>
                  <w:r w:rsidRPr="002A1F9A">
                    <w:rPr>
                      <w:rFonts w:ascii="Verdana" w:hAnsi="Verdana"/>
                      <w:b/>
                      <w:bCs/>
                      <w:sz w:val="14"/>
                      <w:szCs w:val="14"/>
                    </w:rPr>
                    <w:t>Eindtotaal</w:t>
                  </w:r>
                </w:p>
              </w:tc>
              <w:tc>
                <w:tcPr>
                  <w:tcW w:w="1560"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25FFD539" w14:textId="77777777">
                  <w:pPr>
                    <w:spacing w:after="160" w:line="259" w:lineRule="auto"/>
                    <w:jc w:val="center"/>
                    <w:rPr>
                      <w:rFonts w:ascii="Verdana" w:hAnsi="Verdana"/>
                      <w:b/>
                      <w:bCs/>
                      <w:sz w:val="14"/>
                      <w:szCs w:val="14"/>
                    </w:rPr>
                  </w:pPr>
                  <w:r w:rsidRPr="002A1F9A">
                    <w:rPr>
                      <w:rFonts w:ascii="Verdana" w:hAnsi="Verdana"/>
                      <w:b/>
                      <w:bCs/>
                      <w:sz w:val="14"/>
                      <w:szCs w:val="14"/>
                    </w:rPr>
                    <w:t>185.926.000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62A3A5D9" w14:textId="77777777">
                  <w:pPr>
                    <w:spacing w:after="160" w:line="259" w:lineRule="auto"/>
                    <w:jc w:val="center"/>
                    <w:rPr>
                      <w:rFonts w:ascii="Verdana" w:hAnsi="Verdana"/>
                      <w:b/>
                      <w:bCs/>
                      <w:sz w:val="14"/>
                      <w:szCs w:val="14"/>
                    </w:rPr>
                  </w:pPr>
                  <w:r w:rsidRPr="002A1F9A">
                    <w:rPr>
                      <w:rFonts w:ascii="Verdana" w:hAnsi="Verdana"/>
                      <w:b/>
                      <w:bCs/>
                      <w:sz w:val="14"/>
                      <w:szCs w:val="14"/>
                    </w:rPr>
                    <w:t>943.429,0</w:t>
                  </w:r>
                </w:p>
              </w:tc>
              <w:tc>
                <w:tcPr>
                  <w:tcW w:w="98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3B1E743D" w14:textId="77777777">
                  <w:pPr>
                    <w:spacing w:after="160" w:line="259" w:lineRule="auto"/>
                    <w:rPr>
                      <w:rFonts w:ascii="Verdana" w:hAnsi="Verdana"/>
                      <w:b/>
                      <w:bCs/>
                      <w:sz w:val="14"/>
                      <w:szCs w:val="14"/>
                    </w:rPr>
                  </w:pPr>
                  <w:r w:rsidRPr="002A1F9A">
                    <w:rPr>
                      <w:rFonts w:ascii="Verdana" w:hAnsi="Verdana"/>
                      <w:b/>
                      <w:bCs/>
                      <w:sz w:val="14"/>
                      <w:szCs w:val="14"/>
                    </w:rPr>
                    <w:t>100%</w:t>
                  </w:r>
                </w:p>
              </w:tc>
              <w:tc>
                <w:tcPr>
                  <w:tcW w:w="127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A1F9A" w:rsidR="00307026" w:rsidP="00307026" w:rsidRDefault="00307026" w14:paraId="1A5E0C0C" w14:textId="77777777">
                  <w:pPr>
                    <w:spacing w:after="160" w:line="259" w:lineRule="auto"/>
                    <w:rPr>
                      <w:rFonts w:ascii="Verdana" w:hAnsi="Verdana"/>
                      <w:b/>
                      <w:bCs/>
                      <w:sz w:val="14"/>
                      <w:szCs w:val="14"/>
                    </w:rPr>
                  </w:pPr>
                  <w:r w:rsidRPr="002A1F9A">
                    <w:rPr>
                      <w:rFonts w:ascii="Verdana" w:hAnsi="Verdana"/>
                      <w:b/>
                      <w:bCs/>
                      <w:sz w:val="14"/>
                      <w:szCs w:val="14"/>
                    </w:rPr>
                    <w:t>100%</w:t>
                  </w:r>
                </w:p>
              </w:tc>
            </w:tr>
          </w:tbl>
          <w:p w:rsidRPr="002A1F9A" w:rsidR="00307026" w:rsidP="00307026" w:rsidRDefault="00307026" w14:paraId="110D02D2" w14:textId="77777777">
            <w:pPr>
              <w:rPr>
                <w:rFonts w:ascii="Verdana" w:hAnsi="Verdana"/>
                <w:sz w:val="16"/>
                <w:szCs w:val="16"/>
              </w:rPr>
            </w:pPr>
          </w:p>
          <w:p w:rsidRPr="002A1F9A" w:rsidR="00307026" w:rsidP="00307026" w:rsidRDefault="00307026" w14:paraId="243C1A31" w14:textId="3B31E46B">
            <w:pPr>
              <w:rPr>
                <w:rFonts w:ascii="Verdana" w:hAnsi="Verdana"/>
                <w:sz w:val="16"/>
                <w:szCs w:val="16"/>
              </w:rPr>
            </w:pPr>
            <w:r w:rsidRPr="002A1F9A">
              <w:rPr>
                <w:rFonts w:ascii="Verdana" w:hAnsi="Verdana"/>
                <w:sz w:val="16"/>
                <w:szCs w:val="16"/>
              </w:rPr>
              <w:t>* Definitief aantal leerlingen op teldatum 1-10-2023.</w:t>
            </w:r>
          </w:p>
          <w:p w:rsidRPr="002A1F9A" w:rsidR="00307026" w:rsidRDefault="00307026" w14:paraId="4E89EE8E" w14:textId="77777777">
            <w:pPr>
              <w:rPr>
                <w:rFonts w:ascii="Verdana" w:hAnsi="Verdana"/>
                <w:sz w:val="18"/>
                <w:szCs w:val="18"/>
              </w:rPr>
            </w:pPr>
          </w:p>
        </w:tc>
        <w:tc>
          <w:tcPr>
            <w:tcW w:w="850" w:type="dxa"/>
          </w:tcPr>
          <w:p w:rsidRPr="002A1F9A" w:rsidR="001256CA" w:rsidRDefault="001856D0" w14:paraId="1C91AF68"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1C02D8E3" w14:textId="77777777">
            <w:pPr>
              <w:jc w:val="right"/>
              <w:rPr>
                <w:rFonts w:ascii="Verdana" w:hAnsi="Verdana"/>
                <w:sz w:val="18"/>
                <w:szCs w:val="18"/>
              </w:rPr>
            </w:pPr>
            <w:r w:rsidRPr="002A1F9A">
              <w:rPr>
                <w:rFonts w:ascii="Verdana" w:hAnsi="Verdana"/>
                <w:sz w:val="18"/>
                <w:szCs w:val="18"/>
              </w:rPr>
              <w:t>56</w:t>
            </w:r>
          </w:p>
        </w:tc>
        <w:tc>
          <w:tcPr>
            <w:tcW w:w="567" w:type="dxa"/>
            <w:tcBorders>
              <w:left w:val="nil"/>
            </w:tcBorders>
          </w:tcPr>
          <w:p w:rsidRPr="002A1F9A" w:rsidR="001256CA" w:rsidRDefault="001856D0" w14:paraId="34474778" w14:textId="77777777">
            <w:pPr>
              <w:jc w:val="right"/>
              <w:rPr>
                <w:rFonts w:ascii="Verdana" w:hAnsi="Verdana"/>
                <w:sz w:val="18"/>
                <w:szCs w:val="18"/>
              </w:rPr>
            </w:pPr>
            <w:r w:rsidRPr="002A1F9A">
              <w:rPr>
                <w:rFonts w:ascii="Verdana" w:hAnsi="Verdana"/>
                <w:sz w:val="18"/>
                <w:szCs w:val="18"/>
              </w:rPr>
              <w:t xml:space="preserve"> </w:t>
            </w:r>
          </w:p>
        </w:tc>
      </w:tr>
      <w:bookmarkEnd w:id="34"/>
      <w:tr w:rsidRPr="002A1F9A" w:rsidR="001256CA" w:rsidTr="00E7153D" w14:paraId="3E4C9508" w14:textId="77777777">
        <w:tc>
          <w:tcPr>
            <w:tcW w:w="567" w:type="dxa"/>
          </w:tcPr>
          <w:p w:rsidRPr="002A1F9A" w:rsidR="001256CA" w:rsidRDefault="001856D0" w14:paraId="2C4AFFC4" w14:textId="77777777">
            <w:pPr>
              <w:rPr>
                <w:rFonts w:ascii="Verdana" w:hAnsi="Verdana"/>
                <w:sz w:val="18"/>
                <w:szCs w:val="18"/>
              </w:rPr>
            </w:pPr>
            <w:r w:rsidRPr="002A1F9A">
              <w:rPr>
                <w:rFonts w:ascii="Verdana" w:hAnsi="Verdana"/>
                <w:sz w:val="18"/>
                <w:szCs w:val="18"/>
              </w:rPr>
              <w:t>146</w:t>
            </w:r>
          </w:p>
        </w:tc>
        <w:tc>
          <w:tcPr>
            <w:tcW w:w="6521" w:type="dxa"/>
          </w:tcPr>
          <w:p w:rsidRPr="002A1F9A" w:rsidR="001256CA" w:rsidRDefault="001856D0" w14:paraId="53C88D7A" w14:textId="77777777">
            <w:pPr>
              <w:rPr>
                <w:rFonts w:ascii="Verdana" w:hAnsi="Verdana"/>
                <w:sz w:val="18"/>
                <w:szCs w:val="18"/>
              </w:rPr>
            </w:pPr>
            <w:r w:rsidRPr="002A1F9A">
              <w:rPr>
                <w:rFonts w:ascii="Verdana" w:hAnsi="Verdana"/>
                <w:sz w:val="18"/>
                <w:szCs w:val="18"/>
              </w:rPr>
              <w:t>Hoeveel zou het kosten als mbo</w:t>
            </w:r>
            <w:r w:rsidRPr="002A1F9A" w:rsidR="00F72A22">
              <w:rPr>
                <w:rFonts w:ascii="Verdana" w:hAnsi="Verdana"/>
                <w:sz w:val="18"/>
                <w:szCs w:val="18"/>
              </w:rPr>
              <w:t>’</w:t>
            </w:r>
            <w:r w:rsidRPr="002A1F9A">
              <w:rPr>
                <w:rFonts w:ascii="Verdana" w:hAnsi="Verdana"/>
                <w:sz w:val="18"/>
                <w:szCs w:val="18"/>
              </w:rPr>
              <w:t>ers ook aanspraak kunnen maken op restitutie van lesgeld, net als hbo- en wo-studenten?</w:t>
            </w:r>
          </w:p>
          <w:p w:rsidRPr="002A1F9A" w:rsidR="00AC209A" w:rsidRDefault="00AC209A" w14:paraId="23ACDB26" w14:textId="77777777">
            <w:pPr>
              <w:rPr>
                <w:rFonts w:ascii="Verdana" w:hAnsi="Verdana"/>
                <w:sz w:val="18"/>
                <w:szCs w:val="18"/>
              </w:rPr>
            </w:pPr>
          </w:p>
          <w:p w:rsidRPr="002A1F9A" w:rsidR="00AC209A" w:rsidRDefault="00AC209A" w14:paraId="5BD6A41A" w14:textId="77777777">
            <w:pPr>
              <w:rPr>
                <w:rFonts w:ascii="Verdana" w:hAnsi="Verdana"/>
                <w:sz w:val="18"/>
                <w:szCs w:val="18"/>
              </w:rPr>
            </w:pPr>
            <w:r w:rsidRPr="002A1F9A">
              <w:rPr>
                <w:rFonts w:ascii="Verdana" w:hAnsi="Verdana"/>
                <w:sz w:val="18"/>
                <w:szCs w:val="18"/>
              </w:rPr>
              <w:t xml:space="preserve">Mbo-studenten kunnen alleen onder voorwaarden aanspraak maken op restitutie en moeten een aanvraag doen. Als mbo-studenten (bol en </w:t>
            </w:r>
            <w:proofErr w:type="spellStart"/>
            <w:r w:rsidRPr="002A1F9A">
              <w:rPr>
                <w:rFonts w:ascii="Verdana" w:hAnsi="Verdana"/>
                <w:sz w:val="18"/>
                <w:szCs w:val="18"/>
              </w:rPr>
              <w:t>bbl</w:t>
            </w:r>
            <w:proofErr w:type="spellEnd"/>
            <w:r w:rsidRPr="002A1F9A">
              <w:rPr>
                <w:rFonts w:ascii="Verdana" w:hAnsi="Verdana"/>
                <w:sz w:val="18"/>
                <w:szCs w:val="18"/>
              </w:rPr>
              <w:t xml:space="preserve">) en </w:t>
            </w:r>
            <w:proofErr w:type="spellStart"/>
            <w:r w:rsidRPr="002A1F9A">
              <w:rPr>
                <w:rFonts w:ascii="Verdana" w:hAnsi="Verdana"/>
                <w:sz w:val="18"/>
                <w:szCs w:val="18"/>
              </w:rPr>
              <w:t>vavo</w:t>
            </w:r>
            <w:proofErr w:type="spellEnd"/>
            <w:r w:rsidRPr="002A1F9A">
              <w:rPr>
                <w:rFonts w:ascii="Verdana" w:hAnsi="Verdana"/>
                <w:sz w:val="18"/>
                <w:szCs w:val="18"/>
              </w:rPr>
              <w:t>-scholieren (die ook les- of cursusgeld betalen) ook zonder voorwaarden en automatisch restitutie krijgen kost dat in totaal circa € 27 miljoen. Aanpassingen in het restitutiebeleid van het lesgeld kost dan circa 18 miljoen euro structureel. Voor het cursusgeld komt dit neer op ongeveer 9 miljoen euro structureel. Dit is berekend met de tarieven van het studiejaar 2025-2026 en is exclusief uitvoeringkosten voor DUO en mbo-instellingen.</w:t>
            </w:r>
          </w:p>
          <w:p w:rsidRPr="002A1F9A" w:rsidR="00AC209A" w:rsidRDefault="00AC209A" w14:paraId="5442D2FA" w14:textId="39601134">
            <w:pPr>
              <w:rPr>
                <w:rFonts w:ascii="Verdana" w:hAnsi="Verdana"/>
                <w:sz w:val="18"/>
                <w:szCs w:val="18"/>
              </w:rPr>
            </w:pPr>
          </w:p>
        </w:tc>
        <w:tc>
          <w:tcPr>
            <w:tcW w:w="850" w:type="dxa"/>
          </w:tcPr>
          <w:p w:rsidRPr="002A1F9A" w:rsidR="001256CA" w:rsidRDefault="001856D0" w14:paraId="22A49352"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1EB463BE" w14:textId="77777777">
            <w:pPr>
              <w:jc w:val="right"/>
              <w:rPr>
                <w:rFonts w:ascii="Verdana" w:hAnsi="Verdana"/>
                <w:sz w:val="18"/>
                <w:szCs w:val="18"/>
              </w:rPr>
            </w:pPr>
            <w:r w:rsidRPr="002A1F9A">
              <w:rPr>
                <w:rFonts w:ascii="Verdana" w:hAnsi="Verdana"/>
                <w:sz w:val="18"/>
                <w:szCs w:val="18"/>
              </w:rPr>
              <w:t>60</w:t>
            </w:r>
          </w:p>
        </w:tc>
        <w:tc>
          <w:tcPr>
            <w:tcW w:w="567" w:type="dxa"/>
            <w:tcBorders>
              <w:left w:val="nil"/>
            </w:tcBorders>
          </w:tcPr>
          <w:p w:rsidRPr="002A1F9A" w:rsidR="001256CA" w:rsidRDefault="001856D0" w14:paraId="09633749"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F30EA9B" w14:textId="77777777">
        <w:tc>
          <w:tcPr>
            <w:tcW w:w="567" w:type="dxa"/>
          </w:tcPr>
          <w:p w:rsidRPr="002A1F9A" w:rsidR="001256CA" w:rsidRDefault="001856D0" w14:paraId="1AFE1F83" w14:textId="77777777">
            <w:pPr>
              <w:rPr>
                <w:rFonts w:ascii="Verdana" w:hAnsi="Verdana"/>
                <w:sz w:val="18"/>
                <w:szCs w:val="18"/>
              </w:rPr>
            </w:pPr>
            <w:r w:rsidRPr="002A1F9A">
              <w:rPr>
                <w:rFonts w:ascii="Verdana" w:hAnsi="Verdana"/>
                <w:sz w:val="18"/>
                <w:szCs w:val="18"/>
              </w:rPr>
              <w:t>147</w:t>
            </w:r>
          </w:p>
        </w:tc>
        <w:tc>
          <w:tcPr>
            <w:tcW w:w="6521" w:type="dxa"/>
          </w:tcPr>
          <w:p w:rsidRPr="002A1F9A" w:rsidR="001256CA" w:rsidRDefault="001856D0" w14:paraId="02DD081B" w14:textId="77777777">
            <w:pPr>
              <w:rPr>
                <w:rFonts w:ascii="Verdana" w:hAnsi="Verdana"/>
                <w:sz w:val="18"/>
                <w:szCs w:val="18"/>
              </w:rPr>
            </w:pPr>
            <w:r w:rsidRPr="002A1F9A">
              <w:rPr>
                <w:rFonts w:ascii="Verdana" w:hAnsi="Verdana"/>
                <w:sz w:val="18"/>
                <w:szCs w:val="18"/>
              </w:rPr>
              <w:t xml:space="preserve">Wat zijn uw meest recente gegevens over de aantallen laaggeletterden, </w:t>
            </w:r>
            <w:proofErr w:type="spellStart"/>
            <w:r w:rsidRPr="002A1F9A">
              <w:rPr>
                <w:rFonts w:ascii="Verdana" w:hAnsi="Verdana"/>
                <w:sz w:val="18"/>
                <w:szCs w:val="18"/>
              </w:rPr>
              <w:t>laaggecijferden</w:t>
            </w:r>
            <w:proofErr w:type="spellEnd"/>
            <w:r w:rsidRPr="002A1F9A">
              <w:rPr>
                <w:rFonts w:ascii="Verdana" w:hAnsi="Verdana"/>
                <w:sz w:val="18"/>
                <w:szCs w:val="18"/>
              </w:rPr>
              <w:t xml:space="preserve"> en </w:t>
            </w:r>
            <w:r w:rsidRPr="002A1F9A" w:rsidR="00F72A22">
              <w:rPr>
                <w:rFonts w:ascii="Verdana" w:hAnsi="Verdana"/>
                <w:sz w:val="18"/>
                <w:szCs w:val="18"/>
              </w:rPr>
              <w:t>‘</w:t>
            </w:r>
            <w:r w:rsidRPr="002A1F9A">
              <w:rPr>
                <w:rFonts w:ascii="Verdana" w:hAnsi="Verdana"/>
                <w:sz w:val="18"/>
                <w:szCs w:val="18"/>
              </w:rPr>
              <w:t>digibeten</w:t>
            </w:r>
            <w:r w:rsidRPr="002A1F9A" w:rsidR="00F72A22">
              <w:rPr>
                <w:rFonts w:ascii="Verdana" w:hAnsi="Verdana"/>
                <w:sz w:val="18"/>
                <w:szCs w:val="18"/>
              </w:rPr>
              <w:t>’</w:t>
            </w:r>
            <w:r w:rsidRPr="002A1F9A">
              <w:rPr>
                <w:rFonts w:ascii="Verdana" w:hAnsi="Verdana"/>
                <w:sz w:val="18"/>
                <w:szCs w:val="18"/>
              </w:rPr>
              <w:t xml:space="preserve"> in Nederland?</w:t>
            </w:r>
          </w:p>
          <w:p w:rsidRPr="002A1F9A" w:rsidR="00AC209A" w:rsidRDefault="00AC209A" w14:paraId="50232DEA" w14:textId="77777777">
            <w:pPr>
              <w:rPr>
                <w:rFonts w:ascii="Verdana" w:hAnsi="Verdana"/>
                <w:sz w:val="18"/>
                <w:szCs w:val="18"/>
              </w:rPr>
            </w:pPr>
          </w:p>
          <w:p w:rsidRPr="002A1F9A" w:rsidR="00AC209A" w:rsidP="00AC209A" w:rsidRDefault="00AC209A" w14:paraId="70A53ADA" w14:textId="77777777">
            <w:pPr>
              <w:rPr>
                <w:rFonts w:ascii="Verdana" w:hAnsi="Verdana"/>
                <w:sz w:val="18"/>
                <w:szCs w:val="18"/>
              </w:rPr>
            </w:pPr>
            <w:r w:rsidRPr="002A1F9A">
              <w:rPr>
                <w:rFonts w:ascii="Verdana" w:hAnsi="Verdana"/>
                <w:sz w:val="18"/>
                <w:szCs w:val="18"/>
              </w:rPr>
              <w:t>De meest recente gegevens komen uit het ‘</w:t>
            </w:r>
            <w:hyperlink w:tgtFrame="_BLANK!" w:history="1" r:id="rId88">
              <w:r w:rsidRPr="002A1F9A">
                <w:rPr>
                  <w:rStyle w:val="Hyperlink"/>
                  <w:rFonts w:ascii="Verdana" w:hAnsi="Verdana"/>
                  <w:sz w:val="18"/>
                  <w:szCs w:val="18"/>
                </w:rPr>
                <w:t>PIAAC-onderzoek</w:t>
              </w:r>
            </w:hyperlink>
            <w:r w:rsidRPr="002A1F9A">
              <w:rPr>
                <w:rFonts w:ascii="Verdana" w:hAnsi="Verdana"/>
                <w:sz w:val="18"/>
                <w:szCs w:val="18"/>
              </w:rPr>
              <w:t>’ (</w:t>
            </w:r>
            <w:proofErr w:type="spellStart"/>
            <w:r w:rsidRPr="002A1F9A">
              <w:rPr>
                <w:rFonts w:ascii="Verdana" w:hAnsi="Verdana"/>
                <w:sz w:val="18"/>
                <w:szCs w:val="18"/>
              </w:rPr>
              <w:t>Programme</w:t>
            </w:r>
            <w:proofErr w:type="spellEnd"/>
            <w:r w:rsidRPr="002A1F9A">
              <w:rPr>
                <w:rFonts w:ascii="Verdana" w:hAnsi="Verdana"/>
                <w:sz w:val="18"/>
                <w:szCs w:val="18"/>
              </w:rPr>
              <w:t xml:space="preserve"> </w:t>
            </w:r>
            <w:proofErr w:type="spellStart"/>
            <w:r w:rsidRPr="002A1F9A">
              <w:rPr>
                <w:rFonts w:ascii="Verdana" w:hAnsi="Verdana"/>
                <w:sz w:val="18"/>
                <w:szCs w:val="18"/>
              </w:rPr>
              <w:t>for</w:t>
            </w:r>
            <w:proofErr w:type="spellEnd"/>
            <w:r w:rsidRPr="002A1F9A">
              <w:rPr>
                <w:rFonts w:ascii="Verdana" w:hAnsi="Verdana"/>
                <w:sz w:val="18"/>
                <w:szCs w:val="18"/>
              </w:rPr>
              <w:t xml:space="preserve"> </w:t>
            </w:r>
            <w:proofErr w:type="spellStart"/>
            <w:r w:rsidRPr="002A1F9A">
              <w:rPr>
                <w:rFonts w:ascii="Verdana" w:hAnsi="Verdana"/>
                <w:sz w:val="18"/>
                <w:szCs w:val="18"/>
              </w:rPr>
              <w:t>the</w:t>
            </w:r>
            <w:proofErr w:type="spellEnd"/>
            <w:r w:rsidRPr="002A1F9A">
              <w:rPr>
                <w:rFonts w:ascii="Verdana" w:hAnsi="Verdana"/>
                <w:sz w:val="18"/>
                <w:szCs w:val="18"/>
              </w:rPr>
              <w:t xml:space="preserve"> International Assessment of Adult </w:t>
            </w:r>
            <w:proofErr w:type="spellStart"/>
            <w:r w:rsidRPr="002A1F9A">
              <w:rPr>
                <w:rFonts w:ascii="Verdana" w:hAnsi="Verdana"/>
                <w:sz w:val="18"/>
                <w:szCs w:val="18"/>
              </w:rPr>
              <w:t>Competencies</w:t>
            </w:r>
            <w:proofErr w:type="spellEnd"/>
            <w:r w:rsidRPr="002A1F9A">
              <w:rPr>
                <w:rFonts w:ascii="Verdana" w:hAnsi="Verdana"/>
                <w:sz w:val="18"/>
                <w:szCs w:val="18"/>
              </w:rPr>
              <w:t xml:space="preserve"> van de OESO), dat eind 2024 is gepubliceerd. Dit onderzoek biedt inzicht in de basisvaardigheden van volwassenen in Nederland. Hieruit blijkt dat ongeveer 3 miljoen mensen in Nederland lage taal- en/of rekenvaardigheden hebben. Voor veel mensen geldt dat zij zowel moeite hebben met taal als rekenen, maar dat is niet voor iedereen het geval. In PIAAC worden digitale vaardigheden niet afzonderlijk gemeten, dus uitspraken over het exacte niveau van vaardigheden kunnen niet worden gedaan. Er zijn wel vragen gesteld over computergebruik en het gebruik van online toepassingen in het dagelijks leven. Vrijwel alle deelnemers aan het onderzoek gebruiken in het dagelijks leven digitale apparaten: minder dan 1% heeft nog nooit een smartphone, tablet of laptop gebruikt. Ook mensen die moeite hebben met taal- en of rekenvaardigheden gebruiken in veruit de meeste gevallen digitale apparaten (96,3%).  </w:t>
            </w:r>
          </w:p>
          <w:p w:rsidRPr="002A1F9A" w:rsidR="00AC209A" w:rsidRDefault="00AC209A" w14:paraId="220BA2A2" w14:textId="75861DED">
            <w:pPr>
              <w:rPr>
                <w:rFonts w:ascii="Verdana" w:hAnsi="Verdana"/>
                <w:sz w:val="18"/>
                <w:szCs w:val="18"/>
              </w:rPr>
            </w:pPr>
          </w:p>
        </w:tc>
        <w:tc>
          <w:tcPr>
            <w:tcW w:w="850" w:type="dxa"/>
          </w:tcPr>
          <w:p w:rsidRPr="002A1F9A" w:rsidR="001256CA" w:rsidRDefault="001856D0" w14:paraId="336AE39D"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26AAD1CF" w14:textId="77777777">
            <w:pPr>
              <w:jc w:val="right"/>
              <w:rPr>
                <w:rFonts w:ascii="Verdana" w:hAnsi="Verdana"/>
                <w:sz w:val="18"/>
                <w:szCs w:val="18"/>
              </w:rPr>
            </w:pPr>
            <w:r w:rsidRPr="002A1F9A">
              <w:rPr>
                <w:rFonts w:ascii="Verdana" w:hAnsi="Verdana"/>
                <w:sz w:val="18"/>
                <w:szCs w:val="18"/>
              </w:rPr>
              <w:t>65</w:t>
            </w:r>
          </w:p>
        </w:tc>
        <w:tc>
          <w:tcPr>
            <w:tcW w:w="567" w:type="dxa"/>
            <w:tcBorders>
              <w:left w:val="nil"/>
            </w:tcBorders>
          </w:tcPr>
          <w:p w:rsidRPr="002A1F9A" w:rsidR="001256CA" w:rsidRDefault="001856D0" w14:paraId="023FA88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34B6929" w14:textId="77777777">
        <w:tc>
          <w:tcPr>
            <w:tcW w:w="567" w:type="dxa"/>
          </w:tcPr>
          <w:p w:rsidRPr="002A1F9A" w:rsidR="001256CA" w:rsidRDefault="001856D0" w14:paraId="72A5128D" w14:textId="77777777">
            <w:pPr>
              <w:rPr>
                <w:rFonts w:ascii="Verdana" w:hAnsi="Verdana"/>
                <w:sz w:val="18"/>
                <w:szCs w:val="18"/>
              </w:rPr>
            </w:pPr>
            <w:r w:rsidRPr="002A1F9A">
              <w:rPr>
                <w:rFonts w:ascii="Verdana" w:hAnsi="Verdana"/>
                <w:sz w:val="18"/>
                <w:szCs w:val="18"/>
              </w:rPr>
              <w:t>148</w:t>
            </w:r>
          </w:p>
        </w:tc>
        <w:tc>
          <w:tcPr>
            <w:tcW w:w="6521" w:type="dxa"/>
          </w:tcPr>
          <w:p w:rsidRPr="002A1F9A" w:rsidR="001256CA" w:rsidRDefault="001856D0" w14:paraId="58AFB29B" w14:textId="77777777">
            <w:pPr>
              <w:rPr>
                <w:rFonts w:ascii="Verdana" w:hAnsi="Verdana"/>
                <w:sz w:val="18"/>
                <w:szCs w:val="18"/>
              </w:rPr>
            </w:pPr>
            <w:r w:rsidRPr="002A1F9A">
              <w:rPr>
                <w:rFonts w:ascii="Verdana" w:hAnsi="Verdana"/>
                <w:sz w:val="18"/>
                <w:szCs w:val="18"/>
              </w:rPr>
              <w:t>Kunt u een overzicht geven van aangekondigde reorganisaties op universiteiten en hogescholen voor de komende jaren en om hoeveel gedwongen ontslagen of niet verlengde contracten het hierbij gaat?</w:t>
            </w:r>
          </w:p>
          <w:p w:rsidRPr="002A1F9A" w:rsidR="00FE14A2" w:rsidRDefault="00FE14A2" w14:paraId="7A40156E" w14:textId="77777777">
            <w:pPr>
              <w:rPr>
                <w:rFonts w:ascii="Verdana" w:hAnsi="Verdana"/>
                <w:sz w:val="18"/>
                <w:szCs w:val="18"/>
              </w:rPr>
            </w:pPr>
          </w:p>
          <w:p w:rsidRPr="002A1F9A" w:rsidR="00FE14A2" w:rsidRDefault="00FE14A2" w14:paraId="41C59EB0" w14:textId="334EC0D6">
            <w:pPr>
              <w:rPr>
                <w:rFonts w:ascii="Verdana" w:hAnsi="Verdana"/>
                <w:sz w:val="18"/>
                <w:szCs w:val="18"/>
              </w:rPr>
            </w:pPr>
            <w:r w:rsidRPr="002A1F9A">
              <w:rPr>
                <w:rFonts w:ascii="Verdana" w:hAnsi="Verdana"/>
                <w:sz w:val="18"/>
                <w:szCs w:val="18"/>
              </w:rPr>
              <w:t xml:space="preserve">Het ministerie van </w:t>
            </w:r>
            <w:r w:rsidRPr="002A1F9A" w:rsidR="009A3C2E">
              <w:rPr>
                <w:rFonts w:ascii="Verdana" w:hAnsi="Verdana"/>
                <w:sz w:val="18"/>
                <w:szCs w:val="18"/>
              </w:rPr>
              <w:t>OCW</w:t>
            </w:r>
            <w:r w:rsidRPr="002A1F9A">
              <w:rPr>
                <w:rFonts w:ascii="Verdana" w:hAnsi="Verdana"/>
                <w:sz w:val="18"/>
                <w:szCs w:val="18"/>
              </w:rPr>
              <w:t xml:space="preserve"> beschikt niet over een overzicht van reorganisaties en gedwongen ontslagen van onderwijsinstellingen. Dit is namelijk geen informatie die aan het ministerie hoeft te worden gemeld. </w:t>
            </w:r>
            <w:r w:rsidRPr="002A1F9A">
              <w:rPr>
                <w:rFonts w:ascii="Verdana" w:hAnsi="Verdana"/>
                <w:sz w:val="18"/>
                <w:szCs w:val="18"/>
              </w:rPr>
              <w:br/>
            </w:r>
          </w:p>
        </w:tc>
        <w:tc>
          <w:tcPr>
            <w:tcW w:w="850" w:type="dxa"/>
          </w:tcPr>
          <w:p w:rsidRPr="002A1F9A" w:rsidR="001256CA" w:rsidRDefault="001856D0" w14:paraId="55659C5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362B2CEA" w14:textId="77777777">
            <w:pPr>
              <w:jc w:val="right"/>
              <w:rPr>
                <w:rFonts w:ascii="Verdana" w:hAnsi="Verdana"/>
                <w:sz w:val="18"/>
                <w:szCs w:val="18"/>
              </w:rPr>
            </w:pPr>
            <w:r w:rsidRPr="002A1F9A">
              <w:rPr>
                <w:rFonts w:ascii="Verdana" w:hAnsi="Verdana"/>
                <w:sz w:val="18"/>
                <w:szCs w:val="18"/>
              </w:rPr>
              <w:t>69</w:t>
            </w:r>
          </w:p>
        </w:tc>
        <w:tc>
          <w:tcPr>
            <w:tcW w:w="567" w:type="dxa"/>
            <w:tcBorders>
              <w:left w:val="nil"/>
            </w:tcBorders>
          </w:tcPr>
          <w:p w:rsidRPr="002A1F9A" w:rsidR="001256CA" w:rsidRDefault="001856D0" w14:paraId="3166E42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47E9C30D" w14:textId="77777777">
        <w:tc>
          <w:tcPr>
            <w:tcW w:w="567" w:type="dxa"/>
          </w:tcPr>
          <w:p w:rsidRPr="002A1F9A" w:rsidR="001256CA" w:rsidRDefault="001856D0" w14:paraId="0F0E1E31" w14:textId="77777777">
            <w:pPr>
              <w:rPr>
                <w:rFonts w:ascii="Verdana" w:hAnsi="Verdana"/>
                <w:sz w:val="18"/>
                <w:szCs w:val="18"/>
              </w:rPr>
            </w:pPr>
            <w:bookmarkStart w:name="_Hlk212648881" w:id="35"/>
            <w:r w:rsidRPr="002A1F9A">
              <w:rPr>
                <w:rFonts w:ascii="Verdana" w:hAnsi="Verdana"/>
                <w:sz w:val="18"/>
                <w:szCs w:val="18"/>
              </w:rPr>
              <w:t>149</w:t>
            </w:r>
          </w:p>
        </w:tc>
        <w:tc>
          <w:tcPr>
            <w:tcW w:w="6521" w:type="dxa"/>
          </w:tcPr>
          <w:p w:rsidRPr="002A1F9A" w:rsidR="001256CA" w:rsidRDefault="001856D0" w14:paraId="192E1921" w14:textId="77777777">
            <w:pPr>
              <w:rPr>
                <w:rFonts w:ascii="Verdana" w:hAnsi="Verdana"/>
                <w:sz w:val="18"/>
                <w:szCs w:val="18"/>
              </w:rPr>
            </w:pPr>
            <w:r w:rsidRPr="002A1F9A">
              <w:rPr>
                <w:rFonts w:ascii="Verdana" w:hAnsi="Verdana"/>
                <w:sz w:val="18"/>
                <w:szCs w:val="18"/>
              </w:rPr>
              <w:t>Hoeveel middelen worden in 2026 besteed aan de</w:t>
            </w:r>
            <w:r w:rsidRPr="002A1F9A" w:rsidR="00F72A22">
              <w:rPr>
                <w:rFonts w:ascii="Verdana" w:hAnsi="Verdana"/>
                <w:sz w:val="18"/>
                <w:szCs w:val="18"/>
              </w:rPr>
              <w:t xml:space="preserve"> NAPL</w:t>
            </w:r>
            <w:r w:rsidRPr="002A1F9A" w:rsidR="00F72A22">
              <w:rPr>
                <w:rStyle w:val="Voetnootmarkering"/>
                <w:rFonts w:ascii="Verdana" w:hAnsi="Verdana"/>
                <w:sz w:val="18"/>
                <w:szCs w:val="18"/>
              </w:rPr>
              <w:footnoteReference w:id="12"/>
            </w:r>
            <w:r w:rsidRPr="002A1F9A">
              <w:rPr>
                <w:rFonts w:ascii="Verdana" w:hAnsi="Verdana"/>
                <w:sz w:val="18"/>
                <w:szCs w:val="18"/>
              </w:rPr>
              <w:t xml:space="preserve"> en hoe wordt de effectiviteit hiervan gemonitord?</w:t>
            </w:r>
          </w:p>
          <w:p w:rsidRPr="002A1F9A" w:rsidR="00FE14A2" w:rsidRDefault="00FE14A2" w14:paraId="05A06267" w14:textId="77777777">
            <w:pPr>
              <w:rPr>
                <w:rFonts w:ascii="Verdana" w:hAnsi="Verdana"/>
                <w:sz w:val="18"/>
                <w:szCs w:val="18"/>
              </w:rPr>
            </w:pPr>
          </w:p>
          <w:p w:rsidRPr="002A1F9A" w:rsidR="00E96999" w:rsidP="00E96999" w:rsidRDefault="00E96999" w14:paraId="246FA2CA" w14:textId="77777777">
            <w:pPr>
              <w:rPr>
                <w:rFonts w:ascii="Verdana" w:hAnsi="Verdana"/>
                <w:sz w:val="18"/>
                <w:szCs w:val="16"/>
              </w:rPr>
            </w:pPr>
            <w:r w:rsidRPr="002A1F9A">
              <w:rPr>
                <w:rFonts w:ascii="Verdana" w:hAnsi="Verdana"/>
                <w:sz w:val="18"/>
                <w:szCs w:val="16"/>
              </w:rPr>
              <w:t xml:space="preserve">NAPL is een programma bekostigd vanuit het Nationaal Groeifonds (NGF). In de begroting van NAPL is in totaal € 73,1 miljoen beschikbaar voor de periode van 2024 tot en met 2027. In 2026 is een bedrag van € 16,3 miljoen gereserveerd voor de uitvoering van de NAPL. Deze middelen gaan in 2026 onder andere naar de subsidieregeling voor de co-creatielabs waarin professionaliseringsaanbod wordt ontwikkeld, getest en geëvalueerd. In het programma is sprake van geoormerkte budgetten en duidelijke kaders, die doorlopend gekoppeld zijn aan de doelen en vorderingen van het programma waarop aansluitend kasschuiven mogelijk zijn. </w:t>
            </w:r>
          </w:p>
          <w:p w:rsidRPr="002A1F9A" w:rsidR="00E96999" w:rsidP="00E96999" w:rsidRDefault="00E96999" w14:paraId="69C4DDF2" w14:textId="77777777">
            <w:pPr>
              <w:rPr>
                <w:rFonts w:ascii="Verdana" w:hAnsi="Verdana"/>
                <w:sz w:val="18"/>
                <w:szCs w:val="16"/>
              </w:rPr>
            </w:pPr>
          </w:p>
          <w:p w:rsidRPr="002A1F9A" w:rsidR="00E96999" w:rsidP="00E96999" w:rsidRDefault="00E96999" w14:paraId="40838074" w14:textId="77777777">
            <w:pPr>
              <w:rPr>
                <w:rFonts w:ascii="Verdana" w:hAnsi="Verdana"/>
                <w:sz w:val="18"/>
                <w:szCs w:val="16"/>
              </w:rPr>
            </w:pPr>
            <w:r w:rsidRPr="002A1F9A">
              <w:rPr>
                <w:rFonts w:ascii="Verdana" w:hAnsi="Verdana"/>
                <w:sz w:val="18"/>
                <w:szCs w:val="16"/>
              </w:rPr>
              <w:t xml:space="preserve">Middelen die in 2026 via de subsidieregeling voor de co-creatielabs worden verstrekt (€ 12 miljoen), kennen het regime van G2 verantwoording. Dit betekent onder andere dat de middelen alleen aan het subsidiabele doel besteed mogen worden en de activiteiten met voortgangsrapportages en eindrapportage worden gemonitord. </w:t>
            </w:r>
          </w:p>
          <w:p w:rsidRPr="002A1F9A" w:rsidR="00E96999" w:rsidP="00E96999" w:rsidRDefault="00E96999" w14:paraId="0FE3BF6E" w14:textId="77777777">
            <w:pPr>
              <w:rPr>
                <w:rFonts w:ascii="Verdana" w:hAnsi="Verdana"/>
                <w:sz w:val="18"/>
                <w:szCs w:val="16"/>
              </w:rPr>
            </w:pPr>
          </w:p>
          <w:p w:rsidRPr="002A1F9A" w:rsidR="00FE14A2" w:rsidP="00E96999" w:rsidRDefault="00E96999" w14:paraId="2BA8FE8A" w14:textId="2F3397E8">
            <w:pPr>
              <w:rPr>
                <w:rFonts w:ascii="Verdana" w:hAnsi="Verdana"/>
                <w:sz w:val="18"/>
                <w:szCs w:val="18"/>
              </w:rPr>
            </w:pPr>
            <w:r w:rsidRPr="002A1F9A">
              <w:rPr>
                <w:rFonts w:ascii="Verdana" w:hAnsi="Verdana"/>
                <w:sz w:val="18"/>
                <w:szCs w:val="16"/>
              </w:rPr>
              <w:t xml:space="preserve">Monitoring van de bestedingen en resultaten vindt op verschillende manieren plaats op basis van </w:t>
            </w:r>
            <w:proofErr w:type="spellStart"/>
            <w:r w:rsidRPr="002A1F9A">
              <w:rPr>
                <w:rFonts w:ascii="Verdana" w:hAnsi="Verdana"/>
                <w:sz w:val="18"/>
                <w:szCs w:val="16"/>
              </w:rPr>
              <w:t>Key</w:t>
            </w:r>
            <w:proofErr w:type="spellEnd"/>
            <w:r w:rsidRPr="002A1F9A">
              <w:rPr>
                <w:rFonts w:ascii="Verdana" w:hAnsi="Verdana"/>
                <w:sz w:val="18"/>
                <w:szCs w:val="16"/>
              </w:rPr>
              <w:t xml:space="preserve"> Performance Indicators die door het NGF zijn vastgesteld. Dit verloopt bijvoorbeeld via doorlopende monitoring op resultaten tijdens de looptijd, via effectonderzoek na afloop en via de jaarrapportage aan het NGF. Nieuwe informatie zal jaarlijks voor de zomer met uw Kamer worden gedeeld.</w:t>
            </w:r>
          </w:p>
        </w:tc>
        <w:tc>
          <w:tcPr>
            <w:tcW w:w="850" w:type="dxa"/>
          </w:tcPr>
          <w:p w:rsidRPr="002A1F9A" w:rsidR="001256CA" w:rsidRDefault="001856D0" w14:paraId="0D39CB9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7D439F44" w14:textId="77777777">
            <w:pPr>
              <w:jc w:val="right"/>
              <w:rPr>
                <w:rFonts w:ascii="Verdana" w:hAnsi="Verdana"/>
                <w:sz w:val="18"/>
                <w:szCs w:val="18"/>
              </w:rPr>
            </w:pPr>
            <w:r w:rsidRPr="002A1F9A">
              <w:rPr>
                <w:rFonts w:ascii="Verdana" w:hAnsi="Verdana"/>
                <w:sz w:val="18"/>
                <w:szCs w:val="18"/>
              </w:rPr>
              <w:t>73</w:t>
            </w:r>
          </w:p>
        </w:tc>
        <w:tc>
          <w:tcPr>
            <w:tcW w:w="567" w:type="dxa"/>
            <w:tcBorders>
              <w:left w:val="nil"/>
            </w:tcBorders>
          </w:tcPr>
          <w:p w:rsidRPr="002A1F9A" w:rsidR="001256CA" w:rsidRDefault="001856D0" w14:paraId="2641DDE1" w14:textId="77777777">
            <w:pPr>
              <w:jc w:val="right"/>
              <w:rPr>
                <w:rFonts w:ascii="Verdana" w:hAnsi="Verdana"/>
                <w:sz w:val="18"/>
                <w:szCs w:val="18"/>
              </w:rPr>
            </w:pPr>
            <w:r w:rsidRPr="002A1F9A">
              <w:rPr>
                <w:rFonts w:ascii="Verdana" w:hAnsi="Verdana"/>
                <w:sz w:val="18"/>
                <w:szCs w:val="18"/>
              </w:rPr>
              <w:t xml:space="preserve"> </w:t>
            </w:r>
          </w:p>
        </w:tc>
      </w:tr>
      <w:bookmarkEnd w:id="35"/>
      <w:tr w:rsidRPr="002A1F9A" w:rsidR="001256CA" w:rsidTr="00E7153D" w14:paraId="3E040025" w14:textId="77777777">
        <w:tc>
          <w:tcPr>
            <w:tcW w:w="567" w:type="dxa"/>
          </w:tcPr>
          <w:p w:rsidRPr="002A1F9A" w:rsidR="001256CA" w:rsidRDefault="001856D0" w14:paraId="6DEC9A0B" w14:textId="77777777">
            <w:pPr>
              <w:rPr>
                <w:rFonts w:ascii="Verdana" w:hAnsi="Verdana"/>
                <w:sz w:val="18"/>
                <w:szCs w:val="18"/>
              </w:rPr>
            </w:pPr>
            <w:r w:rsidRPr="002A1F9A">
              <w:rPr>
                <w:rFonts w:ascii="Verdana" w:hAnsi="Verdana"/>
                <w:sz w:val="18"/>
                <w:szCs w:val="18"/>
              </w:rPr>
              <w:lastRenderedPageBreak/>
              <w:t>150</w:t>
            </w:r>
          </w:p>
        </w:tc>
        <w:tc>
          <w:tcPr>
            <w:tcW w:w="6521" w:type="dxa"/>
          </w:tcPr>
          <w:p w:rsidRPr="002A1F9A" w:rsidR="001256CA" w:rsidRDefault="001856D0" w14:paraId="1EA09556" w14:textId="77777777">
            <w:pPr>
              <w:rPr>
                <w:rFonts w:ascii="Verdana" w:hAnsi="Verdana"/>
                <w:sz w:val="18"/>
                <w:szCs w:val="18"/>
              </w:rPr>
            </w:pPr>
            <w:r w:rsidRPr="002A1F9A">
              <w:rPr>
                <w:rFonts w:ascii="Verdana" w:hAnsi="Verdana"/>
                <w:sz w:val="18"/>
                <w:szCs w:val="18"/>
              </w:rPr>
              <w:t xml:space="preserve">Hoe heeft de verhouding tussen </w:t>
            </w:r>
            <w:proofErr w:type="spellStart"/>
            <w:r w:rsidRPr="002A1F9A">
              <w:rPr>
                <w:rFonts w:ascii="Verdana" w:hAnsi="Verdana"/>
                <w:sz w:val="18"/>
                <w:szCs w:val="18"/>
              </w:rPr>
              <w:t>onderzoeksfinanciering</w:t>
            </w:r>
            <w:proofErr w:type="spellEnd"/>
            <w:r w:rsidRPr="002A1F9A">
              <w:rPr>
                <w:rFonts w:ascii="Verdana" w:hAnsi="Verdana"/>
                <w:sz w:val="18"/>
                <w:szCs w:val="18"/>
              </w:rPr>
              <w:t xml:space="preserve"> vanuit het NWO</w:t>
            </w:r>
            <w:r w:rsidRPr="002A1F9A" w:rsidR="00F72A22">
              <w:rPr>
                <w:rStyle w:val="Voetnootmarkering"/>
                <w:rFonts w:ascii="Verdana" w:hAnsi="Verdana"/>
                <w:sz w:val="18"/>
                <w:szCs w:val="18"/>
              </w:rPr>
              <w:footnoteReference w:id="13"/>
            </w:r>
            <w:r w:rsidRPr="002A1F9A">
              <w:rPr>
                <w:rFonts w:ascii="Verdana" w:hAnsi="Verdana"/>
                <w:sz w:val="18"/>
                <w:szCs w:val="18"/>
              </w:rPr>
              <w:t xml:space="preserve"> en vanuit Europese programma’s als Horizon Europe zich de afgelopen tien jaar ontwikkeld?</w:t>
            </w:r>
          </w:p>
          <w:p w:rsidRPr="002A1F9A" w:rsidR="006776FB" w:rsidP="006776FB" w:rsidRDefault="006776FB" w14:paraId="1DE17138" w14:textId="77777777"/>
          <w:p w:rsidRPr="002A1F9A" w:rsidR="006776FB" w:rsidP="006776FB" w:rsidRDefault="006776FB" w14:paraId="3AD1BA18" w14:textId="727216CB">
            <w:pPr>
              <w:rPr>
                <w:rFonts w:ascii="Verdana" w:hAnsi="Verdana"/>
                <w:sz w:val="18"/>
                <w:szCs w:val="18"/>
              </w:rPr>
            </w:pPr>
            <w:r w:rsidRPr="002A1F9A">
              <w:rPr>
                <w:rFonts w:ascii="Verdana" w:hAnsi="Verdana"/>
                <w:sz w:val="18"/>
                <w:szCs w:val="18"/>
              </w:rPr>
              <w:t xml:space="preserve">De verhouding tussen de </w:t>
            </w:r>
            <w:proofErr w:type="spellStart"/>
            <w:r w:rsidRPr="002A1F9A">
              <w:rPr>
                <w:rFonts w:ascii="Verdana" w:hAnsi="Verdana"/>
                <w:sz w:val="18"/>
                <w:szCs w:val="18"/>
              </w:rPr>
              <w:t>onderzoeksfinanciering</w:t>
            </w:r>
            <w:proofErr w:type="spellEnd"/>
            <w:r w:rsidRPr="002A1F9A">
              <w:rPr>
                <w:rFonts w:ascii="Verdana" w:hAnsi="Verdana"/>
                <w:sz w:val="18"/>
                <w:szCs w:val="18"/>
              </w:rPr>
              <w:t xml:space="preserve"> vanuit NWO en door Nederlandse deelnemers ontvangen financiering vanuit de Europese kaderprogramma’s voor onderzoek en innovatie Horizon Europe (vanaf 2021) en Horizon 2020 (2014-2020), fluctueerde de afgelopen tien jaar sterk. Een reden hiervoor is dat NWO tweejaarlijkse subsidieronden hanteert. Gemiddeld genomen is deze verhouding de afgelopen tien jaar echter niet substantieel veranderd. In de periode 2015-2020 was de verhouding tussen de financiering ontvangen uit Horizon 2020 en toegekend door NWO respectievelijk 53% en 47%. In de periode 2021-2024 was de verhouding tussen de financiering van Horizon Europe en NWO 55% en 45%. Dit blijkt uit de jaarverslagen van NWO, waarin de subsidielasten verantwoord worden, en uit het Horizon Dashboard van de Europese Commissie, met extractie door het </w:t>
            </w:r>
            <w:proofErr w:type="spellStart"/>
            <w:r w:rsidRPr="002A1F9A">
              <w:rPr>
                <w:rFonts w:ascii="Verdana" w:hAnsi="Verdana"/>
                <w:sz w:val="18"/>
                <w:szCs w:val="18"/>
              </w:rPr>
              <w:t>Rathenau</w:t>
            </w:r>
            <w:proofErr w:type="spellEnd"/>
            <w:r w:rsidRPr="002A1F9A">
              <w:rPr>
                <w:rFonts w:ascii="Verdana" w:hAnsi="Verdana"/>
                <w:sz w:val="18"/>
                <w:szCs w:val="18"/>
              </w:rPr>
              <w:t xml:space="preserve"> Instituut. De totale </w:t>
            </w:r>
            <w:proofErr w:type="spellStart"/>
            <w:r w:rsidRPr="002A1F9A">
              <w:rPr>
                <w:rFonts w:ascii="Verdana" w:hAnsi="Verdana"/>
                <w:sz w:val="18"/>
                <w:szCs w:val="18"/>
              </w:rPr>
              <w:t>onderzoeksfinanciering</w:t>
            </w:r>
            <w:proofErr w:type="spellEnd"/>
            <w:r w:rsidRPr="002A1F9A">
              <w:rPr>
                <w:rFonts w:ascii="Verdana" w:hAnsi="Verdana"/>
                <w:sz w:val="18"/>
                <w:szCs w:val="18"/>
              </w:rPr>
              <w:t xml:space="preserve"> vanuit NWO en ontvangen uit Horizon 2020 en Horizon Europe is de afgelopen tien jaar wel toegenomen, door loon- en prijsbijstelling en investeringen van eerdere kabinetten en een toename van het totaalbudget van Horizon Europe ten opzichte van Horizon 2020. Daarnaast zijn er andere Europese programma’s die onderzoek financieren, maar waarbij </w:t>
            </w:r>
            <w:proofErr w:type="spellStart"/>
            <w:r w:rsidRPr="002A1F9A">
              <w:rPr>
                <w:rFonts w:ascii="Verdana" w:hAnsi="Verdana"/>
                <w:sz w:val="18"/>
                <w:szCs w:val="18"/>
              </w:rPr>
              <w:t>onderzoeksfinanciering</w:t>
            </w:r>
            <w:proofErr w:type="spellEnd"/>
            <w:r w:rsidRPr="002A1F9A">
              <w:rPr>
                <w:rFonts w:ascii="Verdana" w:hAnsi="Verdana"/>
                <w:sz w:val="18"/>
                <w:szCs w:val="18"/>
              </w:rPr>
              <w:t xml:space="preserve"> niet het primaire doel is, zoals Euratom. Hiervan zijn geen exacte cijfers bekend. </w:t>
            </w:r>
          </w:p>
          <w:p w:rsidRPr="002A1F9A" w:rsidR="006776FB" w:rsidRDefault="006776FB" w14:paraId="28DE8D69" w14:textId="53F17C8F">
            <w:pPr>
              <w:rPr>
                <w:rFonts w:ascii="Verdana" w:hAnsi="Verdana"/>
                <w:sz w:val="18"/>
                <w:szCs w:val="18"/>
              </w:rPr>
            </w:pPr>
          </w:p>
        </w:tc>
        <w:tc>
          <w:tcPr>
            <w:tcW w:w="850" w:type="dxa"/>
          </w:tcPr>
          <w:p w:rsidRPr="002A1F9A" w:rsidR="001256CA" w:rsidRDefault="001856D0" w14:paraId="7CE3C0E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86C0388" w14:textId="77777777">
            <w:pPr>
              <w:jc w:val="right"/>
              <w:rPr>
                <w:rFonts w:ascii="Verdana" w:hAnsi="Verdana"/>
                <w:sz w:val="18"/>
                <w:szCs w:val="18"/>
              </w:rPr>
            </w:pPr>
            <w:r w:rsidRPr="002A1F9A">
              <w:rPr>
                <w:rFonts w:ascii="Verdana" w:hAnsi="Verdana"/>
                <w:sz w:val="18"/>
                <w:szCs w:val="18"/>
              </w:rPr>
              <w:t>76</w:t>
            </w:r>
          </w:p>
        </w:tc>
        <w:tc>
          <w:tcPr>
            <w:tcW w:w="567" w:type="dxa"/>
            <w:tcBorders>
              <w:left w:val="nil"/>
            </w:tcBorders>
          </w:tcPr>
          <w:p w:rsidRPr="002A1F9A" w:rsidR="001256CA" w:rsidRDefault="001856D0" w14:paraId="72D05970"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B95BC00" w14:textId="77777777">
        <w:tc>
          <w:tcPr>
            <w:tcW w:w="567" w:type="dxa"/>
          </w:tcPr>
          <w:p w:rsidRPr="002A1F9A" w:rsidR="001256CA" w:rsidRDefault="001856D0" w14:paraId="3A8658FE" w14:textId="77777777">
            <w:pPr>
              <w:rPr>
                <w:rFonts w:ascii="Verdana" w:hAnsi="Verdana"/>
                <w:sz w:val="18"/>
                <w:szCs w:val="18"/>
              </w:rPr>
            </w:pPr>
            <w:r w:rsidRPr="002A1F9A">
              <w:rPr>
                <w:rFonts w:ascii="Verdana" w:hAnsi="Verdana"/>
                <w:sz w:val="18"/>
                <w:szCs w:val="18"/>
              </w:rPr>
              <w:t>151</w:t>
            </w:r>
          </w:p>
        </w:tc>
        <w:tc>
          <w:tcPr>
            <w:tcW w:w="6521" w:type="dxa"/>
          </w:tcPr>
          <w:p w:rsidRPr="002A1F9A" w:rsidR="001256CA" w:rsidRDefault="001856D0" w14:paraId="66C61B0C" w14:textId="77777777">
            <w:pPr>
              <w:rPr>
                <w:rFonts w:ascii="Verdana" w:hAnsi="Verdana"/>
                <w:sz w:val="18"/>
                <w:szCs w:val="18"/>
              </w:rPr>
            </w:pPr>
            <w:r w:rsidRPr="002A1F9A">
              <w:rPr>
                <w:rFonts w:ascii="Verdana" w:hAnsi="Verdana"/>
                <w:sz w:val="18"/>
                <w:szCs w:val="18"/>
              </w:rPr>
              <w:t>Hoe heeft de financiering vanuit het NWO zich de afgelopen tien jaar ontwikkeld ten aanzien van het aantal aan universiteiten werkzame onderzoekers en wat is de prognose hiervoor tot aan 2030?</w:t>
            </w:r>
          </w:p>
          <w:p w:rsidRPr="002A1F9A" w:rsidR="006776FB" w:rsidRDefault="006776FB" w14:paraId="38A6C79C" w14:textId="77777777">
            <w:pPr>
              <w:rPr>
                <w:rFonts w:ascii="Verdana" w:hAnsi="Verdana"/>
                <w:sz w:val="18"/>
                <w:szCs w:val="18"/>
              </w:rPr>
            </w:pPr>
          </w:p>
          <w:p w:rsidRPr="002A1F9A" w:rsidR="007F7133" w:rsidP="006776FB" w:rsidRDefault="006776FB" w14:paraId="1595692F" w14:textId="4984AB55">
            <w:pPr>
              <w:rPr>
                <w:rFonts w:ascii="Verdana" w:hAnsi="Verdana"/>
                <w:sz w:val="18"/>
                <w:szCs w:val="18"/>
              </w:rPr>
            </w:pPr>
            <w:r w:rsidRPr="002A1F9A">
              <w:rPr>
                <w:rFonts w:ascii="Verdana" w:hAnsi="Verdana"/>
                <w:sz w:val="18"/>
                <w:szCs w:val="18"/>
              </w:rPr>
              <w:t xml:space="preserve">Hieronder staan de baten die universiteiten uit contractonderzoek van NWO hebben ontvangen, naast de personeelsaantallen. De baten van universiteiten van NWO komen uit de DUO-rapportages op basis van de universitaire jaarrekeningen. Deze cijfers staan op de </w:t>
            </w:r>
            <w:hyperlink w:history="1" r:id="rId89">
              <w:r w:rsidRPr="002A1F9A">
                <w:rPr>
                  <w:rStyle w:val="Hyperlink"/>
                  <w:rFonts w:ascii="Verdana" w:hAnsi="Verdana"/>
                  <w:sz w:val="18"/>
                  <w:szCs w:val="18"/>
                </w:rPr>
                <w:t>website</w:t>
              </w:r>
            </w:hyperlink>
            <w:r w:rsidRPr="002A1F9A">
              <w:rPr>
                <w:rFonts w:ascii="Verdana" w:hAnsi="Verdana"/>
                <w:sz w:val="18"/>
                <w:szCs w:val="18"/>
              </w:rPr>
              <w:t xml:space="preserve"> van het </w:t>
            </w:r>
            <w:proofErr w:type="spellStart"/>
            <w:r w:rsidRPr="002A1F9A">
              <w:rPr>
                <w:rFonts w:ascii="Verdana" w:hAnsi="Verdana"/>
                <w:sz w:val="18"/>
                <w:szCs w:val="18"/>
              </w:rPr>
              <w:t>Rathenau</w:t>
            </w:r>
            <w:proofErr w:type="spellEnd"/>
            <w:r w:rsidRPr="002A1F9A">
              <w:rPr>
                <w:rFonts w:ascii="Verdana" w:hAnsi="Verdana"/>
                <w:sz w:val="18"/>
                <w:szCs w:val="18"/>
              </w:rPr>
              <w:t xml:space="preserve"> Instituut. Ook de omvang van het wetenschappelijk personeel staat op de </w:t>
            </w:r>
            <w:hyperlink w:history="1" r:id="rId90">
              <w:r w:rsidRPr="002A1F9A">
                <w:rPr>
                  <w:rStyle w:val="Hyperlink"/>
                  <w:rFonts w:ascii="Verdana" w:hAnsi="Verdana"/>
                  <w:sz w:val="18"/>
                  <w:szCs w:val="18"/>
                </w:rPr>
                <w:t>website</w:t>
              </w:r>
            </w:hyperlink>
            <w:r w:rsidRPr="002A1F9A">
              <w:rPr>
                <w:rFonts w:ascii="Verdana" w:hAnsi="Verdana"/>
                <w:sz w:val="18"/>
                <w:szCs w:val="18"/>
              </w:rPr>
              <w:t xml:space="preserve"> van het </w:t>
            </w:r>
            <w:proofErr w:type="spellStart"/>
            <w:r w:rsidRPr="002A1F9A">
              <w:rPr>
                <w:rFonts w:ascii="Verdana" w:hAnsi="Verdana"/>
                <w:sz w:val="18"/>
                <w:szCs w:val="18"/>
              </w:rPr>
              <w:t>Rathenau</w:t>
            </w:r>
            <w:proofErr w:type="spellEnd"/>
            <w:r w:rsidRPr="002A1F9A">
              <w:rPr>
                <w:rFonts w:ascii="Verdana" w:hAnsi="Verdana"/>
                <w:sz w:val="18"/>
                <w:szCs w:val="18"/>
              </w:rPr>
              <w:t xml:space="preserve"> Instituut. De vermelde omvang van het wetenschappelijk personeel is exclusief de zogenoemde HOOP-classificatie gezondheid. Dit betekent dat de personeelsgegevens alleen het personeel bevat uit de classificaties Economie, Gedrag en maatschappij en Onderwijs &amp; Techniek. De cijfers zijn afkomstig van het WOPI-bestand van UNL. Er is geen prognose beschikbaar ten aanzien van de toekomstige ontwikkeling van de omvang van het wetenschappelijk personeel en er is ook geen prognose beschikbaar van de toekomstige baten van universiteiten vanuit NWO. Het ligt in de rede dat de baten van universiteiten van NWO de komende jaren zullen afnemen, als gevolg van de bezuinigingen uit het hoofdlijnenakkoord. </w:t>
            </w:r>
          </w:p>
          <w:p w:rsidR="006776FB" w:rsidP="006776FB" w:rsidRDefault="006776FB" w14:paraId="79800A07" w14:textId="77777777">
            <w:pPr>
              <w:rPr>
                <w:rFonts w:ascii="Verdana" w:hAnsi="Verdana"/>
                <w:sz w:val="18"/>
                <w:szCs w:val="18"/>
              </w:rPr>
            </w:pPr>
          </w:p>
          <w:p w:rsidR="00124146" w:rsidP="006776FB" w:rsidRDefault="00124146" w14:paraId="29B99BCC" w14:textId="77777777">
            <w:pPr>
              <w:rPr>
                <w:rFonts w:ascii="Verdana" w:hAnsi="Verdana"/>
                <w:sz w:val="18"/>
                <w:szCs w:val="18"/>
              </w:rPr>
            </w:pPr>
          </w:p>
          <w:p w:rsidRPr="002A1F9A" w:rsidR="00124146" w:rsidP="006776FB" w:rsidRDefault="00124146" w14:paraId="583FADC3" w14:textId="77777777">
            <w:pPr>
              <w:rPr>
                <w:rFonts w:ascii="Verdana" w:hAnsi="Verdana"/>
                <w:sz w:val="18"/>
                <w:szCs w:val="18"/>
              </w:rPr>
            </w:pPr>
          </w:p>
          <w:tbl>
            <w:tblPr>
              <w:tblStyle w:val="Tabelraster"/>
              <w:tblW w:w="0" w:type="auto"/>
              <w:tblLook w:val="04A0" w:firstRow="1" w:lastRow="0" w:firstColumn="1" w:lastColumn="0" w:noHBand="0" w:noVBand="1"/>
            </w:tblPr>
            <w:tblGrid>
              <w:gridCol w:w="1627"/>
              <w:gridCol w:w="1628"/>
              <w:gridCol w:w="1705"/>
              <w:gridCol w:w="1551"/>
            </w:tblGrid>
            <w:tr w:rsidRPr="002A1F9A" w:rsidR="00025018" w:rsidTr="00025018" w14:paraId="77260F56" w14:textId="77777777">
              <w:tc>
                <w:tcPr>
                  <w:tcW w:w="1627" w:type="dxa"/>
                </w:tcPr>
                <w:p w:rsidRPr="002A1F9A" w:rsidR="00025018" w:rsidP="00025018" w:rsidRDefault="00025018" w14:paraId="6B1A3730" w14:textId="71CB9E86">
                  <w:pPr>
                    <w:rPr>
                      <w:rFonts w:ascii="Verdana" w:hAnsi="Verdana"/>
                      <w:sz w:val="18"/>
                      <w:szCs w:val="18"/>
                    </w:rPr>
                  </w:pPr>
                  <w:r w:rsidRPr="002A1F9A">
                    <w:rPr>
                      <w:rFonts w:ascii="Verdana" w:hAnsi="Verdana"/>
                      <w:b/>
                      <w:bCs/>
                      <w:sz w:val="14"/>
                      <w:szCs w:val="14"/>
                    </w:rPr>
                    <w:t>Jaar</w:t>
                  </w:r>
                </w:p>
              </w:tc>
              <w:tc>
                <w:tcPr>
                  <w:tcW w:w="1628" w:type="dxa"/>
                </w:tcPr>
                <w:p w:rsidRPr="002A1F9A" w:rsidR="00025018" w:rsidP="00025018" w:rsidRDefault="00025018" w14:paraId="67C41B2E" w14:textId="76AED5D2">
                  <w:pPr>
                    <w:rPr>
                      <w:rFonts w:ascii="Verdana" w:hAnsi="Verdana"/>
                      <w:sz w:val="18"/>
                      <w:szCs w:val="18"/>
                    </w:rPr>
                  </w:pPr>
                  <w:r w:rsidRPr="002A1F9A">
                    <w:rPr>
                      <w:rFonts w:ascii="Verdana" w:hAnsi="Verdana"/>
                      <w:b/>
                      <w:bCs/>
                      <w:sz w:val="14"/>
                      <w:szCs w:val="14"/>
                    </w:rPr>
                    <w:t xml:space="preserve">Totaal </w:t>
                  </w:r>
                  <w:r w:rsidRPr="002A1F9A" w:rsidR="003D1FB7">
                    <w:rPr>
                      <w:rFonts w:ascii="Verdana" w:hAnsi="Verdana"/>
                      <w:b/>
                      <w:bCs/>
                      <w:sz w:val="14"/>
                      <w:szCs w:val="14"/>
                    </w:rPr>
                    <w:t xml:space="preserve">wetenschappelijk personeel </w:t>
                  </w:r>
                  <w:r w:rsidRPr="002A1F9A">
                    <w:rPr>
                      <w:rFonts w:ascii="Verdana" w:hAnsi="Verdana"/>
                      <w:b/>
                      <w:bCs/>
                      <w:sz w:val="14"/>
                      <w:szCs w:val="14"/>
                    </w:rPr>
                    <w:t xml:space="preserve">in fte </w:t>
                  </w:r>
                </w:p>
              </w:tc>
              <w:tc>
                <w:tcPr>
                  <w:tcW w:w="1705" w:type="dxa"/>
                </w:tcPr>
                <w:p w:rsidRPr="002A1F9A" w:rsidR="00025018" w:rsidP="00025018" w:rsidRDefault="00025018" w14:paraId="69539F88" w14:textId="6E429B53">
                  <w:pPr>
                    <w:rPr>
                      <w:rFonts w:ascii="Verdana" w:hAnsi="Verdana"/>
                      <w:sz w:val="18"/>
                      <w:szCs w:val="18"/>
                    </w:rPr>
                  </w:pPr>
                  <w:r w:rsidRPr="002A1F9A">
                    <w:rPr>
                      <w:rFonts w:ascii="Verdana" w:hAnsi="Verdana"/>
                      <w:b/>
                      <w:bCs/>
                      <w:sz w:val="14"/>
                      <w:szCs w:val="14"/>
                    </w:rPr>
                    <w:t xml:space="preserve">Baten universiteiten van NWO x 1 € miljoen </w:t>
                  </w:r>
                </w:p>
              </w:tc>
              <w:tc>
                <w:tcPr>
                  <w:tcW w:w="1551" w:type="dxa"/>
                </w:tcPr>
                <w:p w:rsidRPr="002A1F9A" w:rsidR="00025018" w:rsidP="00025018" w:rsidRDefault="00025018" w14:paraId="481C0CDB" w14:textId="3F2AE4B7">
                  <w:pPr>
                    <w:rPr>
                      <w:rFonts w:ascii="Verdana" w:hAnsi="Verdana"/>
                      <w:sz w:val="18"/>
                      <w:szCs w:val="18"/>
                    </w:rPr>
                  </w:pPr>
                  <w:r w:rsidRPr="002A1F9A">
                    <w:rPr>
                      <w:rFonts w:ascii="Verdana" w:hAnsi="Verdana"/>
                      <w:b/>
                      <w:bCs/>
                      <w:sz w:val="14"/>
                      <w:szCs w:val="14"/>
                    </w:rPr>
                    <w:t>Baten per</w:t>
                  </w:r>
                  <w:r w:rsidRPr="002A1F9A" w:rsidR="003D1FB7">
                    <w:rPr>
                      <w:rFonts w:ascii="Verdana" w:hAnsi="Verdana"/>
                      <w:b/>
                      <w:bCs/>
                      <w:sz w:val="14"/>
                      <w:szCs w:val="14"/>
                    </w:rPr>
                    <w:t xml:space="preserve"> fte </w:t>
                  </w:r>
                  <w:r w:rsidRPr="002A1F9A">
                    <w:rPr>
                      <w:rFonts w:ascii="Verdana" w:hAnsi="Verdana"/>
                      <w:b/>
                      <w:bCs/>
                      <w:sz w:val="14"/>
                      <w:szCs w:val="14"/>
                    </w:rPr>
                    <w:t>x € 1 duizend</w:t>
                  </w:r>
                </w:p>
              </w:tc>
            </w:tr>
            <w:tr w:rsidRPr="002A1F9A" w:rsidR="00025018" w:rsidTr="00025018" w14:paraId="7D4A1CF7" w14:textId="77777777">
              <w:tc>
                <w:tcPr>
                  <w:tcW w:w="1627" w:type="dxa"/>
                </w:tcPr>
                <w:p w:rsidRPr="002A1F9A" w:rsidR="00025018" w:rsidP="00025018" w:rsidRDefault="00025018" w14:paraId="3704F9F6" w14:textId="1CF8004A">
                  <w:pPr>
                    <w:rPr>
                      <w:rFonts w:ascii="Verdana" w:hAnsi="Verdana"/>
                      <w:sz w:val="18"/>
                      <w:szCs w:val="18"/>
                    </w:rPr>
                  </w:pPr>
                  <w:r w:rsidRPr="002A1F9A">
                    <w:rPr>
                      <w:rFonts w:ascii="Verdana" w:hAnsi="Verdana"/>
                      <w:sz w:val="14"/>
                      <w:szCs w:val="14"/>
                    </w:rPr>
                    <w:t>2013</w:t>
                  </w:r>
                </w:p>
              </w:tc>
              <w:tc>
                <w:tcPr>
                  <w:tcW w:w="1628" w:type="dxa"/>
                </w:tcPr>
                <w:p w:rsidRPr="002A1F9A" w:rsidR="00025018" w:rsidP="00025018" w:rsidRDefault="00025018" w14:paraId="54F624F0" w14:textId="712FD72B">
                  <w:pPr>
                    <w:rPr>
                      <w:rFonts w:ascii="Verdana" w:hAnsi="Verdana"/>
                      <w:sz w:val="18"/>
                      <w:szCs w:val="18"/>
                    </w:rPr>
                  </w:pPr>
                  <w:r w:rsidRPr="002A1F9A">
                    <w:rPr>
                      <w:rFonts w:ascii="Verdana" w:hAnsi="Verdana"/>
                      <w:sz w:val="14"/>
                      <w:szCs w:val="14"/>
                    </w:rPr>
                    <w:t>23.470</w:t>
                  </w:r>
                </w:p>
              </w:tc>
              <w:tc>
                <w:tcPr>
                  <w:tcW w:w="1705" w:type="dxa"/>
                </w:tcPr>
                <w:p w:rsidRPr="002A1F9A" w:rsidR="00025018" w:rsidP="00025018" w:rsidRDefault="00025018" w14:paraId="01F3EB79" w14:textId="535E86FA">
                  <w:pPr>
                    <w:rPr>
                      <w:rFonts w:ascii="Verdana" w:hAnsi="Verdana"/>
                      <w:sz w:val="18"/>
                      <w:szCs w:val="18"/>
                    </w:rPr>
                  </w:pPr>
                  <w:r w:rsidRPr="002A1F9A">
                    <w:rPr>
                      <w:rFonts w:ascii="Verdana" w:hAnsi="Verdana"/>
                      <w:sz w:val="14"/>
                      <w:szCs w:val="14"/>
                    </w:rPr>
                    <w:t>422,9</w:t>
                  </w:r>
                </w:p>
              </w:tc>
              <w:tc>
                <w:tcPr>
                  <w:tcW w:w="1551" w:type="dxa"/>
                  <w:vAlign w:val="bottom"/>
                </w:tcPr>
                <w:p w:rsidRPr="002A1F9A" w:rsidR="00025018" w:rsidP="00025018" w:rsidRDefault="00025018" w14:paraId="059D4419" w14:textId="6C6D167C">
                  <w:pPr>
                    <w:rPr>
                      <w:rFonts w:ascii="Verdana" w:hAnsi="Verdana"/>
                      <w:sz w:val="18"/>
                      <w:szCs w:val="18"/>
                    </w:rPr>
                  </w:pPr>
                  <w:r w:rsidRPr="002A1F9A">
                    <w:rPr>
                      <w:rFonts w:ascii="Verdana" w:hAnsi="Verdana"/>
                      <w:color w:val="000000"/>
                      <w:sz w:val="14"/>
                      <w:szCs w:val="14"/>
                    </w:rPr>
                    <w:t>18,0</w:t>
                  </w:r>
                </w:p>
              </w:tc>
            </w:tr>
            <w:tr w:rsidRPr="002A1F9A" w:rsidR="00025018" w:rsidTr="00025018" w14:paraId="448114DB" w14:textId="77777777">
              <w:tc>
                <w:tcPr>
                  <w:tcW w:w="1627" w:type="dxa"/>
                </w:tcPr>
                <w:p w:rsidRPr="002A1F9A" w:rsidR="00025018" w:rsidP="00025018" w:rsidRDefault="00025018" w14:paraId="1F46352C" w14:textId="300481F1">
                  <w:pPr>
                    <w:rPr>
                      <w:rFonts w:ascii="Verdana" w:hAnsi="Verdana"/>
                      <w:sz w:val="18"/>
                      <w:szCs w:val="18"/>
                    </w:rPr>
                  </w:pPr>
                  <w:r w:rsidRPr="002A1F9A">
                    <w:rPr>
                      <w:rFonts w:ascii="Verdana" w:hAnsi="Verdana"/>
                      <w:sz w:val="14"/>
                      <w:szCs w:val="14"/>
                    </w:rPr>
                    <w:t>2014</w:t>
                  </w:r>
                </w:p>
              </w:tc>
              <w:tc>
                <w:tcPr>
                  <w:tcW w:w="1628" w:type="dxa"/>
                </w:tcPr>
                <w:p w:rsidRPr="002A1F9A" w:rsidR="00025018" w:rsidP="00025018" w:rsidRDefault="00025018" w14:paraId="63729081" w14:textId="37F9CDCC">
                  <w:pPr>
                    <w:rPr>
                      <w:rFonts w:ascii="Verdana" w:hAnsi="Verdana"/>
                      <w:sz w:val="18"/>
                      <w:szCs w:val="18"/>
                    </w:rPr>
                  </w:pPr>
                  <w:r w:rsidRPr="002A1F9A">
                    <w:rPr>
                      <w:rFonts w:ascii="Verdana" w:hAnsi="Verdana"/>
                      <w:sz w:val="14"/>
                      <w:szCs w:val="14"/>
                    </w:rPr>
                    <w:t>23.840</w:t>
                  </w:r>
                </w:p>
              </w:tc>
              <w:tc>
                <w:tcPr>
                  <w:tcW w:w="1705" w:type="dxa"/>
                </w:tcPr>
                <w:p w:rsidRPr="002A1F9A" w:rsidR="00025018" w:rsidP="00025018" w:rsidRDefault="00025018" w14:paraId="3D1E958E" w14:textId="0558DD62">
                  <w:pPr>
                    <w:rPr>
                      <w:rFonts w:ascii="Verdana" w:hAnsi="Verdana"/>
                      <w:sz w:val="18"/>
                      <w:szCs w:val="18"/>
                    </w:rPr>
                  </w:pPr>
                  <w:r w:rsidRPr="002A1F9A">
                    <w:rPr>
                      <w:rFonts w:ascii="Verdana" w:hAnsi="Verdana"/>
                      <w:sz w:val="14"/>
                      <w:szCs w:val="14"/>
                    </w:rPr>
                    <w:t>414,6</w:t>
                  </w:r>
                </w:p>
              </w:tc>
              <w:tc>
                <w:tcPr>
                  <w:tcW w:w="1551" w:type="dxa"/>
                  <w:vAlign w:val="bottom"/>
                </w:tcPr>
                <w:p w:rsidRPr="002A1F9A" w:rsidR="00025018" w:rsidP="00025018" w:rsidRDefault="00025018" w14:paraId="595C499E" w14:textId="3D31BD03">
                  <w:pPr>
                    <w:rPr>
                      <w:rFonts w:ascii="Verdana" w:hAnsi="Verdana"/>
                      <w:sz w:val="18"/>
                      <w:szCs w:val="18"/>
                    </w:rPr>
                  </w:pPr>
                  <w:r w:rsidRPr="002A1F9A">
                    <w:rPr>
                      <w:rFonts w:ascii="Verdana" w:hAnsi="Verdana"/>
                      <w:color w:val="000000"/>
                      <w:sz w:val="14"/>
                      <w:szCs w:val="14"/>
                    </w:rPr>
                    <w:t>17,4</w:t>
                  </w:r>
                </w:p>
              </w:tc>
            </w:tr>
            <w:tr w:rsidRPr="002A1F9A" w:rsidR="00025018" w:rsidTr="00025018" w14:paraId="623723DE" w14:textId="77777777">
              <w:tc>
                <w:tcPr>
                  <w:tcW w:w="1627" w:type="dxa"/>
                </w:tcPr>
                <w:p w:rsidRPr="002A1F9A" w:rsidR="00025018" w:rsidP="00025018" w:rsidRDefault="00025018" w14:paraId="2709E2F6" w14:textId="382CEFB6">
                  <w:pPr>
                    <w:rPr>
                      <w:rFonts w:ascii="Verdana" w:hAnsi="Verdana"/>
                      <w:sz w:val="18"/>
                      <w:szCs w:val="18"/>
                    </w:rPr>
                  </w:pPr>
                  <w:r w:rsidRPr="002A1F9A">
                    <w:rPr>
                      <w:rFonts w:ascii="Verdana" w:hAnsi="Verdana"/>
                      <w:sz w:val="14"/>
                      <w:szCs w:val="14"/>
                    </w:rPr>
                    <w:t>2015</w:t>
                  </w:r>
                </w:p>
              </w:tc>
              <w:tc>
                <w:tcPr>
                  <w:tcW w:w="1628" w:type="dxa"/>
                </w:tcPr>
                <w:p w:rsidRPr="002A1F9A" w:rsidR="00025018" w:rsidP="00025018" w:rsidRDefault="00025018" w14:paraId="4154C332" w14:textId="2EF4E7DE">
                  <w:pPr>
                    <w:rPr>
                      <w:rFonts w:ascii="Verdana" w:hAnsi="Verdana"/>
                      <w:sz w:val="18"/>
                      <w:szCs w:val="18"/>
                    </w:rPr>
                  </w:pPr>
                  <w:r w:rsidRPr="002A1F9A">
                    <w:rPr>
                      <w:rFonts w:ascii="Verdana" w:hAnsi="Verdana"/>
                      <w:sz w:val="14"/>
                      <w:szCs w:val="14"/>
                    </w:rPr>
                    <w:t>24.222</w:t>
                  </w:r>
                </w:p>
              </w:tc>
              <w:tc>
                <w:tcPr>
                  <w:tcW w:w="1705" w:type="dxa"/>
                </w:tcPr>
                <w:p w:rsidRPr="002A1F9A" w:rsidR="00025018" w:rsidP="00025018" w:rsidRDefault="00025018" w14:paraId="6BD1281B" w14:textId="047005D2">
                  <w:pPr>
                    <w:rPr>
                      <w:rFonts w:ascii="Verdana" w:hAnsi="Verdana"/>
                      <w:sz w:val="18"/>
                      <w:szCs w:val="18"/>
                    </w:rPr>
                  </w:pPr>
                  <w:r w:rsidRPr="002A1F9A">
                    <w:rPr>
                      <w:rFonts w:ascii="Verdana" w:hAnsi="Verdana"/>
                      <w:sz w:val="14"/>
                      <w:szCs w:val="14"/>
                    </w:rPr>
                    <w:t>420,5</w:t>
                  </w:r>
                </w:p>
              </w:tc>
              <w:tc>
                <w:tcPr>
                  <w:tcW w:w="1551" w:type="dxa"/>
                  <w:vAlign w:val="bottom"/>
                </w:tcPr>
                <w:p w:rsidRPr="002A1F9A" w:rsidR="00025018" w:rsidP="00025018" w:rsidRDefault="00025018" w14:paraId="51FC96EF" w14:textId="589BF86B">
                  <w:pPr>
                    <w:rPr>
                      <w:rFonts w:ascii="Verdana" w:hAnsi="Verdana"/>
                      <w:sz w:val="18"/>
                      <w:szCs w:val="18"/>
                    </w:rPr>
                  </w:pPr>
                  <w:r w:rsidRPr="002A1F9A">
                    <w:rPr>
                      <w:rFonts w:ascii="Verdana" w:hAnsi="Verdana"/>
                      <w:color w:val="000000"/>
                      <w:sz w:val="14"/>
                      <w:szCs w:val="14"/>
                    </w:rPr>
                    <w:t>17,4</w:t>
                  </w:r>
                </w:p>
              </w:tc>
            </w:tr>
            <w:tr w:rsidRPr="002A1F9A" w:rsidR="00025018" w:rsidTr="00025018" w14:paraId="6E8B2244" w14:textId="77777777">
              <w:tc>
                <w:tcPr>
                  <w:tcW w:w="1627" w:type="dxa"/>
                </w:tcPr>
                <w:p w:rsidRPr="002A1F9A" w:rsidR="00025018" w:rsidP="00025018" w:rsidRDefault="00025018" w14:paraId="7867DBB4" w14:textId="72960460">
                  <w:pPr>
                    <w:rPr>
                      <w:rFonts w:ascii="Verdana" w:hAnsi="Verdana"/>
                      <w:sz w:val="18"/>
                      <w:szCs w:val="18"/>
                    </w:rPr>
                  </w:pPr>
                  <w:r w:rsidRPr="002A1F9A">
                    <w:rPr>
                      <w:rFonts w:ascii="Verdana" w:hAnsi="Verdana"/>
                      <w:sz w:val="14"/>
                      <w:szCs w:val="14"/>
                    </w:rPr>
                    <w:lastRenderedPageBreak/>
                    <w:t>2016</w:t>
                  </w:r>
                </w:p>
              </w:tc>
              <w:tc>
                <w:tcPr>
                  <w:tcW w:w="1628" w:type="dxa"/>
                </w:tcPr>
                <w:p w:rsidRPr="002A1F9A" w:rsidR="00025018" w:rsidP="00025018" w:rsidRDefault="00025018" w14:paraId="43648359" w14:textId="0032B91C">
                  <w:pPr>
                    <w:rPr>
                      <w:rFonts w:ascii="Verdana" w:hAnsi="Verdana"/>
                      <w:sz w:val="18"/>
                      <w:szCs w:val="18"/>
                    </w:rPr>
                  </w:pPr>
                  <w:r w:rsidRPr="002A1F9A">
                    <w:rPr>
                      <w:rFonts w:ascii="Verdana" w:hAnsi="Verdana"/>
                      <w:sz w:val="14"/>
                      <w:szCs w:val="14"/>
                    </w:rPr>
                    <w:t>24.848</w:t>
                  </w:r>
                </w:p>
              </w:tc>
              <w:tc>
                <w:tcPr>
                  <w:tcW w:w="1705" w:type="dxa"/>
                </w:tcPr>
                <w:p w:rsidRPr="002A1F9A" w:rsidR="00025018" w:rsidP="00025018" w:rsidRDefault="00025018" w14:paraId="020FCA06" w14:textId="34F41FBE">
                  <w:pPr>
                    <w:rPr>
                      <w:rFonts w:ascii="Verdana" w:hAnsi="Verdana"/>
                      <w:sz w:val="18"/>
                      <w:szCs w:val="18"/>
                    </w:rPr>
                  </w:pPr>
                  <w:r w:rsidRPr="002A1F9A">
                    <w:rPr>
                      <w:rFonts w:ascii="Verdana" w:hAnsi="Verdana"/>
                      <w:sz w:val="14"/>
                      <w:szCs w:val="14"/>
                    </w:rPr>
                    <w:t>431,5</w:t>
                  </w:r>
                </w:p>
              </w:tc>
              <w:tc>
                <w:tcPr>
                  <w:tcW w:w="1551" w:type="dxa"/>
                  <w:vAlign w:val="bottom"/>
                </w:tcPr>
                <w:p w:rsidRPr="002A1F9A" w:rsidR="00025018" w:rsidP="00025018" w:rsidRDefault="00025018" w14:paraId="32C5EFBE" w14:textId="14729B30">
                  <w:pPr>
                    <w:rPr>
                      <w:rFonts w:ascii="Verdana" w:hAnsi="Verdana"/>
                      <w:sz w:val="18"/>
                      <w:szCs w:val="18"/>
                    </w:rPr>
                  </w:pPr>
                  <w:r w:rsidRPr="002A1F9A">
                    <w:rPr>
                      <w:rFonts w:ascii="Verdana" w:hAnsi="Verdana"/>
                      <w:color w:val="000000"/>
                      <w:sz w:val="14"/>
                      <w:szCs w:val="14"/>
                    </w:rPr>
                    <w:t>17,4</w:t>
                  </w:r>
                </w:p>
              </w:tc>
            </w:tr>
            <w:tr w:rsidRPr="002A1F9A" w:rsidR="00025018" w:rsidTr="00025018" w14:paraId="20345994" w14:textId="77777777">
              <w:tc>
                <w:tcPr>
                  <w:tcW w:w="1627" w:type="dxa"/>
                </w:tcPr>
                <w:p w:rsidRPr="002A1F9A" w:rsidR="00025018" w:rsidP="00025018" w:rsidRDefault="00025018" w14:paraId="6AAE7E2A" w14:textId="0BB8362A">
                  <w:pPr>
                    <w:rPr>
                      <w:rFonts w:ascii="Verdana" w:hAnsi="Verdana"/>
                      <w:sz w:val="18"/>
                      <w:szCs w:val="18"/>
                    </w:rPr>
                  </w:pPr>
                  <w:r w:rsidRPr="002A1F9A">
                    <w:rPr>
                      <w:rFonts w:ascii="Verdana" w:hAnsi="Verdana"/>
                      <w:sz w:val="14"/>
                      <w:szCs w:val="14"/>
                    </w:rPr>
                    <w:t>2017</w:t>
                  </w:r>
                </w:p>
              </w:tc>
              <w:tc>
                <w:tcPr>
                  <w:tcW w:w="1628" w:type="dxa"/>
                </w:tcPr>
                <w:p w:rsidRPr="002A1F9A" w:rsidR="00025018" w:rsidP="00025018" w:rsidRDefault="00025018" w14:paraId="432B0E03" w14:textId="3502A5CD">
                  <w:pPr>
                    <w:rPr>
                      <w:rFonts w:ascii="Verdana" w:hAnsi="Verdana"/>
                      <w:sz w:val="18"/>
                      <w:szCs w:val="18"/>
                    </w:rPr>
                  </w:pPr>
                  <w:r w:rsidRPr="002A1F9A">
                    <w:rPr>
                      <w:rFonts w:ascii="Verdana" w:hAnsi="Verdana"/>
                      <w:sz w:val="14"/>
                      <w:szCs w:val="14"/>
                    </w:rPr>
                    <w:t>25.482</w:t>
                  </w:r>
                </w:p>
              </w:tc>
              <w:tc>
                <w:tcPr>
                  <w:tcW w:w="1705" w:type="dxa"/>
                </w:tcPr>
                <w:p w:rsidRPr="002A1F9A" w:rsidR="00025018" w:rsidP="00025018" w:rsidRDefault="00025018" w14:paraId="65C5737C" w14:textId="419F7A52">
                  <w:pPr>
                    <w:rPr>
                      <w:rFonts w:ascii="Verdana" w:hAnsi="Verdana"/>
                      <w:sz w:val="18"/>
                      <w:szCs w:val="18"/>
                    </w:rPr>
                  </w:pPr>
                  <w:r w:rsidRPr="002A1F9A">
                    <w:rPr>
                      <w:rFonts w:ascii="Verdana" w:hAnsi="Verdana"/>
                      <w:sz w:val="14"/>
                      <w:szCs w:val="14"/>
                    </w:rPr>
                    <w:t>438,5</w:t>
                  </w:r>
                </w:p>
              </w:tc>
              <w:tc>
                <w:tcPr>
                  <w:tcW w:w="1551" w:type="dxa"/>
                  <w:vAlign w:val="bottom"/>
                </w:tcPr>
                <w:p w:rsidRPr="002A1F9A" w:rsidR="00025018" w:rsidP="00025018" w:rsidRDefault="00025018" w14:paraId="62EC598D" w14:textId="1E247541">
                  <w:pPr>
                    <w:rPr>
                      <w:rFonts w:ascii="Verdana" w:hAnsi="Verdana"/>
                      <w:sz w:val="18"/>
                      <w:szCs w:val="18"/>
                    </w:rPr>
                  </w:pPr>
                  <w:r w:rsidRPr="002A1F9A">
                    <w:rPr>
                      <w:rFonts w:ascii="Verdana" w:hAnsi="Verdana"/>
                      <w:color w:val="000000"/>
                      <w:sz w:val="14"/>
                      <w:szCs w:val="14"/>
                    </w:rPr>
                    <w:t>17,2</w:t>
                  </w:r>
                </w:p>
              </w:tc>
            </w:tr>
            <w:tr w:rsidRPr="002A1F9A" w:rsidR="00025018" w:rsidTr="00025018" w14:paraId="00AB6A85" w14:textId="77777777">
              <w:tc>
                <w:tcPr>
                  <w:tcW w:w="1627" w:type="dxa"/>
                </w:tcPr>
                <w:p w:rsidRPr="002A1F9A" w:rsidR="00025018" w:rsidP="00025018" w:rsidRDefault="00025018" w14:paraId="0A275806" w14:textId="77B313CE">
                  <w:pPr>
                    <w:rPr>
                      <w:rFonts w:ascii="Verdana" w:hAnsi="Verdana"/>
                      <w:sz w:val="18"/>
                      <w:szCs w:val="18"/>
                    </w:rPr>
                  </w:pPr>
                  <w:r w:rsidRPr="002A1F9A">
                    <w:rPr>
                      <w:rFonts w:ascii="Verdana" w:hAnsi="Verdana"/>
                      <w:sz w:val="14"/>
                      <w:szCs w:val="14"/>
                    </w:rPr>
                    <w:t>2018</w:t>
                  </w:r>
                </w:p>
              </w:tc>
              <w:tc>
                <w:tcPr>
                  <w:tcW w:w="1628" w:type="dxa"/>
                </w:tcPr>
                <w:p w:rsidRPr="002A1F9A" w:rsidR="00025018" w:rsidP="00025018" w:rsidRDefault="00025018" w14:paraId="2268825F" w14:textId="2C0BB3D5">
                  <w:pPr>
                    <w:rPr>
                      <w:rFonts w:ascii="Verdana" w:hAnsi="Verdana"/>
                      <w:sz w:val="18"/>
                      <w:szCs w:val="18"/>
                    </w:rPr>
                  </w:pPr>
                  <w:r w:rsidRPr="002A1F9A">
                    <w:rPr>
                      <w:rFonts w:ascii="Verdana" w:hAnsi="Verdana"/>
                      <w:sz w:val="14"/>
                      <w:szCs w:val="14"/>
                    </w:rPr>
                    <w:t>25.991</w:t>
                  </w:r>
                </w:p>
              </w:tc>
              <w:tc>
                <w:tcPr>
                  <w:tcW w:w="1705" w:type="dxa"/>
                </w:tcPr>
                <w:p w:rsidRPr="002A1F9A" w:rsidR="00025018" w:rsidP="00025018" w:rsidRDefault="00025018" w14:paraId="1E5E4617" w14:textId="57FEBEBB">
                  <w:pPr>
                    <w:rPr>
                      <w:rFonts w:ascii="Verdana" w:hAnsi="Verdana"/>
                      <w:sz w:val="18"/>
                      <w:szCs w:val="18"/>
                    </w:rPr>
                  </w:pPr>
                  <w:r w:rsidRPr="002A1F9A">
                    <w:rPr>
                      <w:rFonts w:ascii="Verdana" w:hAnsi="Verdana"/>
                      <w:sz w:val="14"/>
                      <w:szCs w:val="14"/>
                    </w:rPr>
                    <w:t>456,7</w:t>
                  </w:r>
                </w:p>
              </w:tc>
              <w:tc>
                <w:tcPr>
                  <w:tcW w:w="1551" w:type="dxa"/>
                  <w:vAlign w:val="bottom"/>
                </w:tcPr>
                <w:p w:rsidRPr="002A1F9A" w:rsidR="00025018" w:rsidP="00025018" w:rsidRDefault="00025018" w14:paraId="21B39016" w14:textId="62E7E94B">
                  <w:pPr>
                    <w:rPr>
                      <w:rFonts w:ascii="Verdana" w:hAnsi="Verdana"/>
                      <w:sz w:val="18"/>
                      <w:szCs w:val="18"/>
                    </w:rPr>
                  </w:pPr>
                  <w:r w:rsidRPr="002A1F9A">
                    <w:rPr>
                      <w:rFonts w:ascii="Verdana" w:hAnsi="Verdana"/>
                      <w:color w:val="000000"/>
                      <w:sz w:val="14"/>
                      <w:szCs w:val="14"/>
                    </w:rPr>
                    <w:t>17,6</w:t>
                  </w:r>
                </w:p>
              </w:tc>
            </w:tr>
            <w:tr w:rsidRPr="002A1F9A" w:rsidR="00025018" w:rsidTr="00025018" w14:paraId="46300969" w14:textId="77777777">
              <w:tc>
                <w:tcPr>
                  <w:tcW w:w="1627" w:type="dxa"/>
                </w:tcPr>
                <w:p w:rsidRPr="002A1F9A" w:rsidR="00025018" w:rsidP="00025018" w:rsidRDefault="00025018" w14:paraId="4B223194" w14:textId="75EDC885">
                  <w:pPr>
                    <w:rPr>
                      <w:rFonts w:ascii="Verdana" w:hAnsi="Verdana"/>
                      <w:sz w:val="18"/>
                      <w:szCs w:val="18"/>
                    </w:rPr>
                  </w:pPr>
                  <w:r w:rsidRPr="002A1F9A">
                    <w:rPr>
                      <w:rFonts w:ascii="Verdana" w:hAnsi="Verdana"/>
                      <w:sz w:val="14"/>
                      <w:szCs w:val="14"/>
                    </w:rPr>
                    <w:t>2019</w:t>
                  </w:r>
                </w:p>
              </w:tc>
              <w:tc>
                <w:tcPr>
                  <w:tcW w:w="1628" w:type="dxa"/>
                </w:tcPr>
                <w:p w:rsidRPr="002A1F9A" w:rsidR="00025018" w:rsidP="00025018" w:rsidRDefault="00025018" w14:paraId="79D4DC9F" w14:textId="3E329432">
                  <w:pPr>
                    <w:rPr>
                      <w:rFonts w:ascii="Verdana" w:hAnsi="Verdana"/>
                      <w:sz w:val="18"/>
                      <w:szCs w:val="18"/>
                    </w:rPr>
                  </w:pPr>
                  <w:r w:rsidRPr="002A1F9A">
                    <w:rPr>
                      <w:rFonts w:ascii="Verdana" w:hAnsi="Verdana"/>
                      <w:sz w:val="14"/>
                      <w:szCs w:val="14"/>
                    </w:rPr>
                    <w:t>27.080</w:t>
                  </w:r>
                </w:p>
              </w:tc>
              <w:tc>
                <w:tcPr>
                  <w:tcW w:w="1705" w:type="dxa"/>
                </w:tcPr>
                <w:p w:rsidRPr="002A1F9A" w:rsidR="00025018" w:rsidP="00025018" w:rsidRDefault="00025018" w14:paraId="7620AD9B" w14:textId="356C2200">
                  <w:pPr>
                    <w:rPr>
                      <w:rFonts w:ascii="Verdana" w:hAnsi="Verdana"/>
                      <w:sz w:val="18"/>
                      <w:szCs w:val="18"/>
                    </w:rPr>
                  </w:pPr>
                  <w:r w:rsidRPr="002A1F9A">
                    <w:rPr>
                      <w:rFonts w:ascii="Verdana" w:hAnsi="Verdana"/>
                      <w:sz w:val="14"/>
                      <w:szCs w:val="14"/>
                    </w:rPr>
                    <w:t>513,4</w:t>
                  </w:r>
                </w:p>
              </w:tc>
              <w:tc>
                <w:tcPr>
                  <w:tcW w:w="1551" w:type="dxa"/>
                  <w:vAlign w:val="bottom"/>
                </w:tcPr>
                <w:p w:rsidRPr="002A1F9A" w:rsidR="00025018" w:rsidP="00025018" w:rsidRDefault="00025018" w14:paraId="5EB0F83C" w14:textId="106119B1">
                  <w:pPr>
                    <w:rPr>
                      <w:rFonts w:ascii="Verdana" w:hAnsi="Verdana"/>
                      <w:sz w:val="18"/>
                      <w:szCs w:val="18"/>
                    </w:rPr>
                  </w:pPr>
                  <w:r w:rsidRPr="002A1F9A">
                    <w:rPr>
                      <w:rFonts w:ascii="Verdana" w:hAnsi="Verdana"/>
                      <w:color w:val="000000"/>
                      <w:sz w:val="14"/>
                      <w:szCs w:val="14"/>
                    </w:rPr>
                    <w:t>19,0</w:t>
                  </w:r>
                </w:p>
              </w:tc>
            </w:tr>
            <w:tr w:rsidRPr="002A1F9A" w:rsidR="00025018" w:rsidTr="00025018" w14:paraId="049A09AB" w14:textId="77777777">
              <w:tc>
                <w:tcPr>
                  <w:tcW w:w="1627" w:type="dxa"/>
                </w:tcPr>
                <w:p w:rsidRPr="002A1F9A" w:rsidR="00025018" w:rsidP="00025018" w:rsidRDefault="00025018" w14:paraId="7E33E4CD" w14:textId="78235DE9">
                  <w:pPr>
                    <w:rPr>
                      <w:rFonts w:ascii="Verdana" w:hAnsi="Verdana"/>
                      <w:sz w:val="18"/>
                      <w:szCs w:val="18"/>
                    </w:rPr>
                  </w:pPr>
                  <w:r w:rsidRPr="002A1F9A">
                    <w:rPr>
                      <w:rFonts w:ascii="Verdana" w:hAnsi="Verdana"/>
                      <w:sz w:val="14"/>
                      <w:szCs w:val="14"/>
                    </w:rPr>
                    <w:t>2020</w:t>
                  </w:r>
                </w:p>
              </w:tc>
              <w:tc>
                <w:tcPr>
                  <w:tcW w:w="1628" w:type="dxa"/>
                </w:tcPr>
                <w:p w:rsidRPr="002A1F9A" w:rsidR="00025018" w:rsidP="00025018" w:rsidRDefault="00025018" w14:paraId="27DD9751" w14:textId="7FD69FD6">
                  <w:pPr>
                    <w:rPr>
                      <w:rFonts w:ascii="Verdana" w:hAnsi="Verdana"/>
                      <w:sz w:val="18"/>
                      <w:szCs w:val="18"/>
                    </w:rPr>
                  </w:pPr>
                  <w:r w:rsidRPr="002A1F9A">
                    <w:rPr>
                      <w:rFonts w:ascii="Verdana" w:hAnsi="Verdana"/>
                      <w:sz w:val="14"/>
                      <w:szCs w:val="14"/>
                    </w:rPr>
                    <w:t>28.944</w:t>
                  </w:r>
                </w:p>
              </w:tc>
              <w:tc>
                <w:tcPr>
                  <w:tcW w:w="1705" w:type="dxa"/>
                </w:tcPr>
                <w:p w:rsidRPr="002A1F9A" w:rsidR="00025018" w:rsidP="00025018" w:rsidRDefault="00025018" w14:paraId="7B02C83A" w14:textId="67BEE008">
                  <w:pPr>
                    <w:rPr>
                      <w:rFonts w:ascii="Verdana" w:hAnsi="Verdana"/>
                      <w:sz w:val="18"/>
                      <w:szCs w:val="18"/>
                    </w:rPr>
                  </w:pPr>
                  <w:r w:rsidRPr="002A1F9A">
                    <w:rPr>
                      <w:rFonts w:ascii="Verdana" w:hAnsi="Verdana"/>
                      <w:sz w:val="14"/>
                      <w:szCs w:val="14"/>
                    </w:rPr>
                    <w:t>479,4</w:t>
                  </w:r>
                </w:p>
              </w:tc>
              <w:tc>
                <w:tcPr>
                  <w:tcW w:w="1551" w:type="dxa"/>
                  <w:vAlign w:val="bottom"/>
                </w:tcPr>
                <w:p w:rsidRPr="002A1F9A" w:rsidR="00025018" w:rsidP="00025018" w:rsidRDefault="00025018" w14:paraId="34C8560D" w14:textId="20A58686">
                  <w:pPr>
                    <w:rPr>
                      <w:rFonts w:ascii="Verdana" w:hAnsi="Verdana"/>
                      <w:sz w:val="18"/>
                      <w:szCs w:val="18"/>
                    </w:rPr>
                  </w:pPr>
                  <w:r w:rsidRPr="002A1F9A">
                    <w:rPr>
                      <w:rFonts w:ascii="Verdana" w:hAnsi="Verdana"/>
                      <w:color w:val="000000"/>
                      <w:sz w:val="14"/>
                      <w:szCs w:val="14"/>
                    </w:rPr>
                    <w:t>16,6</w:t>
                  </w:r>
                </w:p>
              </w:tc>
            </w:tr>
            <w:tr w:rsidRPr="002A1F9A" w:rsidR="00025018" w:rsidTr="00025018" w14:paraId="18CE5971" w14:textId="77777777">
              <w:tc>
                <w:tcPr>
                  <w:tcW w:w="1627" w:type="dxa"/>
                </w:tcPr>
                <w:p w:rsidRPr="002A1F9A" w:rsidR="00025018" w:rsidP="00025018" w:rsidRDefault="00025018" w14:paraId="2471898A" w14:textId="09268093">
                  <w:pPr>
                    <w:rPr>
                      <w:rFonts w:ascii="Verdana" w:hAnsi="Verdana"/>
                      <w:sz w:val="18"/>
                      <w:szCs w:val="18"/>
                    </w:rPr>
                  </w:pPr>
                  <w:r w:rsidRPr="002A1F9A">
                    <w:rPr>
                      <w:rFonts w:ascii="Verdana" w:hAnsi="Verdana"/>
                      <w:sz w:val="14"/>
                      <w:szCs w:val="14"/>
                    </w:rPr>
                    <w:t>2021</w:t>
                  </w:r>
                </w:p>
              </w:tc>
              <w:tc>
                <w:tcPr>
                  <w:tcW w:w="1628" w:type="dxa"/>
                </w:tcPr>
                <w:p w:rsidRPr="002A1F9A" w:rsidR="00025018" w:rsidP="00025018" w:rsidRDefault="00025018" w14:paraId="32B63140" w14:textId="251F3C3B">
                  <w:pPr>
                    <w:rPr>
                      <w:rFonts w:ascii="Verdana" w:hAnsi="Verdana"/>
                      <w:sz w:val="18"/>
                      <w:szCs w:val="18"/>
                    </w:rPr>
                  </w:pPr>
                  <w:r w:rsidRPr="002A1F9A">
                    <w:rPr>
                      <w:rFonts w:ascii="Verdana" w:hAnsi="Verdana"/>
                      <w:sz w:val="14"/>
                      <w:szCs w:val="14"/>
                    </w:rPr>
                    <w:t>30.494</w:t>
                  </w:r>
                </w:p>
              </w:tc>
              <w:tc>
                <w:tcPr>
                  <w:tcW w:w="1705" w:type="dxa"/>
                </w:tcPr>
                <w:p w:rsidRPr="002A1F9A" w:rsidR="00025018" w:rsidP="00025018" w:rsidRDefault="00025018" w14:paraId="128C2DFC" w14:textId="3A565915">
                  <w:pPr>
                    <w:rPr>
                      <w:rFonts w:ascii="Verdana" w:hAnsi="Verdana"/>
                      <w:sz w:val="18"/>
                      <w:szCs w:val="18"/>
                    </w:rPr>
                  </w:pPr>
                  <w:r w:rsidRPr="002A1F9A">
                    <w:rPr>
                      <w:rFonts w:ascii="Verdana" w:hAnsi="Verdana"/>
                      <w:sz w:val="14"/>
                      <w:szCs w:val="14"/>
                    </w:rPr>
                    <w:t>496,4</w:t>
                  </w:r>
                </w:p>
              </w:tc>
              <w:tc>
                <w:tcPr>
                  <w:tcW w:w="1551" w:type="dxa"/>
                  <w:vAlign w:val="bottom"/>
                </w:tcPr>
                <w:p w:rsidRPr="002A1F9A" w:rsidR="00025018" w:rsidP="00025018" w:rsidRDefault="00025018" w14:paraId="26CCC5D6" w14:textId="1DA45691">
                  <w:pPr>
                    <w:rPr>
                      <w:rFonts w:ascii="Verdana" w:hAnsi="Verdana"/>
                      <w:sz w:val="18"/>
                      <w:szCs w:val="18"/>
                    </w:rPr>
                  </w:pPr>
                  <w:r w:rsidRPr="002A1F9A">
                    <w:rPr>
                      <w:rFonts w:ascii="Verdana" w:hAnsi="Verdana"/>
                      <w:color w:val="000000"/>
                      <w:sz w:val="14"/>
                      <w:szCs w:val="14"/>
                    </w:rPr>
                    <w:t>16,3</w:t>
                  </w:r>
                </w:p>
              </w:tc>
            </w:tr>
            <w:tr w:rsidRPr="002A1F9A" w:rsidR="00025018" w:rsidTr="00025018" w14:paraId="18EC6ABA" w14:textId="77777777">
              <w:tc>
                <w:tcPr>
                  <w:tcW w:w="1627" w:type="dxa"/>
                </w:tcPr>
                <w:p w:rsidRPr="002A1F9A" w:rsidR="00025018" w:rsidP="00025018" w:rsidRDefault="00025018" w14:paraId="3BE5E566" w14:textId="4499CDA5">
                  <w:pPr>
                    <w:rPr>
                      <w:rFonts w:ascii="Verdana" w:hAnsi="Verdana"/>
                      <w:sz w:val="18"/>
                      <w:szCs w:val="18"/>
                    </w:rPr>
                  </w:pPr>
                  <w:r w:rsidRPr="002A1F9A">
                    <w:rPr>
                      <w:rFonts w:ascii="Verdana" w:hAnsi="Verdana"/>
                      <w:sz w:val="14"/>
                      <w:szCs w:val="14"/>
                    </w:rPr>
                    <w:t>2022</w:t>
                  </w:r>
                </w:p>
              </w:tc>
              <w:tc>
                <w:tcPr>
                  <w:tcW w:w="1628" w:type="dxa"/>
                </w:tcPr>
                <w:p w:rsidRPr="002A1F9A" w:rsidR="00025018" w:rsidP="00025018" w:rsidRDefault="00025018" w14:paraId="7D9E553D" w14:textId="5B730C08">
                  <w:pPr>
                    <w:rPr>
                      <w:rFonts w:ascii="Verdana" w:hAnsi="Verdana"/>
                      <w:sz w:val="18"/>
                      <w:szCs w:val="18"/>
                    </w:rPr>
                  </w:pPr>
                  <w:r w:rsidRPr="002A1F9A">
                    <w:rPr>
                      <w:rFonts w:ascii="Verdana" w:hAnsi="Verdana"/>
                      <w:sz w:val="14"/>
                      <w:szCs w:val="14"/>
                    </w:rPr>
                    <w:t>31.776</w:t>
                  </w:r>
                </w:p>
              </w:tc>
              <w:tc>
                <w:tcPr>
                  <w:tcW w:w="1705" w:type="dxa"/>
                </w:tcPr>
                <w:p w:rsidRPr="002A1F9A" w:rsidR="00025018" w:rsidP="00025018" w:rsidRDefault="00025018" w14:paraId="3E390789" w14:textId="67A1679F">
                  <w:pPr>
                    <w:rPr>
                      <w:rFonts w:ascii="Verdana" w:hAnsi="Verdana"/>
                      <w:sz w:val="18"/>
                      <w:szCs w:val="18"/>
                    </w:rPr>
                  </w:pPr>
                  <w:r w:rsidRPr="002A1F9A">
                    <w:rPr>
                      <w:rFonts w:ascii="Verdana" w:hAnsi="Verdana"/>
                      <w:sz w:val="14"/>
                      <w:szCs w:val="14"/>
                    </w:rPr>
                    <w:t>494,4</w:t>
                  </w:r>
                </w:p>
              </w:tc>
              <w:tc>
                <w:tcPr>
                  <w:tcW w:w="1551" w:type="dxa"/>
                  <w:vAlign w:val="bottom"/>
                </w:tcPr>
                <w:p w:rsidRPr="002A1F9A" w:rsidR="00025018" w:rsidP="00025018" w:rsidRDefault="00025018" w14:paraId="2CE2EEB5" w14:textId="36111B00">
                  <w:pPr>
                    <w:rPr>
                      <w:rFonts w:ascii="Verdana" w:hAnsi="Verdana"/>
                      <w:sz w:val="18"/>
                      <w:szCs w:val="18"/>
                    </w:rPr>
                  </w:pPr>
                  <w:r w:rsidRPr="002A1F9A">
                    <w:rPr>
                      <w:rFonts w:ascii="Verdana" w:hAnsi="Verdana"/>
                      <w:color w:val="000000"/>
                      <w:sz w:val="14"/>
                      <w:szCs w:val="14"/>
                    </w:rPr>
                    <w:t>15,6</w:t>
                  </w:r>
                </w:p>
              </w:tc>
            </w:tr>
            <w:tr w:rsidRPr="002A1F9A" w:rsidR="00025018" w:rsidTr="00025018" w14:paraId="218BE7CF" w14:textId="77777777">
              <w:tc>
                <w:tcPr>
                  <w:tcW w:w="1627" w:type="dxa"/>
                </w:tcPr>
                <w:p w:rsidRPr="002A1F9A" w:rsidR="00025018" w:rsidP="00025018" w:rsidRDefault="00025018" w14:paraId="40C7144C" w14:textId="4945997A">
                  <w:pPr>
                    <w:rPr>
                      <w:rFonts w:ascii="Verdana" w:hAnsi="Verdana"/>
                      <w:sz w:val="18"/>
                      <w:szCs w:val="18"/>
                    </w:rPr>
                  </w:pPr>
                  <w:r w:rsidRPr="002A1F9A">
                    <w:rPr>
                      <w:rFonts w:ascii="Verdana" w:hAnsi="Verdana"/>
                      <w:sz w:val="14"/>
                      <w:szCs w:val="14"/>
                    </w:rPr>
                    <w:t>2023</w:t>
                  </w:r>
                </w:p>
              </w:tc>
              <w:tc>
                <w:tcPr>
                  <w:tcW w:w="1628" w:type="dxa"/>
                </w:tcPr>
                <w:p w:rsidRPr="002A1F9A" w:rsidR="00025018" w:rsidP="00025018" w:rsidRDefault="00025018" w14:paraId="30628053" w14:textId="0E1DCC4B">
                  <w:pPr>
                    <w:rPr>
                      <w:rFonts w:ascii="Verdana" w:hAnsi="Verdana"/>
                      <w:sz w:val="18"/>
                      <w:szCs w:val="18"/>
                    </w:rPr>
                  </w:pPr>
                  <w:r w:rsidRPr="002A1F9A">
                    <w:rPr>
                      <w:rFonts w:ascii="Verdana" w:hAnsi="Verdana"/>
                      <w:sz w:val="14"/>
                      <w:szCs w:val="14"/>
                    </w:rPr>
                    <w:t>33.947</w:t>
                  </w:r>
                </w:p>
              </w:tc>
              <w:tc>
                <w:tcPr>
                  <w:tcW w:w="1705" w:type="dxa"/>
                </w:tcPr>
                <w:p w:rsidRPr="002A1F9A" w:rsidR="00025018" w:rsidP="00025018" w:rsidRDefault="00025018" w14:paraId="4DE1CC63" w14:textId="28330D19">
                  <w:pPr>
                    <w:rPr>
                      <w:rFonts w:ascii="Verdana" w:hAnsi="Verdana"/>
                      <w:sz w:val="18"/>
                      <w:szCs w:val="18"/>
                    </w:rPr>
                  </w:pPr>
                  <w:r w:rsidRPr="002A1F9A">
                    <w:rPr>
                      <w:rFonts w:ascii="Verdana" w:hAnsi="Verdana"/>
                      <w:sz w:val="14"/>
                      <w:szCs w:val="14"/>
                    </w:rPr>
                    <w:t>556,5</w:t>
                  </w:r>
                </w:p>
              </w:tc>
              <w:tc>
                <w:tcPr>
                  <w:tcW w:w="1551" w:type="dxa"/>
                  <w:vAlign w:val="bottom"/>
                </w:tcPr>
                <w:p w:rsidRPr="002A1F9A" w:rsidR="00025018" w:rsidP="00025018" w:rsidRDefault="00025018" w14:paraId="6A6AE2CE" w14:textId="498A463B">
                  <w:pPr>
                    <w:rPr>
                      <w:rFonts w:ascii="Verdana" w:hAnsi="Verdana"/>
                      <w:sz w:val="18"/>
                      <w:szCs w:val="18"/>
                    </w:rPr>
                  </w:pPr>
                  <w:r w:rsidRPr="002A1F9A">
                    <w:rPr>
                      <w:rFonts w:ascii="Verdana" w:hAnsi="Verdana"/>
                      <w:color w:val="000000"/>
                      <w:sz w:val="14"/>
                      <w:szCs w:val="14"/>
                    </w:rPr>
                    <w:t>16,4</w:t>
                  </w:r>
                </w:p>
              </w:tc>
            </w:tr>
            <w:tr w:rsidRPr="002A1F9A" w:rsidR="00025018" w:rsidTr="00025018" w14:paraId="79C67E85" w14:textId="77777777">
              <w:tc>
                <w:tcPr>
                  <w:tcW w:w="1627" w:type="dxa"/>
                </w:tcPr>
                <w:p w:rsidRPr="002A1F9A" w:rsidR="00025018" w:rsidP="00025018" w:rsidRDefault="00025018" w14:paraId="0F48A40E" w14:textId="58B53094">
                  <w:pPr>
                    <w:rPr>
                      <w:rFonts w:ascii="Verdana" w:hAnsi="Verdana"/>
                      <w:sz w:val="18"/>
                      <w:szCs w:val="18"/>
                    </w:rPr>
                  </w:pPr>
                  <w:r w:rsidRPr="002A1F9A">
                    <w:rPr>
                      <w:rFonts w:ascii="Verdana" w:hAnsi="Verdana"/>
                      <w:sz w:val="14"/>
                      <w:szCs w:val="14"/>
                    </w:rPr>
                    <w:t>2024</w:t>
                  </w:r>
                </w:p>
              </w:tc>
              <w:tc>
                <w:tcPr>
                  <w:tcW w:w="1628" w:type="dxa"/>
                </w:tcPr>
                <w:p w:rsidRPr="002A1F9A" w:rsidR="00025018" w:rsidP="00025018" w:rsidRDefault="00025018" w14:paraId="70CA54DF" w14:textId="3A15943A">
                  <w:pPr>
                    <w:rPr>
                      <w:rFonts w:ascii="Verdana" w:hAnsi="Verdana"/>
                      <w:sz w:val="18"/>
                      <w:szCs w:val="18"/>
                    </w:rPr>
                  </w:pPr>
                  <w:r w:rsidRPr="002A1F9A">
                    <w:rPr>
                      <w:rFonts w:ascii="Verdana" w:hAnsi="Verdana"/>
                      <w:sz w:val="14"/>
                      <w:szCs w:val="14"/>
                    </w:rPr>
                    <w:t>nog niet bekend</w:t>
                  </w:r>
                </w:p>
              </w:tc>
              <w:tc>
                <w:tcPr>
                  <w:tcW w:w="1705" w:type="dxa"/>
                </w:tcPr>
                <w:p w:rsidRPr="002A1F9A" w:rsidR="00025018" w:rsidP="00025018" w:rsidRDefault="00025018" w14:paraId="1D26DA29" w14:textId="68E45593">
                  <w:pPr>
                    <w:rPr>
                      <w:rFonts w:ascii="Verdana" w:hAnsi="Verdana"/>
                      <w:sz w:val="18"/>
                      <w:szCs w:val="18"/>
                    </w:rPr>
                  </w:pPr>
                  <w:r w:rsidRPr="002A1F9A">
                    <w:rPr>
                      <w:rFonts w:ascii="Verdana" w:hAnsi="Verdana"/>
                      <w:sz w:val="14"/>
                      <w:szCs w:val="14"/>
                    </w:rPr>
                    <w:t>658,2</w:t>
                  </w:r>
                </w:p>
              </w:tc>
              <w:tc>
                <w:tcPr>
                  <w:tcW w:w="1551" w:type="dxa"/>
                </w:tcPr>
                <w:p w:rsidRPr="002A1F9A" w:rsidR="00025018" w:rsidP="00025018" w:rsidRDefault="00025018" w14:paraId="768C2724" w14:textId="1AB3E6CF">
                  <w:pPr>
                    <w:rPr>
                      <w:rFonts w:ascii="Verdana" w:hAnsi="Verdana"/>
                      <w:sz w:val="18"/>
                      <w:szCs w:val="18"/>
                    </w:rPr>
                  </w:pPr>
                  <w:r w:rsidRPr="002A1F9A">
                    <w:rPr>
                      <w:rFonts w:ascii="Verdana" w:hAnsi="Verdana"/>
                      <w:sz w:val="14"/>
                      <w:szCs w:val="14"/>
                    </w:rPr>
                    <w:t>nog niet bekend</w:t>
                  </w:r>
                </w:p>
              </w:tc>
            </w:tr>
          </w:tbl>
          <w:p w:rsidRPr="002A1F9A" w:rsidR="006776FB" w:rsidRDefault="006776FB" w14:paraId="4F10E209" w14:textId="77777777">
            <w:pPr>
              <w:rPr>
                <w:rFonts w:ascii="Verdana" w:hAnsi="Verdana"/>
                <w:sz w:val="18"/>
                <w:szCs w:val="18"/>
              </w:rPr>
            </w:pPr>
          </w:p>
        </w:tc>
        <w:tc>
          <w:tcPr>
            <w:tcW w:w="850" w:type="dxa"/>
          </w:tcPr>
          <w:p w:rsidRPr="002A1F9A" w:rsidR="001256CA" w:rsidRDefault="001856D0" w14:paraId="31DFC8C0" w14:textId="77777777">
            <w:pPr>
              <w:jc w:val="right"/>
              <w:rPr>
                <w:rFonts w:ascii="Verdana" w:hAnsi="Verdana"/>
                <w:sz w:val="18"/>
                <w:szCs w:val="18"/>
              </w:rPr>
            </w:pPr>
            <w:r w:rsidRPr="002A1F9A">
              <w:rPr>
                <w:rFonts w:ascii="Verdana" w:hAnsi="Verdana"/>
                <w:sz w:val="18"/>
                <w:szCs w:val="18"/>
              </w:rPr>
              <w:lastRenderedPageBreak/>
              <w:t>36800-VIII-2</w:t>
            </w:r>
          </w:p>
          <w:p w:rsidRPr="002A1F9A" w:rsidR="00F35AC0" w:rsidP="00F35AC0" w:rsidRDefault="00F35AC0" w14:paraId="3CFC0BC1" w14:textId="77777777">
            <w:pPr>
              <w:rPr>
                <w:rFonts w:ascii="Verdana" w:hAnsi="Verdana"/>
                <w:sz w:val="18"/>
                <w:szCs w:val="18"/>
              </w:rPr>
            </w:pPr>
          </w:p>
          <w:p w:rsidRPr="002A1F9A" w:rsidR="00F35AC0" w:rsidP="00F35AC0" w:rsidRDefault="00F35AC0" w14:paraId="5680233E" w14:textId="77777777">
            <w:pPr>
              <w:rPr>
                <w:rFonts w:ascii="Verdana" w:hAnsi="Verdana"/>
                <w:sz w:val="18"/>
                <w:szCs w:val="18"/>
              </w:rPr>
            </w:pPr>
          </w:p>
          <w:p w:rsidRPr="002A1F9A" w:rsidR="00F35AC0" w:rsidP="00F35AC0" w:rsidRDefault="00F35AC0" w14:paraId="61236016" w14:textId="77777777">
            <w:pPr>
              <w:rPr>
                <w:rFonts w:ascii="Verdana" w:hAnsi="Verdana"/>
                <w:sz w:val="18"/>
                <w:szCs w:val="18"/>
              </w:rPr>
            </w:pPr>
          </w:p>
          <w:p w:rsidRPr="002A1F9A" w:rsidR="00F35AC0" w:rsidP="00F35AC0" w:rsidRDefault="00F35AC0" w14:paraId="5CDA5840" w14:textId="77777777">
            <w:pPr>
              <w:rPr>
                <w:rFonts w:ascii="Verdana" w:hAnsi="Verdana"/>
                <w:sz w:val="18"/>
                <w:szCs w:val="18"/>
              </w:rPr>
            </w:pPr>
          </w:p>
          <w:p w:rsidRPr="002A1F9A" w:rsidR="00F35AC0" w:rsidP="00F35AC0" w:rsidRDefault="00F35AC0" w14:paraId="0B1F151D" w14:textId="77777777">
            <w:pPr>
              <w:rPr>
                <w:rFonts w:ascii="Verdana" w:hAnsi="Verdana"/>
                <w:sz w:val="18"/>
                <w:szCs w:val="18"/>
              </w:rPr>
            </w:pPr>
          </w:p>
          <w:p w:rsidRPr="002A1F9A" w:rsidR="00F35AC0" w:rsidP="00F35AC0" w:rsidRDefault="00F35AC0" w14:paraId="537E8046" w14:textId="77777777">
            <w:pPr>
              <w:rPr>
                <w:rFonts w:ascii="Verdana" w:hAnsi="Verdana"/>
                <w:sz w:val="18"/>
                <w:szCs w:val="18"/>
              </w:rPr>
            </w:pPr>
          </w:p>
          <w:p w:rsidRPr="002A1F9A" w:rsidR="00F35AC0" w:rsidP="00F35AC0" w:rsidRDefault="00F35AC0" w14:paraId="5F2862E3" w14:textId="77777777">
            <w:pPr>
              <w:rPr>
                <w:rFonts w:ascii="Verdana" w:hAnsi="Verdana"/>
                <w:sz w:val="18"/>
                <w:szCs w:val="18"/>
              </w:rPr>
            </w:pPr>
          </w:p>
          <w:p w:rsidRPr="002A1F9A" w:rsidR="00F35AC0" w:rsidP="00F35AC0" w:rsidRDefault="00F35AC0" w14:paraId="192CEB74" w14:textId="77777777">
            <w:pPr>
              <w:rPr>
                <w:rFonts w:ascii="Verdana" w:hAnsi="Verdana"/>
                <w:sz w:val="18"/>
                <w:szCs w:val="18"/>
              </w:rPr>
            </w:pPr>
          </w:p>
          <w:p w:rsidRPr="002A1F9A" w:rsidR="00F35AC0" w:rsidP="00F35AC0" w:rsidRDefault="00F35AC0" w14:paraId="30C54E1F" w14:textId="77777777">
            <w:pPr>
              <w:rPr>
                <w:rFonts w:ascii="Verdana" w:hAnsi="Verdana"/>
                <w:sz w:val="18"/>
                <w:szCs w:val="18"/>
              </w:rPr>
            </w:pPr>
          </w:p>
          <w:p w:rsidRPr="002A1F9A" w:rsidR="00F35AC0" w:rsidP="00F35AC0" w:rsidRDefault="00F35AC0" w14:paraId="2E64B389" w14:textId="77777777">
            <w:pPr>
              <w:rPr>
                <w:rFonts w:ascii="Verdana" w:hAnsi="Verdana"/>
                <w:sz w:val="18"/>
                <w:szCs w:val="18"/>
              </w:rPr>
            </w:pPr>
          </w:p>
          <w:p w:rsidRPr="002A1F9A" w:rsidR="00F35AC0" w:rsidP="00F35AC0" w:rsidRDefault="00F35AC0" w14:paraId="3B834A1F" w14:textId="77777777">
            <w:pPr>
              <w:rPr>
                <w:rFonts w:ascii="Verdana" w:hAnsi="Verdana"/>
                <w:sz w:val="18"/>
                <w:szCs w:val="18"/>
              </w:rPr>
            </w:pPr>
          </w:p>
          <w:p w:rsidRPr="002A1F9A" w:rsidR="00F35AC0" w:rsidP="00F35AC0" w:rsidRDefault="00F35AC0" w14:paraId="6786EDE8" w14:textId="77777777">
            <w:pPr>
              <w:rPr>
                <w:rFonts w:ascii="Verdana" w:hAnsi="Verdana"/>
                <w:sz w:val="18"/>
                <w:szCs w:val="18"/>
              </w:rPr>
            </w:pPr>
          </w:p>
          <w:p w:rsidRPr="002A1F9A" w:rsidR="00F35AC0" w:rsidP="00F35AC0" w:rsidRDefault="00F35AC0" w14:paraId="4A837AD7" w14:textId="77777777">
            <w:pPr>
              <w:rPr>
                <w:rFonts w:ascii="Verdana" w:hAnsi="Verdana"/>
                <w:sz w:val="18"/>
                <w:szCs w:val="18"/>
              </w:rPr>
            </w:pPr>
          </w:p>
          <w:p w:rsidRPr="002A1F9A" w:rsidR="00F35AC0" w:rsidP="00F35AC0" w:rsidRDefault="00F35AC0" w14:paraId="44B07D96" w14:textId="77777777">
            <w:pPr>
              <w:rPr>
                <w:rFonts w:ascii="Verdana" w:hAnsi="Verdana"/>
                <w:sz w:val="18"/>
                <w:szCs w:val="18"/>
              </w:rPr>
            </w:pPr>
          </w:p>
          <w:p w:rsidRPr="002A1F9A" w:rsidR="00F35AC0" w:rsidP="00F35AC0" w:rsidRDefault="00F35AC0" w14:paraId="308A96D9" w14:textId="77777777">
            <w:pPr>
              <w:rPr>
                <w:rFonts w:ascii="Verdana" w:hAnsi="Verdana"/>
                <w:sz w:val="18"/>
                <w:szCs w:val="18"/>
              </w:rPr>
            </w:pPr>
          </w:p>
          <w:p w:rsidRPr="002A1F9A" w:rsidR="00F35AC0" w:rsidP="00F35AC0" w:rsidRDefault="00F35AC0" w14:paraId="0E0C8532" w14:textId="77777777">
            <w:pPr>
              <w:rPr>
                <w:rFonts w:ascii="Verdana" w:hAnsi="Verdana"/>
                <w:sz w:val="18"/>
                <w:szCs w:val="18"/>
              </w:rPr>
            </w:pPr>
          </w:p>
          <w:p w:rsidRPr="002A1F9A" w:rsidR="00F35AC0" w:rsidP="00F35AC0" w:rsidRDefault="00F35AC0" w14:paraId="70E66956" w14:textId="77777777">
            <w:pPr>
              <w:rPr>
                <w:rFonts w:ascii="Verdana" w:hAnsi="Verdana"/>
                <w:sz w:val="18"/>
                <w:szCs w:val="18"/>
              </w:rPr>
            </w:pPr>
          </w:p>
          <w:p w:rsidRPr="002A1F9A" w:rsidR="00F35AC0" w:rsidP="00F35AC0" w:rsidRDefault="00F35AC0" w14:paraId="5F017910" w14:textId="77777777">
            <w:pPr>
              <w:rPr>
                <w:rFonts w:ascii="Verdana" w:hAnsi="Verdana"/>
                <w:sz w:val="18"/>
                <w:szCs w:val="18"/>
              </w:rPr>
            </w:pPr>
          </w:p>
          <w:p w:rsidRPr="002A1F9A" w:rsidR="00F35AC0" w:rsidP="00F35AC0" w:rsidRDefault="00F35AC0" w14:paraId="28615E06" w14:textId="77777777">
            <w:pPr>
              <w:rPr>
                <w:rFonts w:ascii="Verdana" w:hAnsi="Verdana"/>
                <w:sz w:val="18"/>
                <w:szCs w:val="18"/>
              </w:rPr>
            </w:pPr>
          </w:p>
          <w:p w:rsidRPr="002A1F9A" w:rsidR="00F35AC0" w:rsidP="00F35AC0" w:rsidRDefault="00F35AC0" w14:paraId="2EDBA83A" w14:textId="77777777">
            <w:pPr>
              <w:rPr>
                <w:rFonts w:ascii="Verdana" w:hAnsi="Verdana"/>
                <w:sz w:val="18"/>
                <w:szCs w:val="18"/>
              </w:rPr>
            </w:pPr>
          </w:p>
          <w:p w:rsidRPr="002A1F9A" w:rsidR="00F35AC0" w:rsidP="00F35AC0" w:rsidRDefault="00F35AC0" w14:paraId="70FDF1D3" w14:textId="77777777">
            <w:pPr>
              <w:rPr>
                <w:rFonts w:ascii="Verdana" w:hAnsi="Verdana"/>
                <w:sz w:val="18"/>
                <w:szCs w:val="18"/>
              </w:rPr>
            </w:pPr>
          </w:p>
          <w:p w:rsidRPr="002A1F9A" w:rsidR="00F35AC0" w:rsidP="00F35AC0" w:rsidRDefault="00F35AC0" w14:paraId="188E401C" w14:textId="77777777">
            <w:pPr>
              <w:rPr>
                <w:rFonts w:ascii="Verdana" w:hAnsi="Verdana"/>
                <w:sz w:val="18"/>
                <w:szCs w:val="18"/>
              </w:rPr>
            </w:pPr>
          </w:p>
          <w:p w:rsidRPr="002A1F9A" w:rsidR="00F35AC0" w:rsidP="00F35AC0" w:rsidRDefault="00F35AC0" w14:paraId="7E14D009" w14:textId="77777777">
            <w:pPr>
              <w:rPr>
                <w:rFonts w:ascii="Verdana" w:hAnsi="Verdana"/>
                <w:sz w:val="18"/>
                <w:szCs w:val="18"/>
              </w:rPr>
            </w:pPr>
          </w:p>
          <w:p w:rsidRPr="002A1F9A" w:rsidR="00F35AC0" w:rsidP="00F35AC0" w:rsidRDefault="00F35AC0" w14:paraId="1B84035E" w14:textId="77777777">
            <w:pPr>
              <w:rPr>
                <w:rFonts w:ascii="Verdana" w:hAnsi="Verdana"/>
                <w:sz w:val="18"/>
                <w:szCs w:val="18"/>
              </w:rPr>
            </w:pPr>
          </w:p>
          <w:p w:rsidRPr="002A1F9A" w:rsidR="00F35AC0" w:rsidP="00F35AC0" w:rsidRDefault="00F35AC0" w14:paraId="3B093201" w14:textId="77777777">
            <w:pPr>
              <w:rPr>
                <w:rFonts w:ascii="Verdana" w:hAnsi="Verdana"/>
                <w:sz w:val="18"/>
                <w:szCs w:val="18"/>
              </w:rPr>
            </w:pPr>
          </w:p>
          <w:p w:rsidRPr="002A1F9A" w:rsidR="00F35AC0" w:rsidP="00F35AC0" w:rsidRDefault="00F35AC0" w14:paraId="4FC494FE" w14:textId="77777777">
            <w:pPr>
              <w:rPr>
                <w:rFonts w:ascii="Verdana" w:hAnsi="Verdana"/>
                <w:sz w:val="18"/>
                <w:szCs w:val="18"/>
              </w:rPr>
            </w:pPr>
          </w:p>
          <w:p w:rsidRPr="002A1F9A" w:rsidR="00F35AC0" w:rsidP="00F35AC0" w:rsidRDefault="00F35AC0" w14:paraId="3A21DD9F" w14:textId="77777777">
            <w:pPr>
              <w:rPr>
                <w:rFonts w:ascii="Verdana" w:hAnsi="Verdana"/>
                <w:sz w:val="18"/>
                <w:szCs w:val="18"/>
              </w:rPr>
            </w:pPr>
          </w:p>
          <w:p w:rsidRPr="002A1F9A" w:rsidR="00F35AC0" w:rsidP="00F35AC0" w:rsidRDefault="00F35AC0" w14:paraId="6FF88E38" w14:textId="77777777">
            <w:pPr>
              <w:rPr>
                <w:rFonts w:ascii="Verdana" w:hAnsi="Verdana"/>
                <w:sz w:val="18"/>
                <w:szCs w:val="18"/>
              </w:rPr>
            </w:pPr>
          </w:p>
          <w:p w:rsidRPr="002A1F9A" w:rsidR="00F35AC0" w:rsidP="00F35AC0" w:rsidRDefault="00F35AC0" w14:paraId="7A91AC0E" w14:textId="77777777">
            <w:pPr>
              <w:rPr>
                <w:rFonts w:ascii="Verdana" w:hAnsi="Verdana"/>
                <w:sz w:val="18"/>
                <w:szCs w:val="18"/>
              </w:rPr>
            </w:pPr>
          </w:p>
          <w:p w:rsidRPr="002A1F9A" w:rsidR="00F35AC0" w:rsidP="00F35AC0" w:rsidRDefault="00F35AC0" w14:paraId="45DD554A" w14:textId="77777777">
            <w:pPr>
              <w:rPr>
                <w:rFonts w:ascii="Verdana" w:hAnsi="Verdana"/>
                <w:sz w:val="18"/>
                <w:szCs w:val="18"/>
              </w:rPr>
            </w:pPr>
          </w:p>
          <w:p w:rsidRPr="002A1F9A" w:rsidR="00F35AC0" w:rsidP="00F35AC0" w:rsidRDefault="00F35AC0" w14:paraId="2B71357F" w14:textId="77777777">
            <w:pPr>
              <w:rPr>
                <w:rFonts w:ascii="Verdana" w:hAnsi="Verdana"/>
                <w:sz w:val="18"/>
                <w:szCs w:val="18"/>
              </w:rPr>
            </w:pPr>
          </w:p>
          <w:p w:rsidRPr="002A1F9A" w:rsidR="00F35AC0" w:rsidP="00F35AC0" w:rsidRDefault="00F35AC0" w14:paraId="69D21DC7" w14:textId="77777777">
            <w:pPr>
              <w:rPr>
                <w:rFonts w:ascii="Verdana" w:hAnsi="Verdana"/>
                <w:sz w:val="18"/>
                <w:szCs w:val="18"/>
              </w:rPr>
            </w:pPr>
          </w:p>
          <w:p w:rsidRPr="002A1F9A" w:rsidR="00F35AC0" w:rsidP="00F35AC0" w:rsidRDefault="00F35AC0" w14:paraId="55BC6456" w14:textId="77777777">
            <w:pPr>
              <w:rPr>
                <w:rFonts w:ascii="Verdana" w:hAnsi="Verdana"/>
                <w:sz w:val="18"/>
                <w:szCs w:val="18"/>
              </w:rPr>
            </w:pPr>
          </w:p>
        </w:tc>
        <w:tc>
          <w:tcPr>
            <w:tcW w:w="992" w:type="dxa"/>
          </w:tcPr>
          <w:p w:rsidRPr="002A1F9A" w:rsidR="001256CA" w:rsidRDefault="001856D0" w14:paraId="376214C1" w14:textId="77777777">
            <w:pPr>
              <w:jc w:val="right"/>
              <w:rPr>
                <w:rFonts w:ascii="Verdana" w:hAnsi="Verdana"/>
                <w:sz w:val="18"/>
                <w:szCs w:val="18"/>
              </w:rPr>
            </w:pPr>
            <w:r w:rsidRPr="002A1F9A">
              <w:rPr>
                <w:rFonts w:ascii="Verdana" w:hAnsi="Verdana"/>
                <w:sz w:val="18"/>
                <w:szCs w:val="18"/>
              </w:rPr>
              <w:lastRenderedPageBreak/>
              <w:t>76</w:t>
            </w:r>
          </w:p>
        </w:tc>
        <w:tc>
          <w:tcPr>
            <w:tcW w:w="567" w:type="dxa"/>
            <w:tcBorders>
              <w:left w:val="nil"/>
            </w:tcBorders>
          </w:tcPr>
          <w:p w:rsidRPr="002A1F9A" w:rsidR="001256CA" w:rsidRDefault="001856D0" w14:paraId="48C2FDF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CD9EDF7" w14:textId="77777777">
        <w:tc>
          <w:tcPr>
            <w:tcW w:w="567" w:type="dxa"/>
          </w:tcPr>
          <w:p w:rsidRPr="002A1F9A" w:rsidR="001256CA" w:rsidRDefault="001856D0" w14:paraId="3A5A52F2" w14:textId="77777777">
            <w:pPr>
              <w:rPr>
                <w:rFonts w:ascii="Verdana" w:hAnsi="Verdana"/>
                <w:sz w:val="18"/>
                <w:szCs w:val="18"/>
              </w:rPr>
            </w:pPr>
            <w:r w:rsidRPr="002A1F9A">
              <w:rPr>
                <w:rFonts w:ascii="Verdana" w:hAnsi="Verdana"/>
                <w:sz w:val="18"/>
                <w:szCs w:val="18"/>
              </w:rPr>
              <w:t>152</w:t>
            </w:r>
          </w:p>
        </w:tc>
        <w:tc>
          <w:tcPr>
            <w:tcW w:w="6521" w:type="dxa"/>
          </w:tcPr>
          <w:p w:rsidRPr="002A1F9A" w:rsidR="001256CA" w:rsidRDefault="001856D0" w14:paraId="3A447909" w14:textId="77777777">
            <w:pPr>
              <w:rPr>
                <w:rFonts w:ascii="Verdana" w:hAnsi="Verdana"/>
                <w:sz w:val="18"/>
                <w:szCs w:val="18"/>
              </w:rPr>
            </w:pPr>
            <w:r w:rsidRPr="002A1F9A">
              <w:rPr>
                <w:rFonts w:ascii="Verdana" w:hAnsi="Verdana"/>
                <w:sz w:val="18"/>
                <w:szCs w:val="18"/>
              </w:rPr>
              <w:t xml:space="preserve">Hoeveel instellingen nemen in 2026 deel aan de </w:t>
            </w:r>
            <w:proofErr w:type="spellStart"/>
            <w:r w:rsidRPr="002A1F9A" w:rsidR="00177D24">
              <w:rPr>
                <w:rFonts w:ascii="Verdana" w:hAnsi="Verdana"/>
                <w:sz w:val="18"/>
                <w:szCs w:val="18"/>
              </w:rPr>
              <w:t>NPuls</w:t>
            </w:r>
            <w:proofErr w:type="spellEnd"/>
            <w:r w:rsidRPr="002A1F9A" w:rsidR="00177D24">
              <w:rPr>
                <w:rFonts w:ascii="Verdana" w:hAnsi="Verdana"/>
                <w:sz w:val="18"/>
                <w:szCs w:val="18"/>
              </w:rPr>
              <w:t xml:space="preserve"> </w:t>
            </w:r>
            <w:r w:rsidRPr="002A1F9A">
              <w:rPr>
                <w:rFonts w:ascii="Verdana" w:hAnsi="Verdana"/>
                <w:sz w:val="18"/>
                <w:szCs w:val="18"/>
              </w:rPr>
              <w:t xml:space="preserve">Centers </w:t>
            </w:r>
            <w:proofErr w:type="spellStart"/>
            <w:r w:rsidRPr="002A1F9A">
              <w:rPr>
                <w:rFonts w:ascii="Verdana" w:hAnsi="Verdana"/>
                <w:sz w:val="18"/>
                <w:szCs w:val="18"/>
              </w:rPr>
              <w:t>for</w:t>
            </w:r>
            <w:proofErr w:type="spellEnd"/>
            <w:r w:rsidRPr="002A1F9A">
              <w:rPr>
                <w:rFonts w:ascii="Verdana" w:hAnsi="Verdana"/>
                <w:sz w:val="18"/>
                <w:szCs w:val="18"/>
              </w:rPr>
              <w:t xml:space="preserve"> Teaching </w:t>
            </w:r>
            <w:proofErr w:type="spellStart"/>
            <w:r w:rsidRPr="002A1F9A" w:rsidR="00E45DCA">
              <w:rPr>
                <w:rFonts w:ascii="Verdana" w:hAnsi="Verdana"/>
                <w:sz w:val="18"/>
                <w:szCs w:val="18"/>
              </w:rPr>
              <w:t>and</w:t>
            </w:r>
            <w:proofErr w:type="spellEnd"/>
            <w:r w:rsidRPr="002A1F9A">
              <w:rPr>
                <w:rFonts w:ascii="Verdana" w:hAnsi="Verdana"/>
                <w:sz w:val="18"/>
                <w:szCs w:val="18"/>
              </w:rPr>
              <w:t xml:space="preserve"> Learning en hoeveel docenten worden hierbij betrokken?</w:t>
            </w:r>
          </w:p>
          <w:p w:rsidRPr="002A1F9A" w:rsidR="00FE14A2" w:rsidRDefault="00FE14A2" w14:paraId="1C6288B0" w14:textId="77777777">
            <w:pPr>
              <w:rPr>
                <w:rFonts w:ascii="Verdana" w:hAnsi="Verdana"/>
                <w:sz w:val="18"/>
                <w:szCs w:val="18"/>
              </w:rPr>
            </w:pPr>
          </w:p>
          <w:p w:rsidRPr="002A1F9A" w:rsidR="00FE14A2" w:rsidP="00FE14A2" w:rsidRDefault="00FE14A2" w14:paraId="08F9AF31" w14:textId="0D4CBB9C">
            <w:pPr>
              <w:rPr>
                <w:rFonts w:ascii="Verdana" w:hAnsi="Verdana"/>
                <w:sz w:val="18"/>
                <w:szCs w:val="18"/>
              </w:rPr>
            </w:pPr>
            <w:r w:rsidRPr="002A1F9A">
              <w:rPr>
                <w:rFonts w:ascii="Verdana" w:hAnsi="Verdana"/>
                <w:sz w:val="18"/>
                <w:szCs w:val="18"/>
              </w:rPr>
              <w:t>Het totaal aantal instellingen dat in 2026 hieraan deelneemt is pas bekend wanneer de derde aanvraagronde van de regeling is gesloten. Dit is naar verwachting in april 2026.</w:t>
            </w:r>
          </w:p>
          <w:p w:rsidRPr="002A1F9A" w:rsidR="00FE14A2" w:rsidP="00FE14A2" w:rsidRDefault="00FE14A2" w14:paraId="6DC28EC4" w14:textId="77777777">
            <w:pPr>
              <w:rPr>
                <w:rFonts w:ascii="Verdana" w:hAnsi="Verdana"/>
                <w:sz w:val="18"/>
                <w:szCs w:val="18"/>
              </w:rPr>
            </w:pPr>
            <w:r w:rsidRPr="002A1F9A">
              <w:rPr>
                <w:rFonts w:ascii="Verdana" w:hAnsi="Verdana"/>
                <w:sz w:val="18"/>
                <w:szCs w:val="18"/>
              </w:rPr>
              <w:t xml:space="preserve">Dan is ook het aantal docenten dat hierbij wordt betrokken bekend, omdat dit aantal uit de aanvraag blijkt. </w:t>
            </w:r>
          </w:p>
          <w:p w:rsidRPr="002A1F9A" w:rsidR="00FE14A2" w:rsidP="00FE14A2" w:rsidRDefault="00FE14A2" w14:paraId="5BEBD63C" w14:textId="58CF54CA">
            <w:pPr>
              <w:rPr>
                <w:rFonts w:ascii="Verdana" w:hAnsi="Verdana"/>
                <w:sz w:val="18"/>
                <w:szCs w:val="18"/>
              </w:rPr>
            </w:pPr>
            <w:r w:rsidRPr="002A1F9A">
              <w:rPr>
                <w:rFonts w:ascii="Verdana" w:hAnsi="Verdana"/>
                <w:sz w:val="18"/>
                <w:szCs w:val="18"/>
              </w:rPr>
              <w:t xml:space="preserve">In 2025 namen in totaal 36 instellingen deel aan de CTL-regeling. Hierbij zijn 16.008 docenten betrokken. </w:t>
            </w:r>
          </w:p>
          <w:p w:rsidRPr="002A1F9A" w:rsidR="00FE14A2" w:rsidRDefault="00FE14A2" w14:paraId="362CED00" w14:textId="44A8FC50">
            <w:pPr>
              <w:rPr>
                <w:rFonts w:ascii="Verdana" w:hAnsi="Verdana"/>
                <w:sz w:val="18"/>
                <w:szCs w:val="18"/>
              </w:rPr>
            </w:pPr>
          </w:p>
        </w:tc>
        <w:tc>
          <w:tcPr>
            <w:tcW w:w="850" w:type="dxa"/>
          </w:tcPr>
          <w:p w:rsidRPr="002A1F9A" w:rsidR="001256CA" w:rsidRDefault="001856D0" w14:paraId="748CDFB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B6FF4C1" w14:textId="77777777">
            <w:pPr>
              <w:jc w:val="right"/>
              <w:rPr>
                <w:rFonts w:ascii="Verdana" w:hAnsi="Verdana"/>
                <w:sz w:val="18"/>
                <w:szCs w:val="18"/>
              </w:rPr>
            </w:pPr>
            <w:r w:rsidRPr="002A1F9A">
              <w:rPr>
                <w:rFonts w:ascii="Verdana" w:hAnsi="Verdana"/>
                <w:sz w:val="18"/>
                <w:szCs w:val="18"/>
              </w:rPr>
              <w:t>78</w:t>
            </w:r>
          </w:p>
        </w:tc>
        <w:tc>
          <w:tcPr>
            <w:tcW w:w="567" w:type="dxa"/>
            <w:tcBorders>
              <w:left w:val="nil"/>
            </w:tcBorders>
          </w:tcPr>
          <w:p w:rsidRPr="002A1F9A" w:rsidR="001256CA" w:rsidRDefault="001856D0" w14:paraId="710D78A3"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A891529" w14:textId="77777777">
        <w:tc>
          <w:tcPr>
            <w:tcW w:w="567" w:type="dxa"/>
          </w:tcPr>
          <w:p w:rsidRPr="002A1F9A" w:rsidR="001256CA" w:rsidRDefault="001856D0" w14:paraId="3F8AF42C" w14:textId="77777777">
            <w:pPr>
              <w:rPr>
                <w:rFonts w:ascii="Verdana" w:hAnsi="Verdana"/>
                <w:sz w:val="18"/>
                <w:szCs w:val="18"/>
              </w:rPr>
            </w:pPr>
            <w:bookmarkStart w:name="_Hlk212625478" w:id="36"/>
            <w:r w:rsidRPr="002A1F9A">
              <w:rPr>
                <w:rFonts w:ascii="Verdana" w:hAnsi="Verdana"/>
                <w:sz w:val="18"/>
                <w:szCs w:val="18"/>
              </w:rPr>
              <w:t>153</w:t>
            </w:r>
          </w:p>
        </w:tc>
        <w:tc>
          <w:tcPr>
            <w:tcW w:w="6521" w:type="dxa"/>
          </w:tcPr>
          <w:p w:rsidRPr="002A1F9A" w:rsidR="001256CA" w:rsidRDefault="001856D0" w14:paraId="2750E725" w14:textId="77777777">
            <w:pPr>
              <w:rPr>
                <w:rFonts w:ascii="Verdana" w:hAnsi="Verdana"/>
                <w:sz w:val="18"/>
                <w:szCs w:val="18"/>
              </w:rPr>
            </w:pPr>
            <w:r w:rsidRPr="002A1F9A">
              <w:rPr>
                <w:rFonts w:ascii="Verdana" w:hAnsi="Verdana"/>
                <w:sz w:val="18"/>
                <w:szCs w:val="18"/>
              </w:rPr>
              <w:t xml:space="preserve">Klopt het beeld dat er in 2026 en volgende jaren minder budget beschikbaar is voor de subsidie </w:t>
            </w:r>
            <w:proofErr w:type="spellStart"/>
            <w:r w:rsidRPr="002A1F9A">
              <w:rPr>
                <w:rFonts w:ascii="Verdana" w:hAnsi="Verdana"/>
                <w:sz w:val="18"/>
                <w:szCs w:val="18"/>
              </w:rPr>
              <w:t>zij-instroom</w:t>
            </w:r>
            <w:proofErr w:type="spellEnd"/>
            <w:r w:rsidRPr="002A1F9A">
              <w:rPr>
                <w:rFonts w:ascii="Verdana" w:hAnsi="Verdana"/>
                <w:sz w:val="18"/>
                <w:szCs w:val="18"/>
              </w:rPr>
              <w:t xml:space="preserve"> en heeft dit gevolgen voor het totaal aantal subsidies dat beschikbaar kan worden gesteld voor de </w:t>
            </w:r>
            <w:proofErr w:type="spellStart"/>
            <w:r w:rsidRPr="002A1F9A">
              <w:rPr>
                <w:rFonts w:ascii="Verdana" w:hAnsi="Verdana"/>
                <w:sz w:val="18"/>
                <w:szCs w:val="18"/>
              </w:rPr>
              <w:t>zij-instroom</w:t>
            </w:r>
            <w:proofErr w:type="spellEnd"/>
            <w:r w:rsidRPr="002A1F9A">
              <w:rPr>
                <w:rFonts w:ascii="Verdana" w:hAnsi="Verdana"/>
                <w:sz w:val="18"/>
                <w:szCs w:val="18"/>
              </w:rPr>
              <w:t>?</w:t>
            </w:r>
          </w:p>
          <w:p w:rsidRPr="002A1F9A" w:rsidR="00307026" w:rsidRDefault="00307026" w14:paraId="19D559DF" w14:textId="77777777">
            <w:pPr>
              <w:rPr>
                <w:rFonts w:ascii="Verdana" w:hAnsi="Verdana"/>
                <w:sz w:val="18"/>
                <w:szCs w:val="18"/>
              </w:rPr>
            </w:pPr>
          </w:p>
          <w:p w:rsidRPr="002A1F9A" w:rsidR="00E63BD8" w:rsidP="00E63BD8" w:rsidRDefault="00E63BD8" w14:paraId="7BCB1561" w14:textId="77777777">
            <w:pPr>
              <w:rPr>
                <w:rFonts w:ascii="Verdana" w:hAnsi="Verdana"/>
                <w:sz w:val="18"/>
                <w:szCs w:val="18"/>
              </w:rPr>
            </w:pPr>
            <w:r w:rsidRPr="002A1F9A">
              <w:rPr>
                <w:rFonts w:ascii="Verdana" w:hAnsi="Verdana"/>
                <w:sz w:val="18"/>
                <w:szCs w:val="18"/>
              </w:rPr>
              <w:t xml:space="preserve">Er is in 2026 inderdaad minder budget gereserveerd voor de Regeling subsidie </w:t>
            </w:r>
            <w:proofErr w:type="spellStart"/>
            <w:r w:rsidRPr="002A1F9A">
              <w:rPr>
                <w:rFonts w:ascii="Verdana" w:hAnsi="Verdana"/>
                <w:sz w:val="18"/>
                <w:szCs w:val="18"/>
              </w:rPr>
              <w:t>zij-instroom</w:t>
            </w:r>
            <w:proofErr w:type="spellEnd"/>
            <w:r w:rsidRPr="002A1F9A">
              <w:rPr>
                <w:rFonts w:ascii="Verdana" w:hAnsi="Verdana"/>
                <w:sz w:val="18"/>
                <w:szCs w:val="18"/>
              </w:rPr>
              <w:t xml:space="preserve"> dan in 2025. Voor het jaar 2025 zijn eenmalig extra middelen gereserveerd voor </w:t>
            </w:r>
            <w:proofErr w:type="spellStart"/>
            <w:r w:rsidRPr="002A1F9A">
              <w:rPr>
                <w:rFonts w:ascii="Verdana" w:hAnsi="Verdana"/>
                <w:sz w:val="18"/>
                <w:szCs w:val="18"/>
              </w:rPr>
              <w:t>zij-instroom</w:t>
            </w:r>
            <w:proofErr w:type="spellEnd"/>
            <w:r w:rsidRPr="002A1F9A">
              <w:rPr>
                <w:rFonts w:ascii="Verdana" w:hAnsi="Verdana"/>
                <w:sz w:val="18"/>
                <w:szCs w:val="18"/>
              </w:rPr>
              <w:t xml:space="preserve">, omdat er een stijging in het aantal aanvragers verwacht werd. Het aantal aanvragen stijgt echter minder dan eerder werd ingeschat. Op basis van de huidige trend van het aantal zij-instromers is het budget dat komende jaren beschikbaar is, genoeg voor alle aanvragers. </w:t>
            </w:r>
          </w:p>
          <w:p w:rsidRPr="002A1F9A" w:rsidR="00E63BD8" w:rsidP="00E63BD8" w:rsidRDefault="00E63BD8" w14:paraId="390028B8" w14:textId="77777777">
            <w:pPr>
              <w:rPr>
                <w:rFonts w:ascii="Verdana" w:hAnsi="Verdana"/>
                <w:sz w:val="18"/>
                <w:szCs w:val="18"/>
              </w:rPr>
            </w:pPr>
            <w:r w:rsidRPr="002A1F9A">
              <w:rPr>
                <w:rFonts w:ascii="Verdana" w:hAnsi="Verdana"/>
                <w:sz w:val="18"/>
                <w:szCs w:val="18"/>
              </w:rPr>
              <w:t>Het subsidieplafond voor de regeling is recent voor de jaren 2025 t/m 2028 opgehoogd naar €57,5 miljoen per jaar (gelijk bedrag in alle jaren) en is daarmee de komende jaren gelijk en naar verwachting voldoende.</w:t>
            </w:r>
          </w:p>
          <w:p w:rsidRPr="002A1F9A" w:rsidR="00307026" w:rsidRDefault="00307026" w14:paraId="50C614D9" w14:textId="77777777">
            <w:pPr>
              <w:rPr>
                <w:rFonts w:ascii="Verdana" w:hAnsi="Verdana"/>
                <w:sz w:val="18"/>
                <w:szCs w:val="18"/>
              </w:rPr>
            </w:pPr>
          </w:p>
        </w:tc>
        <w:tc>
          <w:tcPr>
            <w:tcW w:w="850" w:type="dxa"/>
          </w:tcPr>
          <w:p w:rsidRPr="002A1F9A" w:rsidR="001256CA" w:rsidRDefault="001856D0" w14:paraId="5A1AB301"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D5215F6" w14:textId="77777777">
            <w:pPr>
              <w:jc w:val="right"/>
              <w:rPr>
                <w:rFonts w:ascii="Verdana" w:hAnsi="Verdana"/>
                <w:sz w:val="18"/>
                <w:szCs w:val="18"/>
              </w:rPr>
            </w:pPr>
            <w:r w:rsidRPr="002A1F9A">
              <w:rPr>
                <w:rFonts w:ascii="Verdana" w:hAnsi="Verdana"/>
                <w:sz w:val="18"/>
                <w:szCs w:val="18"/>
              </w:rPr>
              <w:t>89</w:t>
            </w:r>
          </w:p>
        </w:tc>
        <w:tc>
          <w:tcPr>
            <w:tcW w:w="567" w:type="dxa"/>
            <w:tcBorders>
              <w:left w:val="nil"/>
            </w:tcBorders>
          </w:tcPr>
          <w:p w:rsidRPr="002A1F9A" w:rsidR="001256CA" w:rsidRDefault="001856D0" w14:paraId="61216E15"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514BC20A" w14:textId="77777777">
        <w:tc>
          <w:tcPr>
            <w:tcW w:w="567" w:type="dxa"/>
          </w:tcPr>
          <w:p w:rsidRPr="002A1F9A" w:rsidR="001256CA" w:rsidRDefault="001856D0" w14:paraId="57FDB78F" w14:textId="77777777">
            <w:pPr>
              <w:rPr>
                <w:rFonts w:ascii="Verdana" w:hAnsi="Verdana"/>
                <w:sz w:val="18"/>
                <w:szCs w:val="18"/>
              </w:rPr>
            </w:pPr>
            <w:bookmarkStart w:name="_Hlk212625496" w:id="37"/>
            <w:bookmarkEnd w:id="36"/>
            <w:r w:rsidRPr="002A1F9A">
              <w:rPr>
                <w:rFonts w:ascii="Verdana" w:hAnsi="Verdana"/>
                <w:sz w:val="18"/>
                <w:szCs w:val="18"/>
              </w:rPr>
              <w:t>154</w:t>
            </w:r>
          </w:p>
        </w:tc>
        <w:tc>
          <w:tcPr>
            <w:tcW w:w="6521" w:type="dxa"/>
          </w:tcPr>
          <w:p w:rsidRPr="002A1F9A" w:rsidR="001256CA" w:rsidRDefault="001856D0" w14:paraId="2D614C4A" w14:textId="77777777">
            <w:pPr>
              <w:rPr>
                <w:rFonts w:ascii="Verdana" w:hAnsi="Verdana"/>
                <w:sz w:val="18"/>
                <w:szCs w:val="18"/>
              </w:rPr>
            </w:pPr>
            <w:r w:rsidRPr="002A1F9A">
              <w:rPr>
                <w:rFonts w:ascii="Verdana" w:hAnsi="Verdana"/>
                <w:sz w:val="18"/>
                <w:szCs w:val="18"/>
              </w:rPr>
              <w:t>Kunt u een overzicht geven van het aantal ingediende (initiële en herhaal-)</w:t>
            </w:r>
            <w:r w:rsidRPr="002A1F9A" w:rsidR="004107C4">
              <w:rPr>
                <w:rFonts w:ascii="Verdana" w:hAnsi="Verdana"/>
                <w:sz w:val="18"/>
                <w:szCs w:val="18"/>
              </w:rPr>
              <w:t xml:space="preserve"> </w:t>
            </w:r>
            <w:r w:rsidRPr="002A1F9A">
              <w:rPr>
                <w:rFonts w:ascii="Verdana" w:hAnsi="Verdana"/>
                <w:sz w:val="18"/>
                <w:szCs w:val="18"/>
              </w:rPr>
              <w:t xml:space="preserve">aanvragen en het aantal toegekende en afgewezen (initiële en herhaal-)aanvragen voor de </w:t>
            </w:r>
            <w:r w:rsidRPr="002A1F9A" w:rsidR="00D54B57">
              <w:rPr>
                <w:rFonts w:ascii="Verdana" w:hAnsi="Verdana"/>
                <w:sz w:val="18"/>
                <w:szCs w:val="18"/>
              </w:rPr>
              <w:t>l</w:t>
            </w:r>
            <w:r w:rsidRPr="002A1F9A">
              <w:rPr>
                <w:rFonts w:ascii="Verdana" w:hAnsi="Verdana"/>
                <w:sz w:val="18"/>
                <w:szCs w:val="18"/>
              </w:rPr>
              <w:t>erarenbeurs per sector in 2024 (studiejaar 2</w:t>
            </w:r>
            <w:r w:rsidRPr="002A1F9A" w:rsidR="004107C4">
              <w:rPr>
                <w:rFonts w:ascii="Verdana" w:hAnsi="Verdana"/>
                <w:sz w:val="18"/>
                <w:szCs w:val="18"/>
              </w:rPr>
              <w:t>024-2025</w:t>
            </w:r>
            <w:r w:rsidRPr="002A1F9A">
              <w:rPr>
                <w:rFonts w:ascii="Verdana" w:hAnsi="Verdana"/>
                <w:sz w:val="18"/>
                <w:szCs w:val="18"/>
              </w:rPr>
              <w:t>) en in 2025 (studiejaar 2</w:t>
            </w:r>
            <w:r w:rsidRPr="002A1F9A" w:rsidR="004107C4">
              <w:rPr>
                <w:rFonts w:ascii="Verdana" w:hAnsi="Verdana"/>
                <w:sz w:val="18"/>
                <w:szCs w:val="18"/>
              </w:rPr>
              <w:t>025-2026</w:t>
            </w:r>
            <w:r w:rsidRPr="002A1F9A">
              <w:rPr>
                <w:rFonts w:ascii="Verdana" w:hAnsi="Verdana"/>
                <w:sz w:val="18"/>
                <w:szCs w:val="18"/>
              </w:rPr>
              <w:t>)?</w:t>
            </w:r>
          </w:p>
          <w:p w:rsidRPr="002A1F9A" w:rsidR="00307026" w:rsidRDefault="00307026" w14:paraId="2815C83F" w14:textId="77777777">
            <w:pPr>
              <w:rPr>
                <w:rFonts w:ascii="Verdana" w:hAnsi="Verdana"/>
                <w:sz w:val="18"/>
                <w:szCs w:val="18"/>
              </w:rPr>
            </w:pPr>
          </w:p>
          <w:p w:rsidRPr="002A1F9A" w:rsidR="00307026" w:rsidP="00307026" w:rsidRDefault="00307026" w14:paraId="66AFE756" w14:textId="77777777">
            <w:pPr>
              <w:rPr>
                <w:rFonts w:ascii="Verdana" w:hAnsi="Verdana"/>
                <w:sz w:val="18"/>
                <w:szCs w:val="18"/>
              </w:rPr>
            </w:pPr>
            <w:r w:rsidRPr="002A1F9A">
              <w:rPr>
                <w:rFonts w:ascii="Verdana" w:hAnsi="Verdana"/>
                <w:sz w:val="18"/>
                <w:szCs w:val="18"/>
              </w:rPr>
              <w:t xml:space="preserve">Hieronder vindt u de gevraagde cijfers. Dit zijn de meest recente cijfers vanuit DUO. De cijfers voor het PO zijn inclusief het speciaal onderwijs en het voorgezet speciaal onderwijs, omdat deze samenvoeging ook zo is opgenomen in de subsidieregeling Lerarenbeurs. </w:t>
            </w:r>
          </w:p>
          <w:p w:rsidRPr="002A1F9A" w:rsidR="00307026" w:rsidP="00263CDF" w:rsidRDefault="00307026" w14:paraId="3B77D7D8" w14:textId="3A44E845">
            <w:pPr>
              <w:rPr>
                <w:rFonts w:ascii="Verdana" w:hAnsi="Verdana"/>
                <w:sz w:val="18"/>
                <w:szCs w:val="18"/>
              </w:rPr>
            </w:pPr>
          </w:p>
        </w:tc>
        <w:tc>
          <w:tcPr>
            <w:tcW w:w="850" w:type="dxa"/>
          </w:tcPr>
          <w:p w:rsidRPr="002A1F9A" w:rsidR="001256CA" w:rsidRDefault="001856D0" w14:paraId="7FA04CB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43ABDAC0" w14:textId="77777777">
            <w:pPr>
              <w:jc w:val="right"/>
              <w:rPr>
                <w:rFonts w:ascii="Verdana" w:hAnsi="Verdana"/>
                <w:sz w:val="18"/>
                <w:szCs w:val="18"/>
              </w:rPr>
            </w:pPr>
            <w:r w:rsidRPr="002A1F9A">
              <w:rPr>
                <w:rFonts w:ascii="Verdana" w:hAnsi="Verdana"/>
                <w:sz w:val="18"/>
                <w:szCs w:val="18"/>
              </w:rPr>
              <w:t>89</w:t>
            </w:r>
          </w:p>
        </w:tc>
        <w:tc>
          <w:tcPr>
            <w:tcW w:w="567" w:type="dxa"/>
            <w:tcBorders>
              <w:left w:val="nil"/>
            </w:tcBorders>
          </w:tcPr>
          <w:p w:rsidRPr="002A1F9A" w:rsidR="001256CA" w:rsidRDefault="001856D0" w14:paraId="32F3E2AC" w14:textId="77777777">
            <w:pPr>
              <w:jc w:val="right"/>
              <w:rPr>
                <w:rFonts w:ascii="Verdana" w:hAnsi="Verdana"/>
                <w:sz w:val="18"/>
                <w:szCs w:val="18"/>
              </w:rPr>
            </w:pPr>
            <w:r w:rsidRPr="002A1F9A">
              <w:rPr>
                <w:rFonts w:ascii="Verdana" w:hAnsi="Verdana"/>
                <w:sz w:val="18"/>
                <w:szCs w:val="18"/>
              </w:rPr>
              <w:t xml:space="preserve"> </w:t>
            </w:r>
          </w:p>
        </w:tc>
      </w:tr>
    </w:tbl>
    <w:tbl>
      <w:tblPr>
        <w:tblStyle w:val="Tabelrasterlicht"/>
        <w:tblpPr w:leftFromText="141" w:rightFromText="141" w:vertAnchor="text" w:horzAnchor="margin" w:tblpY="187"/>
        <w:tblW w:w="79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9"/>
        <w:gridCol w:w="786"/>
        <w:gridCol w:w="831"/>
        <w:gridCol w:w="786"/>
        <w:gridCol w:w="1034"/>
        <w:gridCol w:w="786"/>
        <w:gridCol w:w="1338"/>
        <w:gridCol w:w="1603"/>
      </w:tblGrid>
      <w:tr w:rsidRPr="002A1F9A" w:rsidR="00263CDF" w:rsidTr="00263CDF" w14:paraId="553E10D6" w14:textId="77777777">
        <w:trPr>
          <w:trHeight w:val="699"/>
        </w:trPr>
        <w:tc>
          <w:tcPr>
            <w:tcW w:w="2386" w:type="dxa"/>
            <w:gridSpan w:val="3"/>
            <w:hideMark/>
          </w:tcPr>
          <w:p w:rsidRPr="002A1F9A" w:rsidR="00263CDF" w:rsidP="00361B42" w:rsidRDefault="00263CDF" w14:paraId="51ECAB3A" w14:textId="77777777">
            <w:pPr>
              <w:spacing w:after="160" w:line="259" w:lineRule="auto"/>
              <w:rPr>
                <w:rFonts w:ascii="Verdana" w:hAnsi="Verdana"/>
                <w:b/>
                <w:bCs/>
                <w:sz w:val="14"/>
                <w:szCs w:val="14"/>
              </w:rPr>
            </w:pPr>
            <w:r w:rsidRPr="002A1F9A">
              <w:rPr>
                <w:rFonts w:ascii="Verdana" w:hAnsi="Verdana"/>
                <w:sz w:val="14"/>
                <w:szCs w:val="14"/>
              </w:rPr>
              <w:t>Toegekende aanvragen studiejaar 2024-2025</w:t>
            </w:r>
          </w:p>
        </w:tc>
        <w:tc>
          <w:tcPr>
            <w:tcW w:w="1820" w:type="dxa"/>
            <w:gridSpan w:val="2"/>
            <w:hideMark/>
          </w:tcPr>
          <w:p w:rsidRPr="002A1F9A" w:rsidR="00263CDF" w:rsidP="00361B42" w:rsidRDefault="00263CDF" w14:paraId="7F71A868" w14:textId="77777777">
            <w:pPr>
              <w:spacing w:after="160" w:line="259" w:lineRule="auto"/>
              <w:rPr>
                <w:rFonts w:ascii="Verdana" w:hAnsi="Verdana"/>
                <w:sz w:val="14"/>
                <w:szCs w:val="14"/>
              </w:rPr>
            </w:pPr>
            <w:r w:rsidRPr="002A1F9A">
              <w:rPr>
                <w:rFonts w:ascii="Verdana" w:hAnsi="Verdana"/>
                <w:sz w:val="14"/>
                <w:szCs w:val="14"/>
              </w:rPr>
              <w:t>Aantal afgewezen aanvragen studiejaar 2024-2025</w:t>
            </w:r>
          </w:p>
        </w:tc>
        <w:tc>
          <w:tcPr>
            <w:tcW w:w="2124" w:type="dxa"/>
            <w:gridSpan w:val="2"/>
            <w:hideMark/>
          </w:tcPr>
          <w:p w:rsidRPr="002A1F9A" w:rsidR="00263CDF" w:rsidP="00361B42" w:rsidRDefault="00263CDF" w14:paraId="4656A3E7" w14:textId="77777777">
            <w:pPr>
              <w:spacing w:after="160" w:line="259" w:lineRule="auto"/>
              <w:rPr>
                <w:rFonts w:ascii="Verdana" w:hAnsi="Verdana"/>
                <w:sz w:val="14"/>
                <w:szCs w:val="14"/>
              </w:rPr>
            </w:pPr>
            <w:r w:rsidRPr="002A1F9A">
              <w:rPr>
                <w:rFonts w:ascii="Verdana" w:hAnsi="Verdana"/>
                <w:sz w:val="14"/>
                <w:szCs w:val="14"/>
              </w:rPr>
              <w:t>Aantal buiten behandeling gestelde aanvragen studiejaar 2024-2025</w:t>
            </w:r>
          </w:p>
        </w:tc>
        <w:tc>
          <w:tcPr>
            <w:tcW w:w="1603" w:type="dxa"/>
            <w:hideMark/>
          </w:tcPr>
          <w:p w:rsidRPr="002A1F9A" w:rsidR="00263CDF" w:rsidP="00361B42" w:rsidRDefault="00263CDF" w14:paraId="04DAB428" w14:textId="77777777">
            <w:pPr>
              <w:spacing w:after="160" w:line="259" w:lineRule="auto"/>
              <w:rPr>
                <w:rFonts w:ascii="Verdana" w:hAnsi="Verdana"/>
                <w:sz w:val="14"/>
                <w:szCs w:val="14"/>
              </w:rPr>
            </w:pPr>
            <w:r w:rsidRPr="002A1F9A">
              <w:rPr>
                <w:rFonts w:ascii="Verdana" w:hAnsi="Verdana"/>
                <w:sz w:val="14"/>
                <w:szCs w:val="14"/>
              </w:rPr>
              <w:t xml:space="preserve">Toegekend bedrag *miljoen </w:t>
            </w:r>
          </w:p>
        </w:tc>
      </w:tr>
      <w:tr w:rsidRPr="002A1F9A" w:rsidR="00263CDF" w:rsidTr="00263CDF" w14:paraId="65D826D9" w14:textId="77777777">
        <w:trPr>
          <w:trHeight w:val="416"/>
        </w:trPr>
        <w:tc>
          <w:tcPr>
            <w:tcW w:w="769" w:type="dxa"/>
            <w:hideMark/>
          </w:tcPr>
          <w:p w:rsidRPr="002A1F9A" w:rsidR="00263CDF" w:rsidP="00361B42" w:rsidRDefault="00263CDF" w14:paraId="4918C552" w14:textId="77777777">
            <w:pPr>
              <w:spacing w:after="160" w:line="259" w:lineRule="auto"/>
              <w:rPr>
                <w:rFonts w:ascii="Verdana" w:hAnsi="Verdana"/>
                <w:b/>
                <w:bCs/>
                <w:sz w:val="14"/>
                <w:szCs w:val="14"/>
              </w:rPr>
            </w:pPr>
            <w:r w:rsidRPr="002A1F9A">
              <w:rPr>
                <w:rFonts w:ascii="Verdana" w:hAnsi="Verdana"/>
                <w:b/>
                <w:bCs/>
                <w:sz w:val="14"/>
                <w:szCs w:val="14"/>
              </w:rPr>
              <w:t>Sector</w:t>
            </w:r>
          </w:p>
        </w:tc>
        <w:tc>
          <w:tcPr>
            <w:tcW w:w="786" w:type="dxa"/>
            <w:hideMark/>
          </w:tcPr>
          <w:p w:rsidRPr="002A1F9A" w:rsidR="00263CDF" w:rsidP="00361B42" w:rsidRDefault="00263CDF" w14:paraId="5656C3FD"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831" w:type="dxa"/>
            <w:hideMark/>
          </w:tcPr>
          <w:p w:rsidRPr="002A1F9A" w:rsidR="00263CDF" w:rsidP="00361B42" w:rsidRDefault="00263CDF" w14:paraId="59A99BA6"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786" w:type="dxa"/>
            <w:hideMark/>
          </w:tcPr>
          <w:p w:rsidRPr="002A1F9A" w:rsidR="00263CDF" w:rsidP="00361B42" w:rsidRDefault="00263CDF" w14:paraId="5AC507DE"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1034" w:type="dxa"/>
            <w:hideMark/>
          </w:tcPr>
          <w:p w:rsidRPr="002A1F9A" w:rsidR="00263CDF" w:rsidP="00361B42" w:rsidRDefault="00263CDF" w14:paraId="53CBC450"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786" w:type="dxa"/>
            <w:hideMark/>
          </w:tcPr>
          <w:p w:rsidRPr="002A1F9A" w:rsidR="00263CDF" w:rsidP="00361B42" w:rsidRDefault="00263CDF" w14:paraId="4B3703C8"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1338" w:type="dxa"/>
            <w:hideMark/>
          </w:tcPr>
          <w:p w:rsidRPr="002A1F9A" w:rsidR="00263CDF" w:rsidP="00361B42" w:rsidRDefault="00263CDF" w14:paraId="1898FDE1"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1603" w:type="dxa"/>
          </w:tcPr>
          <w:p w:rsidRPr="002A1F9A" w:rsidR="00263CDF" w:rsidP="00361B42" w:rsidRDefault="00263CDF" w14:paraId="40505BA2" w14:textId="77777777">
            <w:pPr>
              <w:spacing w:after="160" w:line="259" w:lineRule="auto"/>
              <w:rPr>
                <w:rFonts w:ascii="Verdana" w:hAnsi="Verdana"/>
                <w:b/>
                <w:bCs/>
                <w:sz w:val="14"/>
                <w:szCs w:val="14"/>
              </w:rPr>
            </w:pPr>
          </w:p>
        </w:tc>
      </w:tr>
      <w:tr w:rsidRPr="002A1F9A" w:rsidR="00263CDF" w:rsidTr="00263CDF" w14:paraId="78097600" w14:textId="77777777">
        <w:trPr>
          <w:trHeight w:val="352"/>
        </w:trPr>
        <w:tc>
          <w:tcPr>
            <w:tcW w:w="769" w:type="dxa"/>
            <w:hideMark/>
          </w:tcPr>
          <w:p w:rsidRPr="002A1F9A" w:rsidR="00263CDF" w:rsidP="00361B42" w:rsidRDefault="00263CDF" w14:paraId="30573A3C" w14:textId="77777777">
            <w:pPr>
              <w:spacing w:after="160" w:line="259" w:lineRule="auto"/>
              <w:rPr>
                <w:rFonts w:ascii="Verdana" w:hAnsi="Verdana"/>
                <w:sz w:val="14"/>
                <w:szCs w:val="14"/>
              </w:rPr>
            </w:pPr>
            <w:r w:rsidRPr="002A1F9A">
              <w:rPr>
                <w:rFonts w:ascii="Verdana" w:hAnsi="Verdana"/>
                <w:sz w:val="14"/>
                <w:szCs w:val="14"/>
              </w:rPr>
              <w:t>PO</w:t>
            </w:r>
          </w:p>
        </w:tc>
        <w:tc>
          <w:tcPr>
            <w:tcW w:w="786" w:type="dxa"/>
            <w:hideMark/>
          </w:tcPr>
          <w:p w:rsidRPr="002A1F9A" w:rsidR="00263CDF" w:rsidP="00361B42" w:rsidRDefault="00263CDF" w14:paraId="1D61DCC0" w14:textId="77777777">
            <w:pPr>
              <w:spacing w:after="160" w:line="259" w:lineRule="auto"/>
              <w:rPr>
                <w:rFonts w:ascii="Verdana" w:hAnsi="Verdana"/>
                <w:sz w:val="14"/>
                <w:szCs w:val="14"/>
              </w:rPr>
            </w:pPr>
            <w:r w:rsidRPr="002A1F9A">
              <w:rPr>
                <w:rFonts w:ascii="Verdana" w:hAnsi="Verdana"/>
                <w:sz w:val="14"/>
                <w:szCs w:val="14"/>
              </w:rPr>
              <w:t>737</w:t>
            </w:r>
          </w:p>
        </w:tc>
        <w:tc>
          <w:tcPr>
            <w:tcW w:w="831" w:type="dxa"/>
            <w:hideMark/>
          </w:tcPr>
          <w:p w:rsidRPr="002A1F9A" w:rsidR="00263CDF" w:rsidP="00361B42" w:rsidRDefault="00263CDF" w14:paraId="4E5E7A21" w14:textId="77777777">
            <w:pPr>
              <w:spacing w:after="160" w:line="259" w:lineRule="auto"/>
              <w:rPr>
                <w:rFonts w:ascii="Verdana" w:hAnsi="Verdana"/>
                <w:sz w:val="14"/>
                <w:szCs w:val="14"/>
              </w:rPr>
            </w:pPr>
            <w:r w:rsidRPr="002A1F9A">
              <w:rPr>
                <w:rFonts w:ascii="Verdana" w:hAnsi="Verdana"/>
                <w:sz w:val="14"/>
                <w:szCs w:val="14"/>
              </w:rPr>
              <w:t>659</w:t>
            </w:r>
          </w:p>
        </w:tc>
        <w:tc>
          <w:tcPr>
            <w:tcW w:w="786" w:type="dxa"/>
            <w:hideMark/>
          </w:tcPr>
          <w:p w:rsidRPr="002A1F9A" w:rsidR="00263CDF" w:rsidP="00361B42" w:rsidRDefault="00263CDF" w14:paraId="19802FAA" w14:textId="77777777">
            <w:pPr>
              <w:spacing w:after="160" w:line="259" w:lineRule="auto"/>
              <w:rPr>
                <w:rFonts w:ascii="Verdana" w:hAnsi="Verdana"/>
                <w:sz w:val="14"/>
                <w:szCs w:val="14"/>
              </w:rPr>
            </w:pPr>
            <w:r w:rsidRPr="002A1F9A">
              <w:rPr>
                <w:rFonts w:ascii="Verdana" w:hAnsi="Verdana"/>
                <w:sz w:val="14"/>
                <w:szCs w:val="14"/>
              </w:rPr>
              <w:t>24</w:t>
            </w:r>
          </w:p>
        </w:tc>
        <w:tc>
          <w:tcPr>
            <w:tcW w:w="1034" w:type="dxa"/>
            <w:hideMark/>
          </w:tcPr>
          <w:p w:rsidRPr="002A1F9A" w:rsidR="00263CDF" w:rsidP="00361B42" w:rsidRDefault="00263CDF" w14:paraId="65B140E8" w14:textId="77777777">
            <w:pPr>
              <w:spacing w:after="160" w:line="259" w:lineRule="auto"/>
              <w:rPr>
                <w:rFonts w:ascii="Verdana" w:hAnsi="Verdana"/>
                <w:sz w:val="14"/>
                <w:szCs w:val="14"/>
              </w:rPr>
            </w:pPr>
            <w:r w:rsidRPr="002A1F9A">
              <w:rPr>
                <w:rFonts w:ascii="Verdana" w:hAnsi="Verdana"/>
                <w:sz w:val="14"/>
                <w:szCs w:val="14"/>
              </w:rPr>
              <w:t>3</w:t>
            </w:r>
          </w:p>
        </w:tc>
        <w:tc>
          <w:tcPr>
            <w:tcW w:w="786" w:type="dxa"/>
            <w:hideMark/>
          </w:tcPr>
          <w:p w:rsidRPr="002A1F9A" w:rsidR="00263CDF" w:rsidP="00361B42" w:rsidRDefault="00263CDF" w14:paraId="5C13EE4E" w14:textId="77777777">
            <w:pPr>
              <w:spacing w:after="160" w:line="259" w:lineRule="auto"/>
              <w:rPr>
                <w:rFonts w:ascii="Verdana" w:hAnsi="Verdana"/>
                <w:sz w:val="14"/>
                <w:szCs w:val="14"/>
              </w:rPr>
            </w:pPr>
            <w:r w:rsidRPr="002A1F9A">
              <w:rPr>
                <w:rFonts w:ascii="Verdana" w:hAnsi="Verdana"/>
                <w:sz w:val="14"/>
                <w:szCs w:val="14"/>
              </w:rPr>
              <w:t>13</w:t>
            </w:r>
          </w:p>
        </w:tc>
        <w:tc>
          <w:tcPr>
            <w:tcW w:w="1338" w:type="dxa"/>
            <w:hideMark/>
          </w:tcPr>
          <w:p w:rsidRPr="002A1F9A" w:rsidR="00263CDF" w:rsidP="00361B42" w:rsidRDefault="00263CDF" w14:paraId="03AA0101" w14:textId="77777777">
            <w:pPr>
              <w:spacing w:after="160" w:line="259" w:lineRule="auto"/>
              <w:rPr>
                <w:rFonts w:ascii="Verdana" w:hAnsi="Verdana"/>
                <w:sz w:val="14"/>
                <w:szCs w:val="14"/>
              </w:rPr>
            </w:pPr>
            <w:r w:rsidRPr="002A1F9A">
              <w:rPr>
                <w:rFonts w:ascii="Verdana" w:hAnsi="Verdana"/>
                <w:sz w:val="14"/>
                <w:szCs w:val="14"/>
              </w:rPr>
              <w:t>15</w:t>
            </w:r>
          </w:p>
        </w:tc>
        <w:tc>
          <w:tcPr>
            <w:tcW w:w="1603" w:type="dxa"/>
            <w:hideMark/>
          </w:tcPr>
          <w:p w:rsidRPr="002A1F9A" w:rsidR="00263CDF" w:rsidP="00361B42" w:rsidRDefault="00263CDF" w14:paraId="2BF52E99" w14:textId="77777777">
            <w:pPr>
              <w:spacing w:after="160" w:line="259" w:lineRule="auto"/>
              <w:rPr>
                <w:rFonts w:ascii="Verdana" w:hAnsi="Verdana"/>
                <w:sz w:val="14"/>
                <w:szCs w:val="14"/>
              </w:rPr>
            </w:pPr>
            <w:r w:rsidRPr="002A1F9A">
              <w:rPr>
                <w:rFonts w:ascii="Verdana" w:hAnsi="Verdana"/>
                <w:sz w:val="14"/>
                <w:szCs w:val="14"/>
              </w:rPr>
              <w:t>€16,0</w:t>
            </w:r>
          </w:p>
        </w:tc>
      </w:tr>
      <w:tr w:rsidRPr="002A1F9A" w:rsidR="00263CDF" w:rsidTr="00263CDF" w14:paraId="5AEC4C44" w14:textId="77777777">
        <w:trPr>
          <w:trHeight w:val="402"/>
        </w:trPr>
        <w:tc>
          <w:tcPr>
            <w:tcW w:w="769" w:type="dxa"/>
            <w:hideMark/>
          </w:tcPr>
          <w:p w:rsidRPr="002A1F9A" w:rsidR="00263CDF" w:rsidP="00361B42" w:rsidRDefault="00263CDF" w14:paraId="1E00D6B6" w14:textId="77777777">
            <w:pPr>
              <w:spacing w:after="160" w:line="259" w:lineRule="auto"/>
              <w:rPr>
                <w:rFonts w:ascii="Verdana" w:hAnsi="Verdana"/>
                <w:sz w:val="14"/>
                <w:szCs w:val="14"/>
              </w:rPr>
            </w:pPr>
            <w:r w:rsidRPr="002A1F9A">
              <w:rPr>
                <w:rFonts w:ascii="Verdana" w:hAnsi="Verdana"/>
                <w:sz w:val="14"/>
                <w:szCs w:val="14"/>
              </w:rPr>
              <w:lastRenderedPageBreak/>
              <w:t>VO</w:t>
            </w:r>
          </w:p>
        </w:tc>
        <w:tc>
          <w:tcPr>
            <w:tcW w:w="786" w:type="dxa"/>
            <w:hideMark/>
          </w:tcPr>
          <w:p w:rsidRPr="002A1F9A" w:rsidR="00263CDF" w:rsidP="00361B42" w:rsidRDefault="00263CDF" w14:paraId="2139CF92" w14:textId="77777777">
            <w:pPr>
              <w:spacing w:after="160" w:line="259" w:lineRule="auto"/>
              <w:rPr>
                <w:rFonts w:ascii="Verdana" w:hAnsi="Verdana"/>
                <w:sz w:val="14"/>
                <w:szCs w:val="14"/>
              </w:rPr>
            </w:pPr>
            <w:r w:rsidRPr="002A1F9A">
              <w:rPr>
                <w:rFonts w:ascii="Verdana" w:hAnsi="Verdana"/>
                <w:sz w:val="14"/>
                <w:szCs w:val="14"/>
              </w:rPr>
              <w:t>1155</w:t>
            </w:r>
          </w:p>
        </w:tc>
        <w:tc>
          <w:tcPr>
            <w:tcW w:w="831" w:type="dxa"/>
            <w:hideMark/>
          </w:tcPr>
          <w:p w:rsidRPr="002A1F9A" w:rsidR="00263CDF" w:rsidP="00361B42" w:rsidRDefault="00263CDF" w14:paraId="41DCEA82" w14:textId="77777777">
            <w:pPr>
              <w:spacing w:after="160" w:line="259" w:lineRule="auto"/>
              <w:rPr>
                <w:rFonts w:ascii="Verdana" w:hAnsi="Verdana"/>
                <w:sz w:val="14"/>
                <w:szCs w:val="14"/>
              </w:rPr>
            </w:pPr>
            <w:r w:rsidRPr="002A1F9A">
              <w:rPr>
                <w:rFonts w:ascii="Verdana" w:hAnsi="Verdana"/>
                <w:sz w:val="14"/>
                <w:szCs w:val="14"/>
              </w:rPr>
              <w:t>1279</w:t>
            </w:r>
          </w:p>
        </w:tc>
        <w:tc>
          <w:tcPr>
            <w:tcW w:w="786" w:type="dxa"/>
            <w:hideMark/>
          </w:tcPr>
          <w:p w:rsidRPr="002A1F9A" w:rsidR="00263CDF" w:rsidP="00361B42" w:rsidRDefault="00263CDF" w14:paraId="531D483B" w14:textId="77777777">
            <w:pPr>
              <w:spacing w:after="160" w:line="259" w:lineRule="auto"/>
              <w:rPr>
                <w:rFonts w:ascii="Verdana" w:hAnsi="Verdana"/>
                <w:sz w:val="14"/>
                <w:szCs w:val="14"/>
              </w:rPr>
            </w:pPr>
            <w:r w:rsidRPr="002A1F9A">
              <w:rPr>
                <w:rFonts w:ascii="Verdana" w:hAnsi="Verdana"/>
                <w:sz w:val="14"/>
                <w:szCs w:val="14"/>
              </w:rPr>
              <w:t>37</w:t>
            </w:r>
          </w:p>
        </w:tc>
        <w:tc>
          <w:tcPr>
            <w:tcW w:w="1034" w:type="dxa"/>
            <w:hideMark/>
          </w:tcPr>
          <w:p w:rsidRPr="002A1F9A" w:rsidR="00263CDF" w:rsidP="00361B42" w:rsidRDefault="00263CDF" w14:paraId="2568D275" w14:textId="77777777">
            <w:pPr>
              <w:spacing w:after="160" w:line="259" w:lineRule="auto"/>
              <w:rPr>
                <w:rFonts w:ascii="Verdana" w:hAnsi="Verdana"/>
                <w:sz w:val="14"/>
                <w:szCs w:val="14"/>
              </w:rPr>
            </w:pPr>
            <w:r w:rsidRPr="002A1F9A">
              <w:rPr>
                <w:rFonts w:ascii="Verdana" w:hAnsi="Verdana"/>
                <w:sz w:val="14"/>
                <w:szCs w:val="14"/>
              </w:rPr>
              <w:t>6</w:t>
            </w:r>
          </w:p>
        </w:tc>
        <w:tc>
          <w:tcPr>
            <w:tcW w:w="786" w:type="dxa"/>
            <w:hideMark/>
          </w:tcPr>
          <w:p w:rsidRPr="002A1F9A" w:rsidR="00263CDF" w:rsidP="00361B42" w:rsidRDefault="00263CDF" w14:paraId="415E8FDF" w14:textId="77777777">
            <w:pPr>
              <w:spacing w:after="160" w:line="259" w:lineRule="auto"/>
              <w:rPr>
                <w:rFonts w:ascii="Verdana" w:hAnsi="Verdana"/>
                <w:sz w:val="14"/>
                <w:szCs w:val="14"/>
              </w:rPr>
            </w:pPr>
            <w:r w:rsidRPr="002A1F9A">
              <w:rPr>
                <w:rFonts w:ascii="Verdana" w:hAnsi="Verdana"/>
                <w:sz w:val="14"/>
                <w:szCs w:val="14"/>
              </w:rPr>
              <w:t>28</w:t>
            </w:r>
          </w:p>
        </w:tc>
        <w:tc>
          <w:tcPr>
            <w:tcW w:w="1338" w:type="dxa"/>
            <w:hideMark/>
          </w:tcPr>
          <w:p w:rsidRPr="002A1F9A" w:rsidR="00263CDF" w:rsidP="00361B42" w:rsidRDefault="00263CDF" w14:paraId="63C22EC8" w14:textId="77777777">
            <w:pPr>
              <w:spacing w:after="160" w:line="259" w:lineRule="auto"/>
              <w:rPr>
                <w:rFonts w:ascii="Verdana" w:hAnsi="Verdana"/>
                <w:sz w:val="14"/>
                <w:szCs w:val="14"/>
              </w:rPr>
            </w:pPr>
            <w:r w:rsidRPr="002A1F9A">
              <w:rPr>
                <w:rFonts w:ascii="Verdana" w:hAnsi="Verdana"/>
                <w:sz w:val="14"/>
                <w:szCs w:val="14"/>
              </w:rPr>
              <w:t>19</w:t>
            </w:r>
          </w:p>
        </w:tc>
        <w:tc>
          <w:tcPr>
            <w:tcW w:w="1603" w:type="dxa"/>
            <w:hideMark/>
          </w:tcPr>
          <w:p w:rsidRPr="002A1F9A" w:rsidR="00263CDF" w:rsidP="00361B42" w:rsidRDefault="00263CDF" w14:paraId="2B89A784" w14:textId="77777777">
            <w:pPr>
              <w:spacing w:after="160" w:line="259" w:lineRule="auto"/>
              <w:rPr>
                <w:rFonts w:ascii="Verdana" w:hAnsi="Verdana"/>
                <w:sz w:val="14"/>
                <w:szCs w:val="14"/>
              </w:rPr>
            </w:pPr>
            <w:r w:rsidRPr="002A1F9A">
              <w:rPr>
                <w:rFonts w:ascii="Verdana" w:hAnsi="Verdana"/>
                <w:sz w:val="14"/>
                <w:szCs w:val="14"/>
              </w:rPr>
              <w:t>€27,1</w:t>
            </w:r>
          </w:p>
        </w:tc>
      </w:tr>
      <w:tr w:rsidRPr="002A1F9A" w:rsidR="00263CDF" w:rsidTr="00263CDF" w14:paraId="4D15DEBE" w14:textId="77777777">
        <w:trPr>
          <w:trHeight w:val="266"/>
        </w:trPr>
        <w:tc>
          <w:tcPr>
            <w:tcW w:w="769" w:type="dxa"/>
            <w:hideMark/>
          </w:tcPr>
          <w:p w:rsidRPr="002A1F9A" w:rsidR="00263CDF" w:rsidP="00361B42" w:rsidRDefault="00263CDF" w14:paraId="3636BA53" w14:textId="77777777">
            <w:pPr>
              <w:spacing w:after="160" w:line="259" w:lineRule="auto"/>
              <w:rPr>
                <w:rFonts w:ascii="Verdana" w:hAnsi="Verdana"/>
                <w:sz w:val="14"/>
                <w:szCs w:val="14"/>
              </w:rPr>
            </w:pPr>
            <w:r w:rsidRPr="002A1F9A">
              <w:rPr>
                <w:rFonts w:ascii="Verdana" w:hAnsi="Verdana"/>
                <w:sz w:val="14"/>
                <w:szCs w:val="14"/>
              </w:rPr>
              <w:t>BVE</w:t>
            </w:r>
          </w:p>
        </w:tc>
        <w:tc>
          <w:tcPr>
            <w:tcW w:w="786" w:type="dxa"/>
            <w:hideMark/>
          </w:tcPr>
          <w:p w:rsidRPr="002A1F9A" w:rsidR="00263CDF" w:rsidP="00361B42" w:rsidRDefault="00263CDF" w14:paraId="6C96D206" w14:textId="77777777">
            <w:pPr>
              <w:spacing w:after="160" w:line="259" w:lineRule="auto"/>
              <w:rPr>
                <w:rFonts w:ascii="Verdana" w:hAnsi="Verdana"/>
                <w:sz w:val="14"/>
                <w:szCs w:val="14"/>
              </w:rPr>
            </w:pPr>
            <w:r w:rsidRPr="002A1F9A">
              <w:rPr>
                <w:rFonts w:ascii="Verdana" w:hAnsi="Verdana"/>
                <w:sz w:val="14"/>
                <w:szCs w:val="14"/>
              </w:rPr>
              <w:t>352</w:t>
            </w:r>
          </w:p>
        </w:tc>
        <w:tc>
          <w:tcPr>
            <w:tcW w:w="831" w:type="dxa"/>
            <w:hideMark/>
          </w:tcPr>
          <w:p w:rsidRPr="002A1F9A" w:rsidR="00263CDF" w:rsidP="00361B42" w:rsidRDefault="00263CDF" w14:paraId="71042225" w14:textId="77777777">
            <w:pPr>
              <w:spacing w:after="160" w:line="259" w:lineRule="auto"/>
              <w:rPr>
                <w:rFonts w:ascii="Verdana" w:hAnsi="Verdana"/>
                <w:sz w:val="14"/>
                <w:szCs w:val="14"/>
              </w:rPr>
            </w:pPr>
            <w:r w:rsidRPr="002A1F9A">
              <w:rPr>
                <w:rFonts w:ascii="Verdana" w:hAnsi="Verdana"/>
                <w:sz w:val="14"/>
                <w:szCs w:val="14"/>
              </w:rPr>
              <w:t>326</w:t>
            </w:r>
          </w:p>
        </w:tc>
        <w:tc>
          <w:tcPr>
            <w:tcW w:w="786" w:type="dxa"/>
            <w:hideMark/>
          </w:tcPr>
          <w:p w:rsidRPr="002A1F9A" w:rsidR="00263CDF" w:rsidP="00361B42" w:rsidRDefault="00263CDF" w14:paraId="469EC9EC" w14:textId="77777777">
            <w:pPr>
              <w:spacing w:after="160" w:line="259" w:lineRule="auto"/>
              <w:rPr>
                <w:rFonts w:ascii="Verdana" w:hAnsi="Verdana"/>
                <w:sz w:val="14"/>
                <w:szCs w:val="14"/>
              </w:rPr>
            </w:pPr>
            <w:r w:rsidRPr="002A1F9A">
              <w:rPr>
                <w:rFonts w:ascii="Verdana" w:hAnsi="Verdana"/>
                <w:sz w:val="14"/>
                <w:szCs w:val="14"/>
              </w:rPr>
              <w:t>15</w:t>
            </w:r>
          </w:p>
        </w:tc>
        <w:tc>
          <w:tcPr>
            <w:tcW w:w="1034" w:type="dxa"/>
            <w:hideMark/>
          </w:tcPr>
          <w:p w:rsidRPr="002A1F9A" w:rsidR="00263CDF" w:rsidP="00361B42" w:rsidRDefault="00263CDF" w14:paraId="54B52C8A" w14:textId="77777777">
            <w:pPr>
              <w:spacing w:after="160" w:line="259" w:lineRule="auto"/>
              <w:rPr>
                <w:rFonts w:ascii="Verdana" w:hAnsi="Verdana"/>
                <w:sz w:val="14"/>
                <w:szCs w:val="14"/>
              </w:rPr>
            </w:pPr>
            <w:r w:rsidRPr="002A1F9A">
              <w:rPr>
                <w:rFonts w:ascii="Verdana" w:hAnsi="Verdana"/>
                <w:sz w:val="14"/>
                <w:szCs w:val="14"/>
              </w:rPr>
              <w:t>1</w:t>
            </w:r>
          </w:p>
        </w:tc>
        <w:tc>
          <w:tcPr>
            <w:tcW w:w="786" w:type="dxa"/>
            <w:hideMark/>
          </w:tcPr>
          <w:p w:rsidRPr="002A1F9A" w:rsidR="00263CDF" w:rsidP="00361B42" w:rsidRDefault="00263CDF" w14:paraId="457A80C0" w14:textId="77777777">
            <w:pPr>
              <w:spacing w:after="160" w:line="259" w:lineRule="auto"/>
              <w:rPr>
                <w:rFonts w:ascii="Verdana" w:hAnsi="Verdana"/>
                <w:sz w:val="14"/>
                <w:szCs w:val="14"/>
              </w:rPr>
            </w:pPr>
            <w:r w:rsidRPr="002A1F9A">
              <w:rPr>
                <w:rFonts w:ascii="Verdana" w:hAnsi="Verdana"/>
                <w:sz w:val="14"/>
                <w:szCs w:val="14"/>
              </w:rPr>
              <w:t>7</w:t>
            </w:r>
          </w:p>
        </w:tc>
        <w:tc>
          <w:tcPr>
            <w:tcW w:w="1338" w:type="dxa"/>
            <w:hideMark/>
          </w:tcPr>
          <w:p w:rsidRPr="002A1F9A" w:rsidR="00263CDF" w:rsidP="00361B42" w:rsidRDefault="00263CDF" w14:paraId="07AA1EB2" w14:textId="77777777">
            <w:pPr>
              <w:spacing w:after="160" w:line="259" w:lineRule="auto"/>
              <w:rPr>
                <w:rFonts w:ascii="Verdana" w:hAnsi="Verdana"/>
                <w:sz w:val="14"/>
                <w:szCs w:val="14"/>
              </w:rPr>
            </w:pPr>
            <w:r w:rsidRPr="002A1F9A">
              <w:rPr>
                <w:rFonts w:ascii="Verdana" w:hAnsi="Verdana"/>
                <w:sz w:val="14"/>
                <w:szCs w:val="14"/>
              </w:rPr>
              <w:t>7</w:t>
            </w:r>
          </w:p>
        </w:tc>
        <w:tc>
          <w:tcPr>
            <w:tcW w:w="1603" w:type="dxa"/>
            <w:hideMark/>
          </w:tcPr>
          <w:p w:rsidRPr="002A1F9A" w:rsidR="00263CDF" w:rsidP="00361B42" w:rsidRDefault="00263CDF" w14:paraId="24683715" w14:textId="77777777">
            <w:pPr>
              <w:spacing w:after="160" w:line="259" w:lineRule="auto"/>
              <w:rPr>
                <w:rFonts w:ascii="Verdana" w:hAnsi="Verdana"/>
                <w:sz w:val="14"/>
                <w:szCs w:val="14"/>
              </w:rPr>
            </w:pPr>
            <w:r w:rsidRPr="002A1F9A">
              <w:rPr>
                <w:rFonts w:ascii="Verdana" w:hAnsi="Verdana"/>
                <w:sz w:val="14"/>
                <w:szCs w:val="14"/>
              </w:rPr>
              <w:t>€8,2</w:t>
            </w:r>
          </w:p>
        </w:tc>
      </w:tr>
      <w:tr w:rsidRPr="002A1F9A" w:rsidR="00263CDF" w:rsidTr="00263CDF" w14:paraId="5F1E4912" w14:textId="77777777">
        <w:trPr>
          <w:trHeight w:val="241"/>
        </w:trPr>
        <w:tc>
          <w:tcPr>
            <w:tcW w:w="769" w:type="dxa"/>
            <w:hideMark/>
          </w:tcPr>
          <w:p w:rsidRPr="002A1F9A" w:rsidR="00263CDF" w:rsidP="00361B42" w:rsidRDefault="00263CDF" w14:paraId="5B0F0F1D" w14:textId="77777777">
            <w:pPr>
              <w:spacing w:after="160" w:line="259" w:lineRule="auto"/>
              <w:rPr>
                <w:rFonts w:ascii="Verdana" w:hAnsi="Verdana"/>
                <w:sz w:val="14"/>
                <w:szCs w:val="14"/>
              </w:rPr>
            </w:pPr>
            <w:r w:rsidRPr="002A1F9A">
              <w:rPr>
                <w:rFonts w:ascii="Verdana" w:hAnsi="Verdana"/>
                <w:sz w:val="14"/>
                <w:szCs w:val="14"/>
              </w:rPr>
              <w:t>HO</w:t>
            </w:r>
          </w:p>
        </w:tc>
        <w:tc>
          <w:tcPr>
            <w:tcW w:w="786" w:type="dxa"/>
            <w:hideMark/>
          </w:tcPr>
          <w:p w:rsidRPr="002A1F9A" w:rsidR="00263CDF" w:rsidP="00361B42" w:rsidRDefault="00263CDF" w14:paraId="6BC3C18B" w14:textId="77777777">
            <w:pPr>
              <w:spacing w:after="160" w:line="259" w:lineRule="auto"/>
              <w:rPr>
                <w:rFonts w:ascii="Verdana" w:hAnsi="Verdana"/>
                <w:sz w:val="14"/>
                <w:szCs w:val="14"/>
              </w:rPr>
            </w:pPr>
            <w:r w:rsidRPr="002A1F9A">
              <w:rPr>
                <w:rFonts w:ascii="Verdana" w:hAnsi="Verdana"/>
                <w:sz w:val="14"/>
                <w:szCs w:val="14"/>
              </w:rPr>
              <w:t>360</w:t>
            </w:r>
          </w:p>
        </w:tc>
        <w:tc>
          <w:tcPr>
            <w:tcW w:w="831" w:type="dxa"/>
            <w:hideMark/>
          </w:tcPr>
          <w:p w:rsidRPr="002A1F9A" w:rsidR="00263CDF" w:rsidP="00361B42" w:rsidRDefault="00263CDF" w14:paraId="4FE4F4EB" w14:textId="77777777">
            <w:pPr>
              <w:spacing w:after="160" w:line="259" w:lineRule="auto"/>
              <w:rPr>
                <w:rFonts w:ascii="Verdana" w:hAnsi="Verdana"/>
                <w:sz w:val="14"/>
                <w:szCs w:val="14"/>
              </w:rPr>
            </w:pPr>
            <w:r w:rsidRPr="002A1F9A">
              <w:rPr>
                <w:rFonts w:ascii="Verdana" w:hAnsi="Verdana"/>
                <w:sz w:val="14"/>
                <w:szCs w:val="14"/>
              </w:rPr>
              <w:t>339</w:t>
            </w:r>
          </w:p>
        </w:tc>
        <w:tc>
          <w:tcPr>
            <w:tcW w:w="786" w:type="dxa"/>
            <w:hideMark/>
          </w:tcPr>
          <w:p w:rsidRPr="002A1F9A" w:rsidR="00263CDF" w:rsidP="00361B42" w:rsidRDefault="00263CDF" w14:paraId="1D94CC4A" w14:textId="77777777">
            <w:pPr>
              <w:spacing w:after="160" w:line="259" w:lineRule="auto"/>
              <w:rPr>
                <w:rFonts w:ascii="Verdana" w:hAnsi="Verdana"/>
                <w:sz w:val="14"/>
                <w:szCs w:val="14"/>
              </w:rPr>
            </w:pPr>
            <w:r w:rsidRPr="002A1F9A">
              <w:rPr>
                <w:rFonts w:ascii="Verdana" w:hAnsi="Verdana"/>
                <w:sz w:val="14"/>
                <w:szCs w:val="14"/>
              </w:rPr>
              <w:t>15</w:t>
            </w:r>
          </w:p>
        </w:tc>
        <w:tc>
          <w:tcPr>
            <w:tcW w:w="1034" w:type="dxa"/>
            <w:hideMark/>
          </w:tcPr>
          <w:p w:rsidRPr="002A1F9A" w:rsidR="00263CDF" w:rsidP="00361B42" w:rsidRDefault="00263CDF" w14:paraId="706E0274" w14:textId="77777777">
            <w:pPr>
              <w:spacing w:after="160" w:line="259" w:lineRule="auto"/>
              <w:rPr>
                <w:rFonts w:ascii="Verdana" w:hAnsi="Verdana"/>
                <w:sz w:val="14"/>
                <w:szCs w:val="14"/>
              </w:rPr>
            </w:pPr>
            <w:r w:rsidRPr="002A1F9A">
              <w:rPr>
                <w:rFonts w:ascii="Verdana" w:hAnsi="Verdana"/>
                <w:sz w:val="14"/>
                <w:szCs w:val="14"/>
              </w:rPr>
              <w:t>2</w:t>
            </w:r>
          </w:p>
        </w:tc>
        <w:tc>
          <w:tcPr>
            <w:tcW w:w="786" w:type="dxa"/>
            <w:hideMark/>
          </w:tcPr>
          <w:p w:rsidRPr="002A1F9A" w:rsidR="00263CDF" w:rsidP="00361B42" w:rsidRDefault="00263CDF" w14:paraId="47611899" w14:textId="77777777">
            <w:pPr>
              <w:spacing w:after="160" w:line="259" w:lineRule="auto"/>
              <w:rPr>
                <w:rFonts w:ascii="Verdana" w:hAnsi="Verdana"/>
                <w:sz w:val="14"/>
                <w:szCs w:val="14"/>
              </w:rPr>
            </w:pPr>
            <w:r w:rsidRPr="002A1F9A">
              <w:rPr>
                <w:rFonts w:ascii="Verdana" w:hAnsi="Verdana"/>
                <w:sz w:val="14"/>
                <w:szCs w:val="14"/>
              </w:rPr>
              <w:t>8</w:t>
            </w:r>
          </w:p>
        </w:tc>
        <w:tc>
          <w:tcPr>
            <w:tcW w:w="1338" w:type="dxa"/>
            <w:hideMark/>
          </w:tcPr>
          <w:p w:rsidRPr="002A1F9A" w:rsidR="00263CDF" w:rsidP="00361B42" w:rsidRDefault="00263CDF" w14:paraId="72F9742E" w14:textId="77777777">
            <w:pPr>
              <w:spacing w:after="160" w:line="259" w:lineRule="auto"/>
              <w:rPr>
                <w:rFonts w:ascii="Verdana" w:hAnsi="Verdana"/>
                <w:sz w:val="14"/>
                <w:szCs w:val="14"/>
              </w:rPr>
            </w:pPr>
            <w:r w:rsidRPr="002A1F9A">
              <w:rPr>
                <w:rFonts w:ascii="Verdana" w:hAnsi="Verdana"/>
                <w:sz w:val="14"/>
                <w:szCs w:val="14"/>
              </w:rPr>
              <w:t>3</w:t>
            </w:r>
          </w:p>
        </w:tc>
        <w:tc>
          <w:tcPr>
            <w:tcW w:w="1603" w:type="dxa"/>
            <w:hideMark/>
          </w:tcPr>
          <w:p w:rsidRPr="002A1F9A" w:rsidR="00263CDF" w:rsidP="00361B42" w:rsidRDefault="00263CDF" w14:paraId="66EAF74E" w14:textId="77777777">
            <w:pPr>
              <w:spacing w:after="160" w:line="259" w:lineRule="auto"/>
              <w:rPr>
                <w:rFonts w:ascii="Verdana" w:hAnsi="Verdana"/>
                <w:sz w:val="14"/>
                <w:szCs w:val="14"/>
              </w:rPr>
            </w:pPr>
            <w:r w:rsidRPr="002A1F9A">
              <w:rPr>
                <w:rFonts w:ascii="Verdana" w:hAnsi="Verdana"/>
                <w:sz w:val="14"/>
                <w:szCs w:val="14"/>
              </w:rPr>
              <w:t>€10,9</w:t>
            </w:r>
          </w:p>
        </w:tc>
      </w:tr>
      <w:tr w:rsidRPr="002A1F9A" w:rsidR="00263CDF" w:rsidTr="00263CDF" w14:paraId="414D5C5F" w14:textId="77777777">
        <w:trPr>
          <w:trHeight w:val="403"/>
        </w:trPr>
        <w:tc>
          <w:tcPr>
            <w:tcW w:w="769" w:type="dxa"/>
            <w:hideMark/>
          </w:tcPr>
          <w:p w:rsidRPr="002A1F9A" w:rsidR="00263CDF" w:rsidP="00361B42" w:rsidRDefault="00263CDF" w14:paraId="27E61A4C" w14:textId="3842D713">
            <w:pPr>
              <w:spacing w:after="160" w:line="259" w:lineRule="auto"/>
              <w:rPr>
                <w:rFonts w:ascii="Verdana" w:hAnsi="Verdana"/>
                <w:sz w:val="14"/>
                <w:szCs w:val="14"/>
              </w:rPr>
            </w:pPr>
            <w:proofErr w:type="spellStart"/>
            <w:r w:rsidRPr="002A1F9A">
              <w:rPr>
                <w:rFonts w:ascii="Verdana" w:hAnsi="Verdana"/>
                <w:sz w:val="14"/>
                <w:szCs w:val="14"/>
              </w:rPr>
              <w:t>N.t.b</w:t>
            </w:r>
            <w:proofErr w:type="spellEnd"/>
            <w:r w:rsidRPr="002A1F9A">
              <w:rPr>
                <w:rFonts w:ascii="Verdana" w:hAnsi="Verdana"/>
                <w:sz w:val="14"/>
                <w:szCs w:val="14"/>
              </w:rPr>
              <w:t xml:space="preserve">. </w:t>
            </w:r>
          </w:p>
        </w:tc>
        <w:tc>
          <w:tcPr>
            <w:tcW w:w="786" w:type="dxa"/>
            <w:hideMark/>
          </w:tcPr>
          <w:p w:rsidRPr="002A1F9A" w:rsidR="00263CDF" w:rsidP="00361B42" w:rsidRDefault="00263CDF" w14:paraId="418B9885" w14:textId="77777777">
            <w:pPr>
              <w:spacing w:after="160" w:line="259" w:lineRule="auto"/>
              <w:rPr>
                <w:rFonts w:ascii="Verdana" w:hAnsi="Verdana"/>
                <w:sz w:val="14"/>
                <w:szCs w:val="14"/>
              </w:rPr>
            </w:pPr>
            <w:r w:rsidRPr="002A1F9A">
              <w:rPr>
                <w:rFonts w:ascii="Verdana" w:hAnsi="Verdana"/>
                <w:sz w:val="14"/>
                <w:szCs w:val="14"/>
              </w:rPr>
              <w:t>0</w:t>
            </w:r>
          </w:p>
        </w:tc>
        <w:tc>
          <w:tcPr>
            <w:tcW w:w="831" w:type="dxa"/>
            <w:hideMark/>
          </w:tcPr>
          <w:p w:rsidRPr="002A1F9A" w:rsidR="00263CDF" w:rsidP="00361B42" w:rsidRDefault="00263CDF" w14:paraId="23670806" w14:textId="77777777">
            <w:pPr>
              <w:spacing w:after="160" w:line="259" w:lineRule="auto"/>
              <w:rPr>
                <w:rFonts w:ascii="Verdana" w:hAnsi="Verdana"/>
                <w:sz w:val="14"/>
                <w:szCs w:val="14"/>
              </w:rPr>
            </w:pPr>
            <w:r w:rsidRPr="002A1F9A">
              <w:rPr>
                <w:rFonts w:ascii="Verdana" w:hAnsi="Verdana"/>
                <w:sz w:val="14"/>
                <w:szCs w:val="14"/>
              </w:rPr>
              <w:t>0</w:t>
            </w:r>
          </w:p>
        </w:tc>
        <w:tc>
          <w:tcPr>
            <w:tcW w:w="786" w:type="dxa"/>
            <w:hideMark/>
          </w:tcPr>
          <w:p w:rsidRPr="002A1F9A" w:rsidR="00263CDF" w:rsidP="00361B42" w:rsidRDefault="00263CDF" w14:paraId="42ABA2A0" w14:textId="77777777">
            <w:pPr>
              <w:spacing w:after="160" w:line="259" w:lineRule="auto"/>
              <w:rPr>
                <w:rFonts w:ascii="Verdana" w:hAnsi="Verdana"/>
                <w:sz w:val="14"/>
                <w:szCs w:val="14"/>
              </w:rPr>
            </w:pPr>
            <w:r w:rsidRPr="002A1F9A">
              <w:rPr>
                <w:rFonts w:ascii="Verdana" w:hAnsi="Verdana"/>
                <w:sz w:val="14"/>
                <w:szCs w:val="14"/>
              </w:rPr>
              <w:t>62</w:t>
            </w:r>
          </w:p>
        </w:tc>
        <w:tc>
          <w:tcPr>
            <w:tcW w:w="1034" w:type="dxa"/>
            <w:hideMark/>
          </w:tcPr>
          <w:p w:rsidRPr="002A1F9A" w:rsidR="00263CDF" w:rsidP="00361B42" w:rsidRDefault="00263CDF" w14:paraId="4D8AA2CD" w14:textId="77777777">
            <w:pPr>
              <w:spacing w:after="160" w:line="259" w:lineRule="auto"/>
              <w:rPr>
                <w:rFonts w:ascii="Verdana" w:hAnsi="Verdana"/>
                <w:sz w:val="14"/>
                <w:szCs w:val="14"/>
              </w:rPr>
            </w:pPr>
            <w:r w:rsidRPr="002A1F9A">
              <w:rPr>
                <w:rFonts w:ascii="Verdana" w:hAnsi="Verdana"/>
                <w:sz w:val="14"/>
                <w:szCs w:val="14"/>
              </w:rPr>
              <w:t>4</w:t>
            </w:r>
          </w:p>
        </w:tc>
        <w:tc>
          <w:tcPr>
            <w:tcW w:w="786" w:type="dxa"/>
            <w:hideMark/>
          </w:tcPr>
          <w:p w:rsidRPr="002A1F9A" w:rsidR="00263CDF" w:rsidP="00361B42" w:rsidRDefault="00263CDF" w14:paraId="5A9461AC" w14:textId="77777777">
            <w:pPr>
              <w:spacing w:after="160" w:line="259" w:lineRule="auto"/>
              <w:rPr>
                <w:rFonts w:ascii="Verdana" w:hAnsi="Verdana"/>
                <w:sz w:val="14"/>
                <w:szCs w:val="14"/>
              </w:rPr>
            </w:pPr>
            <w:r w:rsidRPr="002A1F9A">
              <w:rPr>
                <w:rFonts w:ascii="Verdana" w:hAnsi="Verdana"/>
                <w:sz w:val="14"/>
                <w:szCs w:val="14"/>
              </w:rPr>
              <w:t>94</w:t>
            </w:r>
          </w:p>
        </w:tc>
        <w:tc>
          <w:tcPr>
            <w:tcW w:w="1338" w:type="dxa"/>
            <w:hideMark/>
          </w:tcPr>
          <w:p w:rsidRPr="002A1F9A" w:rsidR="00263CDF" w:rsidP="00361B42" w:rsidRDefault="00263CDF" w14:paraId="0973DD1A" w14:textId="77777777">
            <w:pPr>
              <w:spacing w:after="160" w:line="259" w:lineRule="auto"/>
              <w:rPr>
                <w:rFonts w:ascii="Verdana" w:hAnsi="Verdana"/>
                <w:sz w:val="14"/>
                <w:szCs w:val="14"/>
              </w:rPr>
            </w:pPr>
            <w:r w:rsidRPr="002A1F9A">
              <w:rPr>
                <w:rFonts w:ascii="Verdana" w:hAnsi="Verdana"/>
                <w:sz w:val="14"/>
                <w:szCs w:val="14"/>
              </w:rPr>
              <w:t>95</w:t>
            </w:r>
          </w:p>
        </w:tc>
        <w:tc>
          <w:tcPr>
            <w:tcW w:w="1603" w:type="dxa"/>
            <w:hideMark/>
          </w:tcPr>
          <w:p w:rsidRPr="002A1F9A" w:rsidR="00263CDF" w:rsidP="00361B42" w:rsidRDefault="00263CDF" w14:paraId="3CF5EB36" w14:textId="77777777">
            <w:pPr>
              <w:spacing w:after="160" w:line="259" w:lineRule="auto"/>
              <w:rPr>
                <w:rFonts w:ascii="Verdana" w:hAnsi="Verdana"/>
                <w:sz w:val="14"/>
                <w:szCs w:val="14"/>
              </w:rPr>
            </w:pPr>
            <w:r w:rsidRPr="002A1F9A">
              <w:rPr>
                <w:rFonts w:ascii="Verdana" w:hAnsi="Verdana"/>
                <w:sz w:val="14"/>
                <w:szCs w:val="14"/>
              </w:rPr>
              <w:t>€0</w:t>
            </w:r>
          </w:p>
        </w:tc>
      </w:tr>
      <w:tr w:rsidRPr="002A1F9A" w:rsidR="00263CDF" w:rsidTr="00263CDF" w14:paraId="55346299" w14:textId="77777777">
        <w:trPr>
          <w:trHeight w:val="408"/>
        </w:trPr>
        <w:tc>
          <w:tcPr>
            <w:tcW w:w="769" w:type="dxa"/>
            <w:hideMark/>
          </w:tcPr>
          <w:p w:rsidRPr="002A1F9A" w:rsidR="00263CDF" w:rsidP="00361B42" w:rsidRDefault="00263CDF" w14:paraId="4FDD759D" w14:textId="77777777">
            <w:pPr>
              <w:spacing w:after="160" w:line="259" w:lineRule="auto"/>
              <w:rPr>
                <w:rFonts w:ascii="Verdana" w:hAnsi="Verdana"/>
                <w:sz w:val="14"/>
                <w:szCs w:val="14"/>
              </w:rPr>
            </w:pPr>
            <w:r w:rsidRPr="002A1F9A">
              <w:rPr>
                <w:rFonts w:ascii="Verdana" w:hAnsi="Verdana"/>
                <w:sz w:val="14"/>
                <w:szCs w:val="14"/>
              </w:rPr>
              <w:t>Totaal</w:t>
            </w:r>
          </w:p>
        </w:tc>
        <w:tc>
          <w:tcPr>
            <w:tcW w:w="786" w:type="dxa"/>
            <w:hideMark/>
          </w:tcPr>
          <w:p w:rsidRPr="002A1F9A" w:rsidR="00263CDF" w:rsidP="00361B42" w:rsidRDefault="00263CDF" w14:paraId="7DF5DE59" w14:textId="77777777">
            <w:pPr>
              <w:spacing w:after="160" w:line="259" w:lineRule="auto"/>
              <w:rPr>
                <w:rFonts w:ascii="Verdana" w:hAnsi="Verdana"/>
                <w:sz w:val="14"/>
                <w:szCs w:val="14"/>
              </w:rPr>
            </w:pPr>
            <w:r w:rsidRPr="002A1F9A">
              <w:rPr>
                <w:rFonts w:ascii="Verdana" w:hAnsi="Verdana"/>
                <w:sz w:val="14"/>
                <w:szCs w:val="14"/>
              </w:rPr>
              <w:t>2604</w:t>
            </w:r>
          </w:p>
        </w:tc>
        <w:tc>
          <w:tcPr>
            <w:tcW w:w="831" w:type="dxa"/>
            <w:hideMark/>
          </w:tcPr>
          <w:p w:rsidRPr="002A1F9A" w:rsidR="00263CDF" w:rsidP="00361B42" w:rsidRDefault="00263CDF" w14:paraId="5C600620" w14:textId="77777777">
            <w:pPr>
              <w:spacing w:after="160" w:line="259" w:lineRule="auto"/>
              <w:rPr>
                <w:rFonts w:ascii="Verdana" w:hAnsi="Verdana"/>
                <w:sz w:val="14"/>
                <w:szCs w:val="14"/>
              </w:rPr>
            </w:pPr>
            <w:r w:rsidRPr="002A1F9A">
              <w:rPr>
                <w:rFonts w:ascii="Verdana" w:hAnsi="Verdana"/>
                <w:sz w:val="14"/>
                <w:szCs w:val="14"/>
              </w:rPr>
              <w:t>2603</w:t>
            </w:r>
          </w:p>
        </w:tc>
        <w:tc>
          <w:tcPr>
            <w:tcW w:w="786" w:type="dxa"/>
            <w:hideMark/>
          </w:tcPr>
          <w:p w:rsidRPr="002A1F9A" w:rsidR="00263CDF" w:rsidP="00361B42" w:rsidRDefault="00263CDF" w14:paraId="6AD7D4F6" w14:textId="77777777">
            <w:pPr>
              <w:spacing w:after="160" w:line="259" w:lineRule="auto"/>
              <w:rPr>
                <w:rFonts w:ascii="Verdana" w:hAnsi="Verdana"/>
                <w:sz w:val="14"/>
                <w:szCs w:val="14"/>
              </w:rPr>
            </w:pPr>
            <w:r w:rsidRPr="002A1F9A">
              <w:rPr>
                <w:rFonts w:ascii="Verdana" w:hAnsi="Verdana"/>
                <w:sz w:val="14"/>
                <w:szCs w:val="14"/>
              </w:rPr>
              <w:t>153</w:t>
            </w:r>
          </w:p>
        </w:tc>
        <w:tc>
          <w:tcPr>
            <w:tcW w:w="1034" w:type="dxa"/>
            <w:hideMark/>
          </w:tcPr>
          <w:p w:rsidRPr="002A1F9A" w:rsidR="00263CDF" w:rsidP="00361B42" w:rsidRDefault="00263CDF" w14:paraId="7511CB50" w14:textId="77777777">
            <w:pPr>
              <w:spacing w:after="160" w:line="259" w:lineRule="auto"/>
              <w:rPr>
                <w:rFonts w:ascii="Verdana" w:hAnsi="Verdana"/>
                <w:sz w:val="14"/>
                <w:szCs w:val="14"/>
              </w:rPr>
            </w:pPr>
            <w:r w:rsidRPr="002A1F9A">
              <w:rPr>
                <w:rFonts w:ascii="Verdana" w:hAnsi="Verdana"/>
                <w:sz w:val="14"/>
                <w:szCs w:val="14"/>
              </w:rPr>
              <w:t>16</w:t>
            </w:r>
          </w:p>
        </w:tc>
        <w:tc>
          <w:tcPr>
            <w:tcW w:w="786" w:type="dxa"/>
            <w:hideMark/>
          </w:tcPr>
          <w:p w:rsidRPr="002A1F9A" w:rsidR="00263CDF" w:rsidP="00361B42" w:rsidRDefault="00263CDF" w14:paraId="46B1B645" w14:textId="77777777">
            <w:pPr>
              <w:spacing w:after="160" w:line="259" w:lineRule="auto"/>
              <w:rPr>
                <w:rFonts w:ascii="Verdana" w:hAnsi="Verdana"/>
                <w:sz w:val="14"/>
                <w:szCs w:val="14"/>
              </w:rPr>
            </w:pPr>
            <w:r w:rsidRPr="002A1F9A">
              <w:rPr>
                <w:rFonts w:ascii="Verdana" w:hAnsi="Verdana"/>
                <w:sz w:val="14"/>
                <w:szCs w:val="14"/>
              </w:rPr>
              <w:t>150</w:t>
            </w:r>
          </w:p>
        </w:tc>
        <w:tc>
          <w:tcPr>
            <w:tcW w:w="1338" w:type="dxa"/>
            <w:hideMark/>
          </w:tcPr>
          <w:p w:rsidRPr="002A1F9A" w:rsidR="00263CDF" w:rsidP="00361B42" w:rsidRDefault="00263CDF" w14:paraId="2AAA58CC" w14:textId="77777777">
            <w:pPr>
              <w:spacing w:after="160" w:line="259" w:lineRule="auto"/>
              <w:rPr>
                <w:rFonts w:ascii="Verdana" w:hAnsi="Verdana"/>
                <w:sz w:val="14"/>
                <w:szCs w:val="14"/>
              </w:rPr>
            </w:pPr>
            <w:r w:rsidRPr="002A1F9A">
              <w:rPr>
                <w:rFonts w:ascii="Verdana" w:hAnsi="Verdana"/>
                <w:sz w:val="14"/>
                <w:szCs w:val="14"/>
              </w:rPr>
              <w:t>139</w:t>
            </w:r>
          </w:p>
        </w:tc>
        <w:tc>
          <w:tcPr>
            <w:tcW w:w="1603" w:type="dxa"/>
          </w:tcPr>
          <w:p w:rsidRPr="002A1F9A" w:rsidR="00263CDF" w:rsidP="00361B42" w:rsidRDefault="00263CDF" w14:paraId="641D5AE1" w14:textId="77777777">
            <w:pPr>
              <w:spacing w:after="160" w:line="259" w:lineRule="auto"/>
              <w:rPr>
                <w:rFonts w:ascii="Verdana" w:hAnsi="Verdana"/>
                <w:sz w:val="14"/>
                <w:szCs w:val="14"/>
              </w:rPr>
            </w:pPr>
          </w:p>
        </w:tc>
      </w:tr>
      <w:tr w:rsidRPr="002A1F9A" w:rsidR="00263CDF" w:rsidTr="00263CDF" w14:paraId="385D2807" w14:textId="77777777">
        <w:trPr>
          <w:trHeight w:val="532"/>
        </w:trPr>
        <w:tc>
          <w:tcPr>
            <w:tcW w:w="2386" w:type="dxa"/>
            <w:gridSpan w:val="3"/>
            <w:hideMark/>
          </w:tcPr>
          <w:p w:rsidRPr="002A1F9A" w:rsidR="00263CDF" w:rsidP="00361B42" w:rsidRDefault="00263CDF" w14:paraId="55B760E5" w14:textId="77777777">
            <w:pPr>
              <w:spacing w:after="160" w:line="259" w:lineRule="auto"/>
              <w:rPr>
                <w:rFonts w:ascii="Verdana" w:hAnsi="Verdana"/>
                <w:sz w:val="14"/>
                <w:szCs w:val="14"/>
              </w:rPr>
            </w:pPr>
            <w:r w:rsidRPr="002A1F9A">
              <w:rPr>
                <w:rFonts w:ascii="Verdana" w:hAnsi="Verdana"/>
                <w:sz w:val="14"/>
                <w:szCs w:val="14"/>
              </w:rPr>
              <w:t>Totaal: 5207</w:t>
            </w:r>
          </w:p>
        </w:tc>
        <w:tc>
          <w:tcPr>
            <w:tcW w:w="1820" w:type="dxa"/>
            <w:gridSpan w:val="2"/>
            <w:hideMark/>
          </w:tcPr>
          <w:p w:rsidRPr="002A1F9A" w:rsidR="00263CDF" w:rsidP="00361B42" w:rsidRDefault="00263CDF" w14:paraId="770D1ECF" w14:textId="77777777">
            <w:pPr>
              <w:spacing w:after="160" w:line="259" w:lineRule="auto"/>
              <w:rPr>
                <w:rFonts w:ascii="Verdana" w:hAnsi="Verdana"/>
                <w:sz w:val="14"/>
                <w:szCs w:val="14"/>
              </w:rPr>
            </w:pPr>
            <w:r w:rsidRPr="002A1F9A">
              <w:rPr>
                <w:rFonts w:ascii="Verdana" w:hAnsi="Verdana"/>
                <w:sz w:val="14"/>
                <w:szCs w:val="14"/>
              </w:rPr>
              <w:t>Totaal: 169</w:t>
            </w:r>
          </w:p>
        </w:tc>
        <w:tc>
          <w:tcPr>
            <w:tcW w:w="2124" w:type="dxa"/>
            <w:gridSpan w:val="2"/>
            <w:hideMark/>
          </w:tcPr>
          <w:p w:rsidRPr="002A1F9A" w:rsidR="00263CDF" w:rsidP="00361B42" w:rsidRDefault="00263CDF" w14:paraId="4D63E170" w14:textId="77777777">
            <w:pPr>
              <w:spacing w:after="160" w:line="259" w:lineRule="auto"/>
              <w:rPr>
                <w:rFonts w:ascii="Verdana" w:hAnsi="Verdana"/>
                <w:sz w:val="14"/>
                <w:szCs w:val="14"/>
              </w:rPr>
            </w:pPr>
            <w:r w:rsidRPr="002A1F9A">
              <w:rPr>
                <w:rFonts w:ascii="Verdana" w:hAnsi="Verdana"/>
                <w:sz w:val="14"/>
                <w:szCs w:val="14"/>
              </w:rPr>
              <w:t>Totaal: 289</w:t>
            </w:r>
          </w:p>
        </w:tc>
        <w:tc>
          <w:tcPr>
            <w:tcW w:w="1603" w:type="dxa"/>
            <w:hideMark/>
          </w:tcPr>
          <w:p w:rsidRPr="002A1F9A" w:rsidR="00263CDF" w:rsidP="00263CDF" w:rsidRDefault="00263CDF" w14:paraId="0BCC5172" w14:textId="05476B73">
            <w:pPr>
              <w:spacing w:after="160" w:line="259" w:lineRule="auto"/>
              <w:rPr>
                <w:rFonts w:ascii="Verdana" w:hAnsi="Verdana"/>
                <w:sz w:val="14"/>
                <w:szCs w:val="14"/>
              </w:rPr>
            </w:pPr>
            <w:r w:rsidRPr="002A1F9A">
              <w:rPr>
                <w:rFonts w:ascii="Verdana" w:hAnsi="Verdana"/>
                <w:sz w:val="14"/>
                <w:szCs w:val="14"/>
              </w:rPr>
              <w:t xml:space="preserve">€62,2 </w:t>
            </w:r>
            <w:r w:rsidRPr="002A1F9A">
              <w:rPr>
                <w:rFonts w:ascii="Verdana" w:hAnsi="Verdana"/>
                <w:sz w:val="14"/>
                <w:szCs w:val="14"/>
              </w:rPr>
              <w:br/>
              <w:t>(96% van budget)</w:t>
            </w:r>
          </w:p>
        </w:tc>
      </w:tr>
    </w:tbl>
    <w:p w:rsidRPr="002A1F9A" w:rsidR="00263CDF" w:rsidP="00263CDF" w:rsidRDefault="00263CDF" w14:paraId="26BC6732" w14:textId="77777777">
      <w:pPr>
        <w:ind w:left="567" w:right="1212"/>
        <w:rPr>
          <w:rFonts w:ascii="Verdana" w:hAnsi="Verdana"/>
          <w:sz w:val="18"/>
          <w:szCs w:val="18"/>
        </w:rPr>
      </w:pPr>
    </w:p>
    <w:tbl>
      <w:tblPr>
        <w:tblStyle w:val="Tabelrasterlicht"/>
        <w:tblpPr w:leftFromText="141" w:rightFromText="141" w:vertAnchor="text" w:horzAnchor="margin" w:tblpY="282"/>
        <w:tblOverlap w:val="never"/>
        <w:tblW w:w="79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9"/>
        <w:gridCol w:w="786"/>
        <w:gridCol w:w="813"/>
        <w:gridCol w:w="786"/>
        <w:gridCol w:w="1051"/>
        <w:gridCol w:w="786"/>
        <w:gridCol w:w="1383"/>
        <w:gridCol w:w="1559"/>
      </w:tblGrid>
      <w:tr w:rsidRPr="002A1F9A" w:rsidR="00E63BD8" w:rsidTr="00E63BD8" w14:paraId="7E5AD0B4" w14:textId="77777777">
        <w:trPr>
          <w:trHeight w:val="697"/>
        </w:trPr>
        <w:tc>
          <w:tcPr>
            <w:tcW w:w="2368" w:type="dxa"/>
            <w:gridSpan w:val="3"/>
            <w:hideMark/>
          </w:tcPr>
          <w:p w:rsidRPr="002A1F9A" w:rsidR="00E63BD8" w:rsidP="00E63BD8" w:rsidRDefault="00E63BD8" w14:paraId="29B37D2C" w14:textId="77777777">
            <w:pPr>
              <w:spacing w:after="160" w:line="259" w:lineRule="auto"/>
              <w:rPr>
                <w:rFonts w:ascii="Verdana" w:hAnsi="Verdana"/>
                <w:b/>
                <w:bCs/>
                <w:sz w:val="14"/>
                <w:szCs w:val="14"/>
              </w:rPr>
            </w:pPr>
            <w:r w:rsidRPr="002A1F9A">
              <w:rPr>
                <w:rFonts w:ascii="Verdana" w:hAnsi="Verdana"/>
                <w:sz w:val="14"/>
                <w:szCs w:val="14"/>
              </w:rPr>
              <w:t>Toegekende aanvragen studiejaar 2025-2026</w:t>
            </w:r>
          </w:p>
        </w:tc>
        <w:tc>
          <w:tcPr>
            <w:tcW w:w="1837" w:type="dxa"/>
            <w:gridSpan w:val="2"/>
            <w:hideMark/>
          </w:tcPr>
          <w:p w:rsidRPr="002A1F9A" w:rsidR="00E63BD8" w:rsidP="00E63BD8" w:rsidRDefault="00E63BD8" w14:paraId="65D5B9EE" w14:textId="77777777">
            <w:pPr>
              <w:spacing w:after="160" w:line="259" w:lineRule="auto"/>
              <w:rPr>
                <w:rFonts w:ascii="Verdana" w:hAnsi="Verdana"/>
                <w:sz w:val="14"/>
                <w:szCs w:val="14"/>
              </w:rPr>
            </w:pPr>
            <w:r w:rsidRPr="002A1F9A">
              <w:rPr>
                <w:rFonts w:ascii="Verdana" w:hAnsi="Verdana"/>
                <w:sz w:val="14"/>
                <w:szCs w:val="14"/>
              </w:rPr>
              <w:t>Aantal afgewezen aanvragen studiejaar 2025-2026</w:t>
            </w:r>
          </w:p>
        </w:tc>
        <w:tc>
          <w:tcPr>
            <w:tcW w:w="2169" w:type="dxa"/>
            <w:gridSpan w:val="2"/>
            <w:hideMark/>
          </w:tcPr>
          <w:p w:rsidRPr="002A1F9A" w:rsidR="00E63BD8" w:rsidP="00E63BD8" w:rsidRDefault="00E63BD8" w14:paraId="534ABB19" w14:textId="77777777">
            <w:pPr>
              <w:spacing w:after="160" w:line="259" w:lineRule="auto"/>
              <w:rPr>
                <w:rFonts w:ascii="Verdana" w:hAnsi="Verdana"/>
                <w:sz w:val="14"/>
                <w:szCs w:val="14"/>
              </w:rPr>
            </w:pPr>
            <w:r w:rsidRPr="002A1F9A">
              <w:rPr>
                <w:rFonts w:ascii="Verdana" w:hAnsi="Verdana"/>
                <w:sz w:val="14"/>
                <w:szCs w:val="14"/>
              </w:rPr>
              <w:t>Aantal buiten behandeling gestelde aanvragen studiejaar 2025-2026</w:t>
            </w:r>
          </w:p>
        </w:tc>
        <w:tc>
          <w:tcPr>
            <w:tcW w:w="1559" w:type="dxa"/>
            <w:hideMark/>
          </w:tcPr>
          <w:p w:rsidRPr="002A1F9A" w:rsidR="00E63BD8" w:rsidP="00E63BD8" w:rsidRDefault="00E63BD8" w14:paraId="74F88D8A" w14:textId="77777777">
            <w:pPr>
              <w:spacing w:after="160" w:line="259" w:lineRule="auto"/>
              <w:rPr>
                <w:rFonts w:ascii="Verdana" w:hAnsi="Verdana"/>
                <w:sz w:val="14"/>
                <w:szCs w:val="14"/>
              </w:rPr>
            </w:pPr>
            <w:r w:rsidRPr="002A1F9A">
              <w:rPr>
                <w:rFonts w:ascii="Verdana" w:hAnsi="Verdana"/>
                <w:sz w:val="14"/>
                <w:szCs w:val="14"/>
              </w:rPr>
              <w:t>Toegekend bedrag * miljoen</w:t>
            </w:r>
          </w:p>
        </w:tc>
      </w:tr>
      <w:tr w:rsidRPr="002A1F9A" w:rsidR="00E63BD8" w:rsidTr="00E63BD8" w14:paraId="024474F9" w14:textId="77777777">
        <w:trPr>
          <w:trHeight w:val="210"/>
        </w:trPr>
        <w:tc>
          <w:tcPr>
            <w:tcW w:w="769" w:type="dxa"/>
            <w:hideMark/>
          </w:tcPr>
          <w:p w:rsidRPr="002A1F9A" w:rsidR="00E63BD8" w:rsidP="00E63BD8" w:rsidRDefault="00E63BD8" w14:paraId="7D05870B" w14:textId="77777777">
            <w:pPr>
              <w:spacing w:after="160" w:line="259" w:lineRule="auto"/>
              <w:rPr>
                <w:rFonts w:ascii="Verdana" w:hAnsi="Verdana"/>
                <w:b/>
                <w:bCs/>
                <w:sz w:val="14"/>
                <w:szCs w:val="14"/>
              </w:rPr>
            </w:pPr>
            <w:r w:rsidRPr="002A1F9A">
              <w:rPr>
                <w:rFonts w:ascii="Verdana" w:hAnsi="Verdana"/>
                <w:b/>
                <w:bCs/>
                <w:sz w:val="14"/>
                <w:szCs w:val="14"/>
              </w:rPr>
              <w:t>Sector</w:t>
            </w:r>
          </w:p>
        </w:tc>
        <w:tc>
          <w:tcPr>
            <w:tcW w:w="786" w:type="dxa"/>
            <w:hideMark/>
          </w:tcPr>
          <w:p w:rsidRPr="002A1F9A" w:rsidR="00E63BD8" w:rsidP="00E63BD8" w:rsidRDefault="00E63BD8" w14:paraId="581AA25D"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813" w:type="dxa"/>
            <w:hideMark/>
          </w:tcPr>
          <w:p w:rsidRPr="002A1F9A" w:rsidR="00E63BD8" w:rsidP="00E63BD8" w:rsidRDefault="00E63BD8" w14:paraId="10D39CE2"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786" w:type="dxa"/>
            <w:hideMark/>
          </w:tcPr>
          <w:p w:rsidRPr="002A1F9A" w:rsidR="00E63BD8" w:rsidP="00E63BD8" w:rsidRDefault="00E63BD8" w14:paraId="21364E70"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1051" w:type="dxa"/>
            <w:hideMark/>
          </w:tcPr>
          <w:p w:rsidRPr="002A1F9A" w:rsidR="00E63BD8" w:rsidP="00E63BD8" w:rsidRDefault="00E63BD8" w14:paraId="3B6BEB57"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786" w:type="dxa"/>
            <w:hideMark/>
          </w:tcPr>
          <w:p w:rsidRPr="002A1F9A" w:rsidR="00E63BD8" w:rsidP="00E63BD8" w:rsidRDefault="00E63BD8" w14:paraId="36303B7A" w14:textId="77777777">
            <w:pPr>
              <w:spacing w:after="160" w:line="259" w:lineRule="auto"/>
              <w:rPr>
                <w:rFonts w:ascii="Verdana" w:hAnsi="Verdana"/>
                <w:b/>
                <w:bCs/>
                <w:sz w:val="14"/>
                <w:szCs w:val="14"/>
              </w:rPr>
            </w:pPr>
            <w:r w:rsidRPr="002A1F9A">
              <w:rPr>
                <w:rFonts w:ascii="Verdana" w:hAnsi="Verdana"/>
                <w:b/>
                <w:bCs/>
                <w:sz w:val="14"/>
                <w:szCs w:val="14"/>
              </w:rPr>
              <w:t>Initieel</w:t>
            </w:r>
          </w:p>
        </w:tc>
        <w:tc>
          <w:tcPr>
            <w:tcW w:w="1383" w:type="dxa"/>
            <w:hideMark/>
          </w:tcPr>
          <w:p w:rsidRPr="002A1F9A" w:rsidR="00E63BD8" w:rsidP="00E63BD8" w:rsidRDefault="00E63BD8" w14:paraId="73668D1C" w14:textId="77777777">
            <w:pPr>
              <w:spacing w:after="160" w:line="259" w:lineRule="auto"/>
              <w:rPr>
                <w:rFonts w:ascii="Verdana" w:hAnsi="Verdana"/>
                <w:b/>
                <w:bCs/>
                <w:sz w:val="14"/>
                <w:szCs w:val="14"/>
              </w:rPr>
            </w:pPr>
            <w:r w:rsidRPr="002A1F9A">
              <w:rPr>
                <w:rFonts w:ascii="Verdana" w:hAnsi="Verdana"/>
                <w:b/>
                <w:bCs/>
                <w:sz w:val="14"/>
                <w:szCs w:val="14"/>
              </w:rPr>
              <w:t>Herhaal</w:t>
            </w:r>
          </w:p>
        </w:tc>
        <w:tc>
          <w:tcPr>
            <w:tcW w:w="1559" w:type="dxa"/>
          </w:tcPr>
          <w:p w:rsidRPr="002A1F9A" w:rsidR="00E63BD8" w:rsidP="00E63BD8" w:rsidRDefault="00E63BD8" w14:paraId="40406A8D" w14:textId="77777777">
            <w:pPr>
              <w:spacing w:after="160" w:line="259" w:lineRule="auto"/>
              <w:rPr>
                <w:rFonts w:ascii="Verdana" w:hAnsi="Verdana"/>
                <w:b/>
                <w:bCs/>
                <w:sz w:val="14"/>
                <w:szCs w:val="14"/>
              </w:rPr>
            </w:pPr>
          </w:p>
        </w:tc>
      </w:tr>
      <w:tr w:rsidRPr="002A1F9A" w:rsidR="00E63BD8" w:rsidTr="00E63BD8" w14:paraId="28A91190" w14:textId="77777777">
        <w:trPr>
          <w:trHeight w:val="354"/>
        </w:trPr>
        <w:tc>
          <w:tcPr>
            <w:tcW w:w="769" w:type="dxa"/>
            <w:hideMark/>
          </w:tcPr>
          <w:p w:rsidRPr="002A1F9A" w:rsidR="00E63BD8" w:rsidP="00E63BD8" w:rsidRDefault="00E63BD8" w14:paraId="17482E74" w14:textId="77777777">
            <w:pPr>
              <w:spacing w:after="160" w:line="259" w:lineRule="auto"/>
              <w:rPr>
                <w:rFonts w:ascii="Verdana" w:hAnsi="Verdana"/>
                <w:sz w:val="14"/>
                <w:szCs w:val="14"/>
              </w:rPr>
            </w:pPr>
            <w:r w:rsidRPr="002A1F9A">
              <w:rPr>
                <w:rFonts w:ascii="Verdana" w:hAnsi="Verdana"/>
                <w:sz w:val="14"/>
                <w:szCs w:val="14"/>
              </w:rPr>
              <w:t>PO</w:t>
            </w:r>
          </w:p>
        </w:tc>
        <w:tc>
          <w:tcPr>
            <w:tcW w:w="786" w:type="dxa"/>
            <w:hideMark/>
          </w:tcPr>
          <w:p w:rsidRPr="002A1F9A" w:rsidR="00E63BD8" w:rsidP="00E63BD8" w:rsidRDefault="00E63BD8" w14:paraId="472AE23F" w14:textId="77777777">
            <w:pPr>
              <w:spacing w:after="160" w:line="259" w:lineRule="auto"/>
              <w:rPr>
                <w:rFonts w:ascii="Verdana" w:hAnsi="Verdana"/>
                <w:sz w:val="14"/>
                <w:szCs w:val="14"/>
              </w:rPr>
            </w:pPr>
            <w:r w:rsidRPr="002A1F9A">
              <w:rPr>
                <w:rFonts w:ascii="Verdana" w:hAnsi="Verdana"/>
                <w:sz w:val="14"/>
                <w:szCs w:val="14"/>
              </w:rPr>
              <w:t>600</w:t>
            </w:r>
          </w:p>
        </w:tc>
        <w:tc>
          <w:tcPr>
            <w:tcW w:w="813" w:type="dxa"/>
            <w:hideMark/>
          </w:tcPr>
          <w:p w:rsidRPr="002A1F9A" w:rsidR="00E63BD8" w:rsidP="00E63BD8" w:rsidRDefault="00E63BD8" w14:paraId="53366E04" w14:textId="77777777">
            <w:pPr>
              <w:spacing w:after="160" w:line="259" w:lineRule="auto"/>
              <w:rPr>
                <w:rFonts w:ascii="Verdana" w:hAnsi="Verdana"/>
                <w:sz w:val="14"/>
                <w:szCs w:val="14"/>
              </w:rPr>
            </w:pPr>
            <w:r w:rsidRPr="002A1F9A">
              <w:rPr>
                <w:rFonts w:ascii="Verdana" w:hAnsi="Verdana"/>
                <w:sz w:val="14"/>
                <w:szCs w:val="14"/>
              </w:rPr>
              <w:t>642</w:t>
            </w:r>
          </w:p>
        </w:tc>
        <w:tc>
          <w:tcPr>
            <w:tcW w:w="786" w:type="dxa"/>
            <w:hideMark/>
          </w:tcPr>
          <w:p w:rsidRPr="002A1F9A" w:rsidR="00E63BD8" w:rsidP="00E63BD8" w:rsidRDefault="00E63BD8" w14:paraId="6A277534" w14:textId="77777777">
            <w:pPr>
              <w:spacing w:after="160" w:line="259" w:lineRule="auto"/>
              <w:rPr>
                <w:rFonts w:ascii="Verdana" w:hAnsi="Verdana"/>
                <w:sz w:val="14"/>
                <w:szCs w:val="14"/>
              </w:rPr>
            </w:pPr>
            <w:r w:rsidRPr="002A1F9A">
              <w:rPr>
                <w:rFonts w:ascii="Verdana" w:hAnsi="Verdana"/>
                <w:sz w:val="14"/>
                <w:szCs w:val="14"/>
              </w:rPr>
              <w:t>20</w:t>
            </w:r>
          </w:p>
        </w:tc>
        <w:tc>
          <w:tcPr>
            <w:tcW w:w="1051" w:type="dxa"/>
            <w:hideMark/>
          </w:tcPr>
          <w:p w:rsidRPr="002A1F9A" w:rsidR="00E63BD8" w:rsidP="00E63BD8" w:rsidRDefault="00E63BD8" w14:paraId="06C83F5C" w14:textId="77777777">
            <w:pPr>
              <w:spacing w:after="160" w:line="259" w:lineRule="auto"/>
              <w:rPr>
                <w:rFonts w:ascii="Verdana" w:hAnsi="Verdana"/>
                <w:sz w:val="14"/>
                <w:szCs w:val="14"/>
              </w:rPr>
            </w:pPr>
            <w:r w:rsidRPr="002A1F9A">
              <w:rPr>
                <w:rFonts w:ascii="Verdana" w:hAnsi="Verdana"/>
                <w:sz w:val="14"/>
                <w:szCs w:val="14"/>
              </w:rPr>
              <w:t>4</w:t>
            </w:r>
          </w:p>
        </w:tc>
        <w:tc>
          <w:tcPr>
            <w:tcW w:w="786" w:type="dxa"/>
            <w:hideMark/>
          </w:tcPr>
          <w:p w:rsidRPr="002A1F9A" w:rsidR="00E63BD8" w:rsidP="00E63BD8" w:rsidRDefault="00E63BD8" w14:paraId="4B335C60" w14:textId="77777777">
            <w:pPr>
              <w:spacing w:after="160" w:line="259" w:lineRule="auto"/>
              <w:rPr>
                <w:rFonts w:ascii="Verdana" w:hAnsi="Verdana"/>
                <w:sz w:val="14"/>
                <w:szCs w:val="14"/>
              </w:rPr>
            </w:pPr>
            <w:r w:rsidRPr="002A1F9A">
              <w:rPr>
                <w:rFonts w:ascii="Verdana" w:hAnsi="Verdana"/>
                <w:sz w:val="14"/>
                <w:szCs w:val="14"/>
              </w:rPr>
              <w:t>23</w:t>
            </w:r>
          </w:p>
        </w:tc>
        <w:tc>
          <w:tcPr>
            <w:tcW w:w="1383" w:type="dxa"/>
            <w:hideMark/>
          </w:tcPr>
          <w:p w:rsidRPr="002A1F9A" w:rsidR="00E63BD8" w:rsidP="00E63BD8" w:rsidRDefault="00E63BD8" w14:paraId="0C6BB24F" w14:textId="77777777">
            <w:pPr>
              <w:spacing w:after="160" w:line="259" w:lineRule="auto"/>
              <w:rPr>
                <w:rFonts w:ascii="Verdana" w:hAnsi="Verdana"/>
                <w:sz w:val="14"/>
                <w:szCs w:val="14"/>
              </w:rPr>
            </w:pPr>
            <w:r w:rsidRPr="002A1F9A">
              <w:rPr>
                <w:rFonts w:ascii="Verdana" w:hAnsi="Verdana"/>
                <w:sz w:val="14"/>
                <w:szCs w:val="14"/>
              </w:rPr>
              <w:t>6</w:t>
            </w:r>
          </w:p>
        </w:tc>
        <w:tc>
          <w:tcPr>
            <w:tcW w:w="1559" w:type="dxa"/>
            <w:hideMark/>
          </w:tcPr>
          <w:p w:rsidRPr="002A1F9A" w:rsidR="00E63BD8" w:rsidP="00E63BD8" w:rsidRDefault="00E63BD8" w14:paraId="1AA4359A" w14:textId="77777777">
            <w:pPr>
              <w:spacing w:after="160" w:line="259" w:lineRule="auto"/>
              <w:rPr>
                <w:rFonts w:ascii="Verdana" w:hAnsi="Verdana"/>
                <w:sz w:val="14"/>
                <w:szCs w:val="14"/>
              </w:rPr>
            </w:pPr>
            <w:r w:rsidRPr="002A1F9A">
              <w:rPr>
                <w:rFonts w:ascii="Verdana" w:hAnsi="Verdana"/>
                <w:sz w:val="14"/>
                <w:szCs w:val="14"/>
              </w:rPr>
              <w:t>€14,5</w:t>
            </w:r>
          </w:p>
        </w:tc>
      </w:tr>
      <w:tr w:rsidRPr="002A1F9A" w:rsidR="00E63BD8" w:rsidTr="00E63BD8" w14:paraId="79860678" w14:textId="77777777">
        <w:trPr>
          <w:trHeight w:val="210"/>
        </w:trPr>
        <w:tc>
          <w:tcPr>
            <w:tcW w:w="769" w:type="dxa"/>
            <w:hideMark/>
          </w:tcPr>
          <w:p w:rsidRPr="002A1F9A" w:rsidR="00E63BD8" w:rsidP="00E63BD8" w:rsidRDefault="00E63BD8" w14:paraId="79139920" w14:textId="77777777">
            <w:pPr>
              <w:spacing w:after="160" w:line="259" w:lineRule="auto"/>
              <w:rPr>
                <w:rFonts w:ascii="Verdana" w:hAnsi="Verdana"/>
                <w:sz w:val="14"/>
                <w:szCs w:val="14"/>
              </w:rPr>
            </w:pPr>
            <w:r w:rsidRPr="002A1F9A">
              <w:rPr>
                <w:rFonts w:ascii="Verdana" w:hAnsi="Verdana"/>
                <w:sz w:val="14"/>
                <w:szCs w:val="14"/>
              </w:rPr>
              <w:t>VO</w:t>
            </w:r>
          </w:p>
        </w:tc>
        <w:tc>
          <w:tcPr>
            <w:tcW w:w="786" w:type="dxa"/>
            <w:hideMark/>
          </w:tcPr>
          <w:p w:rsidRPr="002A1F9A" w:rsidR="00E63BD8" w:rsidP="00E63BD8" w:rsidRDefault="00E63BD8" w14:paraId="7FE65C54" w14:textId="77777777">
            <w:pPr>
              <w:spacing w:after="160" w:line="259" w:lineRule="auto"/>
              <w:rPr>
                <w:rFonts w:ascii="Verdana" w:hAnsi="Verdana"/>
                <w:sz w:val="14"/>
                <w:szCs w:val="14"/>
              </w:rPr>
            </w:pPr>
            <w:r w:rsidRPr="002A1F9A">
              <w:rPr>
                <w:rFonts w:ascii="Verdana" w:hAnsi="Verdana"/>
                <w:sz w:val="14"/>
                <w:szCs w:val="14"/>
              </w:rPr>
              <w:t>981</w:t>
            </w:r>
          </w:p>
        </w:tc>
        <w:tc>
          <w:tcPr>
            <w:tcW w:w="813" w:type="dxa"/>
            <w:hideMark/>
          </w:tcPr>
          <w:p w:rsidRPr="002A1F9A" w:rsidR="00E63BD8" w:rsidP="00E63BD8" w:rsidRDefault="00E63BD8" w14:paraId="4370FE86" w14:textId="77777777">
            <w:pPr>
              <w:spacing w:after="160" w:line="259" w:lineRule="auto"/>
              <w:rPr>
                <w:rFonts w:ascii="Verdana" w:hAnsi="Verdana"/>
                <w:sz w:val="14"/>
                <w:szCs w:val="14"/>
              </w:rPr>
            </w:pPr>
            <w:r w:rsidRPr="002A1F9A">
              <w:rPr>
                <w:rFonts w:ascii="Verdana" w:hAnsi="Verdana"/>
                <w:sz w:val="14"/>
                <w:szCs w:val="14"/>
              </w:rPr>
              <w:t>1273</w:t>
            </w:r>
          </w:p>
        </w:tc>
        <w:tc>
          <w:tcPr>
            <w:tcW w:w="786" w:type="dxa"/>
            <w:hideMark/>
          </w:tcPr>
          <w:p w:rsidRPr="002A1F9A" w:rsidR="00E63BD8" w:rsidP="00E63BD8" w:rsidRDefault="00E63BD8" w14:paraId="60E125D5" w14:textId="77777777">
            <w:pPr>
              <w:spacing w:after="160" w:line="259" w:lineRule="auto"/>
              <w:rPr>
                <w:rFonts w:ascii="Verdana" w:hAnsi="Verdana"/>
                <w:sz w:val="14"/>
                <w:szCs w:val="14"/>
              </w:rPr>
            </w:pPr>
            <w:r w:rsidRPr="002A1F9A">
              <w:rPr>
                <w:rFonts w:ascii="Verdana" w:hAnsi="Verdana"/>
                <w:sz w:val="14"/>
                <w:szCs w:val="14"/>
              </w:rPr>
              <w:t>24</w:t>
            </w:r>
          </w:p>
        </w:tc>
        <w:tc>
          <w:tcPr>
            <w:tcW w:w="1051" w:type="dxa"/>
            <w:hideMark/>
          </w:tcPr>
          <w:p w:rsidRPr="002A1F9A" w:rsidR="00E63BD8" w:rsidP="00E63BD8" w:rsidRDefault="00E63BD8" w14:paraId="38753D56" w14:textId="77777777">
            <w:pPr>
              <w:spacing w:after="160" w:line="259" w:lineRule="auto"/>
              <w:rPr>
                <w:rFonts w:ascii="Verdana" w:hAnsi="Verdana"/>
                <w:sz w:val="14"/>
                <w:szCs w:val="14"/>
              </w:rPr>
            </w:pPr>
            <w:r w:rsidRPr="002A1F9A">
              <w:rPr>
                <w:rFonts w:ascii="Verdana" w:hAnsi="Verdana"/>
                <w:sz w:val="14"/>
                <w:szCs w:val="14"/>
              </w:rPr>
              <w:t>4</w:t>
            </w:r>
          </w:p>
        </w:tc>
        <w:tc>
          <w:tcPr>
            <w:tcW w:w="786" w:type="dxa"/>
            <w:hideMark/>
          </w:tcPr>
          <w:p w:rsidRPr="002A1F9A" w:rsidR="00E63BD8" w:rsidP="00E63BD8" w:rsidRDefault="00E63BD8" w14:paraId="04BEE7BC" w14:textId="77777777">
            <w:pPr>
              <w:spacing w:after="160" w:line="259" w:lineRule="auto"/>
              <w:rPr>
                <w:rFonts w:ascii="Verdana" w:hAnsi="Verdana"/>
                <w:sz w:val="14"/>
                <w:szCs w:val="14"/>
              </w:rPr>
            </w:pPr>
            <w:r w:rsidRPr="002A1F9A">
              <w:rPr>
                <w:rFonts w:ascii="Verdana" w:hAnsi="Verdana"/>
                <w:sz w:val="14"/>
                <w:szCs w:val="14"/>
              </w:rPr>
              <w:t>33</w:t>
            </w:r>
          </w:p>
        </w:tc>
        <w:tc>
          <w:tcPr>
            <w:tcW w:w="1383" w:type="dxa"/>
            <w:hideMark/>
          </w:tcPr>
          <w:p w:rsidRPr="002A1F9A" w:rsidR="00E63BD8" w:rsidP="00E63BD8" w:rsidRDefault="00E63BD8" w14:paraId="2ACCC275" w14:textId="77777777">
            <w:pPr>
              <w:spacing w:after="160" w:line="259" w:lineRule="auto"/>
              <w:rPr>
                <w:rFonts w:ascii="Verdana" w:hAnsi="Verdana"/>
                <w:sz w:val="14"/>
                <w:szCs w:val="14"/>
              </w:rPr>
            </w:pPr>
            <w:r w:rsidRPr="002A1F9A">
              <w:rPr>
                <w:rFonts w:ascii="Verdana" w:hAnsi="Verdana"/>
                <w:sz w:val="14"/>
                <w:szCs w:val="14"/>
              </w:rPr>
              <w:t>22</w:t>
            </w:r>
          </w:p>
        </w:tc>
        <w:tc>
          <w:tcPr>
            <w:tcW w:w="1559" w:type="dxa"/>
            <w:hideMark/>
          </w:tcPr>
          <w:p w:rsidRPr="002A1F9A" w:rsidR="00E63BD8" w:rsidP="00E63BD8" w:rsidRDefault="00E63BD8" w14:paraId="0C4CCDF6" w14:textId="77777777">
            <w:pPr>
              <w:spacing w:after="160" w:line="259" w:lineRule="auto"/>
              <w:rPr>
                <w:rFonts w:ascii="Verdana" w:hAnsi="Verdana"/>
                <w:sz w:val="14"/>
                <w:szCs w:val="14"/>
              </w:rPr>
            </w:pPr>
            <w:r w:rsidRPr="002A1F9A">
              <w:rPr>
                <w:rFonts w:ascii="Verdana" w:hAnsi="Verdana"/>
                <w:sz w:val="14"/>
                <w:szCs w:val="14"/>
              </w:rPr>
              <w:t>€25,6</w:t>
            </w:r>
          </w:p>
        </w:tc>
      </w:tr>
      <w:tr w:rsidRPr="002A1F9A" w:rsidR="00E63BD8" w:rsidTr="00E63BD8" w14:paraId="04B6BF15" w14:textId="77777777">
        <w:trPr>
          <w:trHeight w:val="210"/>
        </w:trPr>
        <w:tc>
          <w:tcPr>
            <w:tcW w:w="769" w:type="dxa"/>
            <w:hideMark/>
          </w:tcPr>
          <w:p w:rsidRPr="002A1F9A" w:rsidR="00E63BD8" w:rsidP="00E63BD8" w:rsidRDefault="00E63BD8" w14:paraId="25B31AF6" w14:textId="77777777">
            <w:pPr>
              <w:spacing w:after="160" w:line="259" w:lineRule="auto"/>
              <w:rPr>
                <w:rFonts w:ascii="Verdana" w:hAnsi="Verdana"/>
                <w:sz w:val="14"/>
                <w:szCs w:val="14"/>
              </w:rPr>
            </w:pPr>
            <w:r w:rsidRPr="002A1F9A">
              <w:rPr>
                <w:rFonts w:ascii="Verdana" w:hAnsi="Verdana"/>
                <w:sz w:val="14"/>
                <w:szCs w:val="14"/>
              </w:rPr>
              <w:t>BVE</w:t>
            </w:r>
          </w:p>
        </w:tc>
        <w:tc>
          <w:tcPr>
            <w:tcW w:w="786" w:type="dxa"/>
            <w:hideMark/>
          </w:tcPr>
          <w:p w:rsidRPr="002A1F9A" w:rsidR="00E63BD8" w:rsidP="00E63BD8" w:rsidRDefault="00E63BD8" w14:paraId="631E2276" w14:textId="77777777">
            <w:pPr>
              <w:spacing w:after="160" w:line="259" w:lineRule="auto"/>
              <w:rPr>
                <w:rFonts w:ascii="Verdana" w:hAnsi="Verdana"/>
                <w:sz w:val="14"/>
                <w:szCs w:val="14"/>
              </w:rPr>
            </w:pPr>
            <w:r w:rsidRPr="002A1F9A">
              <w:rPr>
                <w:rFonts w:ascii="Verdana" w:hAnsi="Verdana"/>
                <w:sz w:val="14"/>
                <w:szCs w:val="14"/>
              </w:rPr>
              <w:t>288</w:t>
            </w:r>
          </w:p>
        </w:tc>
        <w:tc>
          <w:tcPr>
            <w:tcW w:w="813" w:type="dxa"/>
            <w:hideMark/>
          </w:tcPr>
          <w:p w:rsidRPr="002A1F9A" w:rsidR="00E63BD8" w:rsidP="00E63BD8" w:rsidRDefault="00E63BD8" w14:paraId="161CF391" w14:textId="77777777">
            <w:pPr>
              <w:spacing w:after="160" w:line="259" w:lineRule="auto"/>
              <w:rPr>
                <w:rFonts w:ascii="Verdana" w:hAnsi="Verdana"/>
                <w:sz w:val="14"/>
                <w:szCs w:val="14"/>
              </w:rPr>
            </w:pPr>
            <w:r w:rsidRPr="002A1F9A">
              <w:rPr>
                <w:rFonts w:ascii="Verdana" w:hAnsi="Verdana"/>
                <w:sz w:val="14"/>
                <w:szCs w:val="14"/>
              </w:rPr>
              <w:t>328</w:t>
            </w:r>
          </w:p>
        </w:tc>
        <w:tc>
          <w:tcPr>
            <w:tcW w:w="786" w:type="dxa"/>
            <w:hideMark/>
          </w:tcPr>
          <w:p w:rsidRPr="002A1F9A" w:rsidR="00E63BD8" w:rsidP="00E63BD8" w:rsidRDefault="00E63BD8" w14:paraId="6FB8CE53" w14:textId="77777777">
            <w:pPr>
              <w:spacing w:after="160" w:line="259" w:lineRule="auto"/>
              <w:rPr>
                <w:rFonts w:ascii="Verdana" w:hAnsi="Verdana"/>
                <w:sz w:val="14"/>
                <w:szCs w:val="14"/>
              </w:rPr>
            </w:pPr>
            <w:r w:rsidRPr="002A1F9A">
              <w:rPr>
                <w:rFonts w:ascii="Verdana" w:hAnsi="Verdana"/>
                <w:sz w:val="14"/>
                <w:szCs w:val="14"/>
              </w:rPr>
              <w:t>7</w:t>
            </w:r>
          </w:p>
        </w:tc>
        <w:tc>
          <w:tcPr>
            <w:tcW w:w="1051" w:type="dxa"/>
            <w:hideMark/>
          </w:tcPr>
          <w:p w:rsidRPr="002A1F9A" w:rsidR="00E63BD8" w:rsidP="00E63BD8" w:rsidRDefault="00E63BD8" w14:paraId="1FD03F63" w14:textId="77777777">
            <w:pPr>
              <w:spacing w:after="160" w:line="259" w:lineRule="auto"/>
              <w:rPr>
                <w:rFonts w:ascii="Verdana" w:hAnsi="Verdana"/>
                <w:sz w:val="14"/>
                <w:szCs w:val="14"/>
              </w:rPr>
            </w:pPr>
            <w:r w:rsidRPr="002A1F9A">
              <w:rPr>
                <w:rFonts w:ascii="Verdana" w:hAnsi="Verdana"/>
                <w:sz w:val="14"/>
                <w:szCs w:val="14"/>
              </w:rPr>
              <w:t>4</w:t>
            </w:r>
          </w:p>
        </w:tc>
        <w:tc>
          <w:tcPr>
            <w:tcW w:w="786" w:type="dxa"/>
            <w:hideMark/>
          </w:tcPr>
          <w:p w:rsidRPr="002A1F9A" w:rsidR="00E63BD8" w:rsidP="00E63BD8" w:rsidRDefault="00E63BD8" w14:paraId="131C8EE9" w14:textId="77777777">
            <w:pPr>
              <w:spacing w:after="160" w:line="259" w:lineRule="auto"/>
              <w:rPr>
                <w:rFonts w:ascii="Verdana" w:hAnsi="Verdana"/>
                <w:sz w:val="14"/>
                <w:szCs w:val="14"/>
              </w:rPr>
            </w:pPr>
            <w:r w:rsidRPr="002A1F9A">
              <w:rPr>
                <w:rFonts w:ascii="Verdana" w:hAnsi="Verdana"/>
                <w:sz w:val="14"/>
                <w:szCs w:val="14"/>
              </w:rPr>
              <w:t>6</w:t>
            </w:r>
          </w:p>
        </w:tc>
        <w:tc>
          <w:tcPr>
            <w:tcW w:w="1383" w:type="dxa"/>
            <w:hideMark/>
          </w:tcPr>
          <w:p w:rsidRPr="002A1F9A" w:rsidR="00E63BD8" w:rsidP="00E63BD8" w:rsidRDefault="00E63BD8" w14:paraId="49A3413C" w14:textId="77777777">
            <w:pPr>
              <w:spacing w:after="160" w:line="259" w:lineRule="auto"/>
              <w:rPr>
                <w:rFonts w:ascii="Verdana" w:hAnsi="Verdana"/>
                <w:sz w:val="14"/>
                <w:szCs w:val="14"/>
              </w:rPr>
            </w:pPr>
            <w:r w:rsidRPr="002A1F9A">
              <w:rPr>
                <w:rFonts w:ascii="Verdana" w:hAnsi="Verdana"/>
                <w:sz w:val="14"/>
                <w:szCs w:val="14"/>
              </w:rPr>
              <w:t>6</w:t>
            </w:r>
          </w:p>
        </w:tc>
        <w:tc>
          <w:tcPr>
            <w:tcW w:w="1559" w:type="dxa"/>
            <w:hideMark/>
          </w:tcPr>
          <w:p w:rsidRPr="002A1F9A" w:rsidR="00E63BD8" w:rsidP="00E63BD8" w:rsidRDefault="00E63BD8" w14:paraId="170A644E" w14:textId="77777777">
            <w:pPr>
              <w:spacing w:after="160" w:line="259" w:lineRule="auto"/>
              <w:rPr>
                <w:rFonts w:ascii="Verdana" w:hAnsi="Verdana"/>
                <w:sz w:val="14"/>
                <w:szCs w:val="14"/>
              </w:rPr>
            </w:pPr>
            <w:r w:rsidRPr="002A1F9A">
              <w:rPr>
                <w:rFonts w:ascii="Verdana" w:hAnsi="Verdana"/>
                <w:sz w:val="14"/>
                <w:szCs w:val="14"/>
              </w:rPr>
              <w:t>€7,6</w:t>
            </w:r>
          </w:p>
        </w:tc>
      </w:tr>
      <w:tr w:rsidRPr="002A1F9A" w:rsidR="00E63BD8" w:rsidTr="00E63BD8" w14:paraId="4D8B1C54" w14:textId="77777777">
        <w:trPr>
          <w:trHeight w:val="258"/>
        </w:trPr>
        <w:tc>
          <w:tcPr>
            <w:tcW w:w="769" w:type="dxa"/>
            <w:hideMark/>
          </w:tcPr>
          <w:p w:rsidRPr="002A1F9A" w:rsidR="00E63BD8" w:rsidP="00E63BD8" w:rsidRDefault="00E63BD8" w14:paraId="71CD4BB0" w14:textId="77777777">
            <w:pPr>
              <w:spacing w:after="160" w:line="259" w:lineRule="auto"/>
              <w:rPr>
                <w:rFonts w:ascii="Verdana" w:hAnsi="Verdana"/>
                <w:sz w:val="14"/>
                <w:szCs w:val="14"/>
              </w:rPr>
            </w:pPr>
            <w:r w:rsidRPr="002A1F9A">
              <w:rPr>
                <w:rFonts w:ascii="Verdana" w:hAnsi="Verdana"/>
                <w:sz w:val="14"/>
                <w:szCs w:val="14"/>
              </w:rPr>
              <w:t>HO</w:t>
            </w:r>
          </w:p>
        </w:tc>
        <w:tc>
          <w:tcPr>
            <w:tcW w:w="786" w:type="dxa"/>
            <w:hideMark/>
          </w:tcPr>
          <w:p w:rsidRPr="002A1F9A" w:rsidR="00E63BD8" w:rsidP="00E63BD8" w:rsidRDefault="00E63BD8" w14:paraId="6BDD8E94" w14:textId="77777777">
            <w:pPr>
              <w:spacing w:after="160" w:line="259" w:lineRule="auto"/>
              <w:rPr>
                <w:rFonts w:ascii="Verdana" w:hAnsi="Verdana"/>
                <w:sz w:val="14"/>
                <w:szCs w:val="14"/>
              </w:rPr>
            </w:pPr>
            <w:r w:rsidRPr="002A1F9A">
              <w:rPr>
                <w:rFonts w:ascii="Verdana" w:hAnsi="Verdana"/>
                <w:sz w:val="14"/>
                <w:szCs w:val="14"/>
              </w:rPr>
              <w:t>231</w:t>
            </w:r>
          </w:p>
        </w:tc>
        <w:tc>
          <w:tcPr>
            <w:tcW w:w="813" w:type="dxa"/>
            <w:hideMark/>
          </w:tcPr>
          <w:p w:rsidRPr="002A1F9A" w:rsidR="00E63BD8" w:rsidP="00E63BD8" w:rsidRDefault="00E63BD8" w14:paraId="2DB3B67B" w14:textId="77777777">
            <w:pPr>
              <w:spacing w:after="160" w:line="259" w:lineRule="auto"/>
              <w:rPr>
                <w:rFonts w:ascii="Verdana" w:hAnsi="Verdana"/>
                <w:sz w:val="14"/>
                <w:szCs w:val="14"/>
              </w:rPr>
            </w:pPr>
            <w:r w:rsidRPr="002A1F9A">
              <w:rPr>
                <w:rFonts w:ascii="Verdana" w:hAnsi="Verdana"/>
                <w:sz w:val="14"/>
                <w:szCs w:val="14"/>
              </w:rPr>
              <w:t>319</w:t>
            </w:r>
          </w:p>
        </w:tc>
        <w:tc>
          <w:tcPr>
            <w:tcW w:w="786" w:type="dxa"/>
            <w:hideMark/>
          </w:tcPr>
          <w:p w:rsidRPr="002A1F9A" w:rsidR="00E63BD8" w:rsidP="00E63BD8" w:rsidRDefault="00E63BD8" w14:paraId="626C6A1E" w14:textId="77777777">
            <w:pPr>
              <w:spacing w:after="160" w:line="259" w:lineRule="auto"/>
              <w:rPr>
                <w:rFonts w:ascii="Verdana" w:hAnsi="Verdana"/>
                <w:sz w:val="14"/>
                <w:szCs w:val="14"/>
              </w:rPr>
            </w:pPr>
            <w:r w:rsidRPr="002A1F9A">
              <w:rPr>
                <w:rFonts w:ascii="Verdana" w:hAnsi="Verdana"/>
                <w:sz w:val="14"/>
                <w:szCs w:val="14"/>
              </w:rPr>
              <w:t>9</w:t>
            </w:r>
          </w:p>
        </w:tc>
        <w:tc>
          <w:tcPr>
            <w:tcW w:w="1051" w:type="dxa"/>
            <w:hideMark/>
          </w:tcPr>
          <w:p w:rsidRPr="002A1F9A" w:rsidR="00E63BD8" w:rsidP="00E63BD8" w:rsidRDefault="00E63BD8" w14:paraId="742FEE24" w14:textId="77777777">
            <w:pPr>
              <w:spacing w:after="160" w:line="259" w:lineRule="auto"/>
              <w:rPr>
                <w:rFonts w:ascii="Verdana" w:hAnsi="Verdana"/>
                <w:sz w:val="14"/>
                <w:szCs w:val="14"/>
              </w:rPr>
            </w:pPr>
            <w:r w:rsidRPr="002A1F9A">
              <w:rPr>
                <w:rFonts w:ascii="Verdana" w:hAnsi="Verdana"/>
                <w:sz w:val="14"/>
                <w:szCs w:val="14"/>
              </w:rPr>
              <w:t>0</w:t>
            </w:r>
          </w:p>
        </w:tc>
        <w:tc>
          <w:tcPr>
            <w:tcW w:w="786" w:type="dxa"/>
            <w:hideMark/>
          </w:tcPr>
          <w:p w:rsidRPr="002A1F9A" w:rsidR="00E63BD8" w:rsidP="00E63BD8" w:rsidRDefault="00E63BD8" w14:paraId="6DCFD4D6" w14:textId="77777777">
            <w:pPr>
              <w:spacing w:after="160" w:line="259" w:lineRule="auto"/>
              <w:rPr>
                <w:rFonts w:ascii="Verdana" w:hAnsi="Verdana"/>
                <w:sz w:val="14"/>
                <w:szCs w:val="14"/>
              </w:rPr>
            </w:pPr>
            <w:r w:rsidRPr="002A1F9A">
              <w:rPr>
                <w:rFonts w:ascii="Verdana" w:hAnsi="Verdana"/>
                <w:sz w:val="14"/>
                <w:szCs w:val="14"/>
              </w:rPr>
              <w:t>7</w:t>
            </w:r>
          </w:p>
        </w:tc>
        <w:tc>
          <w:tcPr>
            <w:tcW w:w="1383" w:type="dxa"/>
            <w:hideMark/>
          </w:tcPr>
          <w:p w:rsidRPr="002A1F9A" w:rsidR="00E63BD8" w:rsidP="00E63BD8" w:rsidRDefault="00E63BD8" w14:paraId="5924F606" w14:textId="77777777">
            <w:pPr>
              <w:spacing w:after="160" w:line="259" w:lineRule="auto"/>
              <w:rPr>
                <w:rFonts w:ascii="Verdana" w:hAnsi="Verdana"/>
                <w:sz w:val="14"/>
                <w:szCs w:val="14"/>
              </w:rPr>
            </w:pPr>
            <w:r w:rsidRPr="002A1F9A">
              <w:rPr>
                <w:rFonts w:ascii="Verdana" w:hAnsi="Verdana"/>
                <w:sz w:val="14"/>
                <w:szCs w:val="14"/>
              </w:rPr>
              <w:t>10</w:t>
            </w:r>
          </w:p>
        </w:tc>
        <w:tc>
          <w:tcPr>
            <w:tcW w:w="1559" w:type="dxa"/>
            <w:hideMark/>
          </w:tcPr>
          <w:p w:rsidRPr="002A1F9A" w:rsidR="00E63BD8" w:rsidP="00E63BD8" w:rsidRDefault="00E63BD8" w14:paraId="79FF2DC0" w14:textId="77777777">
            <w:pPr>
              <w:spacing w:after="160" w:line="259" w:lineRule="auto"/>
              <w:rPr>
                <w:rFonts w:ascii="Verdana" w:hAnsi="Verdana"/>
                <w:sz w:val="14"/>
                <w:szCs w:val="14"/>
              </w:rPr>
            </w:pPr>
            <w:r w:rsidRPr="002A1F9A">
              <w:rPr>
                <w:rFonts w:ascii="Verdana" w:hAnsi="Verdana"/>
                <w:sz w:val="14"/>
                <w:szCs w:val="14"/>
              </w:rPr>
              <w:t>€8,6</w:t>
            </w:r>
          </w:p>
        </w:tc>
      </w:tr>
      <w:tr w:rsidRPr="002A1F9A" w:rsidR="00E63BD8" w:rsidTr="00E63BD8" w14:paraId="1408BD6F" w14:textId="77777777">
        <w:trPr>
          <w:trHeight w:val="210"/>
        </w:trPr>
        <w:tc>
          <w:tcPr>
            <w:tcW w:w="769" w:type="dxa"/>
            <w:hideMark/>
          </w:tcPr>
          <w:p w:rsidRPr="002A1F9A" w:rsidR="00E63BD8" w:rsidP="00E63BD8" w:rsidRDefault="00E63BD8" w14:paraId="6CCAACD6" w14:textId="77777777">
            <w:pPr>
              <w:spacing w:after="160" w:line="259" w:lineRule="auto"/>
              <w:rPr>
                <w:rFonts w:ascii="Verdana" w:hAnsi="Verdana"/>
                <w:sz w:val="14"/>
                <w:szCs w:val="14"/>
              </w:rPr>
            </w:pPr>
            <w:proofErr w:type="spellStart"/>
            <w:r w:rsidRPr="002A1F9A">
              <w:rPr>
                <w:rFonts w:ascii="Verdana" w:hAnsi="Verdana"/>
                <w:sz w:val="14"/>
                <w:szCs w:val="14"/>
              </w:rPr>
              <w:t>N.t.b</w:t>
            </w:r>
            <w:proofErr w:type="spellEnd"/>
            <w:r w:rsidRPr="002A1F9A">
              <w:rPr>
                <w:rFonts w:ascii="Verdana" w:hAnsi="Verdana"/>
                <w:sz w:val="14"/>
                <w:szCs w:val="14"/>
              </w:rPr>
              <w:t>.</w:t>
            </w:r>
          </w:p>
        </w:tc>
        <w:tc>
          <w:tcPr>
            <w:tcW w:w="786" w:type="dxa"/>
            <w:hideMark/>
          </w:tcPr>
          <w:p w:rsidRPr="002A1F9A" w:rsidR="00E63BD8" w:rsidP="00E63BD8" w:rsidRDefault="00E63BD8" w14:paraId="36558448" w14:textId="77777777">
            <w:pPr>
              <w:spacing w:after="160" w:line="259" w:lineRule="auto"/>
              <w:rPr>
                <w:rFonts w:ascii="Verdana" w:hAnsi="Verdana"/>
                <w:sz w:val="14"/>
                <w:szCs w:val="14"/>
              </w:rPr>
            </w:pPr>
            <w:r w:rsidRPr="002A1F9A">
              <w:rPr>
                <w:rFonts w:ascii="Verdana" w:hAnsi="Verdana"/>
                <w:sz w:val="14"/>
                <w:szCs w:val="14"/>
              </w:rPr>
              <w:t>1</w:t>
            </w:r>
          </w:p>
        </w:tc>
        <w:tc>
          <w:tcPr>
            <w:tcW w:w="813" w:type="dxa"/>
            <w:hideMark/>
          </w:tcPr>
          <w:p w:rsidRPr="002A1F9A" w:rsidR="00E63BD8" w:rsidP="00E63BD8" w:rsidRDefault="00E63BD8" w14:paraId="09C07F6C" w14:textId="77777777">
            <w:pPr>
              <w:spacing w:after="160" w:line="259" w:lineRule="auto"/>
              <w:rPr>
                <w:rFonts w:ascii="Verdana" w:hAnsi="Verdana"/>
                <w:sz w:val="14"/>
                <w:szCs w:val="14"/>
              </w:rPr>
            </w:pPr>
            <w:r w:rsidRPr="002A1F9A">
              <w:rPr>
                <w:rFonts w:ascii="Verdana" w:hAnsi="Verdana"/>
                <w:sz w:val="14"/>
                <w:szCs w:val="14"/>
              </w:rPr>
              <w:t>1</w:t>
            </w:r>
          </w:p>
        </w:tc>
        <w:tc>
          <w:tcPr>
            <w:tcW w:w="786" w:type="dxa"/>
            <w:hideMark/>
          </w:tcPr>
          <w:p w:rsidRPr="002A1F9A" w:rsidR="00E63BD8" w:rsidP="00E63BD8" w:rsidRDefault="00E63BD8" w14:paraId="38E50DBA" w14:textId="77777777">
            <w:pPr>
              <w:spacing w:after="160" w:line="259" w:lineRule="auto"/>
              <w:rPr>
                <w:rFonts w:ascii="Verdana" w:hAnsi="Verdana"/>
                <w:sz w:val="14"/>
                <w:szCs w:val="14"/>
              </w:rPr>
            </w:pPr>
            <w:r w:rsidRPr="002A1F9A">
              <w:rPr>
                <w:rFonts w:ascii="Verdana" w:hAnsi="Verdana"/>
                <w:sz w:val="14"/>
                <w:szCs w:val="14"/>
              </w:rPr>
              <w:t>40</w:t>
            </w:r>
          </w:p>
        </w:tc>
        <w:tc>
          <w:tcPr>
            <w:tcW w:w="1051" w:type="dxa"/>
            <w:hideMark/>
          </w:tcPr>
          <w:p w:rsidRPr="002A1F9A" w:rsidR="00E63BD8" w:rsidP="00E63BD8" w:rsidRDefault="00E63BD8" w14:paraId="464C7AF3" w14:textId="77777777">
            <w:pPr>
              <w:spacing w:after="160" w:line="259" w:lineRule="auto"/>
              <w:rPr>
                <w:rFonts w:ascii="Verdana" w:hAnsi="Verdana"/>
                <w:sz w:val="14"/>
                <w:szCs w:val="14"/>
              </w:rPr>
            </w:pPr>
            <w:r w:rsidRPr="002A1F9A">
              <w:rPr>
                <w:rFonts w:ascii="Verdana" w:hAnsi="Verdana"/>
                <w:sz w:val="14"/>
                <w:szCs w:val="14"/>
              </w:rPr>
              <w:t>8</w:t>
            </w:r>
          </w:p>
        </w:tc>
        <w:tc>
          <w:tcPr>
            <w:tcW w:w="786" w:type="dxa"/>
            <w:hideMark/>
          </w:tcPr>
          <w:p w:rsidRPr="002A1F9A" w:rsidR="00E63BD8" w:rsidP="00E63BD8" w:rsidRDefault="00E63BD8" w14:paraId="7F15A912" w14:textId="77777777">
            <w:pPr>
              <w:spacing w:after="160" w:line="259" w:lineRule="auto"/>
              <w:rPr>
                <w:rFonts w:ascii="Verdana" w:hAnsi="Verdana"/>
                <w:sz w:val="14"/>
                <w:szCs w:val="14"/>
              </w:rPr>
            </w:pPr>
            <w:r w:rsidRPr="002A1F9A">
              <w:rPr>
                <w:rFonts w:ascii="Verdana" w:hAnsi="Verdana"/>
                <w:sz w:val="14"/>
                <w:szCs w:val="14"/>
              </w:rPr>
              <w:t>89</w:t>
            </w:r>
          </w:p>
        </w:tc>
        <w:tc>
          <w:tcPr>
            <w:tcW w:w="1383" w:type="dxa"/>
            <w:hideMark/>
          </w:tcPr>
          <w:p w:rsidRPr="002A1F9A" w:rsidR="00E63BD8" w:rsidP="00E63BD8" w:rsidRDefault="00E63BD8" w14:paraId="7D040DD9" w14:textId="77777777">
            <w:pPr>
              <w:spacing w:after="160" w:line="259" w:lineRule="auto"/>
              <w:rPr>
                <w:rFonts w:ascii="Verdana" w:hAnsi="Verdana"/>
                <w:sz w:val="14"/>
                <w:szCs w:val="14"/>
              </w:rPr>
            </w:pPr>
            <w:r w:rsidRPr="002A1F9A">
              <w:rPr>
                <w:rFonts w:ascii="Verdana" w:hAnsi="Verdana"/>
                <w:sz w:val="14"/>
                <w:szCs w:val="14"/>
              </w:rPr>
              <w:t>87</w:t>
            </w:r>
          </w:p>
        </w:tc>
        <w:tc>
          <w:tcPr>
            <w:tcW w:w="1559" w:type="dxa"/>
            <w:hideMark/>
          </w:tcPr>
          <w:p w:rsidRPr="002A1F9A" w:rsidR="00E63BD8" w:rsidP="00E63BD8" w:rsidRDefault="00E63BD8" w14:paraId="1F9436D8" w14:textId="77777777">
            <w:pPr>
              <w:spacing w:after="160" w:line="259" w:lineRule="auto"/>
              <w:rPr>
                <w:rFonts w:ascii="Verdana" w:hAnsi="Verdana"/>
                <w:sz w:val="14"/>
                <w:szCs w:val="14"/>
              </w:rPr>
            </w:pPr>
            <w:r w:rsidRPr="002A1F9A">
              <w:rPr>
                <w:rFonts w:ascii="Verdana" w:hAnsi="Verdana"/>
                <w:sz w:val="14"/>
                <w:szCs w:val="14"/>
              </w:rPr>
              <w:t>€0,01</w:t>
            </w:r>
          </w:p>
        </w:tc>
      </w:tr>
      <w:tr w:rsidRPr="002A1F9A" w:rsidR="00E63BD8" w:rsidTr="00E63BD8" w14:paraId="3C45B36A" w14:textId="77777777">
        <w:trPr>
          <w:trHeight w:val="210"/>
        </w:trPr>
        <w:tc>
          <w:tcPr>
            <w:tcW w:w="769" w:type="dxa"/>
            <w:hideMark/>
          </w:tcPr>
          <w:p w:rsidRPr="002A1F9A" w:rsidR="00E63BD8" w:rsidP="00E63BD8" w:rsidRDefault="00E63BD8" w14:paraId="2E58114F" w14:textId="77777777">
            <w:pPr>
              <w:spacing w:after="160" w:line="259" w:lineRule="auto"/>
              <w:rPr>
                <w:rFonts w:ascii="Verdana" w:hAnsi="Verdana"/>
                <w:sz w:val="14"/>
                <w:szCs w:val="14"/>
              </w:rPr>
            </w:pPr>
            <w:r w:rsidRPr="002A1F9A">
              <w:rPr>
                <w:rFonts w:ascii="Verdana" w:hAnsi="Verdana"/>
                <w:sz w:val="14"/>
                <w:szCs w:val="14"/>
              </w:rPr>
              <w:t>Totaal</w:t>
            </w:r>
          </w:p>
        </w:tc>
        <w:tc>
          <w:tcPr>
            <w:tcW w:w="786" w:type="dxa"/>
            <w:hideMark/>
          </w:tcPr>
          <w:p w:rsidRPr="002A1F9A" w:rsidR="00E63BD8" w:rsidP="00E63BD8" w:rsidRDefault="00E63BD8" w14:paraId="039CD034" w14:textId="77777777">
            <w:pPr>
              <w:spacing w:after="160" w:line="259" w:lineRule="auto"/>
              <w:rPr>
                <w:rFonts w:ascii="Verdana" w:hAnsi="Verdana"/>
                <w:sz w:val="14"/>
                <w:szCs w:val="14"/>
              </w:rPr>
            </w:pPr>
            <w:r w:rsidRPr="002A1F9A">
              <w:rPr>
                <w:rFonts w:ascii="Verdana" w:hAnsi="Verdana"/>
                <w:sz w:val="14"/>
                <w:szCs w:val="14"/>
              </w:rPr>
              <w:t>2101</w:t>
            </w:r>
          </w:p>
        </w:tc>
        <w:tc>
          <w:tcPr>
            <w:tcW w:w="813" w:type="dxa"/>
            <w:hideMark/>
          </w:tcPr>
          <w:p w:rsidRPr="002A1F9A" w:rsidR="00E63BD8" w:rsidP="00E63BD8" w:rsidRDefault="00E63BD8" w14:paraId="31EC1FD3" w14:textId="77777777">
            <w:pPr>
              <w:spacing w:after="160" w:line="259" w:lineRule="auto"/>
              <w:rPr>
                <w:rFonts w:ascii="Verdana" w:hAnsi="Verdana"/>
                <w:sz w:val="14"/>
                <w:szCs w:val="14"/>
              </w:rPr>
            </w:pPr>
            <w:r w:rsidRPr="002A1F9A">
              <w:rPr>
                <w:rFonts w:ascii="Verdana" w:hAnsi="Verdana"/>
                <w:sz w:val="14"/>
                <w:szCs w:val="14"/>
              </w:rPr>
              <w:t>2563</w:t>
            </w:r>
          </w:p>
        </w:tc>
        <w:tc>
          <w:tcPr>
            <w:tcW w:w="786" w:type="dxa"/>
            <w:hideMark/>
          </w:tcPr>
          <w:p w:rsidRPr="002A1F9A" w:rsidR="00E63BD8" w:rsidP="00E63BD8" w:rsidRDefault="00E63BD8" w14:paraId="4A8DBFB0" w14:textId="77777777">
            <w:pPr>
              <w:spacing w:after="160" w:line="259" w:lineRule="auto"/>
              <w:rPr>
                <w:rFonts w:ascii="Verdana" w:hAnsi="Verdana"/>
                <w:sz w:val="14"/>
                <w:szCs w:val="14"/>
              </w:rPr>
            </w:pPr>
            <w:r w:rsidRPr="002A1F9A">
              <w:rPr>
                <w:rFonts w:ascii="Verdana" w:hAnsi="Verdana"/>
                <w:sz w:val="14"/>
                <w:szCs w:val="14"/>
              </w:rPr>
              <w:t>100</w:t>
            </w:r>
          </w:p>
        </w:tc>
        <w:tc>
          <w:tcPr>
            <w:tcW w:w="1051" w:type="dxa"/>
            <w:hideMark/>
          </w:tcPr>
          <w:p w:rsidRPr="002A1F9A" w:rsidR="00E63BD8" w:rsidP="00E63BD8" w:rsidRDefault="00E63BD8" w14:paraId="3AFF9B34" w14:textId="77777777">
            <w:pPr>
              <w:spacing w:after="160" w:line="259" w:lineRule="auto"/>
              <w:rPr>
                <w:rFonts w:ascii="Verdana" w:hAnsi="Verdana"/>
                <w:sz w:val="14"/>
                <w:szCs w:val="14"/>
              </w:rPr>
            </w:pPr>
            <w:r w:rsidRPr="002A1F9A">
              <w:rPr>
                <w:rFonts w:ascii="Verdana" w:hAnsi="Verdana"/>
                <w:sz w:val="14"/>
                <w:szCs w:val="14"/>
              </w:rPr>
              <w:t>20</w:t>
            </w:r>
          </w:p>
        </w:tc>
        <w:tc>
          <w:tcPr>
            <w:tcW w:w="786" w:type="dxa"/>
            <w:hideMark/>
          </w:tcPr>
          <w:p w:rsidRPr="002A1F9A" w:rsidR="00E63BD8" w:rsidP="00E63BD8" w:rsidRDefault="00E63BD8" w14:paraId="7AF1F2AD" w14:textId="77777777">
            <w:pPr>
              <w:spacing w:after="160" w:line="259" w:lineRule="auto"/>
              <w:rPr>
                <w:rFonts w:ascii="Verdana" w:hAnsi="Verdana"/>
                <w:sz w:val="14"/>
                <w:szCs w:val="14"/>
              </w:rPr>
            </w:pPr>
            <w:r w:rsidRPr="002A1F9A">
              <w:rPr>
                <w:rFonts w:ascii="Verdana" w:hAnsi="Verdana"/>
                <w:sz w:val="14"/>
                <w:szCs w:val="14"/>
              </w:rPr>
              <w:t>158</w:t>
            </w:r>
          </w:p>
        </w:tc>
        <w:tc>
          <w:tcPr>
            <w:tcW w:w="1383" w:type="dxa"/>
            <w:hideMark/>
          </w:tcPr>
          <w:p w:rsidRPr="002A1F9A" w:rsidR="00E63BD8" w:rsidP="00E63BD8" w:rsidRDefault="00E63BD8" w14:paraId="2EF7E06B" w14:textId="77777777">
            <w:pPr>
              <w:spacing w:after="160" w:line="259" w:lineRule="auto"/>
              <w:rPr>
                <w:rFonts w:ascii="Verdana" w:hAnsi="Verdana"/>
                <w:sz w:val="14"/>
                <w:szCs w:val="14"/>
              </w:rPr>
            </w:pPr>
            <w:r w:rsidRPr="002A1F9A">
              <w:rPr>
                <w:rFonts w:ascii="Verdana" w:hAnsi="Verdana"/>
                <w:sz w:val="14"/>
                <w:szCs w:val="14"/>
              </w:rPr>
              <w:t>131</w:t>
            </w:r>
          </w:p>
        </w:tc>
        <w:tc>
          <w:tcPr>
            <w:tcW w:w="1559" w:type="dxa"/>
          </w:tcPr>
          <w:p w:rsidRPr="002A1F9A" w:rsidR="00E63BD8" w:rsidP="00E63BD8" w:rsidRDefault="00E63BD8" w14:paraId="76692F3A" w14:textId="77777777">
            <w:pPr>
              <w:spacing w:after="160" w:line="259" w:lineRule="auto"/>
              <w:rPr>
                <w:rFonts w:ascii="Verdana" w:hAnsi="Verdana"/>
                <w:sz w:val="14"/>
                <w:szCs w:val="14"/>
              </w:rPr>
            </w:pPr>
          </w:p>
        </w:tc>
      </w:tr>
      <w:tr w:rsidRPr="002A1F9A" w:rsidR="00E63BD8" w:rsidTr="00E63BD8" w14:paraId="7F0AF298" w14:textId="77777777">
        <w:trPr>
          <w:trHeight w:val="303"/>
        </w:trPr>
        <w:tc>
          <w:tcPr>
            <w:tcW w:w="2368" w:type="dxa"/>
            <w:gridSpan w:val="3"/>
            <w:hideMark/>
          </w:tcPr>
          <w:p w:rsidRPr="002A1F9A" w:rsidR="00E63BD8" w:rsidP="00E63BD8" w:rsidRDefault="00E63BD8" w14:paraId="5900C059" w14:textId="77777777">
            <w:pPr>
              <w:spacing w:after="160" w:line="259" w:lineRule="auto"/>
              <w:rPr>
                <w:rFonts w:ascii="Verdana" w:hAnsi="Verdana"/>
                <w:sz w:val="14"/>
                <w:szCs w:val="14"/>
              </w:rPr>
            </w:pPr>
            <w:r w:rsidRPr="002A1F9A">
              <w:rPr>
                <w:rFonts w:ascii="Verdana" w:hAnsi="Verdana"/>
                <w:sz w:val="14"/>
                <w:szCs w:val="14"/>
              </w:rPr>
              <w:t>Totaal: 4664</w:t>
            </w:r>
          </w:p>
        </w:tc>
        <w:tc>
          <w:tcPr>
            <w:tcW w:w="1837" w:type="dxa"/>
            <w:gridSpan w:val="2"/>
            <w:hideMark/>
          </w:tcPr>
          <w:p w:rsidRPr="002A1F9A" w:rsidR="00E63BD8" w:rsidP="00E63BD8" w:rsidRDefault="00E63BD8" w14:paraId="0CE0042E" w14:textId="77777777">
            <w:pPr>
              <w:spacing w:after="160" w:line="259" w:lineRule="auto"/>
              <w:rPr>
                <w:rFonts w:ascii="Verdana" w:hAnsi="Verdana"/>
                <w:sz w:val="14"/>
                <w:szCs w:val="14"/>
              </w:rPr>
            </w:pPr>
            <w:r w:rsidRPr="002A1F9A">
              <w:rPr>
                <w:rFonts w:ascii="Verdana" w:hAnsi="Verdana"/>
                <w:sz w:val="14"/>
                <w:szCs w:val="14"/>
              </w:rPr>
              <w:t>Totaal: 120</w:t>
            </w:r>
          </w:p>
        </w:tc>
        <w:tc>
          <w:tcPr>
            <w:tcW w:w="2169" w:type="dxa"/>
            <w:gridSpan w:val="2"/>
            <w:hideMark/>
          </w:tcPr>
          <w:p w:rsidRPr="002A1F9A" w:rsidR="00E63BD8" w:rsidP="00E63BD8" w:rsidRDefault="00E63BD8" w14:paraId="090D1721" w14:textId="77777777">
            <w:pPr>
              <w:spacing w:after="160" w:line="259" w:lineRule="auto"/>
              <w:rPr>
                <w:rFonts w:ascii="Verdana" w:hAnsi="Verdana"/>
                <w:sz w:val="14"/>
                <w:szCs w:val="14"/>
              </w:rPr>
            </w:pPr>
            <w:r w:rsidRPr="002A1F9A">
              <w:rPr>
                <w:rFonts w:ascii="Verdana" w:hAnsi="Verdana"/>
                <w:sz w:val="14"/>
                <w:szCs w:val="14"/>
              </w:rPr>
              <w:t>Totaal: 289</w:t>
            </w:r>
          </w:p>
        </w:tc>
        <w:tc>
          <w:tcPr>
            <w:tcW w:w="1559" w:type="dxa"/>
            <w:hideMark/>
          </w:tcPr>
          <w:p w:rsidRPr="002A1F9A" w:rsidR="00E63BD8" w:rsidP="00E63BD8" w:rsidRDefault="00E63BD8" w14:paraId="563D0C3A" w14:textId="77777777">
            <w:pPr>
              <w:spacing w:after="160" w:line="259" w:lineRule="auto"/>
              <w:rPr>
                <w:rFonts w:ascii="Verdana" w:hAnsi="Verdana"/>
                <w:sz w:val="14"/>
                <w:szCs w:val="14"/>
              </w:rPr>
            </w:pPr>
            <w:r w:rsidRPr="002A1F9A">
              <w:rPr>
                <w:rFonts w:ascii="Verdana" w:hAnsi="Verdana"/>
                <w:sz w:val="14"/>
                <w:szCs w:val="14"/>
              </w:rPr>
              <w:t xml:space="preserve">€56,3 </w:t>
            </w:r>
            <w:r w:rsidRPr="002A1F9A">
              <w:rPr>
                <w:rFonts w:ascii="Verdana" w:hAnsi="Verdana"/>
                <w:sz w:val="14"/>
                <w:szCs w:val="14"/>
              </w:rPr>
              <w:br/>
              <w:t>(85% van budget)</w:t>
            </w:r>
          </w:p>
        </w:tc>
      </w:tr>
    </w:tbl>
    <w:p w:rsidRPr="002A1F9A" w:rsidR="00263CDF" w:rsidP="00263CDF" w:rsidRDefault="00263CDF" w14:paraId="4C4BAAA7" w14:textId="77777777">
      <w:pPr>
        <w:ind w:left="567" w:right="1212"/>
        <w:rPr>
          <w:rFonts w:ascii="Verdana" w:hAnsi="Verdana"/>
          <w:sz w:val="18"/>
          <w:szCs w:val="18"/>
        </w:rPr>
      </w:pPr>
    </w:p>
    <w:p w:rsidRPr="002A1F9A" w:rsidR="00E63BD8" w:rsidP="00263CDF" w:rsidRDefault="00E63BD8" w14:paraId="5CBB0AF1" w14:textId="77777777">
      <w:pPr>
        <w:ind w:left="567" w:right="1212"/>
        <w:rPr>
          <w:rFonts w:ascii="Verdana" w:hAnsi="Verdana"/>
          <w:sz w:val="18"/>
          <w:szCs w:val="18"/>
        </w:rPr>
      </w:pPr>
    </w:p>
    <w:p w:rsidRPr="002A1F9A" w:rsidR="00E63BD8" w:rsidP="00F1660A" w:rsidRDefault="00E63BD8" w14:paraId="6A5FC7A9" w14:textId="77777777">
      <w:pPr>
        <w:ind w:right="1212"/>
        <w:rPr>
          <w:rFonts w:ascii="Verdana" w:hAnsi="Verdana"/>
          <w:sz w:val="18"/>
          <w:szCs w:val="18"/>
        </w:rPr>
      </w:pPr>
    </w:p>
    <w:p w:rsidRPr="002A1F9A" w:rsidR="00263CDF" w:rsidP="00263CDF" w:rsidRDefault="00263CDF" w14:paraId="21B3F1AD" w14:textId="1C9A66A0">
      <w:pPr>
        <w:ind w:left="567" w:right="1212"/>
        <w:rPr>
          <w:rFonts w:ascii="Verdana" w:hAnsi="Verdana"/>
          <w:sz w:val="18"/>
          <w:szCs w:val="18"/>
        </w:rPr>
      </w:pPr>
      <w:r w:rsidRPr="002A1F9A">
        <w:rPr>
          <w:rFonts w:ascii="Verdana" w:hAnsi="Verdana"/>
          <w:sz w:val="18"/>
          <w:szCs w:val="18"/>
        </w:rPr>
        <w:t>Een leraar bij wie de aanvraag wordt afgewezen kan bezwaar aantekenen. Als het bezwaar wordt toegewezen volgt alsnog een toekenning. Dit gebeurt echter sporadisch.</w:t>
      </w:r>
    </w:p>
    <w:p w:rsidRPr="002A1F9A" w:rsidR="00263CDF" w:rsidP="00263CDF" w:rsidRDefault="00263CDF" w14:paraId="0F4B4E98" w14:textId="4C073DAD">
      <w:pPr>
        <w:ind w:left="567" w:right="1212"/>
        <w:rPr>
          <w:rFonts w:ascii="Verdana" w:hAnsi="Verdana"/>
          <w:sz w:val="18"/>
          <w:szCs w:val="18"/>
        </w:rPr>
      </w:pPr>
      <w:r w:rsidRPr="002A1F9A">
        <w:rPr>
          <w:rFonts w:ascii="Verdana" w:hAnsi="Verdana"/>
          <w:sz w:val="18"/>
          <w:szCs w:val="18"/>
        </w:rPr>
        <w:t>Afgewezen aanvragen kunnen liggen aan het feit dat een leraar niet aan de eisen voldeed van de lerarenbeurs, zoals het in bezit hebben van een bevoegdheid of al over het maximumaantal studiejaren zit of niet verbonden is aan een school. Buiten behandeling gestelde aanvragen zijn aanvragen die na bevraging niet de juiste of onvolledig ingevulde documenten hebben aangeleverd, zoals bijvoorbeeld een werkgeversverklaring. Leraren van wie de aanvraag buiten behandeling is gesteld, kunnen nog wel een nieuwe aanvraag doen, mits het binnen de aanvraagperiode valt (1 februari tot en met 15 maart).</w:t>
      </w:r>
      <w:r w:rsidRPr="002A1F9A" w:rsidR="00E63BD8">
        <w:rPr>
          <w:rFonts w:ascii="Verdana" w:hAnsi="Verdana"/>
          <w:sz w:val="18"/>
          <w:szCs w:val="18"/>
        </w:rPr>
        <w:t xml:space="preserve"> Er zijn geen aanvragen afgewezen vanwege overschrijding van het subsidieplafond.</w:t>
      </w:r>
    </w:p>
    <w:p w:rsidRPr="002A1F9A" w:rsidR="00263CDF" w:rsidP="00263CDF" w:rsidRDefault="00263CDF" w14:paraId="37C4AC3C" w14:textId="77777777">
      <w:pPr>
        <w:ind w:left="567"/>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A1F9A" w:rsidR="001256CA" w:rsidTr="00E7153D" w14:paraId="1A13FA43" w14:textId="77777777">
        <w:tc>
          <w:tcPr>
            <w:tcW w:w="567" w:type="dxa"/>
          </w:tcPr>
          <w:bookmarkEnd w:id="37"/>
          <w:p w:rsidRPr="002A1F9A" w:rsidR="001256CA" w:rsidRDefault="001856D0" w14:paraId="625FE680" w14:textId="77777777">
            <w:pPr>
              <w:rPr>
                <w:rFonts w:ascii="Verdana" w:hAnsi="Verdana"/>
                <w:sz w:val="18"/>
                <w:szCs w:val="18"/>
              </w:rPr>
            </w:pPr>
            <w:r w:rsidRPr="002A1F9A">
              <w:rPr>
                <w:rFonts w:ascii="Verdana" w:hAnsi="Verdana"/>
                <w:sz w:val="18"/>
                <w:szCs w:val="18"/>
              </w:rPr>
              <w:t>155</w:t>
            </w:r>
          </w:p>
        </w:tc>
        <w:tc>
          <w:tcPr>
            <w:tcW w:w="6521" w:type="dxa"/>
          </w:tcPr>
          <w:p w:rsidRPr="002A1F9A" w:rsidR="001256CA" w:rsidRDefault="001856D0" w14:paraId="60879335" w14:textId="77777777">
            <w:pPr>
              <w:rPr>
                <w:rFonts w:ascii="Verdana" w:hAnsi="Verdana"/>
                <w:sz w:val="18"/>
                <w:szCs w:val="18"/>
              </w:rPr>
            </w:pPr>
            <w:r w:rsidRPr="002A1F9A">
              <w:rPr>
                <w:rFonts w:ascii="Verdana" w:hAnsi="Verdana"/>
                <w:sz w:val="18"/>
                <w:szCs w:val="18"/>
              </w:rPr>
              <w:t>Hoeveel zou het kosten als alle zij-instromers vanaf dag één van hun opleiding betaald zouden krijgen?</w:t>
            </w:r>
          </w:p>
          <w:p w:rsidRPr="002A1F9A" w:rsidR="00307026" w:rsidRDefault="00307026" w14:paraId="17632CC3" w14:textId="77777777">
            <w:pPr>
              <w:rPr>
                <w:rFonts w:ascii="Verdana" w:hAnsi="Verdana"/>
                <w:sz w:val="18"/>
                <w:szCs w:val="18"/>
              </w:rPr>
            </w:pPr>
          </w:p>
          <w:p w:rsidRPr="002A1F9A" w:rsidR="00307026" w:rsidRDefault="00307026" w14:paraId="141AB9C8" w14:textId="1A34A878">
            <w:pPr>
              <w:rPr>
                <w:rFonts w:ascii="Verdana" w:hAnsi="Verdana"/>
                <w:sz w:val="18"/>
                <w:szCs w:val="18"/>
              </w:rPr>
            </w:pPr>
            <w:r w:rsidRPr="002A1F9A">
              <w:rPr>
                <w:rFonts w:ascii="Verdana" w:hAnsi="Verdana"/>
                <w:sz w:val="18"/>
                <w:szCs w:val="18"/>
              </w:rPr>
              <w:t xml:space="preserve">Zij-instromers in beroep krijgen vanaf de eerste dag van het scholingstraject betaald door het schoolbestuur waar ze in dienst zijn. Zij-instromers hebben een geschiktheidsverklaring, waarmee zij direct aangesteld kunnen worden als leraar. Het is niet bekend hoeveel zij-instromers precies betaald krijgen door schoolbesturen. Dit is afhankelijk van inschaling en baanomvang. Een benadering van de </w:t>
            </w:r>
            <w:r w:rsidRPr="002A1F9A" w:rsidR="008971BB">
              <w:rPr>
                <w:rFonts w:ascii="Verdana" w:hAnsi="Verdana"/>
                <w:sz w:val="18"/>
                <w:szCs w:val="18"/>
              </w:rPr>
              <w:t>huidige salariskosten</w:t>
            </w:r>
            <w:r w:rsidRPr="002A1F9A">
              <w:rPr>
                <w:rFonts w:ascii="Verdana" w:hAnsi="Verdana"/>
                <w:sz w:val="18"/>
                <w:szCs w:val="18"/>
              </w:rPr>
              <w:t xml:space="preserve"> voor deze zij-instromers is € 208 miljoen. </w:t>
            </w:r>
          </w:p>
        </w:tc>
        <w:tc>
          <w:tcPr>
            <w:tcW w:w="850" w:type="dxa"/>
          </w:tcPr>
          <w:p w:rsidRPr="002A1F9A" w:rsidR="001256CA" w:rsidRDefault="001856D0" w14:paraId="6055FC1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DB57877" w14:textId="77777777">
            <w:pPr>
              <w:jc w:val="right"/>
              <w:rPr>
                <w:rFonts w:ascii="Verdana" w:hAnsi="Verdana"/>
                <w:sz w:val="18"/>
                <w:szCs w:val="18"/>
              </w:rPr>
            </w:pPr>
            <w:r w:rsidRPr="002A1F9A">
              <w:rPr>
                <w:rFonts w:ascii="Verdana" w:hAnsi="Verdana"/>
                <w:sz w:val="18"/>
                <w:szCs w:val="18"/>
              </w:rPr>
              <w:t>89</w:t>
            </w:r>
          </w:p>
        </w:tc>
        <w:tc>
          <w:tcPr>
            <w:tcW w:w="567" w:type="dxa"/>
            <w:tcBorders>
              <w:left w:val="nil"/>
            </w:tcBorders>
          </w:tcPr>
          <w:p w:rsidRPr="002A1F9A" w:rsidR="001256CA" w:rsidRDefault="001856D0" w14:paraId="15DB533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3AC6FD6D" w14:textId="77777777">
        <w:tc>
          <w:tcPr>
            <w:tcW w:w="567" w:type="dxa"/>
          </w:tcPr>
          <w:p w:rsidRPr="002A1F9A" w:rsidR="001256CA" w:rsidRDefault="001856D0" w14:paraId="0B74A64C" w14:textId="77777777">
            <w:pPr>
              <w:rPr>
                <w:rFonts w:ascii="Verdana" w:hAnsi="Verdana"/>
                <w:sz w:val="18"/>
                <w:szCs w:val="18"/>
              </w:rPr>
            </w:pPr>
            <w:r w:rsidRPr="002A1F9A">
              <w:rPr>
                <w:rFonts w:ascii="Verdana" w:hAnsi="Verdana"/>
                <w:sz w:val="18"/>
                <w:szCs w:val="18"/>
              </w:rPr>
              <w:lastRenderedPageBreak/>
              <w:t>156</w:t>
            </w:r>
          </w:p>
        </w:tc>
        <w:tc>
          <w:tcPr>
            <w:tcW w:w="6521" w:type="dxa"/>
          </w:tcPr>
          <w:p w:rsidRPr="002A1F9A" w:rsidR="001256CA" w:rsidRDefault="001856D0" w14:paraId="35A5FAC3" w14:textId="77777777">
            <w:pPr>
              <w:rPr>
                <w:rFonts w:ascii="Verdana" w:hAnsi="Verdana"/>
                <w:sz w:val="18"/>
                <w:szCs w:val="18"/>
              </w:rPr>
            </w:pPr>
            <w:r w:rsidRPr="002A1F9A">
              <w:rPr>
                <w:rFonts w:ascii="Verdana" w:hAnsi="Verdana"/>
                <w:sz w:val="18"/>
                <w:szCs w:val="18"/>
              </w:rPr>
              <w:t xml:space="preserve">Hoeveel mensen maken nu gebruik van de regeling </w:t>
            </w:r>
            <w:proofErr w:type="spellStart"/>
            <w:r w:rsidRPr="002A1F9A">
              <w:rPr>
                <w:rFonts w:ascii="Verdana" w:hAnsi="Verdana"/>
                <w:sz w:val="18"/>
                <w:szCs w:val="18"/>
              </w:rPr>
              <w:t>zij-instroom</w:t>
            </w:r>
            <w:proofErr w:type="spellEnd"/>
            <w:r w:rsidRPr="002A1F9A">
              <w:rPr>
                <w:rFonts w:ascii="Verdana" w:hAnsi="Verdana"/>
                <w:sz w:val="18"/>
                <w:szCs w:val="18"/>
              </w:rPr>
              <w:t xml:space="preserve"> in beroep en de regeling onderwijspersoneel opleiding tot leraar?</w:t>
            </w:r>
          </w:p>
          <w:p w:rsidRPr="002A1F9A" w:rsidR="00307026" w:rsidRDefault="00307026" w14:paraId="62C309A3" w14:textId="77777777">
            <w:pPr>
              <w:rPr>
                <w:rFonts w:ascii="Verdana" w:hAnsi="Verdana"/>
                <w:sz w:val="18"/>
                <w:szCs w:val="18"/>
              </w:rPr>
            </w:pPr>
          </w:p>
          <w:p w:rsidRPr="002A1F9A" w:rsidR="00307026" w:rsidP="00307026" w:rsidRDefault="00307026" w14:paraId="6F559EB5" w14:textId="77777777">
            <w:pPr>
              <w:rPr>
                <w:rFonts w:ascii="Verdana" w:hAnsi="Verdana"/>
                <w:sz w:val="18"/>
                <w:szCs w:val="18"/>
              </w:rPr>
            </w:pPr>
            <w:r w:rsidRPr="002A1F9A">
              <w:rPr>
                <w:rFonts w:ascii="Verdana" w:hAnsi="Verdana"/>
                <w:sz w:val="18"/>
                <w:szCs w:val="18"/>
              </w:rPr>
              <w:t xml:space="preserve">Voor 2024 is er voor 2.245 zij-instromers in beroep in het po, vo en mbo subsidie toegekend. </w:t>
            </w:r>
          </w:p>
          <w:p w:rsidRPr="002A1F9A" w:rsidR="00307026" w:rsidP="00307026" w:rsidRDefault="00307026" w14:paraId="42B6868E" w14:textId="77777777">
            <w:pPr>
              <w:rPr>
                <w:rFonts w:ascii="Verdana" w:hAnsi="Verdana"/>
                <w:sz w:val="18"/>
                <w:szCs w:val="18"/>
              </w:rPr>
            </w:pPr>
            <w:r w:rsidRPr="002A1F9A">
              <w:rPr>
                <w:rFonts w:ascii="Verdana" w:hAnsi="Verdana"/>
                <w:sz w:val="18"/>
                <w:szCs w:val="18"/>
              </w:rPr>
              <w:t>Voor 2024 zijn er 908 aanvragen ingediend voor de Subsidie Onderwijspersoneel Opleiding tot Leraar (681 po en 227 vo).</w:t>
            </w:r>
          </w:p>
          <w:p w:rsidRPr="002A1F9A" w:rsidR="00307026" w:rsidP="00307026" w:rsidRDefault="00307026" w14:paraId="6F54D8B7" w14:textId="1C57922C">
            <w:pPr>
              <w:rPr>
                <w:rFonts w:ascii="Verdana" w:hAnsi="Verdana"/>
                <w:sz w:val="18"/>
                <w:szCs w:val="18"/>
              </w:rPr>
            </w:pPr>
            <w:r w:rsidRPr="002A1F9A">
              <w:rPr>
                <w:rFonts w:ascii="Verdana" w:hAnsi="Verdana"/>
                <w:sz w:val="18"/>
                <w:szCs w:val="18"/>
              </w:rPr>
              <w:t>Voor 2025 was het voor beide regelingen tot en met 15 oktober 2025 mogelijk om een subsidieaanvraag in te dienen. Op dit moment worden de aanvragen beoordeeld door DUO.</w:t>
            </w:r>
            <w:r w:rsidRPr="002A1F9A" w:rsidR="008971BB">
              <w:rPr>
                <w:rFonts w:ascii="Verdana" w:hAnsi="Verdana"/>
                <w:sz w:val="18"/>
                <w:szCs w:val="18"/>
              </w:rPr>
              <w:t xml:space="preserve"> Daarom is het aantal voor dit </w:t>
            </w:r>
            <w:r w:rsidRPr="002A1F9A">
              <w:rPr>
                <w:rFonts w:ascii="Verdana" w:hAnsi="Verdana"/>
                <w:sz w:val="18"/>
                <w:szCs w:val="18"/>
              </w:rPr>
              <w:t xml:space="preserve">jaar nog niet bekend. </w:t>
            </w:r>
          </w:p>
          <w:p w:rsidRPr="002A1F9A" w:rsidR="00307026" w:rsidP="00307026" w:rsidRDefault="00307026" w14:paraId="250ACA3C" w14:textId="77777777">
            <w:pPr>
              <w:rPr>
                <w:rFonts w:ascii="Verdana" w:hAnsi="Verdana"/>
                <w:sz w:val="18"/>
                <w:szCs w:val="18"/>
              </w:rPr>
            </w:pPr>
            <w:r w:rsidRPr="002A1F9A">
              <w:rPr>
                <w:rFonts w:ascii="Verdana" w:hAnsi="Verdana"/>
                <w:sz w:val="18"/>
                <w:szCs w:val="18"/>
              </w:rPr>
              <w:t>De Kamer wordt met de decemberbrief lerarenbeleid geïnformeerd over het aantal toegekende subsidieaanvragen voor beide regelingen.</w:t>
            </w:r>
          </w:p>
          <w:p w:rsidRPr="002A1F9A" w:rsidR="00307026" w:rsidRDefault="00307026" w14:paraId="151C6FCE" w14:textId="77777777">
            <w:pPr>
              <w:rPr>
                <w:rFonts w:ascii="Verdana" w:hAnsi="Verdana"/>
                <w:sz w:val="18"/>
                <w:szCs w:val="18"/>
              </w:rPr>
            </w:pPr>
          </w:p>
        </w:tc>
        <w:tc>
          <w:tcPr>
            <w:tcW w:w="850" w:type="dxa"/>
          </w:tcPr>
          <w:p w:rsidRPr="002A1F9A" w:rsidR="001256CA" w:rsidRDefault="001856D0" w14:paraId="7EF9DC2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52804F83" w14:textId="77777777">
            <w:pPr>
              <w:jc w:val="right"/>
              <w:rPr>
                <w:rFonts w:ascii="Verdana" w:hAnsi="Verdana"/>
                <w:sz w:val="18"/>
                <w:szCs w:val="18"/>
              </w:rPr>
            </w:pPr>
            <w:r w:rsidRPr="002A1F9A">
              <w:rPr>
                <w:rFonts w:ascii="Verdana" w:hAnsi="Verdana"/>
                <w:sz w:val="18"/>
                <w:szCs w:val="18"/>
              </w:rPr>
              <w:t>90</w:t>
            </w:r>
          </w:p>
        </w:tc>
        <w:tc>
          <w:tcPr>
            <w:tcW w:w="567" w:type="dxa"/>
            <w:tcBorders>
              <w:left w:val="nil"/>
            </w:tcBorders>
          </w:tcPr>
          <w:p w:rsidRPr="002A1F9A" w:rsidR="001256CA" w:rsidRDefault="001856D0" w14:paraId="1F773207"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1DFB5ABE" w14:textId="77777777">
        <w:tc>
          <w:tcPr>
            <w:tcW w:w="567" w:type="dxa"/>
          </w:tcPr>
          <w:p w:rsidRPr="002A1F9A" w:rsidR="001256CA" w:rsidRDefault="001856D0" w14:paraId="7EF511FD" w14:textId="77777777">
            <w:pPr>
              <w:rPr>
                <w:rFonts w:ascii="Verdana" w:hAnsi="Verdana"/>
                <w:sz w:val="18"/>
                <w:szCs w:val="18"/>
              </w:rPr>
            </w:pPr>
            <w:r w:rsidRPr="002A1F9A">
              <w:rPr>
                <w:rFonts w:ascii="Verdana" w:hAnsi="Verdana"/>
                <w:sz w:val="18"/>
                <w:szCs w:val="18"/>
              </w:rPr>
              <w:t>157</w:t>
            </w:r>
          </w:p>
        </w:tc>
        <w:tc>
          <w:tcPr>
            <w:tcW w:w="6521" w:type="dxa"/>
          </w:tcPr>
          <w:p w:rsidRPr="002A1F9A" w:rsidR="001256CA" w:rsidRDefault="001856D0" w14:paraId="69F04D1D" w14:textId="77777777">
            <w:pPr>
              <w:rPr>
                <w:rFonts w:ascii="Verdana" w:hAnsi="Verdana"/>
                <w:sz w:val="18"/>
                <w:szCs w:val="18"/>
              </w:rPr>
            </w:pPr>
            <w:r w:rsidRPr="002A1F9A">
              <w:rPr>
                <w:rFonts w:ascii="Verdana" w:hAnsi="Verdana"/>
                <w:sz w:val="18"/>
                <w:szCs w:val="18"/>
              </w:rPr>
              <w:t xml:space="preserve">Kunt u melden hoeveel mensen geïnformeerd hebben naar de regeling </w:t>
            </w:r>
            <w:proofErr w:type="spellStart"/>
            <w:r w:rsidRPr="002A1F9A">
              <w:rPr>
                <w:rFonts w:ascii="Verdana" w:hAnsi="Verdana"/>
                <w:sz w:val="18"/>
                <w:szCs w:val="18"/>
              </w:rPr>
              <w:t>zij-instroom</w:t>
            </w:r>
            <w:proofErr w:type="spellEnd"/>
            <w:r w:rsidRPr="002A1F9A">
              <w:rPr>
                <w:rFonts w:ascii="Verdana" w:hAnsi="Verdana"/>
                <w:sz w:val="18"/>
                <w:szCs w:val="18"/>
              </w:rPr>
              <w:t xml:space="preserve"> in beroep en vervolgens niet als zij-instromer zijn gestart?</w:t>
            </w:r>
          </w:p>
          <w:p w:rsidRPr="002A1F9A" w:rsidR="00AC209A" w:rsidRDefault="00AC209A" w14:paraId="08CD0239" w14:textId="77777777">
            <w:pPr>
              <w:rPr>
                <w:rFonts w:ascii="Verdana" w:hAnsi="Verdana"/>
                <w:sz w:val="18"/>
                <w:szCs w:val="18"/>
              </w:rPr>
            </w:pPr>
          </w:p>
          <w:p w:rsidRPr="002A1F9A" w:rsidR="00C8378F" w:rsidP="00C8378F" w:rsidRDefault="00C8378F" w14:paraId="4457A060" w14:textId="77777777">
            <w:pPr>
              <w:rPr>
                <w:rFonts w:ascii="Verdana" w:hAnsi="Verdana"/>
                <w:sz w:val="18"/>
                <w:szCs w:val="18"/>
              </w:rPr>
            </w:pPr>
            <w:r w:rsidRPr="002A1F9A">
              <w:rPr>
                <w:rFonts w:ascii="Verdana" w:hAnsi="Verdana"/>
                <w:sz w:val="18"/>
                <w:szCs w:val="18"/>
              </w:rPr>
              <w:t xml:space="preserve">Zij-instromers kunnen op verschillende plaatsen informatie inwinnen over </w:t>
            </w:r>
            <w:proofErr w:type="spellStart"/>
            <w:r w:rsidRPr="002A1F9A">
              <w:rPr>
                <w:rFonts w:ascii="Verdana" w:hAnsi="Verdana"/>
                <w:sz w:val="18"/>
                <w:szCs w:val="18"/>
              </w:rPr>
              <w:t>zij-instroom</w:t>
            </w:r>
            <w:proofErr w:type="spellEnd"/>
            <w:r w:rsidRPr="002A1F9A">
              <w:rPr>
                <w:rFonts w:ascii="Verdana" w:hAnsi="Verdana"/>
                <w:sz w:val="18"/>
                <w:szCs w:val="18"/>
              </w:rPr>
              <w:t xml:space="preserve"> in beroep. Dit kan bijvoorbeeld bij DUO, het Onderwijsloket, de lerarenopleidingen, de regionale loketten van de Onderwijsregio’s, maar ook bij wervingsactiviteiten vanuit bijvoorbeeld schoolbesturen en mbo-instellingen. Hier wordt geen centrale data over bijgehouden.</w:t>
            </w:r>
          </w:p>
          <w:p w:rsidRPr="002A1F9A" w:rsidR="00C8378F" w:rsidP="00C8378F" w:rsidRDefault="00C8378F" w14:paraId="70B0566B" w14:textId="3A13F2DA">
            <w:pPr>
              <w:rPr>
                <w:rFonts w:ascii="Verdana" w:hAnsi="Verdana"/>
                <w:sz w:val="18"/>
                <w:szCs w:val="18"/>
              </w:rPr>
            </w:pPr>
            <w:r w:rsidRPr="002A1F9A">
              <w:rPr>
                <w:rFonts w:ascii="Verdana" w:hAnsi="Verdana"/>
                <w:sz w:val="18"/>
                <w:szCs w:val="18"/>
              </w:rPr>
              <w:t xml:space="preserve">Wel weten we dat de campagne ‘Werken met de Toekomst’ die dit in januari 2025 is gestart, heeft geleid tot een stijging van &gt;50% adviesaanvragen bij het Onderwijsloket. De meerjarige campagne is gericht op het creëren van een positief en realistisch beeld van werken in het onderwijs, met nadruk op ontwikkelmogelijkheden, salaris en betekenisgeving. De campagne is te vinden op </w:t>
            </w:r>
            <w:hyperlink w:history="1" r:id="rId91">
              <w:r w:rsidRPr="002A1F9A">
                <w:rPr>
                  <w:rStyle w:val="Hyperlink"/>
                  <w:rFonts w:ascii="Verdana" w:hAnsi="Verdana"/>
                  <w:sz w:val="18"/>
                  <w:szCs w:val="18"/>
                </w:rPr>
                <w:t>www.werkeninhetonderwijs.nl</w:t>
              </w:r>
            </w:hyperlink>
            <w:r w:rsidRPr="002A1F9A">
              <w:rPr>
                <w:rFonts w:ascii="Verdana" w:hAnsi="Verdana"/>
                <w:sz w:val="18"/>
                <w:szCs w:val="18"/>
              </w:rPr>
              <w:t xml:space="preserve">. In de eerste campagneperiode lag de focus op potentiële zij-instromers. In september is er een tweede periode gestart, waarbij de focus op studiekiezers lag. </w:t>
            </w:r>
          </w:p>
          <w:p w:rsidRPr="002A1F9A" w:rsidR="00AC209A" w:rsidRDefault="00AC209A" w14:paraId="1AC01D7C" w14:textId="3BDAE899">
            <w:pPr>
              <w:rPr>
                <w:rFonts w:ascii="Verdana" w:hAnsi="Verdana"/>
                <w:sz w:val="18"/>
                <w:szCs w:val="18"/>
              </w:rPr>
            </w:pPr>
          </w:p>
        </w:tc>
        <w:tc>
          <w:tcPr>
            <w:tcW w:w="850" w:type="dxa"/>
          </w:tcPr>
          <w:p w:rsidRPr="002A1F9A" w:rsidR="001256CA" w:rsidRDefault="001856D0" w14:paraId="5737DA37"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14BB445A" w14:textId="77777777">
            <w:pPr>
              <w:jc w:val="right"/>
              <w:rPr>
                <w:rFonts w:ascii="Verdana" w:hAnsi="Verdana"/>
                <w:sz w:val="18"/>
                <w:szCs w:val="18"/>
              </w:rPr>
            </w:pPr>
            <w:r w:rsidRPr="002A1F9A">
              <w:rPr>
                <w:rFonts w:ascii="Verdana" w:hAnsi="Verdana"/>
                <w:sz w:val="18"/>
                <w:szCs w:val="18"/>
              </w:rPr>
              <w:t>90</w:t>
            </w:r>
          </w:p>
        </w:tc>
        <w:tc>
          <w:tcPr>
            <w:tcW w:w="567" w:type="dxa"/>
            <w:tcBorders>
              <w:left w:val="nil"/>
            </w:tcBorders>
          </w:tcPr>
          <w:p w:rsidRPr="002A1F9A" w:rsidR="001256CA" w:rsidRDefault="001856D0" w14:paraId="6F39F866"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23A1DA55" w14:textId="77777777">
        <w:tc>
          <w:tcPr>
            <w:tcW w:w="567" w:type="dxa"/>
          </w:tcPr>
          <w:p w:rsidRPr="002A1F9A" w:rsidR="001256CA" w:rsidRDefault="001856D0" w14:paraId="4ED4DDE6" w14:textId="77777777">
            <w:pPr>
              <w:rPr>
                <w:rFonts w:ascii="Verdana" w:hAnsi="Verdana"/>
                <w:sz w:val="18"/>
                <w:szCs w:val="18"/>
              </w:rPr>
            </w:pPr>
            <w:r w:rsidRPr="002A1F9A">
              <w:rPr>
                <w:rFonts w:ascii="Verdana" w:hAnsi="Verdana"/>
                <w:sz w:val="18"/>
                <w:szCs w:val="18"/>
              </w:rPr>
              <w:t>158</w:t>
            </w:r>
          </w:p>
        </w:tc>
        <w:tc>
          <w:tcPr>
            <w:tcW w:w="6521" w:type="dxa"/>
          </w:tcPr>
          <w:p w:rsidRPr="002A1F9A" w:rsidR="001256CA" w:rsidRDefault="001856D0" w14:paraId="2605CBEE" w14:textId="77777777">
            <w:pPr>
              <w:rPr>
                <w:rFonts w:ascii="Verdana" w:hAnsi="Verdana"/>
                <w:sz w:val="18"/>
                <w:szCs w:val="18"/>
              </w:rPr>
            </w:pPr>
            <w:r w:rsidRPr="002A1F9A">
              <w:rPr>
                <w:rFonts w:ascii="Verdana" w:hAnsi="Verdana"/>
                <w:sz w:val="18"/>
                <w:szCs w:val="18"/>
              </w:rPr>
              <w:t>Hoe hoog is de uitval van het aantal zij-instromers tijdens de opleiding, alsook nadat zij in hun eerste jaren zijn gestart?</w:t>
            </w:r>
          </w:p>
          <w:p w:rsidRPr="002A1F9A" w:rsidR="00AC209A" w:rsidRDefault="00AC209A" w14:paraId="45C45242" w14:textId="77777777">
            <w:pPr>
              <w:rPr>
                <w:rFonts w:ascii="Verdana" w:hAnsi="Verdana"/>
                <w:sz w:val="18"/>
                <w:szCs w:val="18"/>
              </w:rPr>
            </w:pPr>
          </w:p>
          <w:p w:rsidRPr="002A1F9A" w:rsidR="00AC209A" w:rsidP="00AC209A" w:rsidRDefault="00AC209A" w14:paraId="17947B01" w14:textId="77777777">
            <w:pPr>
              <w:rPr>
                <w:rFonts w:ascii="Verdana" w:hAnsi="Verdana"/>
                <w:sz w:val="18"/>
                <w:szCs w:val="18"/>
              </w:rPr>
            </w:pPr>
            <w:r w:rsidRPr="002A1F9A">
              <w:rPr>
                <w:rFonts w:ascii="Verdana" w:hAnsi="Verdana"/>
                <w:sz w:val="18"/>
                <w:szCs w:val="18"/>
              </w:rPr>
              <w:t xml:space="preserve">Zij-instromers in beroep en de </w:t>
            </w:r>
            <w:proofErr w:type="spellStart"/>
            <w:r w:rsidRPr="002A1F9A">
              <w:rPr>
                <w:rFonts w:ascii="Verdana" w:hAnsi="Verdana"/>
                <w:sz w:val="18"/>
                <w:szCs w:val="18"/>
              </w:rPr>
              <w:t>zij-instroom</w:t>
            </w:r>
            <w:proofErr w:type="spellEnd"/>
            <w:r w:rsidRPr="002A1F9A">
              <w:rPr>
                <w:rFonts w:ascii="Verdana" w:hAnsi="Verdana"/>
                <w:sz w:val="18"/>
                <w:szCs w:val="18"/>
              </w:rPr>
              <w:t xml:space="preserve"> getuigschriften worden niet geregistreerd bij DUO, zoals studenten van reguliere lerarenopleidingen. De gegevens over uitval en uitstroom zijn daarom gebaseerd op de subsidiegegevens voor de Regeling subsidie </w:t>
            </w:r>
            <w:proofErr w:type="spellStart"/>
            <w:r w:rsidRPr="002A1F9A">
              <w:rPr>
                <w:rFonts w:ascii="Verdana" w:hAnsi="Verdana"/>
                <w:sz w:val="18"/>
                <w:szCs w:val="18"/>
              </w:rPr>
              <w:t>zij-instroom</w:t>
            </w:r>
            <w:proofErr w:type="spellEnd"/>
            <w:r w:rsidRPr="002A1F9A">
              <w:rPr>
                <w:rFonts w:ascii="Verdana" w:hAnsi="Verdana"/>
                <w:sz w:val="18"/>
                <w:szCs w:val="18"/>
              </w:rPr>
              <w:t xml:space="preserve"> en de DUO-gegevens over onderwijspersoneel, de Loopbaanmonitor en onderzoek door de Inspectie van het Onderwijs. Uit de Loopbaanmonitor blijkt dat in de periode 2020 t/m 2024 gemiddeld 5% van de zij-instromers in beroep in het po is gestopt tijdens het zij-instroomtraject. Voor het vo is dit gemiddeld 4% en voor het mbo is dit gemiddeld 3%. Uit het onderzoeksrapport van de Inspectie van het Onderwijs naar </w:t>
            </w:r>
            <w:proofErr w:type="spellStart"/>
            <w:r w:rsidRPr="002A1F9A">
              <w:rPr>
                <w:rFonts w:ascii="Verdana" w:hAnsi="Verdana"/>
                <w:sz w:val="18"/>
                <w:szCs w:val="18"/>
              </w:rPr>
              <w:t>zij</w:t>
            </w:r>
            <w:r w:rsidRPr="002A1F9A">
              <w:rPr>
                <w:rFonts w:ascii="Verdana" w:hAnsi="Verdana"/>
                <w:sz w:val="18"/>
                <w:szCs w:val="18"/>
              </w:rPr>
              <w:noBreakHyphen/>
              <w:t>instroom</w:t>
            </w:r>
            <w:proofErr w:type="spellEnd"/>
            <w:r w:rsidRPr="002A1F9A">
              <w:rPr>
                <w:rFonts w:ascii="Verdana" w:hAnsi="Verdana"/>
                <w:sz w:val="18"/>
                <w:szCs w:val="18"/>
              </w:rPr>
              <w:t xml:space="preserve"> in het beroep mbo blijkt dat in de periode 2021 t/m 2023 gemiddeld 7% van de zij-instromers in het mbo is gestopt tijdens het zij-instroomtraject. </w:t>
            </w:r>
          </w:p>
          <w:p w:rsidRPr="002A1F9A" w:rsidR="00AC209A" w:rsidP="00AC209A" w:rsidRDefault="00AC209A" w14:paraId="363FA4B7" w14:textId="77777777">
            <w:pPr>
              <w:rPr>
                <w:rFonts w:ascii="Verdana" w:hAnsi="Verdana"/>
                <w:sz w:val="18"/>
                <w:szCs w:val="18"/>
              </w:rPr>
            </w:pPr>
            <w:r w:rsidRPr="002A1F9A">
              <w:rPr>
                <w:rFonts w:ascii="Verdana" w:hAnsi="Verdana"/>
                <w:sz w:val="18"/>
                <w:szCs w:val="18"/>
              </w:rPr>
              <w:t>Bij DUO is in 2024 voor 5% van de zij-instromers een melding van stopzetting geregistreerd. Voor 2023 is dit voor 7% van de zij-instromers het geval.</w:t>
            </w:r>
          </w:p>
          <w:p w:rsidRPr="002A1F9A" w:rsidR="00AC209A" w:rsidP="00AC209A" w:rsidRDefault="00AC209A" w14:paraId="429EC1AB" w14:textId="77777777">
            <w:pPr>
              <w:rPr>
                <w:rFonts w:ascii="Verdana" w:hAnsi="Verdana"/>
                <w:sz w:val="18"/>
                <w:szCs w:val="18"/>
              </w:rPr>
            </w:pPr>
            <w:r w:rsidRPr="002A1F9A">
              <w:rPr>
                <w:rFonts w:ascii="Verdana" w:hAnsi="Verdana"/>
                <w:sz w:val="18"/>
                <w:szCs w:val="18"/>
              </w:rPr>
              <w:t xml:space="preserve">Van de zij-instromers in beroep in het po, die in 2021 zijn gestart met het </w:t>
            </w:r>
            <w:proofErr w:type="spellStart"/>
            <w:r w:rsidRPr="002A1F9A">
              <w:rPr>
                <w:rFonts w:ascii="Verdana" w:hAnsi="Verdana"/>
                <w:sz w:val="18"/>
                <w:szCs w:val="18"/>
              </w:rPr>
              <w:t>zij-instroom</w:t>
            </w:r>
            <w:proofErr w:type="spellEnd"/>
            <w:r w:rsidRPr="002A1F9A">
              <w:rPr>
                <w:rFonts w:ascii="Verdana" w:hAnsi="Verdana"/>
                <w:sz w:val="18"/>
                <w:szCs w:val="18"/>
              </w:rPr>
              <w:t xml:space="preserve"> in beroep traject, werkt na 1 jaar nog 94% in het onderwijs en na 3 jaar is dit nog 83%. Voor zij-instromers in beroep in het vo werkt na 1 jaar nog 88% in het onderwijs na 3 jaar is dit 71%. Voor het mbo is na 1 jaar nog 94% werkzaam in het onderwijs en na 3 jaar is dit 79%.</w:t>
            </w:r>
          </w:p>
          <w:p w:rsidRPr="002A1F9A" w:rsidR="00AC209A" w:rsidRDefault="00AC209A" w14:paraId="5751A735" w14:textId="77777777">
            <w:pPr>
              <w:rPr>
                <w:rFonts w:ascii="Verdana" w:hAnsi="Verdana"/>
                <w:sz w:val="18"/>
                <w:szCs w:val="18"/>
              </w:rPr>
            </w:pPr>
          </w:p>
        </w:tc>
        <w:tc>
          <w:tcPr>
            <w:tcW w:w="850" w:type="dxa"/>
          </w:tcPr>
          <w:p w:rsidRPr="002A1F9A" w:rsidR="001256CA" w:rsidRDefault="001856D0" w14:paraId="7288703F"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1256CA" w:rsidRDefault="001856D0" w14:paraId="7747127A" w14:textId="77777777">
            <w:pPr>
              <w:jc w:val="right"/>
              <w:rPr>
                <w:rFonts w:ascii="Verdana" w:hAnsi="Verdana"/>
                <w:sz w:val="18"/>
                <w:szCs w:val="18"/>
              </w:rPr>
            </w:pPr>
            <w:r w:rsidRPr="002A1F9A">
              <w:rPr>
                <w:rFonts w:ascii="Verdana" w:hAnsi="Verdana"/>
                <w:sz w:val="18"/>
                <w:szCs w:val="18"/>
              </w:rPr>
              <w:t>90</w:t>
            </w:r>
          </w:p>
        </w:tc>
        <w:tc>
          <w:tcPr>
            <w:tcW w:w="567" w:type="dxa"/>
            <w:tcBorders>
              <w:left w:val="nil"/>
            </w:tcBorders>
          </w:tcPr>
          <w:p w:rsidRPr="002A1F9A" w:rsidR="001256CA" w:rsidRDefault="001856D0" w14:paraId="7C9CBA3E" w14:textId="77777777">
            <w:pPr>
              <w:jc w:val="right"/>
              <w:rPr>
                <w:rFonts w:ascii="Verdana" w:hAnsi="Verdana"/>
                <w:sz w:val="18"/>
                <w:szCs w:val="18"/>
              </w:rPr>
            </w:pPr>
            <w:r w:rsidRPr="002A1F9A">
              <w:rPr>
                <w:rFonts w:ascii="Verdana" w:hAnsi="Verdana"/>
                <w:sz w:val="18"/>
                <w:szCs w:val="18"/>
              </w:rPr>
              <w:t xml:space="preserve"> </w:t>
            </w:r>
          </w:p>
        </w:tc>
      </w:tr>
      <w:tr w:rsidRPr="002A1F9A" w:rsidR="001256CA" w:rsidTr="00E7153D" w14:paraId="7468F45F" w14:textId="77777777">
        <w:tc>
          <w:tcPr>
            <w:tcW w:w="567" w:type="dxa"/>
          </w:tcPr>
          <w:p w:rsidRPr="002A1F9A" w:rsidR="001256CA" w:rsidRDefault="001856D0" w14:paraId="1341A175" w14:textId="77777777">
            <w:pPr>
              <w:rPr>
                <w:rFonts w:ascii="Verdana" w:hAnsi="Verdana"/>
                <w:sz w:val="18"/>
                <w:szCs w:val="18"/>
              </w:rPr>
            </w:pPr>
            <w:r w:rsidRPr="002A1F9A">
              <w:rPr>
                <w:rFonts w:ascii="Verdana" w:hAnsi="Verdana"/>
                <w:sz w:val="18"/>
                <w:szCs w:val="18"/>
              </w:rPr>
              <w:t>159</w:t>
            </w:r>
          </w:p>
        </w:tc>
        <w:tc>
          <w:tcPr>
            <w:tcW w:w="6521" w:type="dxa"/>
          </w:tcPr>
          <w:p w:rsidRPr="002A1F9A" w:rsidR="001256CA" w:rsidRDefault="001856D0" w14:paraId="3586C593" w14:textId="77777777">
            <w:pPr>
              <w:rPr>
                <w:rFonts w:ascii="Verdana" w:hAnsi="Verdana"/>
                <w:sz w:val="18"/>
                <w:szCs w:val="18"/>
              </w:rPr>
            </w:pPr>
            <w:r w:rsidRPr="002A1F9A">
              <w:rPr>
                <w:rFonts w:ascii="Verdana" w:hAnsi="Verdana"/>
                <w:sz w:val="18"/>
                <w:szCs w:val="18"/>
              </w:rPr>
              <w:t xml:space="preserve">Hoeveel middelen zijn in 2026 beschikbaar voor de verhoging van de </w:t>
            </w:r>
            <w:proofErr w:type="spellStart"/>
            <w:r w:rsidRPr="002A1F9A">
              <w:rPr>
                <w:rFonts w:ascii="Verdana" w:hAnsi="Verdana"/>
                <w:sz w:val="18"/>
                <w:szCs w:val="18"/>
              </w:rPr>
              <w:t>zij-instroom</w:t>
            </w:r>
            <w:proofErr w:type="spellEnd"/>
            <w:r w:rsidRPr="002A1F9A">
              <w:rPr>
                <w:rFonts w:ascii="Verdana" w:hAnsi="Verdana"/>
                <w:sz w:val="18"/>
                <w:szCs w:val="18"/>
              </w:rPr>
              <w:t xml:space="preserve"> in po, vo en mbo en hoeveel nieuwe leraren levert dit naar verwachting op?</w:t>
            </w:r>
          </w:p>
          <w:p w:rsidRPr="002A1F9A" w:rsidR="0011001F" w:rsidRDefault="0011001F" w14:paraId="24DF8C68" w14:textId="77777777">
            <w:pPr>
              <w:rPr>
                <w:rFonts w:ascii="Verdana" w:hAnsi="Verdana"/>
                <w:sz w:val="18"/>
                <w:szCs w:val="18"/>
              </w:rPr>
            </w:pPr>
          </w:p>
          <w:p w:rsidRPr="002A1F9A" w:rsidR="0011001F" w:rsidRDefault="0011001F" w14:paraId="2FA64A1D" w14:textId="58E7C36B">
            <w:pPr>
              <w:rPr>
                <w:rFonts w:ascii="Verdana" w:hAnsi="Verdana"/>
                <w:sz w:val="18"/>
                <w:szCs w:val="18"/>
              </w:rPr>
            </w:pPr>
            <w:r w:rsidRPr="002A1F9A">
              <w:rPr>
                <w:rFonts w:ascii="Verdana" w:hAnsi="Verdana"/>
                <w:sz w:val="18"/>
                <w:szCs w:val="18"/>
              </w:rPr>
              <w:t xml:space="preserve">Voor 2026 is in de Regeling subsidie </w:t>
            </w:r>
            <w:proofErr w:type="spellStart"/>
            <w:r w:rsidRPr="002A1F9A">
              <w:rPr>
                <w:rFonts w:ascii="Verdana" w:hAnsi="Verdana"/>
                <w:sz w:val="18"/>
                <w:szCs w:val="18"/>
              </w:rPr>
              <w:t>zij-instroom</w:t>
            </w:r>
            <w:proofErr w:type="spellEnd"/>
            <w:r w:rsidRPr="002A1F9A">
              <w:rPr>
                <w:rFonts w:ascii="Verdana" w:hAnsi="Verdana"/>
                <w:sz w:val="18"/>
                <w:szCs w:val="18"/>
              </w:rPr>
              <w:t xml:space="preserve"> € 5</w:t>
            </w:r>
            <w:r w:rsidRPr="002A1F9A" w:rsidR="0005314A">
              <w:rPr>
                <w:rFonts w:ascii="Verdana" w:hAnsi="Verdana"/>
                <w:sz w:val="18"/>
                <w:szCs w:val="18"/>
              </w:rPr>
              <w:t>7</w:t>
            </w:r>
            <w:r w:rsidRPr="002A1F9A">
              <w:rPr>
                <w:rFonts w:ascii="Verdana" w:hAnsi="Verdana"/>
                <w:sz w:val="18"/>
                <w:szCs w:val="18"/>
              </w:rPr>
              <w:t>,</w:t>
            </w:r>
            <w:r w:rsidRPr="002A1F9A" w:rsidR="0005314A">
              <w:rPr>
                <w:rFonts w:ascii="Verdana" w:hAnsi="Verdana"/>
                <w:sz w:val="18"/>
                <w:szCs w:val="18"/>
              </w:rPr>
              <w:t>5</w:t>
            </w:r>
            <w:r w:rsidRPr="002A1F9A">
              <w:rPr>
                <w:rFonts w:ascii="Verdana" w:hAnsi="Verdana"/>
                <w:sz w:val="18"/>
                <w:szCs w:val="18"/>
              </w:rPr>
              <w:t xml:space="preserve"> miljoen beschikbaar. In totaal kunnen hiermee in 2026 2.</w:t>
            </w:r>
            <w:r w:rsidRPr="002A1F9A" w:rsidR="0005314A">
              <w:rPr>
                <w:rFonts w:ascii="Verdana" w:hAnsi="Verdana"/>
                <w:sz w:val="18"/>
                <w:szCs w:val="18"/>
              </w:rPr>
              <w:t>300</w:t>
            </w:r>
            <w:r w:rsidRPr="002A1F9A">
              <w:rPr>
                <w:rFonts w:ascii="Verdana" w:hAnsi="Verdana"/>
                <w:sz w:val="18"/>
                <w:szCs w:val="18"/>
              </w:rPr>
              <w:t xml:space="preserve"> zij-instromers starten in het po, vo en mbo.</w:t>
            </w:r>
          </w:p>
          <w:p w:rsidRPr="002A1F9A" w:rsidR="0011001F" w:rsidRDefault="0011001F" w14:paraId="57DBD048" w14:textId="2F1A2ACE">
            <w:pPr>
              <w:rPr>
                <w:rFonts w:ascii="Verdana" w:hAnsi="Verdana"/>
                <w:sz w:val="18"/>
                <w:szCs w:val="18"/>
              </w:rPr>
            </w:pPr>
          </w:p>
        </w:tc>
        <w:tc>
          <w:tcPr>
            <w:tcW w:w="850" w:type="dxa"/>
          </w:tcPr>
          <w:p w:rsidRPr="002A1F9A" w:rsidR="001256CA" w:rsidRDefault="001856D0" w14:paraId="26D23EA3"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1256CA" w:rsidRDefault="001856D0" w14:paraId="6AB9BCF1" w14:textId="77777777">
            <w:pPr>
              <w:jc w:val="right"/>
              <w:rPr>
                <w:rFonts w:ascii="Verdana" w:hAnsi="Verdana"/>
                <w:sz w:val="18"/>
                <w:szCs w:val="18"/>
              </w:rPr>
            </w:pPr>
            <w:r w:rsidRPr="002A1F9A">
              <w:rPr>
                <w:rFonts w:ascii="Verdana" w:hAnsi="Verdana"/>
                <w:sz w:val="18"/>
                <w:szCs w:val="18"/>
              </w:rPr>
              <w:t>90</w:t>
            </w:r>
          </w:p>
        </w:tc>
        <w:tc>
          <w:tcPr>
            <w:tcW w:w="567" w:type="dxa"/>
            <w:tcBorders>
              <w:left w:val="nil"/>
            </w:tcBorders>
          </w:tcPr>
          <w:p w:rsidRPr="002A1F9A" w:rsidR="001256CA" w:rsidRDefault="001856D0" w14:paraId="72925F8F"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60C1A2F8" w14:textId="77777777">
        <w:tc>
          <w:tcPr>
            <w:tcW w:w="567" w:type="dxa"/>
          </w:tcPr>
          <w:p w:rsidRPr="002A1F9A" w:rsidR="00FD60F1" w:rsidP="00FD60F1" w:rsidRDefault="00FD60F1" w14:paraId="7973D16D" w14:textId="77777777">
            <w:pPr>
              <w:rPr>
                <w:rFonts w:ascii="Verdana" w:hAnsi="Verdana"/>
                <w:sz w:val="18"/>
                <w:szCs w:val="18"/>
              </w:rPr>
            </w:pPr>
            <w:r w:rsidRPr="002A1F9A">
              <w:rPr>
                <w:rFonts w:ascii="Verdana" w:hAnsi="Verdana"/>
                <w:sz w:val="18"/>
                <w:szCs w:val="18"/>
              </w:rPr>
              <w:t>160</w:t>
            </w:r>
          </w:p>
        </w:tc>
        <w:tc>
          <w:tcPr>
            <w:tcW w:w="6521" w:type="dxa"/>
          </w:tcPr>
          <w:p w:rsidRPr="002A1F9A" w:rsidR="00FD60F1" w:rsidP="00FD60F1" w:rsidRDefault="00FD60F1" w14:paraId="15E2E007" w14:textId="77777777">
            <w:pPr>
              <w:rPr>
                <w:rFonts w:ascii="Verdana" w:hAnsi="Verdana"/>
                <w:sz w:val="18"/>
                <w:szCs w:val="18"/>
              </w:rPr>
            </w:pPr>
            <w:r w:rsidRPr="002A1F9A">
              <w:rPr>
                <w:rFonts w:ascii="Verdana" w:hAnsi="Verdana"/>
                <w:sz w:val="18"/>
                <w:szCs w:val="18"/>
              </w:rPr>
              <w:t>Kunt u een overzicht geven van de ontwikkeling van het aantal studenten met een aanvullende beurs de afgelopen tien jaar?</w:t>
            </w:r>
          </w:p>
          <w:p w:rsidRPr="002A1F9A" w:rsidR="00FD60F1" w:rsidP="00FD60F1" w:rsidRDefault="00FD60F1" w14:paraId="3BB930CE" w14:textId="77777777">
            <w:pPr>
              <w:rPr>
                <w:rFonts w:ascii="Verdana" w:hAnsi="Verdana"/>
                <w:sz w:val="18"/>
                <w:szCs w:val="18"/>
              </w:rPr>
            </w:pPr>
          </w:p>
          <w:p w:rsidRPr="002A1F9A" w:rsidR="00FD60F1" w:rsidP="00FD60F1" w:rsidRDefault="00FD60F1" w14:paraId="4A921485" w14:textId="77777777">
            <w:pPr>
              <w:rPr>
                <w:rFonts w:ascii="Verdana" w:hAnsi="Verdana"/>
                <w:sz w:val="18"/>
                <w:szCs w:val="18"/>
              </w:rPr>
            </w:pPr>
            <w:r w:rsidRPr="002A1F9A">
              <w:rPr>
                <w:rFonts w:ascii="Verdana" w:hAnsi="Verdana"/>
                <w:sz w:val="18"/>
                <w:szCs w:val="18"/>
              </w:rPr>
              <w:t>In de onderstaande tabel is het aantal studenten weergegeven dat tussen 2015 en 2024 een aanvullende beurs heeft ontvangen. De sterke stijging onder hbo- en wo-studenten in 2024 komt doordat vanaf dat jaar de inkomensgrenzen voor de aanvullende beurs voor deze groep zijn verruimd.</w:t>
            </w:r>
          </w:p>
          <w:p w:rsidRPr="002A1F9A" w:rsidR="003B095E" w:rsidP="00FD60F1" w:rsidRDefault="003B095E" w14:paraId="24BED01B" w14:textId="77777777">
            <w:pPr>
              <w:rPr>
                <w:rFonts w:ascii="Verdana" w:hAnsi="Verdana"/>
                <w:sz w:val="18"/>
                <w:szCs w:val="18"/>
              </w:rPr>
            </w:pPr>
          </w:p>
          <w:tbl>
            <w:tblPr>
              <w:tblStyle w:val="Tabelraster"/>
              <w:tblW w:w="0" w:type="auto"/>
              <w:tblLook w:val="04A0" w:firstRow="1" w:lastRow="0" w:firstColumn="1" w:lastColumn="0" w:noHBand="0" w:noVBand="1"/>
            </w:tblPr>
            <w:tblGrid>
              <w:gridCol w:w="1302"/>
              <w:gridCol w:w="1302"/>
              <w:gridCol w:w="1302"/>
              <w:gridCol w:w="1302"/>
              <w:gridCol w:w="1303"/>
            </w:tblGrid>
            <w:tr w:rsidRPr="002A1F9A" w:rsidR="003B095E" w:rsidTr="00215751" w14:paraId="14D07DBC" w14:textId="77777777">
              <w:tc>
                <w:tcPr>
                  <w:tcW w:w="6511" w:type="dxa"/>
                  <w:gridSpan w:val="5"/>
                </w:tcPr>
                <w:p w:rsidRPr="002A1F9A" w:rsidR="003B095E" w:rsidP="002F6253" w:rsidRDefault="003B095E" w14:paraId="3F50AB82" w14:textId="12F2DB25">
                  <w:pPr>
                    <w:jc w:val="center"/>
                    <w:rPr>
                      <w:rFonts w:ascii="Verdana" w:hAnsi="Verdana"/>
                      <w:b/>
                      <w:bCs/>
                      <w:sz w:val="16"/>
                      <w:szCs w:val="16"/>
                    </w:rPr>
                  </w:pPr>
                  <w:r w:rsidRPr="002A1F9A">
                    <w:rPr>
                      <w:rFonts w:ascii="Verdana" w:hAnsi="Verdana"/>
                      <w:b/>
                      <w:bCs/>
                      <w:sz w:val="16"/>
                      <w:szCs w:val="16"/>
                    </w:rPr>
                    <w:t>Tabel Totaal aantal studerenden met een aanvullende beurs</w:t>
                  </w:r>
                  <w:r w:rsidRPr="002A1F9A" w:rsidR="00D966C0">
                    <w:rPr>
                      <w:rFonts w:ascii="Verdana" w:hAnsi="Verdana"/>
                      <w:b/>
                      <w:bCs/>
                      <w:sz w:val="16"/>
                      <w:szCs w:val="16"/>
                    </w:rPr>
                    <w:t>*</w:t>
                  </w:r>
                </w:p>
              </w:tc>
            </w:tr>
            <w:tr w:rsidRPr="002A1F9A" w:rsidR="003B095E" w14:paraId="70C601E7" w14:textId="77777777">
              <w:tc>
                <w:tcPr>
                  <w:tcW w:w="1302" w:type="dxa"/>
                </w:tcPr>
                <w:p w:rsidRPr="002A1F9A" w:rsidR="003B095E" w:rsidP="00FD60F1" w:rsidRDefault="003B095E" w14:paraId="1D74512B" w14:textId="77777777">
                  <w:pPr>
                    <w:rPr>
                      <w:rFonts w:ascii="Verdana" w:hAnsi="Verdana"/>
                      <w:sz w:val="16"/>
                      <w:szCs w:val="16"/>
                    </w:rPr>
                  </w:pPr>
                </w:p>
              </w:tc>
              <w:tc>
                <w:tcPr>
                  <w:tcW w:w="1302" w:type="dxa"/>
                </w:tcPr>
                <w:p w:rsidRPr="002A1F9A" w:rsidR="003B095E" w:rsidP="00FD60F1" w:rsidRDefault="003B095E" w14:paraId="125A971F" w14:textId="2F32B9C2">
                  <w:pPr>
                    <w:rPr>
                      <w:rFonts w:ascii="Verdana" w:hAnsi="Verdana"/>
                      <w:b/>
                      <w:bCs/>
                      <w:sz w:val="16"/>
                      <w:szCs w:val="16"/>
                    </w:rPr>
                  </w:pPr>
                  <w:r w:rsidRPr="002A1F9A">
                    <w:rPr>
                      <w:rFonts w:ascii="Verdana" w:hAnsi="Verdana"/>
                      <w:b/>
                      <w:bCs/>
                      <w:sz w:val="16"/>
                      <w:szCs w:val="16"/>
                    </w:rPr>
                    <w:t>bol</w:t>
                  </w:r>
                </w:p>
              </w:tc>
              <w:tc>
                <w:tcPr>
                  <w:tcW w:w="1302" w:type="dxa"/>
                </w:tcPr>
                <w:p w:rsidRPr="002A1F9A" w:rsidR="003B095E" w:rsidP="00FD60F1" w:rsidRDefault="003B095E" w14:paraId="38643217" w14:textId="5B10C3A8">
                  <w:pPr>
                    <w:rPr>
                      <w:rFonts w:ascii="Verdana" w:hAnsi="Verdana"/>
                      <w:b/>
                      <w:bCs/>
                      <w:sz w:val="16"/>
                      <w:szCs w:val="16"/>
                    </w:rPr>
                  </w:pPr>
                  <w:r w:rsidRPr="002A1F9A">
                    <w:rPr>
                      <w:rFonts w:ascii="Verdana" w:hAnsi="Verdana"/>
                      <w:b/>
                      <w:bCs/>
                      <w:sz w:val="16"/>
                      <w:szCs w:val="16"/>
                    </w:rPr>
                    <w:t>hbo</w:t>
                  </w:r>
                </w:p>
              </w:tc>
              <w:tc>
                <w:tcPr>
                  <w:tcW w:w="1302" w:type="dxa"/>
                </w:tcPr>
                <w:p w:rsidRPr="002A1F9A" w:rsidR="003B095E" w:rsidP="00FD60F1" w:rsidRDefault="003B095E" w14:paraId="76E26E2D" w14:textId="794D6DD4">
                  <w:pPr>
                    <w:rPr>
                      <w:rFonts w:ascii="Verdana" w:hAnsi="Verdana"/>
                      <w:b/>
                      <w:bCs/>
                      <w:sz w:val="16"/>
                      <w:szCs w:val="16"/>
                    </w:rPr>
                  </w:pPr>
                  <w:r w:rsidRPr="002A1F9A">
                    <w:rPr>
                      <w:rFonts w:ascii="Verdana" w:hAnsi="Verdana"/>
                      <w:b/>
                      <w:bCs/>
                      <w:sz w:val="16"/>
                      <w:szCs w:val="16"/>
                    </w:rPr>
                    <w:t>wo</w:t>
                  </w:r>
                </w:p>
              </w:tc>
              <w:tc>
                <w:tcPr>
                  <w:tcW w:w="1303" w:type="dxa"/>
                </w:tcPr>
                <w:p w:rsidRPr="002A1F9A" w:rsidR="003B095E" w:rsidP="00FD60F1" w:rsidRDefault="003B095E" w14:paraId="67A99BAC" w14:textId="40265248">
                  <w:pPr>
                    <w:rPr>
                      <w:rFonts w:ascii="Verdana" w:hAnsi="Verdana"/>
                      <w:b/>
                      <w:bCs/>
                      <w:sz w:val="16"/>
                      <w:szCs w:val="16"/>
                    </w:rPr>
                  </w:pPr>
                  <w:r w:rsidRPr="002A1F9A">
                    <w:rPr>
                      <w:rFonts w:ascii="Verdana" w:hAnsi="Verdana"/>
                      <w:b/>
                      <w:bCs/>
                      <w:sz w:val="16"/>
                      <w:szCs w:val="16"/>
                    </w:rPr>
                    <w:t>Totaal</w:t>
                  </w:r>
                </w:p>
              </w:tc>
            </w:tr>
            <w:tr w:rsidRPr="002A1F9A" w:rsidR="003B095E" w14:paraId="4861FCAC" w14:textId="77777777">
              <w:tc>
                <w:tcPr>
                  <w:tcW w:w="1302" w:type="dxa"/>
                </w:tcPr>
                <w:p w:rsidRPr="002A1F9A" w:rsidR="003B095E" w:rsidP="00FD60F1" w:rsidRDefault="003B095E" w14:paraId="7743F4C0" w14:textId="091B8A31">
                  <w:pPr>
                    <w:rPr>
                      <w:rFonts w:ascii="Verdana" w:hAnsi="Verdana"/>
                      <w:b/>
                      <w:bCs/>
                      <w:sz w:val="16"/>
                      <w:szCs w:val="16"/>
                    </w:rPr>
                  </w:pPr>
                  <w:r w:rsidRPr="002A1F9A">
                    <w:rPr>
                      <w:rFonts w:ascii="Verdana" w:hAnsi="Verdana"/>
                      <w:b/>
                      <w:bCs/>
                      <w:sz w:val="16"/>
                      <w:szCs w:val="16"/>
                    </w:rPr>
                    <w:t>2015</w:t>
                  </w:r>
                </w:p>
              </w:tc>
              <w:tc>
                <w:tcPr>
                  <w:tcW w:w="1302" w:type="dxa"/>
                </w:tcPr>
                <w:p w:rsidRPr="002A1F9A" w:rsidR="003B095E" w:rsidP="00FD60F1" w:rsidRDefault="003B095E" w14:paraId="05115114" w14:textId="574C363B">
                  <w:pPr>
                    <w:rPr>
                      <w:rFonts w:ascii="Verdana" w:hAnsi="Verdana"/>
                      <w:sz w:val="16"/>
                      <w:szCs w:val="16"/>
                    </w:rPr>
                  </w:pPr>
                  <w:r w:rsidRPr="002A1F9A">
                    <w:rPr>
                      <w:rFonts w:ascii="Verdana" w:hAnsi="Verdana"/>
                      <w:sz w:val="16"/>
                      <w:szCs w:val="16"/>
                    </w:rPr>
                    <w:t>115.390</w:t>
                  </w:r>
                </w:p>
              </w:tc>
              <w:tc>
                <w:tcPr>
                  <w:tcW w:w="1302" w:type="dxa"/>
                </w:tcPr>
                <w:p w:rsidRPr="002A1F9A" w:rsidR="003B095E" w:rsidP="00FD60F1" w:rsidRDefault="003B095E" w14:paraId="04603254" w14:textId="52172C4A">
                  <w:pPr>
                    <w:rPr>
                      <w:rFonts w:ascii="Verdana" w:hAnsi="Verdana"/>
                      <w:sz w:val="16"/>
                      <w:szCs w:val="16"/>
                    </w:rPr>
                  </w:pPr>
                  <w:r w:rsidRPr="002A1F9A">
                    <w:rPr>
                      <w:rFonts w:ascii="Verdana" w:hAnsi="Verdana"/>
                      <w:sz w:val="16"/>
                      <w:szCs w:val="16"/>
                    </w:rPr>
                    <w:t>88.881</w:t>
                  </w:r>
                </w:p>
              </w:tc>
              <w:tc>
                <w:tcPr>
                  <w:tcW w:w="1302" w:type="dxa"/>
                </w:tcPr>
                <w:p w:rsidRPr="002A1F9A" w:rsidR="003B095E" w:rsidP="00FD60F1" w:rsidRDefault="003B095E" w14:paraId="79776D9F" w14:textId="273D9830">
                  <w:pPr>
                    <w:rPr>
                      <w:rFonts w:ascii="Verdana" w:hAnsi="Verdana"/>
                      <w:sz w:val="16"/>
                      <w:szCs w:val="16"/>
                    </w:rPr>
                  </w:pPr>
                  <w:r w:rsidRPr="002A1F9A">
                    <w:rPr>
                      <w:rFonts w:ascii="Verdana" w:hAnsi="Verdana"/>
                      <w:sz w:val="16"/>
                      <w:szCs w:val="16"/>
                    </w:rPr>
                    <w:t>29.202</w:t>
                  </w:r>
                </w:p>
              </w:tc>
              <w:tc>
                <w:tcPr>
                  <w:tcW w:w="1303" w:type="dxa"/>
                </w:tcPr>
                <w:p w:rsidRPr="002A1F9A" w:rsidR="003B095E" w:rsidP="00FD60F1" w:rsidRDefault="003B095E" w14:paraId="75B553EF" w14:textId="7D9E513D">
                  <w:pPr>
                    <w:rPr>
                      <w:rFonts w:ascii="Verdana" w:hAnsi="Verdana"/>
                      <w:sz w:val="16"/>
                      <w:szCs w:val="16"/>
                    </w:rPr>
                  </w:pPr>
                  <w:r w:rsidRPr="002A1F9A">
                    <w:rPr>
                      <w:rFonts w:ascii="Verdana" w:hAnsi="Verdana"/>
                      <w:sz w:val="16"/>
                      <w:szCs w:val="16"/>
                    </w:rPr>
                    <w:t>233.473</w:t>
                  </w:r>
                </w:p>
              </w:tc>
            </w:tr>
            <w:tr w:rsidRPr="002A1F9A" w:rsidR="003B095E" w14:paraId="5DF9BD7C" w14:textId="77777777">
              <w:tc>
                <w:tcPr>
                  <w:tcW w:w="1302" w:type="dxa"/>
                </w:tcPr>
                <w:p w:rsidRPr="002A1F9A" w:rsidR="003B095E" w:rsidP="00FD60F1" w:rsidRDefault="003B095E" w14:paraId="72272E45" w14:textId="48C146C2">
                  <w:pPr>
                    <w:rPr>
                      <w:rFonts w:ascii="Verdana" w:hAnsi="Verdana"/>
                      <w:b/>
                      <w:bCs/>
                      <w:sz w:val="16"/>
                      <w:szCs w:val="16"/>
                    </w:rPr>
                  </w:pPr>
                  <w:r w:rsidRPr="002A1F9A">
                    <w:rPr>
                      <w:rFonts w:ascii="Verdana" w:hAnsi="Verdana"/>
                      <w:b/>
                      <w:bCs/>
                      <w:sz w:val="16"/>
                      <w:szCs w:val="16"/>
                    </w:rPr>
                    <w:t>2016</w:t>
                  </w:r>
                </w:p>
              </w:tc>
              <w:tc>
                <w:tcPr>
                  <w:tcW w:w="1302" w:type="dxa"/>
                </w:tcPr>
                <w:p w:rsidRPr="002A1F9A" w:rsidR="003B095E" w:rsidP="00FD60F1" w:rsidRDefault="003B095E" w14:paraId="6426FA76" w14:textId="651F6910">
                  <w:pPr>
                    <w:rPr>
                      <w:rFonts w:ascii="Verdana" w:hAnsi="Verdana"/>
                      <w:sz w:val="16"/>
                      <w:szCs w:val="16"/>
                    </w:rPr>
                  </w:pPr>
                  <w:r w:rsidRPr="002A1F9A">
                    <w:rPr>
                      <w:rFonts w:ascii="Verdana" w:hAnsi="Verdana"/>
                      <w:sz w:val="16"/>
                      <w:szCs w:val="16"/>
                    </w:rPr>
                    <w:t>115.226</w:t>
                  </w:r>
                </w:p>
              </w:tc>
              <w:tc>
                <w:tcPr>
                  <w:tcW w:w="1302" w:type="dxa"/>
                </w:tcPr>
                <w:p w:rsidRPr="002A1F9A" w:rsidR="003B095E" w:rsidP="00FD60F1" w:rsidRDefault="003B095E" w14:paraId="46636233" w14:textId="7F35F317">
                  <w:pPr>
                    <w:rPr>
                      <w:rFonts w:ascii="Verdana" w:hAnsi="Verdana"/>
                      <w:sz w:val="16"/>
                      <w:szCs w:val="16"/>
                    </w:rPr>
                  </w:pPr>
                  <w:r w:rsidRPr="002A1F9A">
                    <w:rPr>
                      <w:rFonts w:ascii="Verdana" w:hAnsi="Verdana"/>
                      <w:sz w:val="16"/>
                      <w:szCs w:val="16"/>
                    </w:rPr>
                    <w:t>86.974</w:t>
                  </w:r>
                </w:p>
              </w:tc>
              <w:tc>
                <w:tcPr>
                  <w:tcW w:w="1302" w:type="dxa"/>
                </w:tcPr>
                <w:p w:rsidRPr="002A1F9A" w:rsidR="003B095E" w:rsidP="00FD60F1" w:rsidRDefault="00577B06" w14:paraId="6DBB167E" w14:textId="33052C96">
                  <w:pPr>
                    <w:rPr>
                      <w:rFonts w:ascii="Verdana" w:hAnsi="Verdana"/>
                      <w:sz w:val="16"/>
                      <w:szCs w:val="16"/>
                    </w:rPr>
                  </w:pPr>
                  <w:r w:rsidRPr="002A1F9A">
                    <w:rPr>
                      <w:rFonts w:ascii="Verdana" w:hAnsi="Verdana"/>
                      <w:sz w:val="16"/>
                      <w:szCs w:val="16"/>
                    </w:rPr>
                    <w:t>28.540</w:t>
                  </w:r>
                </w:p>
              </w:tc>
              <w:tc>
                <w:tcPr>
                  <w:tcW w:w="1303" w:type="dxa"/>
                </w:tcPr>
                <w:p w:rsidRPr="002A1F9A" w:rsidR="003B095E" w:rsidP="00FD60F1" w:rsidRDefault="00D966C0" w14:paraId="3D5AC30E" w14:textId="38865CAE">
                  <w:pPr>
                    <w:rPr>
                      <w:rFonts w:ascii="Verdana" w:hAnsi="Verdana"/>
                      <w:sz w:val="16"/>
                      <w:szCs w:val="16"/>
                    </w:rPr>
                  </w:pPr>
                  <w:r w:rsidRPr="002A1F9A">
                    <w:rPr>
                      <w:rFonts w:ascii="Verdana" w:hAnsi="Verdana"/>
                      <w:sz w:val="16"/>
                      <w:szCs w:val="16"/>
                    </w:rPr>
                    <w:t>230.740</w:t>
                  </w:r>
                </w:p>
              </w:tc>
            </w:tr>
            <w:tr w:rsidRPr="002A1F9A" w:rsidR="003B095E" w14:paraId="41F4B6C0" w14:textId="77777777">
              <w:tc>
                <w:tcPr>
                  <w:tcW w:w="1302" w:type="dxa"/>
                </w:tcPr>
                <w:p w:rsidRPr="002A1F9A" w:rsidR="003B095E" w:rsidP="00FD60F1" w:rsidRDefault="003B095E" w14:paraId="50E7303D" w14:textId="1EB6CE8A">
                  <w:pPr>
                    <w:rPr>
                      <w:rFonts w:ascii="Verdana" w:hAnsi="Verdana"/>
                      <w:b/>
                      <w:bCs/>
                      <w:sz w:val="16"/>
                      <w:szCs w:val="16"/>
                    </w:rPr>
                  </w:pPr>
                  <w:r w:rsidRPr="002A1F9A">
                    <w:rPr>
                      <w:rFonts w:ascii="Verdana" w:hAnsi="Verdana"/>
                      <w:b/>
                      <w:bCs/>
                      <w:sz w:val="16"/>
                      <w:szCs w:val="16"/>
                    </w:rPr>
                    <w:t>2017</w:t>
                  </w:r>
                </w:p>
              </w:tc>
              <w:tc>
                <w:tcPr>
                  <w:tcW w:w="1302" w:type="dxa"/>
                </w:tcPr>
                <w:p w:rsidRPr="002A1F9A" w:rsidR="003B095E" w:rsidP="00FD60F1" w:rsidRDefault="003B095E" w14:paraId="5032671B" w14:textId="4C349B63">
                  <w:pPr>
                    <w:rPr>
                      <w:rFonts w:ascii="Verdana" w:hAnsi="Verdana"/>
                      <w:sz w:val="16"/>
                      <w:szCs w:val="16"/>
                    </w:rPr>
                  </w:pPr>
                  <w:r w:rsidRPr="002A1F9A">
                    <w:rPr>
                      <w:rFonts w:ascii="Verdana" w:hAnsi="Verdana"/>
                      <w:sz w:val="16"/>
                      <w:szCs w:val="16"/>
                    </w:rPr>
                    <w:t>112.894</w:t>
                  </w:r>
                </w:p>
              </w:tc>
              <w:tc>
                <w:tcPr>
                  <w:tcW w:w="1302" w:type="dxa"/>
                </w:tcPr>
                <w:p w:rsidRPr="002A1F9A" w:rsidR="003B095E" w:rsidP="00FD60F1" w:rsidRDefault="003B095E" w14:paraId="38AA5392" w14:textId="5FC467E2">
                  <w:pPr>
                    <w:rPr>
                      <w:rFonts w:ascii="Verdana" w:hAnsi="Verdana"/>
                      <w:sz w:val="16"/>
                      <w:szCs w:val="16"/>
                    </w:rPr>
                  </w:pPr>
                  <w:r w:rsidRPr="002A1F9A">
                    <w:rPr>
                      <w:rFonts w:ascii="Verdana" w:hAnsi="Verdana"/>
                      <w:sz w:val="16"/>
                      <w:szCs w:val="16"/>
                    </w:rPr>
                    <w:t>88.376</w:t>
                  </w:r>
                </w:p>
              </w:tc>
              <w:tc>
                <w:tcPr>
                  <w:tcW w:w="1302" w:type="dxa"/>
                </w:tcPr>
                <w:p w:rsidRPr="002A1F9A" w:rsidR="003B095E" w:rsidP="00FD60F1" w:rsidRDefault="00577B06" w14:paraId="7954DCEE" w14:textId="6667494A">
                  <w:pPr>
                    <w:rPr>
                      <w:rFonts w:ascii="Verdana" w:hAnsi="Verdana"/>
                      <w:sz w:val="16"/>
                      <w:szCs w:val="16"/>
                    </w:rPr>
                  </w:pPr>
                  <w:r w:rsidRPr="002A1F9A">
                    <w:rPr>
                      <w:rFonts w:ascii="Verdana" w:hAnsi="Verdana"/>
                      <w:sz w:val="16"/>
                      <w:szCs w:val="16"/>
                    </w:rPr>
                    <w:t>29.288</w:t>
                  </w:r>
                </w:p>
              </w:tc>
              <w:tc>
                <w:tcPr>
                  <w:tcW w:w="1303" w:type="dxa"/>
                </w:tcPr>
                <w:p w:rsidRPr="002A1F9A" w:rsidR="003B095E" w:rsidP="00FD60F1" w:rsidRDefault="00D966C0" w14:paraId="47AC8EF2" w14:textId="4DFDBC7E">
                  <w:pPr>
                    <w:rPr>
                      <w:rFonts w:ascii="Verdana" w:hAnsi="Verdana"/>
                      <w:sz w:val="16"/>
                      <w:szCs w:val="16"/>
                    </w:rPr>
                  </w:pPr>
                  <w:r w:rsidRPr="002A1F9A">
                    <w:rPr>
                      <w:rFonts w:ascii="Verdana" w:hAnsi="Verdana"/>
                      <w:sz w:val="16"/>
                      <w:szCs w:val="16"/>
                    </w:rPr>
                    <w:t>230.558</w:t>
                  </w:r>
                </w:p>
              </w:tc>
            </w:tr>
            <w:tr w:rsidRPr="002A1F9A" w:rsidR="003B095E" w14:paraId="59486C45" w14:textId="77777777">
              <w:tc>
                <w:tcPr>
                  <w:tcW w:w="1302" w:type="dxa"/>
                </w:tcPr>
                <w:p w:rsidRPr="002A1F9A" w:rsidR="003B095E" w:rsidP="00FD60F1" w:rsidRDefault="003B095E" w14:paraId="6413BF9C" w14:textId="5C21FD0E">
                  <w:pPr>
                    <w:rPr>
                      <w:rFonts w:ascii="Verdana" w:hAnsi="Verdana"/>
                      <w:b/>
                      <w:bCs/>
                      <w:sz w:val="16"/>
                      <w:szCs w:val="16"/>
                    </w:rPr>
                  </w:pPr>
                  <w:r w:rsidRPr="002A1F9A">
                    <w:rPr>
                      <w:rFonts w:ascii="Verdana" w:hAnsi="Verdana"/>
                      <w:b/>
                      <w:bCs/>
                      <w:sz w:val="16"/>
                      <w:szCs w:val="16"/>
                    </w:rPr>
                    <w:t>2018</w:t>
                  </w:r>
                </w:p>
              </w:tc>
              <w:tc>
                <w:tcPr>
                  <w:tcW w:w="1302" w:type="dxa"/>
                </w:tcPr>
                <w:p w:rsidRPr="002A1F9A" w:rsidR="003B095E" w:rsidP="00FD60F1" w:rsidRDefault="003B095E" w14:paraId="64AAB809" w14:textId="7CCDF0F9">
                  <w:pPr>
                    <w:rPr>
                      <w:rFonts w:ascii="Verdana" w:hAnsi="Verdana"/>
                      <w:sz w:val="16"/>
                      <w:szCs w:val="16"/>
                    </w:rPr>
                  </w:pPr>
                  <w:r w:rsidRPr="002A1F9A">
                    <w:rPr>
                      <w:rFonts w:ascii="Verdana" w:hAnsi="Verdana"/>
                      <w:sz w:val="16"/>
                      <w:szCs w:val="16"/>
                    </w:rPr>
                    <w:t>110.724</w:t>
                  </w:r>
                </w:p>
              </w:tc>
              <w:tc>
                <w:tcPr>
                  <w:tcW w:w="1302" w:type="dxa"/>
                </w:tcPr>
                <w:p w:rsidRPr="002A1F9A" w:rsidR="003B095E" w:rsidP="00FD60F1" w:rsidRDefault="003B095E" w14:paraId="04630E7C" w14:textId="0E1061B3">
                  <w:pPr>
                    <w:rPr>
                      <w:rFonts w:ascii="Verdana" w:hAnsi="Verdana"/>
                      <w:sz w:val="16"/>
                      <w:szCs w:val="16"/>
                    </w:rPr>
                  </w:pPr>
                  <w:r w:rsidRPr="002A1F9A">
                    <w:rPr>
                      <w:rFonts w:ascii="Verdana" w:hAnsi="Verdana"/>
                      <w:sz w:val="16"/>
                      <w:szCs w:val="16"/>
                    </w:rPr>
                    <w:t>88.466</w:t>
                  </w:r>
                </w:p>
              </w:tc>
              <w:tc>
                <w:tcPr>
                  <w:tcW w:w="1302" w:type="dxa"/>
                </w:tcPr>
                <w:p w:rsidRPr="002A1F9A" w:rsidR="003B095E" w:rsidP="00FD60F1" w:rsidRDefault="00577B06" w14:paraId="672F5D06" w14:textId="5AC8CFE3">
                  <w:pPr>
                    <w:rPr>
                      <w:rFonts w:ascii="Verdana" w:hAnsi="Verdana"/>
                      <w:sz w:val="16"/>
                      <w:szCs w:val="16"/>
                    </w:rPr>
                  </w:pPr>
                  <w:r w:rsidRPr="002A1F9A">
                    <w:rPr>
                      <w:rFonts w:ascii="Verdana" w:hAnsi="Verdana"/>
                      <w:sz w:val="16"/>
                      <w:szCs w:val="16"/>
                    </w:rPr>
                    <w:t>30.127</w:t>
                  </w:r>
                </w:p>
              </w:tc>
              <w:tc>
                <w:tcPr>
                  <w:tcW w:w="1303" w:type="dxa"/>
                </w:tcPr>
                <w:p w:rsidRPr="002A1F9A" w:rsidR="003B095E" w:rsidP="00FD60F1" w:rsidRDefault="00D966C0" w14:paraId="1F108EF1" w14:textId="3F000247">
                  <w:pPr>
                    <w:rPr>
                      <w:rFonts w:ascii="Verdana" w:hAnsi="Verdana"/>
                      <w:sz w:val="16"/>
                      <w:szCs w:val="16"/>
                    </w:rPr>
                  </w:pPr>
                  <w:r w:rsidRPr="002A1F9A">
                    <w:rPr>
                      <w:rFonts w:ascii="Verdana" w:hAnsi="Verdana"/>
                      <w:sz w:val="16"/>
                      <w:szCs w:val="16"/>
                    </w:rPr>
                    <w:t>229.317</w:t>
                  </w:r>
                </w:p>
              </w:tc>
            </w:tr>
            <w:tr w:rsidRPr="002A1F9A" w:rsidR="003B095E" w14:paraId="2992895C" w14:textId="77777777">
              <w:tc>
                <w:tcPr>
                  <w:tcW w:w="1302" w:type="dxa"/>
                </w:tcPr>
                <w:p w:rsidRPr="002A1F9A" w:rsidR="003B095E" w:rsidP="00FD60F1" w:rsidRDefault="003B095E" w14:paraId="5B292324" w14:textId="3CB849DF">
                  <w:pPr>
                    <w:rPr>
                      <w:rFonts w:ascii="Verdana" w:hAnsi="Verdana"/>
                      <w:b/>
                      <w:bCs/>
                      <w:sz w:val="16"/>
                      <w:szCs w:val="16"/>
                    </w:rPr>
                  </w:pPr>
                  <w:r w:rsidRPr="002A1F9A">
                    <w:rPr>
                      <w:rFonts w:ascii="Verdana" w:hAnsi="Verdana"/>
                      <w:b/>
                      <w:bCs/>
                      <w:sz w:val="16"/>
                      <w:szCs w:val="16"/>
                    </w:rPr>
                    <w:t>2019</w:t>
                  </w:r>
                </w:p>
              </w:tc>
              <w:tc>
                <w:tcPr>
                  <w:tcW w:w="1302" w:type="dxa"/>
                </w:tcPr>
                <w:p w:rsidRPr="002A1F9A" w:rsidR="003B095E" w:rsidP="00FD60F1" w:rsidRDefault="003B095E" w14:paraId="54360C9F" w14:textId="7E547173">
                  <w:pPr>
                    <w:rPr>
                      <w:rFonts w:ascii="Verdana" w:hAnsi="Verdana"/>
                      <w:sz w:val="16"/>
                      <w:szCs w:val="16"/>
                    </w:rPr>
                  </w:pPr>
                  <w:r w:rsidRPr="002A1F9A">
                    <w:rPr>
                      <w:rFonts w:ascii="Verdana" w:hAnsi="Verdana"/>
                      <w:sz w:val="16"/>
                      <w:szCs w:val="16"/>
                    </w:rPr>
                    <w:t>108.074</w:t>
                  </w:r>
                </w:p>
              </w:tc>
              <w:tc>
                <w:tcPr>
                  <w:tcW w:w="1302" w:type="dxa"/>
                </w:tcPr>
                <w:p w:rsidRPr="002A1F9A" w:rsidR="003B095E" w:rsidP="00FD60F1" w:rsidRDefault="003B095E" w14:paraId="388F02DC" w14:textId="0B03C6C3">
                  <w:pPr>
                    <w:rPr>
                      <w:rFonts w:ascii="Verdana" w:hAnsi="Verdana"/>
                      <w:sz w:val="16"/>
                      <w:szCs w:val="16"/>
                    </w:rPr>
                  </w:pPr>
                  <w:r w:rsidRPr="002A1F9A">
                    <w:rPr>
                      <w:rFonts w:ascii="Verdana" w:hAnsi="Verdana"/>
                      <w:sz w:val="16"/>
                      <w:szCs w:val="16"/>
                    </w:rPr>
                    <w:t>88.969</w:t>
                  </w:r>
                </w:p>
              </w:tc>
              <w:tc>
                <w:tcPr>
                  <w:tcW w:w="1302" w:type="dxa"/>
                </w:tcPr>
                <w:p w:rsidRPr="002A1F9A" w:rsidR="003B095E" w:rsidP="00FD60F1" w:rsidRDefault="00577B06" w14:paraId="616D7641" w14:textId="2ACCD817">
                  <w:pPr>
                    <w:rPr>
                      <w:rFonts w:ascii="Verdana" w:hAnsi="Verdana"/>
                      <w:sz w:val="16"/>
                      <w:szCs w:val="16"/>
                    </w:rPr>
                  </w:pPr>
                  <w:r w:rsidRPr="002A1F9A">
                    <w:rPr>
                      <w:rFonts w:ascii="Verdana" w:hAnsi="Verdana"/>
                      <w:sz w:val="16"/>
                      <w:szCs w:val="16"/>
                    </w:rPr>
                    <w:t>31.295</w:t>
                  </w:r>
                </w:p>
              </w:tc>
              <w:tc>
                <w:tcPr>
                  <w:tcW w:w="1303" w:type="dxa"/>
                </w:tcPr>
                <w:p w:rsidRPr="002A1F9A" w:rsidR="003B095E" w:rsidP="00FD60F1" w:rsidRDefault="00D966C0" w14:paraId="3F5E8EA1" w14:textId="3D7F686C">
                  <w:pPr>
                    <w:rPr>
                      <w:rFonts w:ascii="Verdana" w:hAnsi="Verdana"/>
                      <w:sz w:val="16"/>
                      <w:szCs w:val="16"/>
                    </w:rPr>
                  </w:pPr>
                  <w:r w:rsidRPr="002A1F9A">
                    <w:rPr>
                      <w:rFonts w:ascii="Verdana" w:hAnsi="Verdana"/>
                      <w:sz w:val="16"/>
                      <w:szCs w:val="16"/>
                    </w:rPr>
                    <w:t>228.338</w:t>
                  </w:r>
                </w:p>
              </w:tc>
            </w:tr>
            <w:tr w:rsidRPr="002A1F9A" w:rsidR="003B095E" w14:paraId="73C7FBF9" w14:textId="77777777">
              <w:tc>
                <w:tcPr>
                  <w:tcW w:w="1302" w:type="dxa"/>
                </w:tcPr>
                <w:p w:rsidRPr="002A1F9A" w:rsidR="003B095E" w:rsidP="00FD60F1" w:rsidRDefault="003B095E" w14:paraId="75AC6436" w14:textId="20062218">
                  <w:pPr>
                    <w:rPr>
                      <w:rFonts w:ascii="Verdana" w:hAnsi="Verdana"/>
                      <w:b/>
                      <w:bCs/>
                      <w:sz w:val="16"/>
                      <w:szCs w:val="16"/>
                    </w:rPr>
                  </w:pPr>
                  <w:r w:rsidRPr="002A1F9A">
                    <w:rPr>
                      <w:rFonts w:ascii="Verdana" w:hAnsi="Verdana"/>
                      <w:b/>
                      <w:bCs/>
                      <w:sz w:val="16"/>
                      <w:szCs w:val="16"/>
                    </w:rPr>
                    <w:t>2020</w:t>
                  </w:r>
                </w:p>
              </w:tc>
              <w:tc>
                <w:tcPr>
                  <w:tcW w:w="1302" w:type="dxa"/>
                </w:tcPr>
                <w:p w:rsidRPr="002A1F9A" w:rsidR="003B095E" w:rsidP="00FD60F1" w:rsidRDefault="003B095E" w14:paraId="718D6AFE" w14:textId="4E97F373">
                  <w:pPr>
                    <w:rPr>
                      <w:rFonts w:ascii="Verdana" w:hAnsi="Verdana"/>
                      <w:sz w:val="16"/>
                      <w:szCs w:val="16"/>
                    </w:rPr>
                  </w:pPr>
                  <w:r w:rsidRPr="002A1F9A">
                    <w:rPr>
                      <w:rFonts w:ascii="Verdana" w:hAnsi="Verdana"/>
                      <w:sz w:val="16"/>
                      <w:szCs w:val="16"/>
                    </w:rPr>
                    <w:t>108.264</w:t>
                  </w:r>
                </w:p>
              </w:tc>
              <w:tc>
                <w:tcPr>
                  <w:tcW w:w="1302" w:type="dxa"/>
                </w:tcPr>
                <w:p w:rsidRPr="002A1F9A" w:rsidR="003B095E" w:rsidP="00FD60F1" w:rsidRDefault="003B095E" w14:paraId="594E8A62" w14:textId="2514E2B1">
                  <w:pPr>
                    <w:rPr>
                      <w:rFonts w:ascii="Verdana" w:hAnsi="Verdana"/>
                      <w:sz w:val="16"/>
                      <w:szCs w:val="16"/>
                    </w:rPr>
                  </w:pPr>
                  <w:r w:rsidRPr="002A1F9A">
                    <w:rPr>
                      <w:rFonts w:ascii="Verdana" w:hAnsi="Verdana"/>
                      <w:sz w:val="16"/>
                      <w:szCs w:val="16"/>
                    </w:rPr>
                    <w:t>89.602</w:t>
                  </w:r>
                </w:p>
              </w:tc>
              <w:tc>
                <w:tcPr>
                  <w:tcW w:w="1302" w:type="dxa"/>
                </w:tcPr>
                <w:p w:rsidRPr="002A1F9A" w:rsidR="003B095E" w:rsidP="00FD60F1" w:rsidRDefault="00577B06" w14:paraId="351FB209" w14:textId="4D91237C">
                  <w:pPr>
                    <w:rPr>
                      <w:rFonts w:ascii="Verdana" w:hAnsi="Verdana"/>
                      <w:sz w:val="16"/>
                      <w:szCs w:val="16"/>
                    </w:rPr>
                  </w:pPr>
                  <w:r w:rsidRPr="002A1F9A">
                    <w:rPr>
                      <w:rFonts w:ascii="Verdana" w:hAnsi="Verdana"/>
                      <w:sz w:val="16"/>
                      <w:szCs w:val="16"/>
                    </w:rPr>
                    <w:t>31.493</w:t>
                  </w:r>
                </w:p>
              </w:tc>
              <w:tc>
                <w:tcPr>
                  <w:tcW w:w="1303" w:type="dxa"/>
                </w:tcPr>
                <w:p w:rsidRPr="002A1F9A" w:rsidR="003B095E" w:rsidP="00FD60F1" w:rsidRDefault="00D966C0" w14:paraId="1BFDD458" w14:textId="1E4735D5">
                  <w:pPr>
                    <w:rPr>
                      <w:rFonts w:ascii="Verdana" w:hAnsi="Verdana"/>
                      <w:sz w:val="16"/>
                      <w:szCs w:val="16"/>
                    </w:rPr>
                  </w:pPr>
                  <w:r w:rsidRPr="002A1F9A">
                    <w:rPr>
                      <w:rFonts w:ascii="Verdana" w:hAnsi="Verdana"/>
                      <w:sz w:val="16"/>
                      <w:szCs w:val="16"/>
                    </w:rPr>
                    <w:t>229.359</w:t>
                  </w:r>
                </w:p>
              </w:tc>
            </w:tr>
            <w:tr w:rsidRPr="002A1F9A" w:rsidR="003B095E" w14:paraId="38D4ECB3" w14:textId="77777777">
              <w:tc>
                <w:tcPr>
                  <w:tcW w:w="1302" w:type="dxa"/>
                </w:tcPr>
                <w:p w:rsidRPr="002A1F9A" w:rsidR="003B095E" w:rsidP="00FD60F1" w:rsidRDefault="003B095E" w14:paraId="5A1A6EA6" w14:textId="0D63D871">
                  <w:pPr>
                    <w:rPr>
                      <w:rFonts w:ascii="Verdana" w:hAnsi="Verdana"/>
                      <w:b/>
                      <w:bCs/>
                      <w:sz w:val="16"/>
                      <w:szCs w:val="16"/>
                    </w:rPr>
                  </w:pPr>
                  <w:r w:rsidRPr="002A1F9A">
                    <w:rPr>
                      <w:rFonts w:ascii="Verdana" w:hAnsi="Verdana"/>
                      <w:b/>
                      <w:bCs/>
                      <w:sz w:val="16"/>
                      <w:szCs w:val="16"/>
                    </w:rPr>
                    <w:t>2021</w:t>
                  </w:r>
                </w:p>
              </w:tc>
              <w:tc>
                <w:tcPr>
                  <w:tcW w:w="1302" w:type="dxa"/>
                </w:tcPr>
                <w:p w:rsidRPr="002A1F9A" w:rsidR="003B095E" w:rsidP="00FD60F1" w:rsidRDefault="003B095E" w14:paraId="4313C56C" w14:textId="02448599">
                  <w:pPr>
                    <w:rPr>
                      <w:rFonts w:ascii="Verdana" w:hAnsi="Verdana"/>
                      <w:sz w:val="16"/>
                      <w:szCs w:val="16"/>
                    </w:rPr>
                  </w:pPr>
                  <w:r w:rsidRPr="002A1F9A">
                    <w:rPr>
                      <w:rFonts w:ascii="Verdana" w:hAnsi="Verdana"/>
                      <w:sz w:val="16"/>
                      <w:szCs w:val="16"/>
                    </w:rPr>
                    <w:t>112.674</w:t>
                  </w:r>
                </w:p>
              </w:tc>
              <w:tc>
                <w:tcPr>
                  <w:tcW w:w="1302" w:type="dxa"/>
                </w:tcPr>
                <w:p w:rsidRPr="002A1F9A" w:rsidR="003B095E" w:rsidP="00FD60F1" w:rsidRDefault="003B095E" w14:paraId="6889A862" w14:textId="10F4332F">
                  <w:pPr>
                    <w:rPr>
                      <w:rFonts w:ascii="Verdana" w:hAnsi="Verdana"/>
                      <w:sz w:val="16"/>
                      <w:szCs w:val="16"/>
                    </w:rPr>
                  </w:pPr>
                  <w:r w:rsidRPr="002A1F9A">
                    <w:rPr>
                      <w:rFonts w:ascii="Verdana" w:hAnsi="Verdana"/>
                      <w:sz w:val="16"/>
                      <w:szCs w:val="16"/>
                    </w:rPr>
                    <w:t>96.185</w:t>
                  </w:r>
                </w:p>
              </w:tc>
              <w:tc>
                <w:tcPr>
                  <w:tcW w:w="1302" w:type="dxa"/>
                </w:tcPr>
                <w:p w:rsidRPr="002A1F9A" w:rsidR="003B095E" w:rsidP="00FD60F1" w:rsidRDefault="00577B06" w14:paraId="040DA3E0" w14:textId="1FD978B4">
                  <w:pPr>
                    <w:rPr>
                      <w:rFonts w:ascii="Verdana" w:hAnsi="Verdana"/>
                      <w:sz w:val="16"/>
                      <w:szCs w:val="16"/>
                    </w:rPr>
                  </w:pPr>
                  <w:r w:rsidRPr="002A1F9A">
                    <w:rPr>
                      <w:rFonts w:ascii="Verdana" w:hAnsi="Verdana"/>
                      <w:sz w:val="16"/>
                      <w:szCs w:val="16"/>
                    </w:rPr>
                    <w:t>34.615</w:t>
                  </w:r>
                </w:p>
              </w:tc>
              <w:tc>
                <w:tcPr>
                  <w:tcW w:w="1303" w:type="dxa"/>
                </w:tcPr>
                <w:p w:rsidRPr="002A1F9A" w:rsidR="003B095E" w:rsidP="00FD60F1" w:rsidRDefault="00D966C0" w14:paraId="1A548DE9" w14:textId="73702DCE">
                  <w:pPr>
                    <w:rPr>
                      <w:rFonts w:ascii="Verdana" w:hAnsi="Verdana"/>
                      <w:sz w:val="16"/>
                      <w:szCs w:val="16"/>
                    </w:rPr>
                  </w:pPr>
                  <w:r w:rsidRPr="002A1F9A">
                    <w:rPr>
                      <w:rFonts w:ascii="Verdana" w:hAnsi="Verdana"/>
                      <w:sz w:val="16"/>
                      <w:szCs w:val="16"/>
                    </w:rPr>
                    <w:t>243.474</w:t>
                  </w:r>
                </w:p>
              </w:tc>
            </w:tr>
            <w:tr w:rsidRPr="002A1F9A" w:rsidR="003B095E" w14:paraId="15D866E9" w14:textId="77777777">
              <w:tc>
                <w:tcPr>
                  <w:tcW w:w="1302" w:type="dxa"/>
                </w:tcPr>
                <w:p w:rsidRPr="002A1F9A" w:rsidR="003B095E" w:rsidP="00FD60F1" w:rsidRDefault="003B095E" w14:paraId="5B896CB0" w14:textId="6ED89FFA">
                  <w:pPr>
                    <w:rPr>
                      <w:rFonts w:ascii="Verdana" w:hAnsi="Verdana"/>
                      <w:b/>
                      <w:bCs/>
                      <w:sz w:val="16"/>
                      <w:szCs w:val="16"/>
                    </w:rPr>
                  </w:pPr>
                  <w:r w:rsidRPr="002A1F9A">
                    <w:rPr>
                      <w:rFonts w:ascii="Verdana" w:hAnsi="Verdana"/>
                      <w:b/>
                      <w:bCs/>
                      <w:sz w:val="16"/>
                      <w:szCs w:val="16"/>
                    </w:rPr>
                    <w:t>2022</w:t>
                  </w:r>
                </w:p>
              </w:tc>
              <w:tc>
                <w:tcPr>
                  <w:tcW w:w="1302" w:type="dxa"/>
                </w:tcPr>
                <w:p w:rsidRPr="002A1F9A" w:rsidR="003B095E" w:rsidP="00FD60F1" w:rsidRDefault="003B095E" w14:paraId="421B77BA" w14:textId="6CB2C3DF">
                  <w:pPr>
                    <w:rPr>
                      <w:rFonts w:ascii="Verdana" w:hAnsi="Verdana"/>
                      <w:sz w:val="16"/>
                      <w:szCs w:val="16"/>
                    </w:rPr>
                  </w:pPr>
                  <w:r w:rsidRPr="002A1F9A">
                    <w:rPr>
                      <w:rFonts w:ascii="Verdana" w:hAnsi="Verdana"/>
                      <w:sz w:val="16"/>
                      <w:szCs w:val="16"/>
                    </w:rPr>
                    <w:t>107.367</w:t>
                  </w:r>
                </w:p>
              </w:tc>
              <w:tc>
                <w:tcPr>
                  <w:tcW w:w="1302" w:type="dxa"/>
                </w:tcPr>
                <w:p w:rsidRPr="002A1F9A" w:rsidR="003B095E" w:rsidP="00FD60F1" w:rsidRDefault="003B095E" w14:paraId="32CCE19A" w14:textId="01A63597">
                  <w:pPr>
                    <w:rPr>
                      <w:rFonts w:ascii="Verdana" w:hAnsi="Verdana"/>
                      <w:sz w:val="16"/>
                      <w:szCs w:val="16"/>
                    </w:rPr>
                  </w:pPr>
                  <w:r w:rsidRPr="002A1F9A">
                    <w:rPr>
                      <w:rFonts w:ascii="Verdana" w:hAnsi="Verdana"/>
                      <w:sz w:val="16"/>
                      <w:szCs w:val="16"/>
                    </w:rPr>
                    <w:t>93.884</w:t>
                  </w:r>
                </w:p>
              </w:tc>
              <w:tc>
                <w:tcPr>
                  <w:tcW w:w="1302" w:type="dxa"/>
                </w:tcPr>
                <w:p w:rsidRPr="002A1F9A" w:rsidR="003B095E" w:rsidP="00FD60F1" w:rsidRDefault="00577B06" w14:paraId="78F7B246" w14:textId="2B6E0E1D">
                  <w:pPr>
                    <w:rPr>
                      <w:rFonts w:ascii="Verdana" w:hAnsi="Verdana"/>
                      <w:sz w:val="16"/>
                      <w:szCs w:val="16"/>
                    </w:rPr>
                  </w:pPr>
                  <w:r w:rsidRPr="002A1F9A">
                    <w:rPr>
                      <w:rFonts w:ascii="Verdana" w:hAnsi="Verdana"/>
                      <w:sz w:val="16"/>
                      <w:szCs w:val="16"/>
                    </w:rPr>
                    <w:t>35.716</w:t>
                  </w:r>
                </w:p>
              </w:tc>
              <w:tc>
                <w:tcPr>
                  <w:tcW w:w="1303" w:type="dxa"/>
                </w:tcPr>
                <w:p w:rsidRPr="002A1F9A" w:rsidR="003B095E" w:rsidP="00FD60F1" w:rsidRDefault="00D966C0" w14:paraId="517F25C2" w14:textId="273B51BA">
                  <w:pPr>
                    <w:rPr>
                      <w:rFonts w:ascii="Verdana" w:hAnsi="Verdana"/>
                      <w:sz w:val="16"/>
                      <w:szCs w:val="16"/>
                    </w:rPr>
                  </w:pPr>
                  <w:r w:rsidRPr="002A1F9A">
                    <w:rPr>
                      <w:rFonts w:ascii="Verdana" w:hAnsi="Verdana"/>
                      <w:sz w:val="16"/>
                      <w:szCs w:val="16"/>
                    </w:rPr>
                    <w:t>236.967</w:t>
                  </w:r>
                </w:p>
              </w:tc>
            </w:tr>
            <w:tr w:rsidRPr="002A1F9A" w:rsidR="003B095E" w14:paraId="47F2EBAB" w14:textId="77777777">
              <w:tc>
                <w:tcPr>
                  <w:tcW w:w="1302" w:type="dxa"/>
                </w:tcPr>
                <w:p w:rsidRPr="002A1F9A" w:rsidR="003B095E" w:rsidP="00FD60F1" w:rsidRDefault="003B095E" w14:paraId="2B3B08EE" w14:textId="4357D24D">
                  <w:pPr>
                    <w:rPr>
                      <w:rFonts w:ascii="Verdana" w:hAnsi="Verdana"/>
                      <w:b/>
                      <w:bCs/>
                      <w:sz w:val="16"/>
                      <w:szCs w:val="16"/>
                    </w:rPr>
                  </w:pPr>
                  <w:r w:rsidRPr="002A1F9A">
                    <w:rPr>
                      <w:rFonts w:ascii="Verdana" w:hAnsi="Verdana"/>
                      <w:b/>
                      <w:bCs/>
                      <w:sz w:val="16"/>
                      <w:szCs w:val="16"/>
                    </w:rPr>
                    <w:t>2023</w:t>
                  </w:r>
                </w:p>
              </w:tc>
              <w:tc>
                <w:tcPr>
                  <w:tcW w:w="1302" w:type="dxa"/>
                </w:tcPr>
                <w:p w:rsidRPr="002A1F9A" w:rsidR="003B095E" w:rsidP="00FD60F1" w:rsidRDefault="003B095E" w14:paraId="12D24A36" w14:textId="7B17D246">
                  <w:pPr>
                    <w:rPr>
                      <w:rFonts w:ascii="Verdana" w:hAnsi="Verdana"/>
                      <w:sz w:val="16"/>
                      <w:szCs w:val="16"/>
                    </w:rPr>
                  </w:pPr>
                  <w:r w:rsidRPr="002A1F9A">
                    <w:rPr>
                      <w:rFonts w:ascii="Verdana" w:hAnsi="Verdana"/>
                      <w:sz w:val="16"/>
                      <w:szCs w:val="16"/>
                    </w:rPr>
                    <w:t>98.992</w:t>
                  </w:r>
                </w:p>
              </w:tc>
              <w:tc>
                <w:tcPr>
                  <w:tcW w:w="1302" w:type="dxa"/>
                </w:tcPr>
                <w:p w:rsidRPr="002A1F9A" w:rsidR="003B095E" w:rsidP="00FD60F1" w:rsidRDefault="003B095E" w14:paraId="2875B27D" w14:textId="7537BDFC">
                  <w:pPr>
                    <w:rPr>
                      <w:rFonts w:ascii="Verdana" w:hAnsi="Verdana"/>
                      <w:sz w:val="16"/>
                      <w:szCs w:val="16"/>
                    </w:rPr>
                  </w:pPr>
                  <w:r w:rsidRPr="002A1F9A">
                    <w:rPr>
                      <w:rFonts w:ascii="Verdana" w:hAnsi="Verdana"/>
                      <w:sz w:val="16"/>
                      <w:szCs w:val="16"/>
                    </w:rPr>
                    <w:t>88.755</w:t>
                  </w:r>
                </w:p>
              </w:tc>
              <w:tc>
                <w:tcPr>
                  <w:tcW w:w="1302" w:type="dxa"/>
                </w:tcPr>
                <w:p w:rsidRPr="002A1F9A" w:rsidR="003B095E" w:rsidP="00FD60F1" w:rsidRDefault="00577B06" w14:paraId="464D3A14" w14:textId="13B567A4">
                  <w:pPr>
                    <w:rPr>
                      <w:rFonts w:ascii="Verdana" w:hAnsi="Verdana"/>
                      <w:sz w:val="16"/>
                      <w:szCs w:val="16"/>
                    </w:rPr>
                  </w:pPr>
                  <w:r w:rsidRPr="002A1F9A">
                    <w:rPr>
                      <w:rFonts w:ascii="Verdana" w:hAnsi="Verdana"/>
                      <w:sz w:val="16"/>
                      <w:szCs w:val="16"/>
                    </w:rPr>
                    <w:t>35.730</w:t>
                  </w:r>
                </w:p>
              </w:tc>
              <w:tc>
                <w:tcPr>
                  <w:tcW w:w="1303" w:type="dxa"/>
                </w:tcPr>
                <w:p w:rsidRPr="002A1F9A" w:rsidR="003B095E" w:rsidP="00FD60F1" w:rsidRDefault="00D966C0" w14:paraId="1BB9F4D9" w14:textId="5AF81116">
                  <w:pPr>
                    <w:rPr>
                      <w:rFonts w:ascii="Verdana" w:hAnsi="Verdana"/>
                      <w:sz w:val="16"/>
                      <w:szCs w:val="16"/>
                    </w:rPr>
                  </w:pPr>
                  <w:r w:rsidRPr="002A1F9A">
                    <w:rPr>
                      <w:rFonts w:ascii="Verdana" w:hAnsi="Verdana"/>
                      <w:sz w:val="16"/>
                      <w:szCs w:val="16"/>
                    </w:rPr>
                    <w:t>223.477</w:t>
                  </w:r>
                </w:p>
              </w:tc>
            </w:tr>
            <w:tr w:rsidRPr="002A1F9A" w:rsidR="003B095E" w14:paraId="7E339BB2" w14:textId="77777777">
              <w:tc>
                <w:tcPr>
                  <w:tcW w:w="1302" w:type="dxa"/>
                </w:tcPr>
                <w:p w:rsidRPr="002A1F9A" w:rsidR="003B095E" w:rsidP="00FD60F1" w:rsidRDefault="003B095E" w14:paraId="4D47D9DC" w14:textId="6C034059">
                  <w:pPr>
                    <w:rPr>
                      <w:rFonts w:ascii="Verdana" w:hAnsi="Verdana"/>
                      <w:b/>
                      <w:bCs/>
                      <w:sz w:val="16"/>
                      <w:szCs w:val="16"/>
                    </w:rPr>
                  </w:pPr>
                  <w:r w:rsidRPr="002A1F9A">
                    <w:rPr>
                      <w:rFonts w:ascii="Verdana" w:hAnsi="Verdana"/>
                      <w:b/>
                      <w:bCs/>
                      <w:sz w:val="16"/>
                      <w:szCs w:val="16"/>
                    </w:rPr>
                    <w:t>2024</w:t>
                  </w:r>
                </w:p>
              </w:tc>
              <w:tc>
                <w:tcPr>
                  <w:tcW w:w="1302" w:type="dxa"/>
                </w:tcPr>
                <w:p w:rsidRPr="002A1F9A" w:rsidR="003B095E" w:rsidP="00FD60F1" w:rsidRDefault="003B095E" w14:paraId="587DA57C" w14:textId="2DB2E40F">
                  <w:pPr>
                    <w:rPr>
                      <w:rFonts w:ascii="Verdana" w:hAnsi="Verdana"/>
                      <w:sz w:val="16"/>
                      <w:szCs w:val="16"/>
                    </w:rPr>
                  </w:pPr>
                  <w:r w:rsidRPr="002A1F9A">
                    <w:rPr>
                      <w:rFonts w:ascii="Verdana" w:hAnsi="Verdana"/>
                      <w:sz w:val="16"/>
                      <w:szCs w:val="16"/>
                    </w:rPr>
                    <w:t>95.072</w:t>
                  </w:r>
                </w:p>
              </w:tc>
              <w:tc>
                <w:tcPr>
                  <w:tcW w:w="1302" w:type="dxa"/>
                </w:tcPr>
                <w:p w:rsidRPr="002A1F9A" w:rsidR="003B095E" w:rsidP="00FD60F1" w:rsidRDefault="003B095E" w14:paraId="67427AB5" w14:textId="0BE65553">
                  <w:pPr>
                    <w:rPr>
                      <w:rFonts w:ascii="Verdana" w:hAnsi="Verdana"/>
                      <w:sz w:val="16"/>
                      <w:szCs w:val="16"/>
                    </w:rPr>
                  </w:pPr>
                  <w:r w:rsidRPr="002A1F9A">
                    <w:rPr>
                      <w:rFonts w:ascii="Verdana" w:hAnsi="Verdana"/>
                      <w:sz w:val="16"/>
                      <w:szCs w:val="16"/>
                    </w:rPr>
                    <w:t>138.290</w:t>
                  </w:r>
                </w:p>
              </w:tc>
              <w:tc>
                <w:tcPr>
                  <w:tcW w:w="1302" w:type="dxa"/>
                </w:tcPr>
                <w:p w:rsidRPr="002A1F9A" w:rsidR="003B095E" w:rsidP="00FD60F1" w:rsidRDefault="00577B06" w14:paraId="7C6A6AD6" w14:textId="583621BD">
                  <w:pPr>
                    <w:rPr>
                      <w:rFonts w:ascii="Verdana" w:hAnsi="Verdana"/>
                      <w:sz w:val="16"/>
                      <w:szCs w:val="16"/>
                    </w:rPr>
                  </w:pPr>
                  <w:r w:rsidRPr="002A1F9A">
                    <w:rPr>
                      <w:rFonts w:ascii="Verdana" w:hAnsi="Verdana"/>
                      <w:sz w:val="16"/>
                      <w:szCs w:val="16"/>
                    </w:rPr>
                    <w:t>62.534</w:t>
                  </w:r>
                </w:p>
              </w:tc>
              <w:tc>
                <w:tcPr>
                  <w:tcW w:w="1303" w:type="dxa"/>
                </w:tcPr>
                <w:p w:rsidRPr="002A1F9A" w:rsidR="003B095E" w:rsidP="00FD60F1" w:rsidRDefault="00D966C0" w14:paraId="199181F7" w14:textId="6B90BDEB">
                  <w:pPr>
                    <w:rPr>
                      <w:rFonts w:ascii="Verdana" w:hAnsi="Verdana"/>
                      <w:sz w:val="16"/>
                      <w:szCs w:val="16"/>
                    </w:rPr>
                  </w:pPr>
                  <w:r w:rsidRPr="002A1F9A">
                    <w:rPr>
                      <w:rFonts w:ascii="Verdana" w:hAnsi="Verdana"/>
                      <w:sz w:val="16"/>
                      <w:szCs w:val="16"/>
                    </w:rPr>
                    <w:t>295.896</w:t>
                  </w:r>
                </w:p>
              </w:tc>
            </w:tr>
          </w:tbl>
          <w:p w:rsidRPr="002A1F9A" w:rsidR="003B095E" w:rsidP="00FD60F1" w:rsidRDefault="00D966C0" w14:paraId="56D42A96" w14:textId="0BB0331D">
            <w:pPr>
              <w:rPr>
                <w:rFonts w:ascii="Verdana" w:hAnsi="Verdana"/>
                <w:sz w:val="16"/>
                <w:szCs w:val="16"/>
              </w:rPr>
            </w:pPr>
            <w:r w:rsidRPr="002A1F9A">
              <w:rPr>
                <w:rFonts w:ascii="Verdana" w:hAnsi="Verdana"/>
                <w:sz w:val="16"/>
                <w:szCs w:val="16"/>
              </w:rPr>
              <w:t>Bron: jaarverslagen OCW / Realisatiegegevens DUO</w:t>
            </w:r>
          </w:p>
          <w:p w:rsidRPr="002A1F9A" w:rsidR="00FD60F1" w:rsidP="00FD60F1" w:rsidRDefault="00D966C0" w14:paraId="612A094E" w14:textId="47D6B537">
            <w:pPr>
              <w:rPr>
                <w:rFonts w:ascii="Verdana" w:hAnsi="Verdana"/>
                <w:sz w:val="16"/>
                <w:szCs w:val="16"/>
              </w:rPr>
            </w:pPr>
            <w:r w:rsidRPr="002A1F9A">
              <w:rPr>
                <w:rFonts w:ascii="Verdana" w:hAnsi="Verdana"/>
                <w:sz w:val="16"/>
                <w:szCs w:val="16"/>
              </w:rPr>
              <w:t xml:space="preserve">*Belangrijk om te vermelden is dat de aantallen in de tabel gewogen personen betreffen. Dit houdt in dat studenten die slechts een deel van het jaar een aanvullende beurs ontvingen, naar verhouding zijn meegeteld. Bijvoorbeeld een student die drie maanden van het jaar een aanvullende beurs kreeg, telt in de onderstaande tabel voor 25% mee in het totaal. </w:t>
            </w:r>
          </w:p>
          <w:p w:rsidRPr="002A1F9A" w:rsidR="00FD60F1" w:rsidP="00FD60F1" w:rsidRDefault="00FD60F1" w14:paraId="6B36389B" w14:textId="77777777">
            <w:pPr>
              <w:rPr>
                <w:rFonts w:ascii="Verdana" w:hAnsi="Verdana"/>
                <w:sz w:val="18"/>
                <w:szCs w:val="18"/>
              </w:rPr>
            </w:pPr>
          </w:p>
        </w:tc>
        <w:tc>
          <w:tcPr>
            <w:tcW w:w="850" w:type="dxa"/>
          </w:tcPr>
          <w:p w:rsidRPr="002A1F9A" w:rsidR="00FD60F1" w:rsidP="00FD60F1" w:rsidRDefault="00FD60F1" w14:paraId="1A2695C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554DF7A5" w14:textId="77777777">
            <w:pPr>
              <w:jc w:val="right"/>
              <w:rPr>
                <w:rFonts w:ascii="Verdana" w:hAnsi="Verdana"/>
                <w:sz w:val="18"/>
                <w:szCs w:val="18"/>
              </w:rPr>
            </w:pPr>
            <w:r w:rsidRPr="002A1F9A">
              <w:rPr>
                <w:rFonts w:ascii="Verdana" w:hAnsi="Verdana"/>
                <w:sz w:val="18"/>
                <w:szCs w:val="18"/>
              </w:rPr>
              <w:t>91</w:t>
            </w:r>
          </w:p>
        </w:tc>
        <w:tc>
          <w:tcPr>
            <w:tcW w:w="567" w:type="dxa"/>
            <w:tcBorders>
              <w:left w:val="nil"/>
            </w:tcBorders>
          </w:tcPr>
          <w:p w:rsidRPr="002A1F9A" w:rsidR="00FD60F1" w:rsidP="00FD60F1" w:rsidRDefault="00FD60F1" w14:paraId="2B225FCA"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7843188D" w14:textId="77777777">
        <w:tc>
          <w:tcPr>
            <w:tcW w:w="567" w:type="dxa"/>
          </w:tcPr>
          <w:p w:rsidRPr="002A1F9A" w:rsidR="00FD60F1" w:rsidP="00FD60F1" w:rsidRDefault="00FD60F1" w14:paraId="7F95F515" w14:textId="77777777">
            <w:pPr>
              <w:rPr>
                <w:rFonts w:ascii="Verdana" w:hAnsi="Verdana"/>
                <w:sz w:val="18"/>
                <w:szCs w:val="18"/>
              </w:rPr>
            </w:pPr>
            <w:r w:rsidRPr="002A1F9A">
              <w:rPr>
                <w:rFonts w:ascii="Verdana" w:hAnsi="Verdana"/>
                <w:sz w:val="18"/>
                <w:szCs w:val="18"/>
              </w:rPr>
              <w:t>161</w:t>
            </w:r>
          </w:p>
        </w:tc>
        <w:tc>
          <w:tcPr>
            <w:tcW w:w="6521" w:type="dxa"/>
          </w:tcPr>
          <w:p w:rsidRPr="002A1F9A" w:rsidR="00FD60F1" w:rsidP="00FD60F1" w:rsidRDefault="00FD60F1" w14:paraId="50E2DA59" w14:textId="77777777">
            <w:pPr>
              <w:rPr>
                <w:rFonts w:ascii="Verdana" w:hAnsi="Verdana"/>
                <w:sz w:val="18"/>
                <w:szCs w:val="18"/>
              </w:rPr>
            </w:pPr>
            <w:r w:rsidRPr="002A1F9A">
              <w:rPr>
                <w:rFonts w:ascii="Verdana" w:hAnsi="Verdana"/>
                <w:sz w:val="18"/>
                <w:szCs w:val="18"/>
              </w:rPr>
              <w:t>Hoeveel geld zou ervoor nodig zijn om alle uitwonende en thuiswonende mbo’ers in aanmerking te laten komen voor een basisbeurs op hetzelfde niveau als studenten in het hoger onderwijs?</w:t>
            </w:r>
          </w:p>
          <w:p w:rsidRPr="002A1F9A" w:rsidR="00FD60F1" w:rsidP="00FD60F1" w:rsidRDefault="00FD60F1" w14:paraId="78FFAC94" w14:textId="77777777">
            <w:pPr>
              <w:rPr>
                <w:rFonts w:ascii="Verdana" w:hAnsi="Verdana"/>
                <w:sz w:val="18"/>
                <w:szCs w:val="18"/>
              </w:rPr>
            </w:pPr>
          </w:p>
          <w:p w:rsidRPr="002A1F9A" w:rsidR="00FD60F1" w:rsidP="00FD60F1" w:rsidRDefault="00FD60F1" w14:paraId="522A75E8" w14:textId="5AC6FBF1">
            <w:pPr>
              <w:rPr>
                <w:rFonts w:ascii="Verdana" w:hAnsi="Verdana"/>
                <w:sz w:val="18"/>
                <w:szCs w:val="18"/>
              </w:rPr>
            </w:pPr>
            <w:r w:rsidRPr="002A1F9A">
              <w:rPr>
                <w:rFonts w:ascii="Verdana" w:hAnsi="Verdana"/>
                <w:sz w:val="18"/>
                <w:szCs w:val="18"/>
              </w:rPr>
              <w:t xml:space="preserve">Op dit moment is de basisbeurs voor thuiswonenden hoger voor hbo- en wo-studenten dan voor mbo-studenten. Voor het antwoord op deze vraag gaan we ervan uit dat deze voor mbo-studenten naar het niveau van hbo- en wo-studenten wordt verhoogd. De basisbeurs voor uitwonenden is nu juist hoger voor mbo-studenten dan voor hbo- en wo-studenten. Voor het antwoord op deze vraag gaan we ervan uit dat die naar het niveau van hbo- en wo-studenten wordt verlaagd. De extra kosten aan de basisbeurs als gevolg hiervan bedragen structureel €25 miljoen. Dit getal is gebaseerd op het normbedrag en het prijspeil van 2025. In de onderstaande tabel staan de huidige normbedragen en de wijzigingen van de normbedragen in het mbo die hieruit zouden voortkomen. Omdat het overgrote deel van de mbo-studenten </w:t>
            </w:r>
            <w:r w:rsidRPr="002A1F9A">
              <w:rPr>
                <w:rFonts w:ascii="Verdana" w:hAnsi="Verdana"/>
                <w:sz w:val="18"/>
                <w:szCs w:val="18"/>
              </w:rPr>
              <w:lastRenderedPageBreak/>
              <w:t>thuiswonend is, leidt een dergelijke maatregel tot extra kosten, ook al wordt de basisbeurs voor uitwonende mbo-studenten verlaagd.</w:t>
            </w:r>
          </w:p>
          <w:p w:rsidRPr="002A1F9A" w:rsidR="00F54137" w:rsidP="00FD60F1" w:rsidRDefault="00F54137" w14:paraId="526B3B3D" w14:textId="77777777">
            <w:pPr>
              <w:rPr>
                <w:rFonts w:ascii="Verdana" w:hAnsi="Verdana"/>
                <w:sz w:val="18"/>
                <w:szCs w:val="18"/>
              </w:rPr>
            </w:pPr>
          </w:p>
          <w:tbl>
            <w:tblPr>
              <w:tblStyle w:val="Tabelraster"/>
              <w:tblW w:w="0" w:type="auto"/>
              <w:tblLook w:val="04A0" w:firstRow="1" w:lastRow="0" w:firstColumn="1" w:lastColumn="0" w:noHBand="0" w:noVBand="1"/>
            </w:tblPr>
            <w:tblGrid>
              <w:gridCol w:w="1627"/>
              <w:gridCol w:w="1628"/>
              <w:gridCol w:w="1415"/>
              <w:gridCol w:w="1841"/>
            </w:tblGrid>
            <w:tr w:rsidRPr="002A1F9A" w:rsidR="00D966C0" w:rsidTr="00F54137" w14:paraId="0DC2F95F" w14:textId="77777777">
              <w:tc>
                <w:tcPr>
                  <w:tcW w:w="1627" w:type="dxa"/>
                </w:tcPr>
                <w:p w:rsidRPr="002A1F9A" w:rsidR="00D966C0" w:rsidP="00FD60F1" w:rsidRDefault="00D966C0" w14:paraId="5999E944" w14:textId="72C7D43C">
                  <w:pPr>
                    <w:rPr>
                      <w:rFonts w:ascii="Verdana" w:hAnsi="Verdana"/>
                      <w:b/>
                      <w:bCs/>
                      <w:sz w:val="16"/>
                      <w:szCs w:val="16"/>
                    </w:rPr>
                  </w:pPr>
                  <w:r w:rsidRPr="002A1F9A">
                    <w:rPr>
                      <w:rFonts w:ascii="Verdana" w:hAnsi="Verdana"/>
                      <w:b/>
                      <w:bCs/>
                      <w:sz w:val="16"/>
                      <w:szCs w:val="16"/>
                    </w:rPr>
                    <w:t>Type beurs</w:t>
                  </w:r>
                </w:p>
              </w:tc>
              <w:tc>
                <w:tcPr>
                  <w:tcW w:w="1628" w:type="dxa"/>
                </w:tcPr>
                <w:p w:rsidRPr="002A1F9A" w:rsidR="00D966C0" w:rsidP="00FD60F1" w:rsidRDefault="00D966C0" w14:paraId="0096AE46" w14:textId="41098ED2">
                  <w:pPr>
                    <w:rPr>
                      <w:rFonts w:ascii="Verdana" w:hAnsi="Verdana"/>
                      <w:b/>
                      <w:bCs/>
                      <w:sz w:val="16"/>
                      <w:szCs w:val="16"/>
                    </w:rPr>
                  </w:pPr>
                  <w:r w:rsidRPr="002A1F9A">
                    <w:rPr>
                      <w:rFonts w:ascii="Verdana" w:hAnsi="Verdana"/>
                      <w:b/>
                      <w:bCs/>
                      <w:sz w:val="16"/>
                      <w:szCs w:val="16"/>
                    </w:rPr>
                    <w:t>Huidig normbedrag mbo</w:t>
                  </w:r>
                </w:p>
              </w:tc>
              <w:tc>
                <w:tcPr>
                  <w:tcW w:w="1415" w:type="dxa"/>
                </w:tcPr>
                <w:p w:rsidRPr="002A1F9A" w:rsidR="00D966C0" w:rsidP="00FD60F1" w:rsidRDefault="00D966C0" w14:paraId="2FA85B5E" w14:textId="664517B4">
                  <w:pPr>
                    <w:rPr>
                      <w:rFonts w:ascii="Verdana" w:hAnsi="Verdana"/>
                      <w:b/>
                      <w:bCs/>
                      <w:sz w:val="16"/>
                      <w:szCs w:val="16"/>
                    </w:rPr>
                  </w:pPr>
                  <w:r w:rsidRPr="002A1F9A">
                    <w:rPr>
                      <w:rFonts w:ascii="Verdana" w:hAnsi="Verdana"/>
                      <w:b/>
                      <w:bCs/>
                      <w:sz w:val="16"/>
                      <w:szCs w:val="16"/>
                    </w:rPr>
                    <w:t>Huidig normbedrag hbo/wo</w:t>
                  </w:r>
                </w:p>
              </w:tc>
              <w:tc>
                <w:tcPr>
                  <w:tcW w:w="1841" w:type="dxa"/>
                </w:tcPr>
                <w:p w:rsidRPr="002A1F9A" w:rsidR="00D966C0" w:rsidP="00FD60F1" w:rsidRDefault="00D966C0" w14:paraId="68C5F7DE" w14:textId="16236E7E">
                  <w:pPr>
                    <w:rPr>
                      <w:rFonts w:ascii="Verdana" w:hAnsi="Verdana"/>
                      <w:b/>
                      <w:bCs/>
                      <w:sz w:val="16"/>
                      <w:szCs w:val="16"/>
                    </w:rPr>
                  </w:pPr>
                  <w:r w:rsidRPr="002A1F9A">
                    <w:rPr>
                      <w:rFonts w:ascii="Verdana" w:hAnsi="Verdana"/>
                      <w:b/>
                      <w:bCs/>
                      <w:sz w:val="16"/>
                      <w:szCs w:val="16"/>
                    </w:rPr>
                    <w:t>Effect maatregel op normbedrag mbo</w:t>
                  </w:r>
                </w:p>
              </w:tc>
            </w:tr>
            <w:tr w:rsidRPr="002A1F9A" w:rsidR="00D966C0" w:rsidTr="00F54137" w14:paraId="1BB5BA1B" w14:textId="77777777">
              <w:tc>
                <w:tcPr>
                  <w:tcW w:w="1627" w:type="dxa"/>
                </w:tcPr>
                <w:p w:rsidRPr="002A1F9A" w:rsidR="00D966C0" w:rsidP="00FD60F1" w:rsidRDefault="00D966C0" w14:paraId="0BE57B18" w14:textId="621E1E48">
                  <w:pPr>
                    <w:rPr>
                      <w:rFonts w:ascii="Verdana" w:hAnsi="Verdana"/>
                      <w:b/>
                      <w:bCs/>
                      <w:sz w:val="16"/>
                      <w:szCs w:val="16"/>
                    </w:rPr>
                  </w:pPr>
                  <w:r w:rsidRPr="002A1F9A">
                    <w:rPr>
                      <w:rFonts w:ascii="Verdana" w:hAnsi="Verdana"/>
                      <w:b/>
                      <w:bCs/>
                      <w:sz w:val="16"/>
                      <w:szCs w:val="16"/>
                    </w:rPr>
                    <w:t>Basisbeurs thuiswonend</w:t>
                  </w:r>
                </w:p>
              </w:tc>
              <w:tc>
                <w:tcPr>
                  <w:tcW w:w="1628" w:type="dxa"/>
                </w:tcPr>
                <w:p w:rsidRPr="002A1F9A" w:rsidR="00D966C0" w:rsidP="00D966C0" w:rsidRDefault="00D966C0" w14:paraId="7DB0096D" w14:textId="0FC6A1CB">
                  <w:pPr>
                    <w:spacing w:line="360" w:lineRule="auto"/>
                    <w:rPr>
                      <w:rFonts w:ascii="Verdana" w:hAnsi="Verdana"/>
                      <w:sz w:val="16"/>
                      <w:szCs w:val="16"/>
                    </w:rPr>
                  </w:pPr>
                  <w:r w:rsidRPr="002A1F9A">
                    <w:rPr>
                      <w:rFonts w:ascii="Verdana" w:hAnsi="Verdana"/>
                      <w:sz w:val="16"/>
                      <w:szCs w:val="16"/>
                    </w:rPr>
                    <w:t>€ 103,78</w:t>
                  </w:r>
                </w:p>
              </w:tc>
              <w:tc>
                <w:tcPr>
                  <w:tcW w:w="1415" w:type="dxa"/>
                </w:tcPr>
                <w:p w:rsidRPr="002A1F9A" w:rsidR="00D966C0" w:rsidP="00FD60F1" w:rsidRDefault="00D966C0" w14:paraId="6566A643" w14:textId="627B1D3C">
                  <w:pPr>
                    <w:rPr>
                      <w:rFonts w:ascii="Verdana" w:hAnsi="Verdana"/>
                      <w:sz w:val="16"/>
                      <w:szCs w:val="16"/>
                    </w:rPr>
                  </w:pPr>
                  <w:r w:rsidRPr="002A1F9A">
                    <w:rPr>
                      <w:rFonts w:ascii="Verdana" w:hAnsi="Verdana"/>
                      <w:sz w:val="16"/>
                      <w:szCs w:val="16"/>
                    </w:rPr>
                    <w:t>€ 125,99</w:t>
                  </w:r>
                </w:p>
              </w:tc>
              <w:tc>
                <w:tcPr>
                  <w:tcW w:w="1841" w:type="dxa"/>
                </w:tcPr>
                <w:p w:rsidRPr="002A1F9A" w:rsidR="00D966C0" w:rsidP="00FD60F1" w:rsidRDefault="00D966C0" w14:paraId="2E05485C" w14:textId="26DA75DD">
                  <w:pPr>
                    <w:rPr>
                      <w:rFonts w:ascii="Verdana" w:hAnsi="Verdana"/>
                      <w:sz w:val="16"/>
                      <w:szCs w:val="16"/>
                    </w:rPr>
                  </w:pPr>
                  <w:r w:rsidRPr="002A1F9A">
                    <w:rPr>
                      <w:rFonts w:ascii="Verdana" w:hAnsi="Verdana"/>
                      <w:sz w:val="16"/>
                      <w:szCs w:val="16"/>
                    </w:rPr>
                    <w:t>+ € 22,21</w:t>
                  </w:r>
                </w:p>
              </w:tc>
            </w:tr>
            <w:tr w:rsidRPr="002A1F9A" w:rsidR="00D966C0" w:rsidTr="00F54137" w14:paraId="6CFE7C74" w14:textId="77777777">
              <w:tc>
                <w:tcPr>
                  <w:tcW w:w="1627" w:type="dxa"/>
                </w:tcPr>
                <w:p w:rsidRPr="002A1F9A" w:rsidR="00D966C0" w:rsidP="00FD60F1" w:rsidRDefault="00D966C0" w14:paraId="25B158A1" w14:textId="50095E0E">
                  <w:pPr>
                    <w:rPr>
                      <w:rFonts w:ascii="Verdana" w:hAnsi="Verdana"/>
                      <w:b/>
                      <w:bCs/>
                      <w:sz w:val="16"/>
                      <w:szCs w:val="16"/>
                    </w:rPr>
                  </w:pPr>
                  <w:r w:rsidRPr="002A1F9A">
                    <w:rPr>
                      <w:rFonts w:ascii="Verdana" w:hAnsi="Verdana"/>
                      <w:b/>
                      <w:bCs/>
                      <w:sz w:val="16"/>
                      <w:szCs w:val="16"/>
                    </w:rPr>
                    <w:t>Basisbeurs uitwonend</w:t>
                  </w:r>
                </w:p>
              </w:tc>
              <w:tc>
                <w:tcPr>
                  <w:tcW w:w="1628" w:type="dxa"/>
                </w:tcPr>
                <w:p w:rsidRPr="002A1F9A" w:rsidR="00D966C0" w:rsidP="00FD60F1" w:rsidRDefault="00D966C0" w14:paraId="1FA1E285" w14:textId="73D2370E">
                  <w:pPr>
                    <w:rPr>
                      <w:rFonts w:ascii="Verdana" w:hAnsi="Verdana"/>
                      <w:sz w:val="16"/>
                      <w:szCs w:val="16"/>
                    </w:rPr>
                  </w:pPr>
                  <w:r w:rsidRPr="002A1F9A">
                    <w:rPr>
                      <w:rFonts w:ascii="Verdana" w:hAnsi="Verdana"/>
                      <w:sz w:val="16"/>
                      <w:szCs w:val="16"/>
                    </w:rPr>
                    <w:t>€ 338,68</w:t>
                  </w:r>
                </w:p>
              </w:tc>
              <w:tc>
                <w:tcPr>
                  <w:tcW w:w="1415" w:type="dxa"/>
                </w:tcPr>
                <w:p w:rsidRPr="002A1F9A" w:rsidR="00D966C0" w:rsidP="00FD60F1" w:rsidRDefault="00D966C0" w14:paraId="207BCD7A" w14:textId="431A7E13">
                  <w:pPr>
                    <w:rPr>
                      <w:rFonts w:ascii="Verdana" w:hAnsi="Verdana"/>
                      <w:sz w:val="16"/>
                      <w:szCs w:val="16"/>
                    </w:rPr>
                  </w:pPr>
                  <w:r w:rsidRPr="002A1F9A">
                    <w:rPr>
                      <w:rFonts w:ascii="Verdana" w:hAnsi="Verdana"/>
                      <w:sz w:val="16"/>
                      <w:szCs w:val="16"/>
                    </w:rPr>
                    <w:t>€ 314,00</w:t>
                  </w:r>
                </w:p>
              </w:tc>
              <w:tc>
                <w:tcPr>
                  <w:tcW w:w="1841" w:type="dxa"/>
                </w:tcPr>
                <w:p w:rsidRPr="002A1F9A" w:rsidR="00D966C0" w:rsidP="00FD60F1" w:rsidRDefault="00D966C0" w14:paraId="48868DE6" w14:textId="0D60B44A">
                  <w:pPr>
                    <w:rPr>
                      <w:rFonts w:ascii="Verdana" w:hAnsi="Verdana"/>
                      <w:sz w:val="16"/>
                      <w:szCs w:val="16"/>
                    </w:rPr>
                  </w:pPr>
                  <w:r w:rsidRPr="002A1F9A">
                    <w:rPr>
                      <w:rFonts w:ascii="Verdana" w:hAnsi="Verdana"/>
                      <w:sz w:val="16"/>
                      <w:szCs w:val="16"/>
                    </w:rPr>
                    <w:t>- € 24,00</w:t>
                  </w:r>
                </w:p>
              </w:tc>
            </w:tr>
          </w:tbl>
          <w:p w:rsidRPr="002A1F9A" w:rsidR="00D966C0" w:rsidP="00FD60F1" w:rsidRDefault="00D966C0" w14:paraId="3A52198B" w14:textId="77777777">
            <w:pPr>
              <w:rPr>
                <w:rFonts w:ascii="Verdana" w:hAnsi="Verdana"/>
                <w:sz w:val="18"/>
                <w:szCs w:val="18"/>
              </w:rPr>
            </w:pPr>
          </w:p>
          <w:p w:rsidRPr="002A1F9A" w:rsidR="00D966C0" w:rsidP="00FD60F1" w:rsidRDefault="00D966C0" w14:paraId="36E82389" w14:textId="23949612">
            <w:pPr>
              <w:rPr>
                <w:rFonts w:ascii="Verdana" w:hAnsi="Verdana"/>
                <w:sz w:val="18"/>
                <w:szCs w:val="18"/>
              </w:rPr>
            </w:pPr>
          </w:p>
        </w:tc>
        <w:tc>
          <w:tcPr>
            <w:tcW w:w="850" w:type="dxa"/>
          </w:tcPr>
          <w:p w:rsidRPr="002A1F9A" w:rsidR="00FD60F1" w:rsidP="00FD60F1" w:rsidRDefault="00FD60F1" w14:paraId="02A810D2"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0499F7CC" w14:textId="77777777">
            <w:pPr>
              <w:jc w:val="right"/>
              <w:rPr>
                <w:rFonts w:ascii="Verdana" w:hAnsi="Verdana"/>
                <w:sz w:val="18"/>
                <w:szCs w:val="18"/>
              </w:rPr>
            </w:pPr>
            <w:r w:rsidRPr="002A1F9A">
              <w:rPr>
                <w:rFonts w:ascii="Verdana" w:hAnsi="Verdana"/>
                <w:sz w:val="18"/>
                <w:szCs w:val="18"/>
              </w:rPr>
              <w:t>91</w:t>
            </w:r>
          </w:p>
        </w:tc>
        <w:tc>
          <w:tcPr>
            <w:tcW w:w="567" w:type="dxa"/>
            <w:tcBorders>
              <w:left w:val="nil"/>
            </w:tcBorders>
          </w:tcPr>
          <w:p w:rsidRPr="002A1F9A" w:rsidR="00FD60F1" w:rsidP="00FD60F1" w:rsidRDefault="00FD60F1" w14:paraId="21C406BC"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74B5CA38" w14:textId="77777777">
        <w:tc>
          <w:tcPr>
            <w:tcW w:w="567" w:type="dxa"/>
          </w:tcPr>
          <w:p w:rsidRPr="002A1F9A" w:rsidR="00FD60F1" w:rsidP="00FD60F1" w:rsidRDefault="00FD60F1" w14:paraId="4111C801" w14:textId="77777777">
            <w:pPr>
              <w:rPr>
                <w:rFonts w:ascii="Verdana" w:hAnsi="Verdana"/>
                <w:sz w:val="18"/>
                <w:szCs w:val="18"/>
              </w:rPr>
            </w:pPr>
            <w:bookmarkStart w:name="_Hlk212625904" w:id="38"/>
            <w:r w:rsidRPr="002A1F9A">
              <w:rPr>
                <w:rFonts w:ascii="Verdana" w:hAnsi="Verdana"/>
                <w:sz w:val="18"/>
                <w:szCs w:val="18"/>
              </w:rPr>
              <w:t>162</w:t>
            </w:r>
          </w:p>
        </w:tc>
        <w:tc>
          <w:tcPr>
            <w:tcW w:w="6521" w:type="dxa"/>
          </w:tcPr>
          <w:p w:rsidRPr="002A1F9A" w:rsidR="00FD60F1" w:rsidP="00FD60F1" w:rsidRDefault="00FD60F1" w14:paraId="54AD2AE2" w14:textId="77777777">
            <w:pPr>
              <w:rPr>
                <w:rFonts w:ascii="Verdana" w:hAnsi="Verdana"/>
                <w:sz w:val="18"/>
                <w:szCs w:val="18"/>
              </w:rPr>
            </w:pPr>
            <w:r w:rsidRPr="002A1F9A">
              <w:rPr>
                <w:rFonts w:ascii="Verdana" w:hAnsi="Verdana"/>
                <w:sz w:val="18"/>
                <w:szCs w:val="18"/>
              </w:rPr>
              <w:t>Hoeveel kost het om alle minderjarige uitwonende mbo-studenten te voorzien van een basisbeurs?</w:t>
            </w:r>
          </w:p>
          <w:p w:rsidRPr="002A1F9A" w:rsidR="00FD60F1" w:rsidP="00FD60F1" w:rsidRDefault="00FD60F1" w14:paraId="16288EC2" w14:textId="77777777">
            <w:pPr>
              <w:rPr>
                <w:rFonts w:ascii="Verdana" w:hAnsi="Verdana"/>
                <w:sz w:val="18"/>
                <w:szCs w:val="18"/>
              </w:rPr>
            </w:pPr>
          </w:p>
          <w:p w:rsidRPr="002A1F9A" w:rsidR="00FD60F1" w:rsidP="00FD60F1" w:rsidRDefault="00FD60F1" w14:paraId="2CF961F3" w14:textId="77777777">
            <w:pPr>
              <w:rPr>
                <w:rFonts w:ascii="Verdana" w:hAnsi="Verdana"/>
                <w:sz w:val="18"/>
                <w:szCs w:val="18"/>
              </w:rPr>
            </w:pPr>
            <w:r w:rsidRPr="002A1F9A">
              <w:rPr>
                <w:rFonts w:ascii="Verdana" w:hAnsi="Verdana"/>
                <w:sz w:val="18"/>
                <w:szCs w:val="18"/>
              </w:rPr>
              <w:t>Deze vraag kan alleen beantwoord worden met een aantal aannames:</w:t>
            </w:r>
          </w:p>
          <w:p w:rsidRPr="002A1F9A" w:rsidR="00FD60F1" w:rsidP="00FD60F1" w:rsidRDefault="00FD60F1" w14:paraId="762F66F7" w14:textId="77777777">
            <w:pPr>
              <w:pStyle w:val="Lijstalinea"/>
              <w:numPr>
                <w:ilvl w:val="0"/>
                <w:numId w:val="5"/>
              </w:numPr>
              <w:rPr>
                <w:szCs w:val="18"/>
              </w:rPr>
            </w:pPr>
            <w:r w:rsidRPr="002A1F9A">
              <w:rPr>
                <w:szCs w:val="18"/>
              </w:rPr>
              <w:t>Het aantal minderjarige mbo-bol studenten wordt gebaseerd op het aantal minderjarige mbo bol-studenten dat in 2024 gebruik heeft gemaakt van het studentenreisproduct.</w:t>
            </w:r>
          </w:p>
          <w:p w:rsidRPr="002A1F9A" w:rsidR="00FD60F1" w:rsidP="00FD60F1" w:rsidRDefault="00FD60F1" w14:paraId="138DFAB5" w14:textId="77777777">
            <w:pPr>
              <w:pStyle w:val="Lijstalinea"/>
              <w:numPr>
                <w:ilvl w:val="0"/>
                <w:numId w:val="5"/>
              </w:numPr>
              <w:rPr>
                <w:szCs w:val="18"/>
              </w:rPr>
            </w:pPr>
            <w:proofErr w:type="spellStart"/>
            <w:r w:rsidRPr="002A1F9A">
              <w:rPr>
                <w:szCs w:val="18"/>
              </w:rPr>
              <w:t>Bbl</w:t>
            </w:r>
            <w:proofErr w:type="spellEnd"/>
            <w:r w:rsidRPr="002A1F9A">
              <w:rPr>
                <w:szCs w:val="18"/>
              </w:rPr>
              <w:t xml:space="preserve">-studenten worden niet meegenomen, omdat </w:t>
            </w:r>
            <w:proofErr w:type="spellStart"/>
            <w:r w:rsidRPr="002A1F9A">
              <w:rPr>
                <w:szCs w:val="18"/>
              </w:rPr>
              <w:t>bbl</w:t>
            </w:r>
            <w:proofErr w:type="spellEnd"/>
            <w:r w:rsidRPr="002A1F9A">
              <w:rPr>
                <w:szCs w:val="18"/>
              </w:rPr>
              <w:t xml:space="preserve">-studenten niet in aanmerking komen voor studiefinanciering. Ook meerderjarige </w:t>
            </w:r>
            <w:proofErr w:type="spellStart"/>
            <w:r w:rsidRPr="002A1F9A">
              <w:rPr>
                <w:szCs w:val="18"/>
              </w:rPr>
              <w:t>bbl</w:t>
            </w:r>
            <w:proofErr w:type="spellEnd"/>
            <w:r w:rsidRPr="002A1F9A">
              <w:rPr>
                <w:szCs w:val="18"/>
              </w:rPr>
              <w:t>-studenten niet.</w:t>
            </w:r>
          </w:p>
          <w:p w:rsidRPr="002A1F9A" w:rsidR="00FD60F1" w:rsidP="00FD60F1" w:rsidRDefault="00FD60F1" w14:paraId="48D7B7A9" w14:textId="6AFA0B38">
            <w:pPr>
              <w:pStyle w:val="Lijstalinea"/>
              <w:numPr>
                <w:ilvl w:val="0"/>
                <w:numId w:val="5"/>
              </w:numPr>
              <w:rPr>
                <w:szCs w:val="18"/>
              </w:rPr>
            </w:pPr>
            <w:r w:rsidRPr="002A1F9A">
              <w:rPr>
                <w:szCs w:val="18"/>
              </w:rPr>
              <w:t xml:space="preserve">Er zijn geen gegevens bekend over de woonsituatie van minderjarige mbo bol-studenten. Daarom wordt als </w:t>
            </w:r>
            <w:r w:rsidRPr="002A1F9A" w:rsidR="008971BB">
              <w:rPr>
                <w:szCs w:val="18"/>
              </w:rPr>
              <w:t>aanname</w:t>
            </w:r>
            <w:r w:rsidRPr="002A1F9A" w:rsidR="001346E7">
              <w:rPr>
                <w:szCs w:val="18"/>
              </w:rPr>
              <w:t xml:space="preserve"> </w:t>
            </w:r>
            <w:r w:rsidRPr="002A1F9A">
              <w:rPr>
                <w:szCs w:val="18"/>
              </w:rPr>
              <w:t xml:space="preserve">de verdeling van thuis- en </w:t>
            </w:r>
            <w:proofErr w:type="spellStart"/>
            <w:r w:rsidRPr="002A1F9A">
              <w:rPr>
                <w:szCs w:val="18"/>
              </w:rPr>
              <w:t>uitwonendheid</w:t>
            </w:r>
            <w:proofErr w:type="spellEnd"/>
            <w:r w:rsidRPr="002A1F9A">
              <w:rPr>
                <w:szCs w:val="18"/>
              </w:rPr>
              <w:t xml:space="preserve"> van meerderjarige mbo bol-studenten gebruikt.</w:t>
            </w:r>
          </w:p>
          <w:p w:rsidRPr="002A1F9A" w:rsidR="00FD60F1" w:rsidP="00FD60F1" w:rsidRDefault="00FD60F1" w14:paraId="16ADBA4B" w14:textId="77777777">
            <w:pPr>
              <w:pStyle w:val="Lijstalinea"/>
              <w:numPr>
                <w:ilvl w:val="0"/>
                <w:numId w:val="5"/>
              </w:numPr>
              <w:rPr>
                <w:szCs w:val="18"/>
              </w:rPr>
            </w:pPr>
            <w:r w:rsidRPr="002A1F9A">
              <w:rPr>
                <w:szCs w:val="18"/>
              </w:rPr>
              <w:t xml:space="preserve">Elke student in bol 3-4 heeft recht op een basisbeurs gedurende de nominale duur van de opleiding. Door deze maatregel zullen studenten die langer over hun studie doen, hun basisbeursrechten eerder in hun studie hebben verbruikt. In dit antwoord is hiervoor niet gecorrigeerd.  </w:t>
            </w:r>
          </w:p>
          <w:p w:rsidRPr="002A1F9A" w:rsidR="00FD60F1" w:rsidP="00FD60F1" w:rsidRDefault="00FD60F1" w14:paraId="21D0984E" w14:textId="77777777">
            <w:pPr>
              <w:rPr>
                <w:rFonts w:ascii="Verdana" w:hAnsi="Verdana"/>
                <w:sz w:val="18"/>
                <w:szCs w:val="18"/>
              </w:rPr>
            </w:pPr>
            <w:r w:rsidRPr="002A1F9A">
              <w:rPr>
                <w:rFonts w:ascii="Verdana" w:hAnsi="Verdana"/>
                <w:sz w:val="18"/>
                <w:szCs w:val="18"/>
              </w:rPr>
              <w:t xml:space="preserve">Op basis van deze aannames kost het structureel circa € 60 miljoen (prijspeil 2025) om minderjarige uitwonende mbo-studenten te voorzien van een basisbeurs (€ 338,68 per maand). Er moet tevens rekening gehouden worden met effecten op de uitvoering door DUO. Om deze effecten precies in kaart te brengen is een uitvoeringstoets van DUO noodzakelijk. Naar verwachting zou een dergelijke maatregel een grote impact hebben op de uitvoering, met hoge kosten.  </w:t>
            </w:r>
          </w:p>
          <w:p w:rsidRPr="002A1F9A" w:rsidR="00FD60F1" w:rsidP="00FD60F1" w:rsidRDefault="00FD60F1" w14:paraId="4E9B281A" w14:textId="77777777">
            <w:pPr>
              <w:rPr>
                <w:rFonts w:ascii="Verdana" w:hAnsi="Verdana"/>
                <w:sz w:val="18"/>
                <w:szCs w:val="18"/>
              </w:rPr>
            </w:pPr>
            <w:bookmarkStart w:name="_Hlk211501278" w:id="39"/>
            <w:r w:rsidRPr="002A1F9A">
              <w:rPr>
                <w:rFonts w:ascii="Verdana" w:hAnsi="Verdana"/>
                <w:sz w:val="18"/>
                <w:szCs w:val="18"/>
              </w:rPr>
              <w:t xml:space="preserve">Een belangrijke kanttekening bij deze maatregel is dat minderjarige mbo-studenten nog geen lesgeld betalen en hun ouders recht hebben op </w:t>
            </w:r>
            <w:proofErr w:type="spellStart"/>
            <w:r w:rsidRPr="002A1F9A">
              <w:rPr>
                <w:rFonts w:ascii="Verdana" w:hAnsi="Verdana"/>
                <w:sz w:val="18"/>
                <w:szCs w:val="18"/>
              </w:rPr>
              <w:t>kindregelingen</w:t>
            </w:r>
            <w:proofErr w:type="spellEnd"/>
            <w:r w:rsidRPr="002A1F9A">
              <w:rPr>
                <w:rFonts w:ascii="Verdana" w:hAnsi="Verdana"/>
                <w:sz w:val="18"/>
                <w:szCs w:val="18"/>
              </w:rPr>
              <w:t>. Bij de weging van deze maatregel moeten deze aspecten in samenhang worden beschouwd met het studiefinancieringsstelsel en de inrichting van het mbo-stelsel.</w:t>
            </w:r>
            <w:bookmarkEnd w:id="39"/>
          </w:p>
          <w:p w:rsidRPr="002A1F9A" w:rsidR="00FD60F1" w:rsidP="00FD60F1" w:rsidRDefault="00FD60F1" w14:paraId="6232AA73" w14:textId="5A6F9FA2">
            <w:pPr>
              <w:rPr>
                <w:rFonts w:ascii="Verdana" w:hAnsi="Verdana"/>
                <w:sz w:val="18"/>
                <w:szCs w:val="18"/>
              </w:rPr>
            </w:pPr>
          </w:p>
        </w:tc>
        <w:tc>
          <w:tcPr>
            <w:tcW w:w="850" w:type="dxa"/>
          </w:tcPr>
          <w:p w:rsidRPr="002A1F9A" w:rsidR="00FD60F1" w:rsidP="00FD60F1" w:rsidRDefault="00FD60F1" w14:paraId="4CC1E0AF"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44D56A6C" w14:textId="77777777">
            <w:pPr>
              <w:jc w:val="right"/>
              <w:rPr>
                <w:rFonts w:ascii="Verdana" w:hAnsi="Verdana"/>
                <w:sz w:val="18"/>
                <w:szCs w:val="18"/>
              </w:rPr>
            </w:pPr>
            <w:r w:rsidRPr="002A1F9A">
              <w:rPr>
                <w:rFonts w:ascii="Verdana" w:hAnsi="Verdana"/>
                <w:sz w:val="18"/>
                <w:szCs w:val="18"/>
              </w:rPr>
              <w:t>93</w:t>
            </w:r>
          </w:p>
        </w:tc>
        <w:tc>
          <w:tcPr>
            <w:tcW w:w="567" w:type="dxa"/>
            <w:tcBorders>
              <w:left w:val="nil"/>
            </w:tcBorders>
          </w:tcPr>
          <w:p w:rsidRPr="002A1F9A" w:rsidR="00FD60F1" w:rsidP="00FD60F1" w:rsidRDefault="00FD60F1" w14:paraId="4A608AB3"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5F44628D" w14:textId="77777777">
        <w:tc>
          <w:tcPr>
            <w:tcW w:w="567" w:type="dxa"/>
          </w:tcPr>
          <w:p w:rsidRPr="002A1F9A" w:rsidR="00FD60F1" w:rsidP="00FD60F1" w:rsidRDefault="00FD60F1" w14:paraId="7D1BB456" w14:textId="77777777">
            <w:pPr>
              <w:rPr>
                <w:rFonts w:ascii="Verdana" w:hAnsi="Verdana"/>
                <w:sz w:val="18"/>
                <w:szCs w:val="18"/>
              </w:rPr>
            </w:pPr>
            <w:r w:rsidRPr="002A1F9A">
              <w:rPr>
                <w:rFonts w:ascii="Verdana" w:hAnsi="Verdana"/>
                <w:sz w:val="18"/>
                <w:szCs w:val="18"/>
              </w:rPr>
              <w:t>163</w:t>
            </w:r>
          </w:p>
        </w:tc>
        <w:tc>
          <w:tcPr>
            <w:tcW w:w="6521" w:type="dxa"/>
          </w:tcPr>
          <w:p w:rsidRPr="002A1F9A" w:rsidR="00FD60F1" w:rsidP="00FD60F1" w:rsidRDefault="00FD60F1" w14:paraId="02454414" w14:textId="77777777">
            <w:pPr>
              <w:rPr>
                <w:rFonts w:ascii="Verdana" w:hAnsi="Verdana"/>
                <w:sz w:val="18"/>
                <w:szCs w:val="18"/>
              </w:rPr>
            </w:pPr>
            <w:r w:rsidRPr="002A1F9A">
              <w:rPr>
                <w:rFonts w:ascii="Verdana" w:hAnsi="Verdana"/>
                <w:sz w:val="18"/>
                <w:szCs w:val="18"/>
              </w:rPr>
              <w:t>Hoeveel zou het kosten om minderjarige mbo-studenten ook onder de wet Gratis Schoolboeken te laten vallen?</w:t>
            </w:r>
          </w:p>
          <w:p w:rsidRPr="002A1F9A" w:rsidR="00FD60F1" w:rsidP="00FD60F1" w:rsidRDefault="00FD60F1" w14:paraId="6BF377CA" w14:textId="77777777">
            <w:pPr>
              <w:rPr>
                <w:rFonts w:ascii="Verdana" w:hAnsi="Verdana"/>
                <w:sz w:val="18"/>
                <w:szCs w:val="18"/>
              </w:rPr>
            </w:pPr>
          </w:p>
          <w:p w:rsidRPr="002A1F9A" w:rsidR="00FD60F1" w:rsidP="00FD60F1" w:rsidRDefault="00FD60F1" w14:paraId="76477A4A" w14:textId="77777777">
            <w:pPr>
              <w:rPr>
                <w:rFonts w:ascii="Verdana" w:hAnsi="Verdana"/>
                <w:sz w:val="18"/>
                <w:szCs w:val="18"/>
              </w:rPr>
            </w:pPr>
            <w:r w:rsidRPr="002A1F9A">
              <w:rPr>
                <w:rFonts w:ascii="Verdana" w:hAnsi="Verdana"/>
                <w:sz w:val="18"/>
                <w:szCs w:val="18"/>
              </w:rPr>
              <w:t xml:space="preserve">Een grove inschatting, gebaseerd op de huidige vergoeding in het voortgezet onderwijs onder de Wet gratis schoolboeken, bedraagt voor het mbo structureel circa € 80 miljoen per jaar. Hierbij is uitgegaan van 170.000 minderjarige mbo-studenten en een gemiddelde vergoeding van circa € 450 per student per jaar. Via het </w:t>
            </w:r>
            <w:hyperlink w:history="1" r:id="rId92">
              <w:r w:rsidRPr="002A1F9A">
                <w:rPr>
                  <w:rStyle w:val="Hyperlink"/>
                  <w:rFonts w:ascii="Verdana" w:hAnsi="Verdana"/>
                  <w:sz w:val="18"/>
                  <w:szCs w:val="18"/>
                </w:rPr>
                <w:t>amendement van het lid Hagen</w:t>
              </w:r>
            </w:hyperlink>
            <w:r w:rsidRPr="002A1F9A">
              <w:rPr>
                <w:rFonts w:ascii="Verdana" w:hAnsi="Verdana"/>
                <w:sz w:val="18"/>
                <w:szCs w:val="18"/>
              </w:rPr>
              <w:t xml:space="preserve"> is sinds 2023 al structureel € 10 miljoen per jaar gereserveerd voor basisvaardighedenboeken voor minderjarige mbo-studenten. Dit bedrag kan in mindering worden gebracht op de raming van € 80 miljoen.</w:t>
            </w:r>
          </w:p>
          <w:p w:rsidRPr="002A1F9A" w:rsidR="00FD60F1" w:rsidP="00FD60F1" w:rsidRDefault="00FD60F1" w14:paraId="2F2B571B" w14:textId="77777777">
            <w:pPr>
              <w:rPr>
                <w:rFonts w:ascii="Verdana" w:hAnsi="Verdana"/>
                <w:sz w:val="18"/>
                <w:szCs w:val="18"/>
              </w:rPr>
            </w:pPr>
            <w:r w:rsidRPr="002A1F9A">
              <w:rPr>
                <w:rFonts w:ascii="Verdana" w:hAnsi="Verdana"/>
                <w:sz w:val="18"/>
                <w:szCs w:val="18"/>
              </w:rPr>
              <w:lastRenderedPageBreak/>
              <w:t xml:space="preserve">De kosten voor de aanschaf van leermiddelen in het mbo liggen doorgaans hoger dan in het vo door specialistische boeken die per opleiding verschillen. De meeste boeken worden aangeschaft in het eerste en tweede leerjaar en gaan daarna meerdere jaren mee, waardoor minderjarige studenten gemiddeld hogere kosten hebben. Een betere inschatting van de kosten vereist daarom nader onderzoek. </w:t>
            </w:r>
          </w:p>
          <w:p w:rsidRPr="002A1F9A" w:rsidR="00FD60F1" w:rsidP="00FD60F1" w:rsidRDefault="00FD60F1" w14:paraId="7713AA1D" w14:textId="18317C3D">
            <w:pPr>
              <w:rPr>
                <w:rFonts w:ascii="Verdana" w:hAnsi="Verdana"/>
                <w:sz w:val="18"/>
                <w:szCs w:val="18"/>
              </w:rPr>
            </w:pPr>
            <w:r w:rsidRPr="002A1F9A">
              <w:rPr>
                <w:rFonts w:ascii="Verdana" w:hAnsi="Verdana"/>
                <w:sz w:val="18"/>
                <w:szCs w:val="18"/>
              </w:rPr>
              <w:t xml:space="preserve">Het faciliteren van gratis schoolboeken is één van de mogelijke maatregelen om de kosten voor mbo-studenten te verlagen. Er zijn meer opties om de financiële positie van mbo-studenten te versterken en de gelijkheid met andere onderwijssectoren te bevorderen. Nader onderzoek naar deze opties zal met de Kamer uiterlijk </w:t>
            </w:r>
            <w:r w:rsidRPr="002A1F9A" w:rsidR="008971BB">
              <w:rPr>
                <w:rFonts w:ascii="Verdana" w:hAnsi="Verdana"/>
                <w:sz w:val="18"/>
                <w:szCs w:val="18"/>
              </w:rPr>
              <w:t>in november 2025 worden gedeeld in de beleidsreactie op het advies van de Onderwijsraad ‘</w:t>
            </w:r>
            <w:r w:rsidRPr="002A1F9A" w:rsidR="008971BB">
              <w:rPr>
                <w:rFonts w:ascii="Verdana" w:hAnsi="Verdana"/>
                <w:i/>
                <w:iCs/>
                <w:sz w:val="18"/>
                <w:szCs w:val="18"/>
              </w:rPr>
              <w:t>Armoede en onderwijs</w:t>
            </w:r>
            <w:r w:rsidRPr="002A1F9A" w:rsidR="008971BB">
              <w:rPr>
                <w:rFonts w:ascii="Verdana" w:hAnsi="Verdana"/>
                <w:sz w:val="18"/>
                <w:szCs w:val="18"/>
              </w:rPr>
              <w:t>’.</w:t>
            </w:r>
          </w:p>
          <w:p w:rsidRPr="002A1F9A" w:rsidR="00FD60F1" w:rsidP="00FD60F1" w:rsidRDefault="00FD60F1" w14:paraId="2AE239F6" w14:textId="2CB961C7">
            <w:pPr>
              <w:rPr>
                <w:rFonts w:ascii="Verdana" w:hAnsi="Verdana"/>
                <w:sz w:val="18"/>
                <w:szCs w:val="18"/>
              </w:rPr>
            </w:pPr>
          </w:p>
        </w:tc>
        <w:tc>
          <w:tcPr>
            <w:tcW w:w="850" w:type="dxa"/>
          </w:tcPr>
          <w:p w:rsidRPr="002A1F9A" w:rsidR="00FD60F1" w:rsidP="00FD60F1" w:rsidRDefault="00FD60F1" w14:paraId="43D64971"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0ECC3AF0" w14:textId="77777777">
            <w:pPr>
              <w:jc w:val="right"/>
              <w:rPr>
                <w:rFonts w:ascii="Verdana" w:hAnsi="Verdana"/>
                <w:sz w:val="18"/>
                <w:szCs w:val="18"/>
              </w:rPr>
            </w:pPr>
            <w:r w:rsidRPr="002A1F9A">
              <w:rPr>
                <w:rFonts w:ascii="Verdana" w:hAnsi="Verdana"/>
                <w:sz w:val="18"/>
                <w:szCs w:val="18"/>
              </w:rPr>
              <w:t>93</w:t>
            </w:r>
          </w:p>
        </w:tc>
        <w:tc>
          <w:tcPr>
            <w:tcW w:w="567" w:type="dxa"/>
            <w:tcBorders>
              <w:left w:val="nil"/>
            </w:tcBorders>
          </w:tcPr>
          <w:p w:rsidRPr="002A1F9A" w:rsidR="00FD60F1" w:rsidP="00FD60F1" w:rsidRDefault="00FD60F1" w14:paraId="4BFDB638" w14:textId="77777777">
            <w:pPr>
              <w:jc w:val="right"/>
              <w:rPr>
                <w:rFonts w:ascii="Verdana" w:hAnsi="Verdana"/>
                <w:sz w:val="18"/>
                <w:szCs w:val="18"/>
              </w:rPr>
            </w:pPr>
            <w:r w:rsidRPr="002A1F9A">
              <w:rPr>
                <w:rFonts w:ascii="Verdana" w:hAnsi="Verdana"/>
                <w:sz w:val="18"/>
                <w:szCs w:val="18"/>
              </w:rPr>
              <w:t xml:space="preserve"> </w:t>
            </w:r>
          </w:p>
        </w:tc>
      </w:tr>
      <w:bookmarkEnd w:id="38"/>
      <w:tr w:rsidRPr="002A1F9A" w:rsidR="00FD60F1" w:rsidTr="00E7153D" w14:paraId="3AB505F7" w14:textId="77777777">
        <w:tc>
          <w:tcPr>
            <w:tcW w:w="567" w:type="dxa"/>
          </w:tcPr>
          <w:p w:rsidRPr="002A1F9A" w:rsidR="00FD60F1" w:rsidP="00FD60F1" w:rsidRDefault="00FD60F1" w14:paraId="5D859DC0" w14:textId="77777777">
            <w:pPr>
              <w:rPr>
                <w:rFonts w:ascii="Verdana" w:hAnsi="Verdana"/>
                <w:sz w:val="18"/>
                <w:szCs w:val="18"/>
              </w:rPr>
            </w:pPr>
            <w:r w:rsidRPr="002A1F9A">
              <w:rPr>
                <w:rFonts w:ascii="Verdana" w:hAnsi="Verdana"/>
                <w:sz w:val="18"/>
                <w:szCs w:val="18"/>
              </w:rPr>
              <w:t>164</w:t>
            </w:r>
          </w:p>
        </w:tc>
        <w:tc>
          <w:tcPr>
            <w:tcW w:w="6521" w:type="dxa"/>
          </w:tcPr>
          <w:p w:rsidRPr="002A1F9A" w:rsidR="00FD60F1" w:rsidP="00FD60F1" w:rsidRDefault="00FD60F1" w14:paraId="1F5FC866" w14:textId="77777777">
            <w:pPr>
              <w:rPr>
                <w:rFonts w:ascii="Verdana" w:hAnsi="Verdana"/>
                <w:sz w:val="18"/>
                <w:szCs w:val="18"/>
              </w:rPr>
            </w:pPr>
            <w:r w:rsidRPr="002A1F9A">
              <w:rPr>
                <w:rFonts w:ascii="Verdana" w:hAnsi="Verdana"/>
                <w:sz w:val="18"/>
                <w:szCs w:val="18"/>
              </w:rPr>
              <w:t>Hoeveel geld zou ervoor nodig zijn om kinderen die gedupeerd zijn bij de kinderopvangtoeslagenaffaire en die daardoor met studieschulden in de problemen geraakten, volledig te compenseren en de compensatie dus niet langer wordt gebonden aan een maximum van € 10.000?</w:t>
            </w:r>
          </w:p>
          <w:p w:rsidRPr="002A1F9A" w:rsidR="00FD60F1" w:rsidP="00FD60F1" w:rsidRDefault="00FD60F1" w14:paraId="2C4ACA2F" w14:textId="77777777">
            <w:pPr>
              <w:rPr>
                <w:rFonts w:ascii="Verdana" w:hAnsi="Verdana"/>
                <w:sz w:val="18"/>
                <w:szCs w:val="18"/>
              </w:rPr>
            </w:pPr>
          </w:p>
          <w:p w:rsidRPr="002A1F9A" w:rsidR="00FD60F1" w:rsidP="00FD60F1" w:rsidRDefault="00FD60F1" w14:paraId="5D94D0EF" w14:textId="192754D1">
            <w:pPr>
              <w:rPr>
                <w:rFonts w:ascii="Verdana" w:hAnsi="Verdana"/>
                <w:sz w:val="18"/>
                <w:szCs w:val="18"/>
              </w:rPr>
            </w:pPr>
            <w:r w:rsidRPr="002A1F9A">
              <w:rPr>
                <w:rFonts w:ascii="Verdana" w:hAnsi="Verdana"/>
                <w:sz w:val="18"/>
                <w:szCs w:val="18"/>
              </w:rPr>
              <w:t xml:space="preserve">Het is niet mogelijk om op deze Kamervraag een antwoord te geven. De staatssecretaris van Financiën – Herstel en Toeslagen heeft op </w:t>
            </w:r>
            <w:hyperlink w:history="1" r:id="rId93">
              <w:r w:rsidRPr="002A1F9A">
                <w:rPr>
                  <w:rStyle w:val="Hyperlink"/>
                  <w:rFonts w:ascii="Verdana" w:hAnsi="Verdana"/>
                  <w:sz w:val="18"/>
                  <w:szCs w:val="18"/>
                </w:rPr>
                <w:t>17 oktober in haar voortgangsrapportage over de hersteloperatie toeslagen</w:t>
              </w:r>
            </w:hyperlink>
            <w:r w:rsidRPr="002A1F9A">
              <w:rPr>
                <w:rFonts w:ascii="Verdana" w:hAnsi="Verdana"/>
                <w:sz w:val="18"/>
                <w:szCs w:val="18"/>
              </w:rPr>
              <w:t xml:space="preserve"> aangegeven de motie van het lid Van Nispen c.s. niet uit te voeren. </w:t>
            </w:r>
            <w:r w:rsidRPr="002A1F9A" w:rsidR="008971BB">
              <w:rPr>
                <w:rFonts w:ascii="Verdana" w:hAnsi="Verdana"/>
                <w:sz w:val="18"/>
                <w:szCs w:val="18"/>
              </w:rPr>
              <w:t>Wij</w:t>
            </w:r>
            <w:r w:rsidRPr="002A1F9A">
              <w:rPr>
                <w:rFonts w:ascii="Verdana" w:hAnsi="Verdana"/>
                <w:sz w:val="18"/>
                <w:szCs w:val="18"/>
              </w:rPr>
              <w:t xml:space="preserve"> verwij</w:t>
            </w:r>
            <w:r w:rsidRPr="002A1F9A" w:rsidR="008971BB">
              <w:rPr>
                <w:rFonts w:ascii="Verdana" w:hAnsi="Verdana"/>
                <w:sz w:val="18"/>
                <w:szCs w:val="18"/>
              </w:rPr>
              <w:t>zen</w:t>
            </w:r>
            <w:r w:rsidRPr="002A1F9A">
              <w:rPr>
                <w:rFonts w:ascii="Verdana" w:hAnsi="Verdana"/>
                <w:sz w:val="18"/>
                <w:szCs w:val="18"/>
              </w:rPr>
              <w:t xml:space="preserve"> u</w:t>
            </w:r>
            <w:r w:rsidRPr="002A1F9A" w:rsidR="008971BB">
              <w:rPr>
                <w:rFonts w:ascii="Verdana" w:hAnsi="Verdana"/>
                <w:sz w:val="18"/>
                <w:szCs w:val="18"/>
              </w:rPr>
              <w:t>w Kamer</w:t>
            </w:r>
            <w:r w:rsidRPr="002A1F9A">
              <w:rPr>
                <w:rFonts w:ascii="Verdana" w:hAnsi="Verdana"/>
                <w:sz w:val="18"/>
                <w:szCs w:val="18"/>
              </w:rPr>
              <w:t xml:space="preserve"> voor de uitgebreide motivering naar deze Kamerbrief.</w:t>
            </w:r>
          </w:p>
          <w:p w:rsidRPr="002A1F9A" w:rsidR="00FD60F1" w:rsidP="00FD60F1" w:rsidRDefault="00FD60F1" w14:paraId="6A01C97B" w14:textId="1D69AF53">
            <w:pPr>
              <w:rPr>
                <w:rFonts w:ascii="Verdana" w:hAnsi="Verdana"/>
                <w:sz w:val="18"/>
                <w:szCs w:val="18"/>
              </w:rPr>
            </w:pPr>
          </w:p>
        </w:tc>
        <w:tc>
          <w:tcPr>
            <w:tcW w:w="850" w:type="dxa"/>
          </w:tcPr>
          <w:p w:rsidRPr="002A1F9A" w:rsidR="00FD60F1" w:rsidP="00FD60F1" w:rsidRDefault="00FD60F1" w14:paraId="619B61C0"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2101FC70" w14:textId="77777777">
            <w:pPr>
              <w:jc w:val="right"/>
              <w:rPr>
                <w:rFonts w:ascii="Verdana" w:hAnsi="Verdana"/>
                <w:sz w:val="18"/>
                <w:szCs w:val="18"/>
              </w:rPr>
            </w:pPr>
            <w:r w:rsidRPr="002A1F9A">
              <w:rPr>
                <w:rFonts w:ascii="Verdana" w:hAnsi="Verdana"/>
                <w:sz w:val="18"/>
                <w:szCs w:val="18"/>
              </w:rPr>
              <w:t>98</w:t>
            </w:r>
          </w:p>
        </w:tc>
        <w:tc>
          <w:tcPr>
            <w:tcW w:w="567" w:type="dxa"/>
            <w:tcBorders>
              <w:left w:val="nil"/>
            </w:tcBorders>
          </w:tcPr>
          <w:p w:rsidRPr="002A1F9A" w:rsidR="00FD60F1" w:rsidP="00FD60F1" w:rsidRDefault="00FD60F1" w14:paraId="643E0790"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2E0E6778" w14:textId="77777777">
        <w:tc>
          <w:tcPr>
            <w:tcW w:w="567" w:type="dxa"/>
          </w:tcPr>
          <w:p w:rsidRPr="002A1F9A" w:rsidR="00FD60F1" w:rsidP="00FD60F1" w:rsidRDefault="00FD60F1" w14:paraId="4DB2A8B9" w14:textId="77777777">
            <w:pPr>
              <w:rPr>
                <w:rFonts w:ascii="Verdana" w:hAnsi="Verdana"/>
                <w:sz w:val="18"/>
                <w:szCs w:val="18"/>
              </w:rPr>
            </w:pPr>
            <w:r w:rsidRPr="002A1F9A">
              <w:rPr>
                <w:rFonts w:ascii="Verdana" w:hAnsi="Verdana"/>
                <w:sz w:val="18"/>
                <w:szCs w:val="18"/>
              </w:rPr>
              <w:t>165</w:t>
            </w:r>
          </w:p>
        </w:tc>
        <w:tc>
          <w:tcPr>
            <w:tcW w:w="6521" w:type="dxa"/>
          </w:tcPr>
          <w:p w:rsidRPr="002A1F9A" w:rsidR="00FD60F1" w:rsidP="00FD60F1" w:rsidRDefault="00FD60F1" w14:paraId="2B53FFFC" w14:textId="77777777">
            <w:pPr>
              <w:rPr>
                <w:rFonts w:ascii="Verdana" w:hAnsi="Verdana"/>
                <w:sz w:val="18"/>
                <w:szCs w:val="18"/>
              </w:rPr>
            </w:pPr>
            <w:r w:rsidRPr="002A1F9A">
              <w:rPr>
                <w:rFonts w:ascii="Verdana" w:hAnsi="Verdana"/>
                <w:sz w:val="18"/>
                <w:szCs w:val="18"/>
              </w:rPr>
              <w:t>Kunt u een overzicht geven van de ontwikkeling van de studieschuld van de afgelopen tien jaar?</w:t>
            </w:r>
          </w:p>
          <w:p w:rsidRPr="002A1F9A" w:rsidR="00FD60F1" w:rsidP="00FD60F1" w:rsidRDefault="00FD60F1" w14:paraId="43F561D5" w14:textId="77777777">
            <w:pPr>
              <w:rPr>
                <w:rFonts w:ascii="Verdana" w:hAnsi="Verdana"/>
                <w:sz w:val="18"/>
                <w:szCs w:val="18"/>
              </w:rPr>
            </w:pPr>
          </w:p>
          <w:p w:rsidRPr="002A1F9A" w:rsidR="00FD60F1" w:rsidP="00FD60F1" w:rsidRDefault="00FD60F1" w14:paraId="04BFDA4B" w14:textId="77777777">
            <w:pPr>
              <w:rPr>
                <w:rFonts w:ascii="Verdana" w:hAnsi="Verdana"/>
                <w:sz w:val="18"/>
                <w:szCs w:val="18"/>
              </w:rPr>
            </w:pPr>
            <w:r w:rsidRPr="002A1F9A">
              <w:rPr>
                <w:rFonts w:ascii="Verdana" w:hAnsi="Verdana"/>
                <w:sz w:val="18"/>
                <w:szCs w:val="18"/>
              </w:rPr>
              <w:t>In onderstaande tabel wordt voor de instroomcohorten 2014-2015 tot en met 2019-2020 voor alle studenten, dus ook de studenten die niets hebben geleend, de gemiddelde totale leensom getoond.</w:t>
            </w:r>
          </w:p>
          <w:p w:rsidR="00FD60F1" w:rsidP="00FD60F1" w:rsidRDefault="00FD60F1" w14:paraId="4F262079" w14:textId="77777777">
            <w:pPr>
              <w:rPr>
                <w:rFonts w:ascii="Verdana" w:hAnsi="Verdana"/>
                <w:sz w:val="18"/>
                <w:szCs w:val="18"/>
              </w:rPr>
            </w:pPr>
            <w:r w:rsidRPr="002A1F9A">
              <w:rPr>
                <w:rFonts w:ascii="Verdana" w:hAnsi="Verdana"/>
                <w:sz w:val="18"/>
                <w:szCs w:val="18"/>
              </w:rPr>
              <w:t>Het is niet zinvol om de gemiddelde leensom voor recentere startcohorten te presenteren. Dit komt omdat een groot deel van deze studenten nog studeert en dus nog resterende rechten heeft op een rentedragende lening. Hierdoor neemt de totale leensom van deze studenten nog teveel toe om een goed beeld te geven over hun uiteindelijke studieschuld.</w:t>
            </w:r>
          </w:p>
          <w:p w:rsidR="00263264" w:rsidP="00FD60F1" w:rsidRDefault="00263264" w14:paraId="59288D16" w14:textId="77777777">
            <w:pPr>
              <w:rPr>
                <w:rFonts w:ascii="Verdana" w:hAnsi="Verdana"/>
                <w:sz w:val="18"/>
                <w:szCs w:val="18"/>
              </w:rPr>
            </w:pPr>
          </w:p>
          <w:p w:rsidR="00263264" w:rsidP="00FD60F1" w:rsidRDefault="00263264" w14:paraId="7D6BB586" w14:textId="77777777">
            <w:pPr>
              <w:rPr>
                <w:rFonts w:ascii="Verdana" w:hAnsi="Verdana"/>
                <w:sz w:val="18"/>
                <w:szCs w:val="18"/>
              </w:rPr>
            </w:pPr>
          </w:p>
          <w:p w:rsidR="00263264" w:rsidP="00FD60F1" w:rsidRDefault="00263264" w14:paraId="695FC535" w14:textId="77777777">
            <w:pPr>
              <w:rPr>
                <w:rFonts w:ascii="Verdana" w:hAnsi="Verdana"/>
                <w:sz w:val="18"/>
                <w:szCs w:val="18"/>
              </w:rPr>
            </w:pPr>
          </w:p>
          <w:p w:rsidR="00124146" w:rsidP="00FD60F1" w:rsidRDefault="00124146" w14:paraId="4FCB30FC" w14:textId="77777777">
            <w:pPr>
              <w:rPr>
                <w:rFonts w:ascii="Verdana" w:hAnsi="Verdana"/>
                <w:sz w:val="18"/>
                <w:szCs w:val="18"/>
              </w:rPr>
            </w:pPr>
          </w:p>
          <w:p w:rsidR="00124146" w:rsidP="00FD60F1" w:rsidRDefault="00124146" w14:paraId="79C25541" w14:textId="77777777">
            <w:pPr>
              <w:rPr>
                <w:rFonts w:ascii="Verdana" w:hAnsi="Verdana"/>
                <w:sz w:val="18"/>
                <w:szCs w:val="18"/>
              </w:rPr>
            </w:pPr>
          </w:p>
          <w:p w:rsidR="00124146" w:rsidP="00FD60F1" w:rsidRDefault="00124146" w14:paraId="4D266874" w14:textId="77777777">
            <w:pPr>
              <w:rPr>
                <w:rFonts w:ascii="Verdana" w:hAnsi="Verdana"/>
                <w:sz w:val="18"/>
                <w:szCs w:val="18"/>
              </w:rPr>
            </w:pPr>
          </w:p>
          <w:p w:rsidR="00124146" w:rsidP="00FD60F1" w:rsidRDefault="00124146" w14:paraId="765B7750" w14:textId="77777777">
            <w:pPr>
              <w:rPr>
                <w:rFonts w:ascii="Verdana" w:hAnsi="Verdana"/>
                <w:sz w:val="18"/>
                <w:szCs w:val="18"/>
              </w:rPr>
            </w:pPr>
          </w:p>
          <w:p w:rsidRPr="002A1F9A" w:rsidR="00124146" w:rsidP="00FD60F1" w:rsidRDefault="00124146" w14:paraId="63761C47" w14:textId="77777777">
            <w:pPr>
              <w:rPr>
                <w:rFonts w:ascii="Verdana" w:hAnsi="Verdana"/>
                <w:sz w:val="18"/>
                <w:szCs w:val="18"/>
              </w:rPr>
            </w:pPr>
          </w:p>
          <w:p w:rsidRPr="002A1F9A" w:rsidR="001A2F53" w:rsidP="00FD60F1" w:rsidRDefault="001A2F53" w14:paraId="0DE9A263" w14:textId="77777777">
            <w:pPr>
              <w:rPr>
                <w:rFonts w:ascii="Verdana" w:hAnsi="Verdana"/>
                <w:sz w:val="18"/>
                <w:szCs w:val="18"/>
              </w:rPr>
            </w:pPr>
          </w:p>
          <w:tbl>
            <w:tblPr>
              <w:tblStyle w:val="Tabelraster"/>
              <w:tblW w:w="0" w:type="auto"/>
              <w:tblLook w:val="04A0" w:firstRow="1" w:lastRow="0" w:firstColumn="1" w:lastColumn="0" w:noHBand="0" w:noVBand="1"/>
            </w:tblPr>
            <w:tblGrid>
              <w:gridCol w:w="1627"/>
              <w:gridCol w:w="1628"/>
              <w:gridCol w:w="1628"/>
              <w:gridCol w:w="1628"/>
            </w:tblGrid>
            <w:tr w:rsidRPr="002A1F9A" w:rsidR="001A2F53" w:rsidTr="00C250E9" w14:paraId="6FD64ED8" w14:textId="77777777">
              <w:tc>
                <w:tcPr>
                  <w:tcW w:w="6511" w:type="dxa"/>
                  <w:gridSpan w:val="4"/>
                </w:tcPr>
                <w:p w:rsidRPr="002A1F9A" w:rsidR="001A2F53" w:rsidP="002F6253" w:rsidRDefault="001A2F53" w14:paraId="019FF067" w14:textId="3C370C44">
                  <w:pPr>
                    <w:jc w:val="center"/>
                    <w:rPr>
                      <w:rFonts w:ascii="Verdana" w:hAnsi="Verdana"/>
                      <w:b/>
                      <w:bCs/>
                      <w:sz w:val="16"/>
                      <w:szCs w:val="16"/>
                    </w:rPr>
                  </w:pPr>
                  <w:r w:rsidRPr="002A1F9A">
                    <w:rPr>
                      <w:rFonts w:ascii="Verdana" w:hAnsi="Verdana"/>
                      <w:b/>
                      <w:bCs/>
                      <w:sz w:val="16"/>
                      <w:szCs w:val="16"/>
                    </w:rPr>
                    <w:t>Tabel gemiddelde totale leensom per startcohort</w:t>
                  </w:r>
                </w:p>
              </w:tc>
            </w:tr>
            <w:tr w:rsidRPr="002A1F9A" w:rsidR="001A2F53" w14:paraId="7EA30149" w14:textId="77777777">
              <w:tc>
                <w:tcPr>
                  <w:tcW w:w="1627" w:type="dxa"/>
                </w:tcPr>
                <w:p w:rsidRPr="002A1F9A" w:rsidR="001A2F53" w:rsidP="00FD60F1" w:rsidRDefault="001A2F53" w14:paraId="0B9BB3DA" w14:textId="492ED590">
                  <w:pPr>
                    <w:rPr>
                      <w:rFonts w:ascii="Verdana" w:hAnsi="Verdana"/>
                      <w:b/>
                      <w:bCs/>
                      <w:sz w:val="16"/>
                      <w:szCs w:val="16"/>
                    </w:rPr>
                  </w:pPr>
                  <w:r w:rsidRPr="002A1F9A">
                    <w:rPr>
                      <w:rFonts w:ascii="Verdana" w:hAnsi="Verdana"/>
                      <w:b/>
                      <w:bCs/>
                      <w:sz w:val="16"/>
                      <w:szCs w:val="16"/>
                    </w:rPr>
                    <w:t>Startco</w:t>
                  </w:r>
                  <w:r w:rsidRPr="002A1F9A" w:rsidR="002F6253">
                    <w:rPr>
                      <w:rFonts w:ascii="Verdana" w:hAnsi="Verdana"/>
                      <w:b/>
                      <w:bCs/>
                      <w:sz w:val="16"/>
                      <w:szCs w:val="16"/>
                    </w:rPr>
                    <w:t>hort</w:t>
                  </w:r>
                </w:p>
              </w:tc>
              <w:tc>
                <w:tcPr>
                  <w:tcW w:w="1628" w:type="dxa"/>
                </w:tcPr>
                <w:p w:rsidRPr="002A1F9A" w:rsidR="001A2F53" w:rsidP="00FD60F1" w:rsidRDefault="002F6253" w14:paraId="6F4F691D" w14:textId="520FE9FD">
                  <w:pPr>
                    <w:rPr>
                      <w:rFonts w:ascii="Verdana" w:hAnsi="Verdana"/>
                      <w:b/>
                      <w:bCs/>
                      <w:sz w:val="16"/>
                      <w:szCs w:val="16"/>
                    </w:rPr>
                  </w:pPr>
                  <w:r w:rsidRPr="002A1F9A">
                    <w:rPr>
                      <w:rFonts w:ascii="Verdana" w:hAnsi="Verdana"/>
                      <w:b/>
                      <w:bCs/>
                      <w:sz w:val="16"/>
                      <w:szCs w:val="16"/>
                    </w:rPr>
                    <w:t>mbo bol 3-4</w:t>
                  </w:r>
                </w:p>
              </w:tc>
              <w:tc>
                <w:tcPr>
                  <w:tcW w:w="1628" w:type="dxa"/>
                </w:tcPr>
                <w:p w:rsidRPr="002A1F9A" w:rsidR="001A2F53" w:rsidP="00FD60F1" w:rsidRDefault="002F6253" w14:paraId="54808335" w14:textId="43AA0076">
                  <w:pPr>
                    <w:rPr>
                      <w:rFonts w:ascii="Verdana" w:hAnsi="Verdana"/>
                      <w:b/>
                      <w:bCs/>
                      <w:sz w:val="16"/>
                      <w:szCs w:val="16"/>
                    </w:rPr>
                  </w:pPr>
                  <w:r w:rsidRPr="002A1F9A">
                    <w:rPr>
                      <w:rFonts w:ascii="Verdana" w:hAnsi="Verdana"/>
                      <w:b/>
                      <w:bCs/>
                      <w:sz w:val="16"/>
                      <w:szCs w:val="16"/>
                    </w:rPr>
                    <w:t>hbo</w:t>
                  </w:r>
                </w:p>
              </w:tc>
              <w:tc>
                <w:tcPr>
                  <w:tcW w:w="1628" w:type="dxa"/>
                </w:tcPr>
                <w:p w:rsidRPr="002A1F9A" w:rsidR="001A2F53" w:rsidP="00FD60F1" w:rsidRDefault="002F6253" w14:paraId="613663E4" w14:textId="6D14FED5">
                  <w:pPr>
                    <w:rPr>
                      <w:rFonts w:ascii="Verdana" w:hAnsi="Verdana"/>
                      <w:b/>
                      <w:bCs/>
                      <w:sz w:val="16"/>
                      <w:szCs w:val="16"/>
                    </w:rPr>
                  </w:pPr>
                  <w:r w:rsidRPr="002A1F9A">
                    <w:rPr>
                      <w:rFonts w:ascii="Verdana" w:hAnsi="Verdana"/>
                      <w:b/>
                      <w:bCs/>
                      <w:sz w:val="16"/>
                      <w:szCs w:val="16"/>
                    </w:rPr>
                    <w:t>wo</w:t>
                  </w:r>
                </w:p>
              </w:tc>
            </w:tr>
            <w:tr w:rsidRPr="002A1F9A" w:rsidR="001A2F53" w14:paraId="7D8C877D" w14:textId="77777777">
              <w:tc>
                <w:tcPr>
                  <w:tcW w:w="1627" w:type="dxa"/>
                </w:tcPr>
                <w:p w:rsidRPr="002A1F9A" w:rsidR="001A2F53" w:rsidP="00FD60F1" w:rsidRDefault="002F6253" w14:paraId="4E753718" w14:textId="792D08B9">
                  <w:pPr>
                    <w:rPr>
                      <w:rFonts w:ascii="Verdana" w:hAnsi="Verdana"/>
                      <w:b/>
                      <w:bCs/>
                      <w:sz w:val="16"/>
                      <w:szCs w:val="16"/>
                    </w:rPr>
                  </w:pPr>
                  <w:r w:rsidRPr="002A1F9A">
                    <w:rPr>
                      <w:rFonts w:ascii="Verdana" w:hAnsi="Verdana"/>
                      <w:b/>
                      <w:bCs/>
                      <w:sz w:val="16"/>
                      <w:szCs w:val="16"/>
                    </w:rPr>
                    <w:t>14/15</w:t>
                  </w:r>
                </w:p>
              </w:tc>
              <w:tc>
                <w:tcPr>
                  <w:tcW w:w="1628" w:type="dxa"/>
                </w:tcPr>
                <w:p w:rsidRPr="002A1F9A" w:rsidR="001A2F53" w:rsidP="00FD60F1" w:rsidRDefault="002F6253" w14:paraId="01CF6B04" w14:textId="5EAD7E24">
                  <w:pPr>
                    <w:rPr>
                      <w:rFonts w:ascii="Verdana" w:hAnsi="Verdana"/>
                      <w:sz w:val="16"/>
                      <w:szCs w:val="16"/>
                    </w:rPr>
                  </w:pPr>
                  <w:r w:rsidRPr="002A1F9A">
                    <w:rPr>
                      <w:rFonts w:ascii="Verdana" w:hAnsi="Verdana"/>
                      <w:sz w:val="16"/>
                      <w:szCs w:val="16"/>
                    </w:rPr>
                    <w:t>€ 2.697</w:t>
                  </w:r>
                </w:p>
              </w:tc>
              <w:tc>
                <w:tcPr>
                  <w:tcW w:w="1628" w:type="dxa"/>
                </w:tcPr>
                <w:p w:rsidRPr="002A1F9A" w:rsidR="001A2F53" w:rsidP="00FD60F1" w:rsidRDefault="002F6253" w14:paraId="0D491D06" w14:textId="00FCFF2C">
                  <w:pPr>
                    <w:rPr>
                      <w:rFonts w:ascii="Verdana" w:hAnsi="Verdana"/>
                      <w:sz w:val="16"/>
                      <w:szCs w:val="16"/>
                    </w:rPr>
                  </w:pPr>
                  <w:r w:rsidRPr="002A1F9A">
                    <w:rPr>
                      <w:rFonts w:ascii="Verdana" w:hAnsi="Verdana"/>
                      <w:sz w:val="16"/>
                      <w:szCs w:val="16"/>
                    </w:rPr>
                    <w:t>€ 13.387</w:t>
                  </w:r>
                </w:p>
              </w:tc>
              <w:tc>
                <w:tcPr>
                  <w:tcW w:w="1628" w:type="dxa"/>
                </w:tcPr>
                <w:p w:rsidRPr="002A1F9A" w:rsidR="001A2F53" w:rsidP="00FD60F1" w:rsidRDefault="002F6253" w14:paraId="48EB14DF" w14:textId="53A641B7">
                  <w:pPr>
                    <w:rPr>
                      <w:rFonts w:ascii="Verdana" w:hAnsi="Verdana"/>
                      <w:sz w:val="16"/>
                      <w:szCs w:val="16"/>
                    </w:rPr>
                  </w:pPr>
                  <w:r w:rsidRPr="002A1F9A">
                    <w:rPr>
                      <w:rFonts w:ascii="Verdana" w:hAnsi="Verdana"/>
                      <w:sz w:val="16"/>
                      <w:szCs w:val="16"/>
                    </w:rPr>
                    <w:t>€ 24.171</w:t>
                  </w:r>
                </w:p>
              </w:tc>
            </w:tr>
            <w:tr w:rsidRPr="002A1F9A" w:rsidR="001A2F53" w14:paraId="4868F162" w14:textId="77777777">
              <w:tc>
                <w:tcPr>
                  <w:tcW w:w="1627" w:type="dxa"/>
                </w:tcPr>
                <w:p w:rsidRPr="002A1F9A" w:rsidR="001A2F53" w:rsidP="00FD60F1" w:rsidRDefault="002F6253" w14:paraId="1336CB30" w14:textId="2BED7853">
                  <w:pPr>
                    <w:rPr>
                      <w:rFonts w:ascii="Verdana" w:hAnsi="Verdana"/>
                      <w:b/>
                      <w:bCs/>
                      <w:sz w:val="16"/>
                      <w:szCs w:val="16"/>
                    </w:rPr>
                  </w:pPr>
                  <w:r w:rsidRPr="002A1F9A">
                    <w:rPr>
                      <w:rFonts w:ascii="Verdana" w:hAnsi="Verdana"/>
                      <w:b/>
                      <w:bCs/>
                      <w:sz w:val="16"/>
                      <w:szCs w:val="16"/>
                    </w:rPr>
                    <w:t>15/16</w:t>
                  </w:r>
                </w:p>
              </w:tc>
              <w:tc>
                <w:tcPr>
                  <w:tcW w:w="1628" w:type="dxa"/>
                </w:tcPr>
                <w:p w:rsidRPr="002A1F9A" w:rsidR="001A2F53" w:rsidP="00FD60F1" w:rsidRDefault="002F6253" w14:paraId="381D9ED2" w14:textId="63D9159C">
                  <w:pPr>
                    <w:rPr>
                      <w:rFonts w:ascii="Verdana" w:hAnsi="Verdana"/>
                      <w:sz w:val="16"/>
                      <w:szCs w:val="16"/>
                    </w:rPr>
                  </w:pPr>
                  <w:r w:rsidRPr="002A1F9A">
                    <w:rPr>
                      <w:rFonts w:ascii="Verdana" w:hAnsi="Verdana"/>
                      <w:sz w:val="16"/>
                      <w:szCs w:val="16"/>
                    </w:rPr>
                    <w:t>€ 2.484</w:t>
                  </w:r>
                </w:p>
              </w:tc>
              <w:tc>
                <w:tcPr>
                  <w:tcW w:w="1628" w:type="dxa"/>
                </w:tcPr>
                <w:p w:rsidRPr="002A1F9A" w:rsidR="001A2F53" w:rsidP="00FD60F1" w:rsidRDefault="002F6253" w14:paraId="6362A279" w14:textId="5F7096A6">
                  <w:pPr>
                    <w:rPr>
                      <w:rFonts w:ascii="Verdana" w:hAnsi="Verdana"/>
                      <w:sz w:val="16"/>
                      <w:szCs w:val="16"/>
                    </w:rPr>
                  </w:pPr>
                  <w:r w:rsidRPr="002A1F9A">
                    <w:rPr>
                      <w:rFonts w:ascii="Verdana" w:hAnsi="Verdana"/>
                      <w:sz w:val="16"/>
                      <w:szCs w:val="16"/>
                    </w:rPr>
                    <w:t>€ 20.686</w:t>
                  </w:r>
                </w:p>
              </w:tc>
              <w:tc>
                <w:tcPr>
                  <w:tcW w:w="1628" w:type="dxa"/>
                </w:tcPr>
                <w:p w:rsidRPr="002A1F9A" w:rsidR="001A2F53" w:rsidP="00FD60F1" w:rsidRDefault="002F6253" w14:paraId="59FFE109" w14:textId="014B84A0">
                  <w:pPr>
                    <w:rPr>
                      <w:rFonts w:ascii="Verdana" w:hAnsi="Verdana"/>
                      <w:sz w:val="16"/>
                      <w:szCs w:val="16"/>
                    </w:rPr>
                  </w:pPr>
                  <w:r w:rsidRPr="002A1F9A">
                    <w:rPr>
                      <w:rFonts w:ascii="Verdana" w:hAnsi="Verdana"/>
                      <w:sz w:val="16"/>
                      <w:szCs w:val="16"/>
                    </w:rPr>
                    <w:t>€ 34.051</w:t>
                  </w:r>
                </w:p>
              </w:tc>
            </w:tr>
            <w:tr w:rsidRPr="002A1F9A" w:rsidR="001A2F53" w14:paraId="7136141D" w14:textId="77777777">
              <w:tc>
                <w:tcPr>
                  <w:tcW w:w="1627" w:type="dxa"/>
                </w:tcPr>
                <w:p w:rsidRPr="002A1F9A" w:rsidR="001A2F53" w:rsidP="00FD60F1" w:rsidRDefault="002F6253" w14:paraId="7D0111A4" w14:textId="4498E7A6">
                  <w:pPr>
                    <w:rPr>
                      <w:rFonts w:ascii="Verdana" w:hAnsi="Verdana"/>
                      <w:b/>
                      <w:bCs/>
                      <w:sz w:val="16"/>
                      <w:szCs w:val="16"/>
                    </w:rPr>
                  </w:pPr>
                  <w:r w:rsidRPr="002A1F9A">
                    <w:rPr>
                      <w:rFonts w:ascii="Verdana" w:hAnsi="Verdana"/>
                      <w:b/>
                      <w:bCs/>
                      <w:sz w:val="16"/>
                      <w:szCs w:val="16"/>
                    </w:rPr>
                    <w:t>16/17</w:t>
                  </w:r>
                </w:p>
              </w:tc>
              <w:tc>
                <w:tcPr>
                  <w:tcW w:w="1628" w:type="dxa"/>
                </w:tcPr>
                <w:p w:rsidRPr="002A1F9A" w:rsidR="001A2F53" w:rsidP="00FD60F1" w:rsidRDefault="002F6253" w14:paraId="2D0EC700" w14:textId="5EA879E2">
                  <w:pPr>
                    <w:rPr>
                      <w:rFonts w:ascii="Verdana" w:hAnsi="Verdana"/>
                      <w:sz w:val="16"/>
                      <w:szCs w:val="16"/>
                    </w:rPr>
                  </w:pPr>
                  <w:r w:rsidRPr="002A1F9A">
                    <w:rPr>
                      <w:rFonts w:ascii="Verdana" w:hAnsi="Verdana"/>
                      <w:sz w:val="16"/>
                      <w:szCs w:val="16"/>
                    </w:rPr>
                    <w:t>€ 2.463</w:t>
                  </w:r>
                </w:p>
              </w:tc>
              <w:tc>
                <w:tcPr>
                  <w:tcW w:w="1628" w:type="dxa"/>
                </w:tcPr>
                <w:p w:rsidRPr="002A1F9A" w:rsidR="001A2F53" w:rsidP="00FD60F1" w:rsidRDefault="002F6253" w14:paraId="2AF51FBF" w14:textId="529FE156">
                  <w:pPr>
                    <w:rPr>
                      <w:rFonts w:ascii="Verdana" w:hAnsi="Verdana"/>
                      <w:sz w:val="16"/>
                      <w:szCs w:val="16"/>
                    </w:rPr>
                  </w:pPr>
                  <w:r w:rsidRPr="002A1F9A">
                    <w:rPr>
                      <w:rFonts w:ascii="Verdana" w:hAnsi="Verdana"/>
                      <w:sz w:val="16"/>
                      <w:szCs w:val="16"/>
                    </w:rPr>
                    <w:t>€ 20.698</w:t>
                  </w:r>
                </w:p>
              </w:tc>
              <w:tc>
                <w:tcPr>
                  <w:tcW w:w="1628" w:type="dxa"/>
                </w:tcPr>
                <w:p w:rsidRPr="002A1F9A" w:rsidR="001A2F53" w:rsidP="00FD60F1" w:rsidRDefault="002F6253" w14:paraId="18CFA693" w14:textId="411B1C31">
                  <w:pPr>
                    <w:rPr>
                      <w:rFonts w:ascii="Verdana" w:hAnsi="Verdana"/>
                      <w:sz w:val="16"/>
                      <w:szCs w:val="16"/>
                    </w:rPr>
                  </w:pPr>
                  <w:r w:rsidRPr="002A1F9A">
                    <w:rPr>
                      <w:rFonts w:ascii="Verdana" w:hAnsi="Verdana"/>
                      <w:sz w:val="16"/>
                      <w:szCs w:val="16"/>
                    </w:rPr>
                    <w:t>€ 33.741</w:t>
                  </w:r>
                </w:p>
              </w:tc>
            </w:tr>
            <w:tr w:rsidRPr="002A1F9A" w:rsidR="001A2F53" w14:paraId="70C09D45" w14:textId="77777777">
              <w:tc>
                <w:tcPr>
                  <w:tcW w:w="1627" w:type="dxa"/>
                </w:tcPr>
                <w:p w:rsidRPr="002A1F9A" w:rsidR="001A2F53" w:rsidP="00FD60F1" w:rsidRDefault="002F6253" w14:paraId="42AE9E03" w14:textId="5A73A031">
                  <w:pPr>
                    <w:rPr>
                      <w:rFonts w:ascii="Verdana" w:hAnsi="Verdana"/>
                      <w:b/>
                      <w:bCs/>
                      <w:sz w:val="16"/>
                      <w:szCs w:val="16"/>
                    </w:rPr>
                  </w:pPr>
                  <w:r w:rsidRPr="002A1F9A">
                    <w:rPr>
                      <w:rFonts w:ascii="Verdana" w:hAnsi="Verdana"/>
                      <w:b/>
                      <w:bCs/>
                      <w:sz w:val="16"/>
                      <w:szCs w:val="16"/>
                    </w:rPr>
                    <w:t>17/18</w:t>
                  </w:r>
                </w:p>
              </w:tc>
              <w:tc>
                <w:tcPr>
                  <w:tcW w:w="1628" w:type="dxa"/>
                </w:tcPr>
                <w:p w:rsidRPr="002A1F9A" w:rsidR="001A2F53" w:rsidP="00FD60F1" w:rsidRDefault="002F6253" w14:paraId="3FF0AE22" w14:textId="357F2C73">
                  <w:pPr>
                    <w:rPr>
                      <w:rFonts w:ascii="Verdana" w:hAnsi="Verdana"/>
                      <w:sz w:val="16"/>
                      <w:szCs w:val="16"/>
                    </w:rPr>
                  </w:pPr>
                  <w:r w:rsidRPr="002A1F9A">
                    <w:rPr>
                      <w:rFonts w:ascii="Verdana" w:hAnsi="Verdana"/>
                      <w:sz w:val="16"/>
                      <w:szCs w:val="16"/>
                    </w:rPr>
                    <w:t>€ 2.430</w:t>
                  </w:r>
                </w:p>
              </w:tc>
              <w:tc>
                <w:tcPr>
                  <w:tcW w:w="1628" w:type="dxa"/>
                </w:tcPr>
                <w:p w:rsidRPr="002A1F9A" w:rsidR="001A2F53" w:rsidP="00FD60F1" w:rsidRDefault="002F6253" w14:paraId="0F552E6A" w14:textId="26FEE51A">
                  <w:pPr>
                    <w:rPr>
                      <w:rFonts w:ascii="Verdana" w:hAnsi="Verdana"/>
                      <w:sz w:val="16"/>
                      <w:szCs w:val="16"/>
                    </w:rPr>
                  </w:pPr>
                  <w:r w:rsidRPr="002A1F9A">
                    <w:rPr>
                      <w:rFonts w:ascii="Verdana" w:hAnsi="Verdana"/>
                      <w:sz w:val="16"/>
                      <w:szCs w:val="16"/>
                    </w:rPr>
                    <w:t>€ 19.328</w:t>
                  </w:r>
                </w:p>
              </w:tc>
              <w:tc>
                <w:tcPr>
                  <w:tcW w:w="1628" w:type="dxa"/>
                </w:tcPr>
                <w:p w:rsidRPr="002A1F9A" w:rsidR="001A2F53" w:rsidP="00FD60F1" w:rsidRDefault="002F6253" w14:paraId="51E246BD" w14:textId="4C7910C7">
                  <w:pPr>
                    <w:rPr>
                      <w:rFonts w:ascii="Verdana" w:hAnsi="Verdana"/>
                      <w:sz w:val="16"/>
                      <w:szCs w:val="16"/>
                    </w:rPr>
                  </w:pPr>
                  <w:r w:rsidRPr="002A1F9A">
                    <w:rPr>
                      <w:rFonts w:ascii="Verdana" w:hAnsi="Verdana"/>
                      <w:sz w:val="16"/>
                      <w:szCs w:val="16"/>
                    </w:rPr>
                    <w:t>€ 31.642</w:t>
                  </w:r>
                </w:p>
              </w:tc>
            </w:tr>
            <w:tr w:rsidRPr="002A1F9A" w:rsidR="001A2F53" w14:paraId="28A4B586" w14:textId="77777777">
              <w:tc>
                <w:tcPr>
                  <w:tcW w:w="1627" w:type="dxa"/>
                </w:tcPr>
                <w:p w:rsidRPr="002A1F9A" w:rsidR="001A2F53" w:rsidP="00FD60F1" w:rsidRDefault="002F6253" w14:paraId="59F4217C" w14:textId="58DA0DC2">
                  <w:pPr>
                    <w:rPr>
                      <w:rFonts w:ascii="Verdana" w:hAnsi="Verdana"/>
                      <w:b/>
                      <w:bCs/>
                      <w:sz w:val="16"/>
                      <w:szCs w:val="16"/>
                    </w:rPr>
                  </w:pPr>
                  <w:r w:rsidRPr="002A1F9A">
                    <w:rPr>
                      <w:rFonts w:ascii="Verdana" w:hAnsi="Verdana"/>
                      <w:b/>
                      <w:bCs/>
                      <w:sz w:val="16"/>
                      <w:szCs w:val="16"/>
                    </w:rPr>
                    <w:t>18/19</w:t>
                  </w:r>
                </w:p>
              </w:tc>
              <w:tc>
                <w:tcPr>
                  <w:tcW w:w="1628" w:type="dxa"/>
                </w:tcPr>
                <w:p w:rsidRPr="002A1F9A" w:rsidR="001A2F53" w:rsidP="00FD60F1" w:rsidRDefault="002F6253" w14:paraId="05B56E4A" w14:textId="09F3D2E0">
                  <w:pPr>
                    <w:rPr>
                      <w:rFonts w:ascii="Verdana" w:hAnsi="Verdana"/>
                      <w:sz w:val="16"/>
                      <w:szCs w:val="16"/>
                    </w:rPr>
                  </w:pPr>
                  <w:r w:rsidRPr="002A1F9A">
                    <w:rPr>
                      <w:rFonts w:ascii="Verdana" w:hAnsi="Verdana"/>
                      <w:sz w:val="16"/>
                      <w:szCs w:val="16"/>
                    </w:rPr>
                    <w:t>€ 2.268</w:t>
                  </w:r>
                </w:p>
              </w:tc>
              <w:tc>
                <w:tcPr>
                  <w:tcW w:w="1628" w:type="dxa"/>
                </w:tcPr>
                <w:p w:rsidRPr="002A1F9A" w:rsidR="001A2F53" w:rsidP="00FD60F1" w:rsidRDefault="002F6253" w14:paraId="1C54B100" w14:textId="342AD51F">
                  <w:pPr>
                    <w:rPr>
                      <w:rFonts w:ascii="Verdana" w:hAnsi="Verdana"/>
                      <w:sz w:val="16"/>
                      <w:szCs w:val="16"/>
                    </w:rPr>
                  </w:pPr>
                  <w:r w:rsidRPr="002A1F9A">
                    <w:rPr>
                      <w:rFonts w:ascii="Verdana" w:hAnsi="Verdana"/>
                      <w:sz w:val="16"/>
                      <w:szCs w:val="16"/>
                    </w:rPr>
                    <w:t>€ 15.959</w:t>
                  </w:r>
                </w:p>
              </w:tc>
              <w:tc>
                <w:tcPr>
                  <w:tcW w:w="1628" w:type="dxa"/>
                </w:tcPr>
                <w:p w:rsidRPr="002A1F9A" w:rsidR="001A2F53" w:rsidP="00FD60F1" w:rsidRDefault="002F6253" w14:paraId="7817159A" w14:textId="685F5C5B">
                  <w:pPr>
                    <w:rPr>
                      <w:rFonts w:ascii="Verdana" w:hAnsi="Verdana"/>
                      <w:sz w:val="16"/>
                      <w:szCs w:val="16"/>
                    </w:rPr>
                  </w:pPr>
                  <w:r w:rsidRPr="002A1F9A">
                    <w:rPr>
                      <w:rFonts w:ascii="Verdana" w:hAnsi="Verdana"/>
                      <w:sz w:val="16"/>
                      <w:szCs w:val="16"/>
                    </w:rPr>
                    <w:t>€ 26.002</w:t>
                  </w:r>
                </w:p>
              </w:tc>
            </w:tr>
            <w:tr w:rsidRPr="002A1F9A" w:rsidR="001A2F53" w14:paraId="22B2DFB8" w14:textId="77777777">
              <w:tc>
                <w:tcPr>
                  <w:tcW w:w="1627" w:type="dxa"/>
                </w:tcPr>
                <w:p w:rsidRPr="002A1F9A" w:rsidR="001A2F53" w:rsidP="00FD60F1" w:rsidRDefault="002F6253" w14:paraId="51D4A3D4" w14:textId="63FD39BC">
                  <w:pPr>
                    <w:rPr>
                      <w:rFonts w:ascii="Verdana" w:hAnsi="Verdana"/>
                      <w:b/>
                      <w:bCs/>
                      <w:sz w:val="16"/>
                      <w:szCs w:val="16"/>
                    </w:rPr>
                  </w:pPr>
                  <w:r w:rsidRPr="002A1F9A">
                    <w:rPr>
                      <w:rFonts w:ascii="Verdana" w:hAnsi="Verdana"/>
                      <w:b/>
                      <w:bCs/>
                      <w:sz w:val="16"/>
                      <w:szCs w:val="16"/>
                    </w:rPr>
                    <w:lastRenderedPageBreak/>
                    <w:t>19/20</w:t>
                  </w:r>
                </w:p>
              </w:tc>
              <w:tc>
                <w:tcPr>
                  <w:tcW w:w="1628" w:type="dxa"/>
                </w:tcPr>
                <w:p w:rsidRPr="002A1F9A" w:rsidR="001A2F53" w:rsidP="00FD60F1" w:rsidRDefault="002F6253" w14:paraId="659DE729" w14:textId="24D27DD6">
                  <w:pPr>
                    <w:rPr>
                      <w:rFonts w:ascii="Verdana" w:hAnsi="Verdana"/>
                      <w:sz w:val="16"/>
                      <w:szCs w:val="16"/>
                    </w:rPr>
                  </w:pPr>
                  <w:r w:rsidRPr="002A1F9A">
                    <w:rPr>
                      <w:rFonts w:ascii="Verdana" w:hAnsi="Verdana"/>
                      <w:sz w:val="16"/>
                      <w:szCs w:val="16"/>
                    </w:rPr>
                    <w:t>€ 1.825</w:t>
                  </w:r>
                </w:p>
              </w:tc>
              <w:tc>
                <w:tcPr>
                  <w:tcW w:w="1628" w:type="dxa"/>
                </w:tcPr>
                <w:p w:rsidRPr="002A1F9A" w:rsidR="001A2F53" w:rsidP="00FD60F1" w:rsidRDefault="002F6253" w14:paraId="75BA065A" w14:textId="34AC08BD">
                  <w:pPr>
                    <w:rPr>
                      <w:rFonts w:ascii="Verdana" w:hAnsi="Verdana"/>
                      <w:sz w:val="16"/>
                      <w:szCs w:val="16"/>
                    </w:rPr>
                  </w:pPr>
                  <w:r w:rsidRPr="002A1F9A">
                    <w:rPr>
                      <w:rFonts w:ascii="Verdana" w:hAnsi="Verdana"/>
                      <w:sz w:val="16"/>
                      <w:szCs w:val="16"/>
                    </w:rPr>
                    <w:t>€ 12.358</w:t>
                  </w:r>
                </w:p>
              </w:tc>
              <w:tc>
                <w:tcPr>
                  <w:tcW w:w="1628" w:type="dxa"/>
                </w:tcPr>
                <w:p w:rsidRPr="002A1F9A" w:rsidR="001A2F53" w:rsidP="00FD60F1" w:rsidRDefault="002F6253" w14:paraId="7C92B190" w14:textId="7954DFFB">
                  <w:pPr>
                    <w:rPr>
                      <w:rFonts w:ascii="Verdana" w:hAnsi="Verdana"/>
                      <w:sz w:val="16"/>
                      <w:szCs w:val="16"/>
                    </w:rPr>
                  </w:pPr>
                  <w:r w:rsidRPr="002A1F9A">
                    <w:rPr>
                      <w:rFonts w:ascii="Verdana" w:hAnsi="Verdana"/>
                      <w:sz w:val="16"/>
                      <w:szCs w:val="16"/>
                    </w:rPr>
                    <w:t>€ 19.313</w:t>
                  </w:r>
                </w:p>
              </w:tc>
            </w:tr>
          </w:tbl>
          <w:p w:rsidRPr="002A1F9A" w:rsidR="001A2F53" w:rsidP="00FD60F1" w:rsidRDefault="002F6253" w14:paraId="5039E656" w14:textId="4065AE57">
            <w:pPr>
              <w:rPr>
                <w:rFonts w:ascii="Verdana" w:hAnsi="Verdana"/>
                <w:sz w:val="16"/>
                <w:szCs w:val="16"/>
              </w:rPr>
            </w:pPr>
            <w:r w:rsidRPr="002A1F9A">
              <w:rPr>
                <w:rFonts w:ascii="Verdana" w:hAnsi="Verdana"/>
                <w:sz w:val="16"/>
                <w:szCs w:val="16"/>
              </w:rPr>
              <w:t>Bron: Trendrapport HO 2025</w:t>
            </w:r>
          </w:p>
          <w:p w:rsidRPr="002A1F9A" w:rsidR="00FD60F1" w:rsidP="00FD60F1" w:rsidRDefault="00FD60F1" w14:paraId="3B2EFC69" w14:textId="17DE0F1B">
            <w:pPr>
              <w:rPr>
                <w:rFonts w:ascii="Verdana" w:hAnsi="Verdana"/>
                <w:sz w:val="18"/>
                <w:szCs w:val="18"/>
              </w:rPr>
            </w:pPr>
          </w:p>
          <w:p w:rsidRPr="002A1F9A" w:rsidR="00FD60F1" w:rsidP="00FD60F1" w:rsidRDefault="00FD60F1" w14:paraId="14960B22" w14:textId="77777777">
            <w:pPr>
              <w:rPr>
                <w:rFonts w:ascii="Verdana" w:hAnsi="Verdana"/>
                <w:sz w:val="18"/>
                <w:szCs w:val="18"/>
              </w:rPr>
            </w:pPr>
            <w:r w:rsidRPr="002A1F9A">
              <w:rPr>
                <w:rFonts w:ascii="Verdana" w:hAnsi="Verdana"/>
                <w:sz w:val="18"/>
                <w:szCs w:val="18"/>
              </w:rPr>
              <w:t xml:space="preserve">Om deze tabel goed te begrijpen is een aantal punten van belang. </w:t>
            </w:r>
          </w:p>
          <w:p w:rsidRPr="002A1F9A" w:rsidR="00FD60F1" w:rsidP="00FD60F1" w:rsidRDefault="00FD60F1" w14:paraId="5B35D9A9" w14:textId="77777777">
            <w:pPr>
              <w:numPr>
                <w:ilvl w:val="0"/>
                <w:numId w:val="6"/>
              </w:numPr>
              <w:rPr>
                <w:rFonts w:ascii="Verdana" w:hAnsi="Verdana"/>
                <w:sz w:val="18"/>
                <w:szCs w:val="18"/>
              </w:rPr>
            </w:pPr>
            <w:r w:rsidRPr="002A1F9A">
              <w:rPr>
                <w:rFonts w:ascii="Verdana" w:hAnsi="Verdana"/>
                <w:sz w:val="18"/>
                <w:szCs w:val="18"/>
              </w:rPr>
              <w:t>Het gemiddelde leenbedrag is berekend op basis van de totale schuld inclusief rente, die is opgebouwd door de rentedragende lening en voor hbo- en wo-studenten het collegegeldkrediet.</w:t>
            </w:r>
          </w:p>
          <w:p w:rsidRPr="002A1F9A" w:rsidR="00FD60F1" w:rsidP="00FD60F1" w:rsidRDefault="00FD60F1" w14:paraId="3BEC1F15" w14:textId="77777777">
            <w:pPr>
              <w:numPr>
                <w:ilvl w:val="0"/>
                <w:numId w:val="6"/>
              </w:numPr>
              <w:rPr>
                <w:rFonts w:ascii="Verdana" w:hAnsi="Verdana"/>
                <w:sz w:val="18"/>
                <w:szCs w:val="18"/>
              </w:rPr>
            </w:pPr>
            <w:r w:rsidRPr="002A1F9A">
              <w:rPr>
                <w:rFonts w:ascii="Verdana" w:hAnsi="Verdana"/>
                <w:sz w:val="18"/>
                <w:szCs w:val="18"/>
              </w:rPr>
              <w:t>Schulden voortkomend uit een omzetting van een prestatiebeurs naar een (definitieve) rentedragende lening zijn buiten beschouwing gelaten. Het is op dit moment niet mogelijk om deze gegevens mee te nemen in de totale gemiddelde leensom per startcohort.</w:t>
            </w:r>
          </w:p>
          <w:p w:rsidRPr="002A1F9A" w:rsidR="00FD60F1" w:rsidP="00FD60F1" w:rsidRDefault="00FD60F1" w14:paraId="6C7137AD" w14:textId="77777777">
            <w:pPr>
              <w:numPr>
                <w:ilvl w:val="0"/>
                <w:numId w:val="6"/>
              </w:numPr>
              <w:rPr>
                <w:rFonts w:ascii="Verdana" w:hAnsi="Verdana"/>
                <w:sz w:val="18"/>
                <w:szCs w:val="18"/>
              </w:rPr>
            </w:pPr>
            <w:r w:rsidRPr="002A1F9A">
              <w:rPr>
                <w:rFonts w:ascii="Verdana" w:hAnsi="Verdana"/>
                <w:sz w:val="18"/>
                <w:szCs w:val="18"/>
              </w:rPr>
              <w:t>De leensommen van studenten op bol 1-2 zijn in het trendrapport niet berekend en om die reden niet meegenomen in bovenstaande tabel. Doordat voor bol 1-2 studenten andere studiefinancieringsvoorwaarden gelden, vertonen zij doorgaans ander leengedrag.</w:t>
            </w:r>
          </w:p>
          <w:p w:rsidRPr="002A1F9A" w:rsidR="00FD60F1" w:rsidP="00FD60F1" w:rsidRDefault="00FD60F1" w14:paraId="4E71D9E3" w14:textId="77777777">
            <w:pPr>
              <w:numPr>
                <w:ilvl w:val="0"/>
                <w:numId w:val="6"/>
              </w:numPr>
              <w:rPr>
                <w:rFonts w:ascii="Verdana" w:hAnsi="Verdana"/>
                <w:sz w:val="18"/>
                <w:szCs w:val="18"/>
              </w:rPr>
            </w:pPr>
            <w:r w:rsidRPr="002A1F9A">
              <w:rPr>
                <w:rFonts w:ascii="Verdana" w:hAnsi="Verdana"/>
                <w:sz w:val="18"/>
                <w:szCs w:val="18"/>
              </w:rPr>
              <w:t xml:space="preserve">De maximale schuld van recentere instroomcohorten kan nog verder toenemen omdat een deel van hen nog studeert en resterende rechten heeft op een studielening. </w:t>
            </w:r>
          </w:p>
          <w:p w:rsidRPr="002A1F9A" w:rsidR="00FD60F1" w:rsidP="00FD60F1" w:rsidRDefault="00FD60F1" w14:paraId="00C0C4FE" w14:textId="77777777">
            <w:pPr>
              <w:numPr>
                <w:ilvl w:val="0"/>
                <w:numId w:val="6"/>
              </w:numPr>
              <w:rPr>
                <w:rFonts w:ascii="Verdana" w:hAnsi="Verdana"/>
                <w:sz w:val="18"/>
                <w:szCs w:val="18"/>
              </w:rPr>
            </w:pPr>
            <w:r w:rsidRPr="002A1F9A">
              <w:rPr>
                <w:rFonts w:ascii="Verdana" w:hAnsi="Verdana"/>
                <w:sz w:val="18"/>
                <w:szCs w:val="18"/>
              </w:rPr>
              <w:t xml:space="preserve">Een uitgebreide toelichting op de cijfers en de gebruikte definitie is te vinden in het </w:t>
            </w:r>
            <w:hyperlink w:history="1" r:id="rId94">
              <w:r w:rsidRPr="002A1F9A">
                <w:rPr>
                  <w:rStyle w:val="Hyperlink"/>
                  <w:rFonts w:ascii="Verdana" w:hAnsi="Verdana"/>
                  <w:i/>
                  <w:iCs/>
                  <w:sz w:val="18"/>
                  <w:szCs w:val="18"/>
                </w:rPr>
                <w:t>Trendrapport HO 2025</w:t>
              </w:r>
            </w:hyperlink>
            <w:r w:rsidRPr="002A1F9A">
              <w:rPr>
                <w:rFonts w:ascii="Verdana" w:hAnsi="Verdana"/>
                <w:sz w:val="18"/>
                <w:szCs w:val="18"/>
              </w:rPr>
              <w:t>.</w:t>
            </w:r>
          </w:p>
          <w:p w:rsidRPr="002A1F9A" w:rsidR="00FD60F1" w:rsidP="00FD60F1" w:rsidRDefault="00FD60F1" w14:paraId="59FFB2CC" w14:textId="6A47EF9A">
            <w:pPr>
              <w:rPr>
                <w:rFonts w:ascii="Verdana" w:hAnsi="Verdana"/>
                <w:sz w:val="18"/>
                <w:szCs w:val="18"/>
              </w:rPr>
            </w:pPr>
          </w:p>
        </w:tc>
        <w:tc>
          <w:tcPr>
            <w:tcW w:w="850" w:type="dxa"/>
          </w:tcPr>
          <w:p w:rsidRPr="002A1F9A" w:rsidR="00FD60F1" w:rsidP="00FD60F1" w:rsidRDefault="00FD60F1" w14:paraId="417B2409"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2C2244A3" w14:textId="77777777">
            <w:pPr>
              <w:jc w:val="right"/>
              <w:rPr>
                <w:rFonts w:ascii="Verdana" w:hAnsi="Verdana"/>
                <w:sz w:val="18"/>
                <w:szCs w:val="18"/>
              </w:rPr>
            </w:pPr>
            <w:r w:rsidRPr="002A1F9A">
              <w:rPr>
                <w:rFonts w:ascii="Verdana" w:hAnsi="Verdana"/>
                <w:sz w:val="18"/>
                <w:szCs w:val="18"/>
              </w:rPr>
              <w:t>100</w:t>
            </w:r>
          </w:p>
        </w:tc>
        <w:tc>
          <w:tcPr>
            <w:tcW w:w="567" w:type="dxa"/>
            <w:tcBorders>
              <w:left w:val="nil"/>
            </w:tcBorders>
          </w:tcPr>
          <w:p w:rsidRPr="002A1F9A" w:rsidR="00FD60F1" w:rsidP="00FD60F1" w:rsidRDefault="00FD60F1" w14:paraId="39AFF31D"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1AF42994" w14:textId="77777777">
        <w:tc>
          <w:tcPr>
            <w:tcW w:w="567" w:type="dxa"/>
          </w:tcPr>
          <w:p w:rsidRPr="002A1F9A" w:rsidR="00FD60F1" w:rsidP="00FD60F1" w:rsidRDefault="00FD60F1" w14:paraId="79A42874" w14:textId="77777777">
            <w:pPr>
              <w:rPr>
                <w:rFonts w:ascii="Verdana" w:hAnsi="Verdana"/>
                <w:sz w:val="18"/>
                <w:szCs w:val="18"/>
              </w:rPr>
            </w:pPr>
            <w:r w:rsidRPr="002A1F9A">
              <w:rPr>
                <w:rFonts w:ascii="Verdana" w:hAnsi="Verdana"/>
                <w:sz w:val="18"/>
                <w:szCs w:val="18"/>
              </w:rPr>
              <w:t>166</w:t>
            </w:r>
          </w:p>
        </w:tc>
        <w:tc>
          <w:tcPr>
            <w:tcW w:w="6521" w:type="dxa"/>
          </w:tcPr>
          <w:p w:rsidRPr="002A1F9A" w:rsidR="00FD60F1" w:rsidP="00FD60F1" w:rsidRDefault="00FD60F1" w14:paraId="6C8EA461" w14:textId="77777777">
            <w:pPr>
              <w:rPr>
                <w:rFonts w:ascii="Verdana" w:hAnsi="Verdana"/>
                <w:sz w:val="18"/>
                <w:szCs w:val="18"/>
              </w:rPr>
            </w:pPr>
            <w:r w:rsidRPr="002A1F9A">
              <w:rPr>
                <w:rFonts w:ascii="Verdana" w:hAnsi="Verdana"/>
                <w:sz w:val="18"/>
                <w:szCs w:val="18"/>
              </w:rPr>
              <w:t>Kunt u een overzicht geven van de ontwikkeling van het aantal thuiswonende studenten van de afgelopen tien jaar?</w:t>
            </w:r>
          </w:p>
          <w:p w:rsidRPr="002A1F9A" w:rsidR="00FD60F1" w:rsidP="00FD60F1" w:rsidRDefault="00FD60F1" w14:paraId="7161EB8D" w14:textId="77777777">
            <w:pPr>
              <w:rPr>
                <w:rFonts w:ascii="Verdana" w:hAnsi="Verdana"/>
                <w:sz w:val="18"/>
                <w:szCs w:val="18"/>
              </w:rPr>
            </w:pPr>
          </w:p>
          <w:p w:rsidRPr="002A1F9A" w:rsidR="00FD60F1" w:rsidP="00FD60F1" w:rsidRDefault="00FD60F1" w14:paraId="549676C2" w14:textId="77777777">
            <w:pPr>
              <w:rPr>
                <w:rFonts w:ascii="Verdana" w:hAnsi="Verdana"/>
                <w:sz w:val="18"/>
                <w:szCs w:val="18"/>
              </w:rPr>
            </w:pPr>
            <w:r w:rsidRPr="002A1F9A">
              <w:rPr>
                <w:rFonts w:ascii="Verdana" w:hAnsi="Verdana"/>
                <w:sz w:val="18"/>
                <w:szCs w:val="18"/>
              </w:rPr>
              <w:t xml:space="preserve">Voor de periode waarin het leenstelsel van kracht was, zijn voor hbo- en wo-studenten geen gegevens beschikbaar. Tijdens het leenstelsel registreerde DUO niet of deze studenten uit- of thuiswonend waren. Dit was immers niet relevant voor de uitvoering. Ook weet DUO niet of een student uit- of thuiswonend is wanneer de student geen recht meer heeft op een basisbeurs. </w:t>
            </w:r>
          </w:p>
          <w:p w:rsidR="00FD60F1" w:rsidP="00FD60F1" w:rsidRDefault="00FD60F1" w14:paraId="3DAD3F4D" w14:textId="1B481162">
            <w:pPr>
              <w:rPr>
                <w:rFonts w:ascii="Verdana" w:hAnsi="Verdana"/>
                <w:sz w:val="18"/>
                <w:szCs w:val="18"/>
              </w:rPr>
            </w:pPr>
            <w:r w:rsidRPr="002A1F9A">
              <w:rPr>
                <w:rFonts w:ascii="Verdana" w:hAnsi="Verdana"/>
                <w:sz w:val="18"/>
                <w:szCs w:val="18"/>
              </w:rPr>
              <w:t>In de onderstaande tabel is daarom het aantal studenten weergegeven dat tussen 2015 en 2024 een thuiswonende beurs heeft ontvangen, aan zowel mbo- als ho- en wo-instellingen.*</w:t>
            </w:r>
          </w:p>
          <w:p w:rsidR="00263264" w:rsidP="00FD60F1" w:rsidRDefault="00263264" w14:paraId="76459527" w14:textId="77777777">
            <w:pPr>
              <w:rPr>
                <w:rFonts w:ascii="Verdana" w:hAnsi="Verdana"/>
                <w:sz w:val="18"/>
                <w:szCs w:val="18"/>
              </w:rPr>
            </w:pPr>
          </w:p>
          <w:p w:rsidR="00263264" w:rsidP="00FD60F1" w:rsidRDefault="00263264" w14:paraId="20174C55" w14:textId="77777777">
            <w:pPr>
              <w:rPr>
                <w:rFonts w:ascii="Verdana" w:hAnsi="Verdana"/>
                <w:sz w:val="18"/>
                <w:szCs w:val="18"/>
              </w:rPr>
            </w:pPr>
          </w:p>
          <w:p w:rsidR="00263264" w:rsidP="00FD60F1" w:rsidRDefault="00263264" w14:paraId="55B1D5F5" w14:textId="77777777">
            <w:pPr>
              <w:rPr>
                <w:rFonts w:ascii="Verdana" w:hAnsi="Verdana"/>
                <w:sz w:val="18"/>
                <w:szCs w:val="18"/>
              </w:rPr>
            </w:pPr>
          </w:p>
          <w:p w:rsidR="00263264" w:rsidP="00FD60F1" w:rsidRDefault="00263264" w14:paraId="59C26B59" w14:textId="77777777">
            <w:pPr>
              <w:rPr>
                <w:rFonts w:ascii="Verdana" w:hAnsi="Verdana"/>
                <w:sz w:val="18"/>
                <w:szCs w:val="18"/>
              </w:rPr>
            </w:pPr>
          </w:p>
          <w:p w:rsidR="00263264" w:rsidP="00FD60F1" w:rsidRDefault="00263264" w14:paraId="31FC52E3" w14:textId="77777777">
            <w:pPr>
              <w:rPr>
                <w:rFonts w:ascii="Verdana" w:hAnsi="Verdana"/>
                <w:sz w:val="18"/>
                <w:szCs w:val="18"/>
              </w:rPr>
            </w:pPr>
          </w:p>
          <w:p w:rsidR="00263264" w:rsidP="00FD60F1" w:rsidRDefault="00263264" w14:paraId="21A618F5" w14:textId="77777777">
            <w:pPr>
              <w:rPr>
                <w:rFonts w:ascii="Verdana" w:hAnsi="Verdana"/>
                <w:sz w:val="18"/>
                <w:szCs w:val="18"/>
              </w:rPr>
            </w:pPr>
          </w:p>
          <w:p w:rsidR="00263264" w:rsidP="00FD60F1" w:rsidRDefault="00263264" w14:paraId="44D5BB85" w14:textId="77777777">
            <w:pPr>
              <w:rPr>
                <w:rFonts w:ascii="Verdana" w:hAnsi="Verdana"/>
                <w:sz w:val="18"/>
                <w:szCs w:val="18"/>
              </w:rPr>
            </w:pPr>
          </w:p>
          <w:p w:rsidR="00263264" w:rsidP="00FD60F1" w:rsidRDefault="00263264" w14:paraId="2F4B0E0D" w14:textId="77777777">
            <w:pPr>
              <w:rPr>
                <w:rFonts w:ascii="Verdana" w:hAnsi="Verdana"/>
                <w:sz w:val="18"/>
                <w:szCs w:val="18"/>
              </w:rPr>
            </w:pPr>
          </w:p>
          <w:p w:rsidR="00263264" w:rsidP="00FD60F1" w:rsidRDefault="00263264" w14:paraId="1B542AEC" w14:textId="77777777">
            <w:pPr>
              <w:rPr>
                <w:rFonts w:ascii="Verdana" w:hAnsi="Verdana"/>
                <w:sz w:val="18"/>
                <w:szCs w:val="18"/>
              </w:rPr>
            </w:pPr>
          </w:p>
          <w:p w:rsidR="00263264" w:rsidP="00FD60F1" w:rsidRDefault="00263264" w14:paraId="0FEDE4D7" w14:textId="77777777">
            <w:pPr>
              <w:rPr>
                <w:rFonts w:ascii="Verdana" w:hAnsi="Verdana"/>
                <w:sz w:val="18"/>
                <w:szCs w:val="18"/>
              </w:rPr>
            </w:pPr>
          </w:p>
          <w:p w:rsidRPr="002A1F9A" w:rsidR="00263264" w:rsidP="00FD60F1" w:rsidRDefault="00263264" w14:paraId="23C37690" w14:textId="77777777">
            <w:pPr>
              <w:rPr>
                <w:rFonts w:ascii="Verdana" w:hAnsi="Verdana"/>
                <w:sz w:val="18"/>
                <w:szCs w:val="18"/>
              </w:rPr>
            </w:pPr>
          </w:p>
          <w:tbl>
            <w:tblPr>
              <w:tblW w:w="4440" w:type="dxa"/>
              <w:tblCellMar>
                <w:left w:w="70" w:type="dxa"/>
                <w:right w:w="70" w:type="dxa"/>
              </w:tblCellMar>
              <w:tblLook w:val="04A0" w:firstRow="1" w:lastRow="0" w:firstColumn="1" w:lastColumn="0" w:noHBand="0" w:noVBand="1"/>
            </w:tblPr>
            <w:tblGrid>
              <w:gridCol w:w="1280"/>
              <w:gridCol w:w="2060"/>
              <w:gridCol w:w="1100"/>
            </w:tblGrid>
            <w:tr w:rsidRPr="002A1F9A" w:rsidR="00FD60F1" w:rsidTr="00FD60F1" w14:paraId="56D6D4C7" w14:textId="77777777">
              <w:trPr>
                <w:trHeight w:val="210"/>
              </w:trPr>
              <w:tc>
                <w:tcPr>
                  <w:tcW w:w="1280" w:type="dxa"/>
                  <w:tcBorders>
                    <w:top w:val="single" w:color="auto" w:sz="4" w:space="0"/>
                    <w:left w:val="single" w:color="auto" w:sz="4" w:space="0"/>
                    <w:bottom w:val="single" w:color="auto" w:sz="4" w:space="0"/>
                    <w:right w:val="single" w:color="auto" w:sz="4" w:space="0"/>
                  </w:tcBorders>
                  <w:noWrap/>
                  <w:vAlign w:val="bottom"/>
                  <w:hideMark/>
                </w:tcPr>
                <w:p w:rsidRPr="002A1F9A" w:rsidR="00FD60F1" w:rsidP="00FD60F1" w:rsidRDefault="00FD60F1" w14:paraId="3A624F5B" w14:textId="77777777">
                  <w:pPr>
                    <w:spacing w:before="0" w:after="0"/>
                    <w:rPr>
                      <w:rFonts w:ascii="Verdana" w:hAnsi="Verdana"/>
                      <w:b/>
                      <w:bCs/>
                      <w:sz w:val="17"/>
                      <w:szCs w:val="17"/>
                    </w:rPr>
                  </w:pPr>
                  <w:r w:rsidRPr="002A1F9A">
                    <w:rPr>
                      <w:rFonts w:ascii="Verdana" w:hAnsi="Verdana"/>
                      <w:b/>
                      <w:bCs/>
                      <w:sz w:val="17"/>
                      <w:szCs w:val="17"/>
                    </w:rPr>
                    <w:t>Jaar</w:t>
                  </w:r>
                </w:p>
              </w:tc>
              <w:tc>
                <w:tcPr>
                  <w:tcW w:w="2060" w:type="dxa"/>
                  <w:tcBorders>
                    <w:top w:val="single" w:color="auto" w:sz="4" w:space="0"/>
                    <w:left w:val="nil"/>
                    <w:bottom w:val="single" w:color="auto" w:sz="4" w:space="0"/>
                    <w:right w:val="single" w:color="auto" w:sz="4" w:space="0"/>
                  </w:tcBorders>
                  <w:noWrap/>
                  <w:vAlign w:val="bottom"/>
                  <w:hideMark/>
                </w:tcPr>
                <w:p w:rsidRPr="002A1F9A" w:rsidR="00FD60F1" w:rsidP="00FD60F1" w:rsidRDefault="00FD60F1" w14:paraId="688B1C7D" w14:textId="77777777">
                  <w:pPr>
                    <w:spacing w:before="0" w:after="0"/>
                    <w:rPr>
                      <w:rFonts w:ascii="Verdana" w:hAnsi="Verdana"/>
                      <w:b/>
                      <w:bCs/>
                      <w:sz w:val="17"/>
                      <w:szCs w:val="17"/>
                    </w:rPr>
                  </w:pPr>
                  <w:r w:rsidRPr="002A1F9A">
                    <w:rPr>
                      <w:rFonts w:ascii="Verdana" w:hAnsi="Verdana"/>
                      <w:b/>
                      <w:bCs/>
                      <w:sz w:val="17"/>
                      <w:szCs w:val="17"/>
                    </w:rPr>
                    <w:t>mbo-bol</w:t>
                  </w:r>
                </w:p>
              </w:tc>
              <w:tc>
                <w:tcPr>
                  <w:tcW w:w="1100" w:type="dxa"/>
                  <w:tcBorders>
                    <w:top w:val="single" w:color="auto" w:sz="4" w:space="0"/>
                    <w:left w:val="nil"/>
                    <w:bottom w:val="single" w:color="auto" w:sz="4" w:space="0"/>
                    <w:right w:val="single" w:color="auto" w:sz="4" w:space="0"/>
                  </w:tcBorders>
                  <w:noWrap/>
                  <w:vAlign w:val="bottom"/>
                  <w:hideMark/>
                </w:tcPr>
                <w:p w:rsidRPr="002A1F9A" w:rsidR="00FD60F1" w:rsidP="00FD60F1" w:rsidRDefault="00FD60F1" w14:paraId="3BD0DDB9" w14:textId="77777777">
                  <w:pPr>
                    <w:spacing w:before="0" w:after="0"/>
                    <w:rPr>
                      <w:rFonts w:ascii="Verdana" w:hAnsi="Verdana"/>
                      <w:b/>
                      <w:bCs/>
                      <w:sz w:val="17"/>
                      <w:szCs w:val="17"/>
                    </w:rPr>
                  </w:pPr>
                  <w:r w:rsidRPr="002A1F9A">
                    <w:rPr>
                      <w:rFonts w:ascii="Verdana" w:hAnsi="Verdana"/>
                      <w:b/>
                      <w:bCs/>
                      <w:sz w:val="17"/>
                      <w:szCs w:val="17"/>
                    </w:rPr>
                    <w:t>hbo/wo</w:t>
                  </w:r>
                </w:p>
              </w:tc>
            </w:tr>
            <w:tr w:rsidRPr="002A1F9A" w:rsidR="00FD60F1" w:rsidTr="0047315C" w14:paraId="1CD52DB4"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0AADB694" w14:textId="77777777">
                  <w:pPr>
                    <w:spacing w:before="0" w:after="0"/>
                    <w:rPr>
                      <w:rFonts w:ascii="Verdana" w:hAnsi="Verdana"/>
                      <w:b/>
                      <w:bCs/>
                      <w:color w:val="000000"/>
                      <w:sz w:val="17"/>
                      <w:szCs w:val="17"/>
                    </w:rPr>
                  </w:pPr>
                  <w:r w:rsidRPr="002A1F9A">
                    <w:rPr>
                      <w:rFonts w:ascii="Verdana" w:hAnsi="Verdana"/>
                      <w:b/>
                      <w:bCs/>
                      <w:color w:val="000000"/>
                      <w:sz w:val="17"/>
                      <w:szCs w:val="17"/>
                    </w:rPr>
                    <w:t>2014</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45420EE7" w14:textId="77777777">
                  <w:pPr>
                    <w:spacing w:before="0" w:after="0"/>
                    <w:rPr>
                      <w:rFonts w:ascii="Verdana" w:hAnsi="Verdana"/>
                      <w:color w:val="000000"/>
                      <w:sz w:val="17"/>
                      <w:szCs w:val="17"/>
                    </w:rPr>
                  </w:pPr>
                  <w:r w:rsidRPr="002A1F9A">
                    <w:rPr>
                      <w:rFonts w:ascii="Verdana" w:hAnsi="Verdana"/>
                      <w:color w:val="000000"/>
                      <w:sz w:val="17"/>
                      <w:szCs w:val="17"/>
                    </w:rPr>
                    <w:t>170.751</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1242842B"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0DCE35A9"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39472231" w14:textId="77777777">
                  <w:pPr>
                    <w:spacing w:before="0" w:after="0"/>
                    <w:rPr>
                      <w:rFonts w:ascii="Verdana" w:hAnsi="Verdana"/>
                      <w:b/>
                      <w:bCs/>
                      <w:color w:val="000000"/>
                      <w:sz w:val="17"/>
                      <w:szCs w:val="17"/>
                    </w:rPr>
                  </w:pPr>
                  <w:r w:rsidRPr="002A1F9A">
                    <w:rPr>
                      <w:rFonts w:ascii="Verdana" w:hAnsi="Verdana"/>
                      <w:b/>
                      <w:bCs/>
                      <w:color w:val="000000"/>
                      <w:sz w:val="17"/>
                      <w:szCs w:val="17"/>
                    </w:rPr>
                    <w:t>2015</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78F7766F" w14:textId="77777777">
                  <w:pPr>
                    <w:spacing w:before="0" w:after="0"/>
                    <w:rPr>
                      <w:rFonts w:ascii="Verdana" w:hAnsi="Verdana"/>
                      <w:color w:val="000000"/>
                      <w:sz w:val="17"/>
                      <w:szCs w:val="17"/>
                    </w:rPr>
                  </w:pPr>
                  <w:r w:rsidRPr="002A1F9A">
                    <w:rPr>
                      <w:rFonts w:ascii="Verdana" w:hAnsi="Verdana"/>
                      <w:color w:val="000000"/>
                      <w:sz w:val="17"/>
                      <w:szCs w:val="17"/>
                    </w:rPr>
                    <w:t>180.294</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488768D9"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505956EB"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3AED4C4B" w14:textId="77777777">
                  <w:pPr>
                    <w:spacing w:before="0" w:after="0"/>
                    <w:rPr>
                      <w:rFonts w:ascii="Verdana" w:hAnsi="Verdana"/>
                      <w:b/>
                      <w:bCs/>
                      <w:color w:val="000000"/>
                      <w:sz w:val="17"/>
                      <w:szCs w:val="17"/>
                    </w:rPr>
                  </w:pPr>
                  <w:r w:rsidRPr="002A1F9A">
                    <w:rPr>
                      <w:rFonts w:ascii="Verdana" w:hAnsi="Verdana"/>
                      <w:b/>
                      <w:bCs/>
                      <w:color w:val="000000"/>
                      <w:sz w:val="17"/>
                      <w:szCs w:val="17"/>
                    </w:rPr>
                    <w:t>2016</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3C94A00E" w14:textId="77777777">
                  <w:pPr>
                    <w:spacing w:before="0" w:after="0"/>
                    <w:rPr>
                      <w:rFonts w:ascii="Verdana" w:hAnsi="Verdana"/>
                      <w:color w:val="000000"/>
                      <w:sz w:val="17"/>
                      <w:szCs w:val="17"/>
                    </w:rPr>
                  </w:pPr>
                  <w:r w:rsidRPr="002A1F9A">
                    <w:rPr>
                      <w:rFonts w:ascii="Verdana" w:hAnsi="Verdana"/>
                      <w:color w:val="000000"/>
                      <w:sz w:val="17"/>
                      <w:szCs w:val="17"/>
                    </w:rPr>
                    <w:t>188.450</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2CCD0584"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5BB1BE29"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0E685788" w14:textId="77777777">
                  <w:pPr>
                    <w:spacing w:before="0" w:after="0"/>
                    <w:rPr>
                      <w:rFonts w:ascii="Verdana" w:hAnsi="Verdana"/>
                      <w:b/>
                      <w:bCs/>
                      <w:color w:val="000000"/>
                      <w:sz w:val="17"/>
                      <w:szCs w:val="17"/>
                    </w:rPr>
                  </w:pPr>
                  <w:r w:rsidRPr="002A1F9A">
                    <w:rPr>
                      <w:rFonts w:ascii="Verdana" w:hAnsi="Verdana"/>
                      <w:b/>
                      <w:bCs/>
                      <w:color w:val="000000"/>
                      <w:sz w:val="17"/>
                      <w:szCs w:val="17"/>
                    </w:rPr>
                    <w:t>2017</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3F2ADEF" w14:textId="77777777">
                  <w:pPr>
                    <w:spacing w:before="0" w:after="0"/>
                    <w:rPr>
                      <w:rFonts w:ascii="Verdana" w:hAnsi="Verdana"/>
                      <w:color w:val="000000"/>
                      <w:sz w:val="17"/>
                      <w:szCs w:val="17"/>
                    </w:rPr>
                  </w:pPr>
                  <w:r w:rsidRPr="002A1F9A">
                    <w:rPr>
                      <w:rFonts w:ascii="Verdana" w:hAnsi="Verdana"/>
                      <w:color w:val="000000"/>
                      <w:sz w:val="17"/>
                      <w:szCs w:val="17"/>
                    </w:rPr>
                    <w:t>186.580</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20078623"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05BC514E"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4CD915BE" w14:textId="77777777">
                  <w:pPr>
                    <w:spacing w:before="0" w:after="0"/>
                    <w:rPr>
                      <w:rFonts w:ascii="Verdana" w:hAnsi="Verdana"/>
                      <w:b/>
                      <w:bCs/>
                      <w:color w:val="000000"/>
                      <w:sz w:val="17"/>
                      <w:szCs w:val="17"/>
                    </w:rPr>
                  </w:pPr>
                  <w:r w:rsidRPr="002A1F9A">
                    <w:rPr>
                      <w:rFonts w:ascii="Verdana" w:hAnsi="Verdana"/>
                      <w:b/>
                      <w:bCs/>
                      <w:color w:val="000000"/>
                      <w:sz w:val="17"/>
                      <w:szCs w:val="17"/>
                    </w:rPr>
                    <w:t>2018</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3F23F49D" w14:textId="77777777">
                  <w:pPr>
                    <w:spacing w:before="0" w:after="0"/>
                    <w:rPr>
                      <w:rFonts w:ascii="Verdana" w:hAnsi="Verdana"/>
                      <w:color w:val="000000"/>
                      <w:sz w:val="17"/>
                      <w:szCs w:val="17"/>
                    </w:rPr>
                  </w:pPr>
                  <w:r w:rsidRPr="002A1F9A">
                    <w:rPr>
                      <w:rFonts w:ascii="Verdana" w:hAnsi="Verdana"/>
                      <w:color w:val="000000"/>
                      <w:sz w:val="17"/>
                      <w:szCs w:val="17"/>
                    </w:rPr>
                    <w:t>179.777</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616BF5A9"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2919EA60"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2487C8F2" w14:textId="77777777">
                  <w:pPr>
                    <w:spacing w:before="0" w:after="0"/>
                    <w:rPr>
                      <w:rFonts w:ascii="Verdana" w:hAnsi="Verdana"/>
                      <w:b/>
                      <w:bCs/>
                      <w:color w:val="000000"/>
                      <w:sz w:val="17"/>
                      <w:szCs w:val="17"/>
                    </w:rPr>
                  </w:pPr>
                  <w:r w:rsidRPr="002A1F9A">
                    <w:rPr>
                      <w:rFonts w:ascii="Verdana" w:hAnsi="Verdana"/>
                      <w:b/>
                      <w:bCs/>
                      <w:color w:val="000000"/>
                      <w:sz w:val="17"/>
                      <w:szCs w:val="17"/>
                    </w:rPr>
                    <w:t>2019</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0834BAD1" w14:textId="77777777">
                  <w:pPr>
                    <w:spacing w:before="0" w:after="0"/>
                    <w:rPr>
                      <w:rFonts w:ascii="Verdana" w:hAnsi="Verdana"/>
                      <w:color w:val="000000"/>
                      <w:sz w:val="17"/>
                      <w:szCs w:val="17"/>
                    </w:rPr>
                  </w:pPr>
                  <w:r w:rsidRPr="002A1F9A">
                    <w:rPr>
                      <w:rFonts w:ascii="Verdana" w:hAnsi="Verdana"/>
                      <w:color w:val="000000"/>
                      <w:sz w:val="17"/>
                      <w:szCs w:val="17"/>
                    </w:rPr>
                    <w:t>175.409</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69EFA1AA"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3116918B"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624122C4" w14:textId="77777777">
                  <w:pPr>
                    <w:spacing w:before="0" w:after="0"/>
                    <w:rPr>
                      <w:rFonts w:ascii="Verdana" w:hAnsi="Verdana"/>
                      <w:b/>
                      <w:bCs/>
                      <w:color w:val="000000"/>
                      <w:sz w:val="17"/>
                      <w:szCs w:val="17"/>
                    </w:rPr>
                  </w:pPr>
                  <w:r w:rsidRPr="002A1F9A">
                    <w:rPr>
                      <w:rFonts w:ascii="Verdana" w:hAnsi="Verdana"/>
                      <w:b/>
                      <w:bCs/>
                      <w:color w:val="000000"/>
                      <w:sz w:val="17"/>
                      <w:szCs w:val="17"/>
                    </w:rPr>
                    <w:t>2020</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77DF9463" w14:textId="77777777">
                  <w:pPr>
                    <w:spacing w:before="0" w:after="0"/>
                    <w:rPr>
                      <w:rFonts w:ascii="Verdana" w:hAnsi="Verdana"/>
                      <w:color w:val="000000"/>
                      <w:sz w:val="17"/>
                      <w:szCs w:val="17"/>
                    </w:rPr>
                  </w:pPr>
                  <w:r w:rsidRPr="002A1F9A">
                    <w:rPr>
                      <w:rFonts w:ascii="Verdana" w:hAnsi="Verdana"/>
                      <w:color w:val="000000"/>
                      <w:sz w:val="17"/>
                      <w:szCs w:val="17"/>
                    </w:rPr>
                    <w:t>179.395</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74C9C57"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584DD719"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49DA5677" w14:textId="77777777">
                  <w:pPr>
                    <w:spacing w:before="0" w:after="0"/>
                    <w:rPr>
                      <w:rFonts w:ascii="Verdana" w:hAnsi="Verdana"/>
                      <w:b/>
                      <w:bCs/>
                      <w:color w:val="000000"/>
                      <w:sz w:val="17"/>
                      <w:szCs w:val="17"/>
                    </w:rPr>
                  </w:pPr>
                  <w:r w:rsidRPr="002A1F9A">
                    <w:rPr>
                      <w:rFonts w:ascii="Verdana" w:hAnsi="Verdana"/>
                      <w:b/>
                      <w:bCs/>
                      <w:color w:val="000000"/>
                      <w:sz w:val="17"/>
                      <w:szCs w:val="17"/>
                    </w:rPr>
                    <w:t>2021</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833EC52" w14:textId="77777777">
                  <w:pPr>
                    <w:spacing w:before="0" w:after="0"/>
                    <w:rPr>
                      <w:rFonts w:ascii="Verdana" w:hAnsi="Verdana"/>
                      <w:color w:val="000000"/>
                      <w:sz w:val="17"/>
                      <w:szCs w:val="17"/>
                    </w:rPr>
                  </w:pPr>
                  <w:r w:rsidRPr="002A1F9A">
                    <w:rPr>
                      <w:rFonts w:ascii="Verdana" w:hAnsi="Verdana"/>
                      <w:color w:val="000000"/>
                      <w:sz w:val="17"/>
                      <w:szCs w:val="17"/>
                    </w:rPr>
                    <w:t>180.201</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AFDDE81"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2D0E4D76"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3D41CAED" w14:textId="77777777">
                  <w:pPr>
                    <w:spacing w:before="0" w:after="0"/>
                    <w:rPr>
                      <w:rFonts w:ascii="Verdana" w:hAnsi="Verdana"/>
                      <w:b/>
                      <w:bCs/>
                      <w:color w:val="000000"/>
                      <w:sz w:val="17"/>
                      <w:szCs w:val="17"/>
                    </w:rPr>
                  </w:pPr>
                  <w:r w:rsidRPr="002A1F9A">
                    <w:rPr>
                      <w:rFonts w:ascii="Verdana" w:hAnsi="Verdana"/>
                      <w:b/>
                      <w:bCs/>
                      <w:color w:val="000000"/>
                      <w:sz w:val="17"/>
                      <w:szCs w:val="17"/>
                    </w:rPr>
                    <w:t>2022</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2012AEB5" w14:textId="77777777">
                  <w:pPr>
                    <w:spacing w:before="0" w:after="0"/>
                    <w:rPr>
                      <w:rFonts w:ascii="Verdana" w:hAnsi="Verdana"/>
                      <w:color w:val="000000"/>
                      <w:sz w:val="17"/>
                      <w:szCs w:val="17"/>
                    </w:rPr>
                  </w:pPr>
                  <w:r w:rsidRPr="002A1F9A">
                    <w:rPr>
                      <w:rFonts w:ascii="Verdana" w:hAnsi="Verdana"/>
                      <w:color w:val="000000"/>
                      <w:sz w:val="17"/>
                      <w:szCs w:val="17"/>
                    </w:rPr>
                    <w:t>172.017</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07C5099C" w14:textId="77777777">
                  <w:pPr>
                    <w:spacing w:before="0" w:after="0"/>
                    <w:rPr>
                      <w:rFonts w:ascii="Verdana" w:hAnsi="Verdana"/>
                      <w:color w:val="000000"/>
                      <w:sz w:val="17"/>
                      <w:szCs w:val="17"/>
                    </w:rPr>
                  </w:pPr>
                  <w:r w:rsidRPr="002A1F9A">
                    <w:rPr>
                      <w:rFonts w:ascii="Verdana" w:hAnsi="Verdana"/>
                      <w:color w:val="000000"/>
                      <w:sz w:val="17"/>
                      <w:szCs w:val="17"/>
                    </w:rPr>
                    <w:t> </w:t>
                  </w:r>
                </w:p>
              </w:tc>
            </w:tr>
            <w:tr w:rsidRPr="002A1F9A" w:rsidR="00FD60F1" w:rsidTr="0047315C" w14:paraId="6CA62328"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18BE6CA7" w14:textId="77777777">
                  <w:pPr>
                    <w:spacing w:before="0" w:after="0"/>
                    <w:rPr>
                      <w:rFonts w:ascii="Verdana" w:hAnsi="Verdana"/>
                      <w:b/>
                      <w:bCs/>
                      <w:color w:val="000000"/>
                      <w:sz w:val="17"/>
                      <w:szCs w:val="17"/>
                    </w:rPr>
                  </w:pPr>
                  <w:r w:rsidRPr="002A1F9A">
                    <w:rPr>
                      <w:rFonts w:ascii="Verdana" w:hAnsi="Verdana"/>
                      <w:b/>
                      <w:bCs/>
                      <w:color w:val="000000"/>
                      <w:sz w:val="17"/>
                      <w:szCs w:val="17"/>
                    </w:rPr>
                    <w:lastRenderedPageBreak/>
                    <w:t>2023</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C5B12C4" w14:textId="77777777">
                  <w:pPr>
                    <w:spacing w:before="0" w:after="0"/>
                    <w:rPr>
                      <w:rFonts w:ascii="Verdana" w:hAnsi="Verdana"/>
                      <w:color w:val="000000"/>
                      <w:sz w:val="17"/>
                      <w:szCs w:val="17"/>
                    </w:rPr>
                  </w:pPr>
                  <w:r w:rsidRPr="002A1F9A">
                    <w:rPr>
                      <w:rFonts w:ascii="Verdana" w:hAnsi="Verdana"/>
                      <w:color w:val="000000"/>
                      <w:sz w:val="17"/>
                      <w:szCs w:val="17"/>
                    </w:rPr>
                    <w:t>161.835</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2CEBC9B6" w14:textId="77777777">
                  <w:pPr>
                    <w:spacing w:before="0" w:after="0"/>
                    <w:rPr>
                      <w:rFonts w:ascii="Verdana" w:hAnsi="Verdana"/>
                      <w:color w:val="000000"/>
                      <w:sz w:val="17"/>
                      <w:szCs w:val="17"/>
                    </w:rPr>
                  </w:pPr>
                  <w:r w:rsidRPr="002A1F9A">
                    <w:rPr>
                      <w:rFonts w:ascii="Verdana" w:hAnsi="Verdana"/>
                      <w:color w:val="000000"/>
                      <w:sz w:val="17"/>
                      <w:szCs w:val="17"/>
                    </w:rPr>
                    <w:t>340.747</w:t>
                  </w:r>
                </w:p>
              </w:tc>
            </w:tr>
            <w:tr w:rsidRPr="002A1F9A" w:rsidR="00FD60F1" w:rsidTr="0047315C" w14:paraId="7B6FB0A4" w14:textId="77777777">
              <w:trPr>
                <w:trHeight w:val="210"/>
              </w:trPr>
              <w:tc>
                <w:tcPr>
                  <w:tcW w:w="1280" w:type="dxa"/>
                  <w:tcBorders>
                    <w:top w:val="nil"/>
                    <w:left w:val="single" w:color="auto" w:sz="4" w:space="0"/>
                    <w:bottom w:val="single" w:color="auto" w:sz="4" w:space="0"/>
                    <w:right w:val="single" w:color="auto" w:sz="4" w:space="0"/>
                  </w:tcBorders>
                  <w:shd w:val="clear" w:color="000000" w:fill="FFFFFF"/>
                  <w:noWrap/>
                  <w:vAlign w:val="bottom"/>
                  <w:hideMark/>
                </w:tcPr>
                <w:p w:rsidRPr="002A1F9A" w:rsidR="00FD60F1" w:rsidP="00FD60F1" w:rsidRDefault="00FD60F1" w14:paraId="3C9F9FC8" w14:textId="77777777">
                  <w:pPr>
                    <w:spacing w:before="0" w:after="0"/>
                    <w:rPr>
                      <w:rFonts w:ascii="Verdana" w:hAnsi="Verdana"/>
                      <w:b/>
                      <w:bCs/>
                      <w:color w:val="000000"/>
                      <w:sz w:val="17"/>
                      <w:szCs w:val="17"/>
                    </w:rPr>
                  </w:pPr>
                  <w:r w:rsidRPr="002A1F9A">
                    <w:rPr>
                      <w:rFonts w:ascii="Verdana" w:hAnsi="Verdana"/>
                      <w:b/>
                      <w:bCs/>
                      <w:color w:val="000000"/>
                      <w:sz w:val="17"/>
                      <w:szCs w:val="17"/>
                    </w:rPr>
                    <w:t>2024</w:t>
                  </w:r>
                </w:p>
              </w:tc>
              <w:tc>
                <w:tcPr>
                  <w:tcW w:w="206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52C18503" w14:textId="77777777">
                  <w:pPr>
                    <w:spacing w:before="0" w:after="0"/>
                    <w:rPr>
                      <w:rFonts w:ascii="Verdana" w:hAnsi="Verdana"/>
                      <w:color w:val="000000"/>
                      <w:sz w:val="17"/>
                      <w:szCs w:val="17"/>
                    </w:rPr>
                  </w:pPr>
                  <w:r w:rsidRPr="002A1F9A">
                    <w:rPr>
                      <w:rFonts w:ascii="Verdana" w:hAnsi="Verdana"/>
                      <w:color w:val="000000"/>
                      <w:sz w:val="17"/>
                      <w:szCs w:val="17"/>
                    </w:rPr>
                    <w:t>156.567</w:t>
                  </w:r>
                </w:p>
              </w:tc>
              <w:tc>
                <w:tcPr>
                  <w:tcW w:w="1100" w:type="dxa"/>
                  <w:tcBorders>
                    <w:top w:val="nil"/>
                    <w:left w:val="nil"/>
                    <w:bottom w:val="single" w:color="auto" w:sz="4" w:space="0"/>
                    <w:right w:val="single" w:color="auto" w:sz="4" w:space="0"/>
                  </w:tcBorders>
                  <w:shd w:val="clear" w:color="000000" w:fill="FFFFFF"/>
                  <w:noWrap/>
                  <w:vAlign w:val="bottom"/>
                  <w:hideMark/>
                </w:tcPr>
                <w:p w:rsidRPr="002A1F9A" w:rsidR="00FD60F1" w:rsidP="00FD60F1" w:rsidRDefault="00FD60F1" w14:paraId="65189742" w14:textId="77777777">
                  <w:pPr>
                    <w:spacing w:before="0" w:after="0"/>
                    <w:rPr>
                      <w:rFonts w:ascii="Verdana" w:hAnsi="Verdana"/>
                      <w:color w:val="000000"/>
                      <w:sz w:val="17"/>
                      <w:szCs w:val="17"/>
                    </w:rPr>
                  </w:pPr>
                  <w:r w:rsidRPr="002A1F9A">
                    <w:rPr>
                      <w:rFonts w:ascii="Verdana" w:hAnsi="Verdana"/>
                      <w:color w:val="000000"/>
                      <w:sz w:val="17"/>
                      <w:szCs w:val="17"/>
                    </w:rPr>
                    <w:t>293.851</w:t>
                  </w:r>
                </w:p>
              </w:tc>
            </w:tr>
          </w:tbl>
          <w:p w:rsidRPr="002A1F9A" w:rsidR="00FD60F1" w:rsidP="00FD60F1" w:rsidRDefault="00FD60F1" w14:paraId="06D8727A" w14:textId="77777777">
            <w:pPr>
              <w:rPr>
                <w:rFonts w:ascii="Verdana" w:hAnsi="Verdana"/>
                <w:i/>
                <w:iCs/>
                <w:sz w:val="16"/>
                <w:szCs w:val="16"/>
              </w:rPr>
            </w:pPr>
            <w:r w:rsidRPr="002A1F9A">
              <w:rPr>
                <w:rFonts w:ascii="Verdana" w:hAnsi="Verdana"/>
                <w:i/>
                <w:iCs/>
                <w:sz w:val="16"/>
                <w:szCs w:val="16"/>
              </w:rPr>
              <w:t>Bron: Realisatie gegevens DUO</w:t>
            </w:r>
          </w:p>
          <w:p w:rsidRPr="002A1F9A" w:rsidR="00FD60F1" w:rsidP="00FD60F1" w:rsidRDefault="00FD60F1" w14:paraId="38AC5F34" w14:textId="1AFD6F68">
            <w:pPr>
              <w:rPr>
                <w:rFonts w:ascii="Verdana" w:hAnsi="Verdana"/>
                <w:i/>
                <w:iCs/>
                <w:sz w:val="16"/>
                <w:szCs w:val="16"/>
              </w:rPr>
            </w:pPr>
            <w:r w:rsidRPr="002A1F9A">
              <w:rPr>
                <w:rFonts w:ascii="Verdana" w:hAnsi="Verdana"/>
                <w:i/>
                <w:iCs/>
                <w:sz w:val="16"/>
                <w:szCs w:val="16"/>
              </w:rPr>
              <w:t>* Het is belangrijk om te vermelden dat de aantallen in de tabel gewogen personen betreffen. Dit houdt in dat studenten die slechts een deel van het jaar thuiswonend waren, naar verhouding zijn meegeteld. Een student die drie maanden van het jaar thuiswonend was, bijvoorbeeld, telt in bovenstaande tabel voor 25% mee in het totaal</w:t>
            </w:r>
            <w:r w:rsidRPr="002A1F9A" w:rsidR="008971BB">
              <w:rPr>
                <w:rFonts w:ascii="Verdana" w:hAnsi="Verdana"/>
                <w:i/>
                <w:iCs/>
                <w:sz w:val="16"/>
                <w:szCs w:val="16"/>
              </w:rPr>
              <w:t>.</w:t>
            </w:r>
          </w:p>
          <w:p w:rsidRPr="002A1F9A" w:rsidR="00FD60F1" w:rsidP="00FD60F1" w:rsidRDefault="00FD60F1" w14:paraId="29B0DD62" w14:textId="79441624">
            <w:pPr>
              <w:rPr>
                <w:rFonts w:ascii="Verdana" w:hAnsi="Verdana"/>
                <w:sz w:val="18"/>
                <w:szCs w:val="18"/>
              </w:rPr>
            </w:pPr>
          </w:p>
        </w:tc>
        <w:tc>
          <w:tcPr>
            <w:tcW w:w="850" w:type="dxa"/>
          </w:tcPr>
          <w:p w:rsidRPr="002A1F9A" w:rsidR="00FD60F1" w:rsidP="00FD60F1" w:rsidRDefault="00FD60F1" w14:paraId="0129BA2B"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38D7B4A0" w14:textId="77777777">
            <w:pPr>
              <w:jc w:val="right"/>
              <w:rPr>
                <w:rFonts w:ascii="Verdana" w:hAnsi="Verdana"/>
                <w:sz w:val="18"/>
                <w:szCs w:val="18"/>
              </w:rPr>
            </w:pPr>
            <w:r w:rsidRPr="002A1F9A">
              <w:rPr>
                <w:rFonts w:ascii="Verdana" w:hAnsi="Verdana"/>
                <w:sz w:val="18"/>
                <w:szCs w:val="18"/>
              </w:rPr>
              <w:t>102</w:t>
            </w:r>
          </w:p>
        </w:tc>
        <w:tc>
          <w:tcPr>
            <w:tcW w:w="567" w:type="dxa"/>
            <w:tcBorders>
              <w:left w:val="nil"/>
            </w:tcBorders>
          </w:tcPr>
          <w:p w:rsidRPr="002A1F9A" w:rsidR="00FD60F1" w:rsidP="00FD60F1" w:rsidRDefault="00FD60F1" w14:paraId="46393006"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4A503B73" w14:textId="77777777">
        <w:tc>
          <w:tcPr>
            <w:tcW w:w="567" w:type="dxa"/>
          </w:tcPr>
          <w:p w:rsidRPr="002A1F9A" w:rsidR="00FD60F1" w:rsidP="00FD60F1" w:rsidRDefault="00FD60F1" w14:paraId="23EBCC9D" w14:textId="77777777">
            <w:pPr>
              <w:rPr>
                <w:rFonts w:ascii="Verdana" w:hAnsi="Verdana"/>
                <w:sz w:val="18"/>
                <w:szCs w:val="18"/>
              </w:rPr>
            </w:pPr>
            <w:r w:rsidRPr="002A1F9A">
              <w:rPr>
                <w:rFonts w:ascii="Verdana" w:hAnsi="Verdana"/>
                <w:sz w:val="18"/>
                <w:szCs w:val="18"/>
              </w:rPr>
              <w:t>167</w:t>
            </w:r>
          </w:p>
        </w:tc>
        <w:tc>
          <w:tcPr>
            <w:tcW w:w="6521" w:type="dxa"/>
          </w:tcPr>
          <w:p w:rsidRPr="002A1F9A" w:rsidR="00FD60F1" w:rsidP="00FD60F1" w:rsidRDefault="00FD60F1" w14:paraId="265612C9" w14:textId="77777777">
            <w:pPr>
              <w:rPr>
                <w:rFonts w:ascii="Verdana" w:hAnsi="Verdana"/>
                <w:sz w:val="18"/>
                <w:szCs w:val="18"/>
              </w:rPr>
            </w:pPr>
            <w:r w:rsidRPr="002A1F9A">
              <w:rPr>
                <w:rFonts w:ascii="Verdana" w:hAnsi="Verdana"/>
                <w:sz w:val="18"/>
                <w:szCs w:val="18"/>
              </w:rPr>
              <w:t>Hoeveel zou het kosten om het lesgeld voor mbo-studenten geheel af te schaffen?</w:t>
            </w:r>
          </w:p>
          <w:p w:rsidRPr="002A1F9A" w:rsidR="003B7F31" w:rsidP="00FD60F1" w:rsidRDefault="003B7F31" w14:paraId="698CD0BA" w14:textId="77777777">
            <w:pPr>
              <w:rPr>
                <w:rFonts w:ascii="Verdana" w:hAnsi="Verdana"/>
                <w:sz w:val="18"/>
                <w:szCs w:val="18"/>
              </w:rPr>
            </w:pPr>
          </w:p>
          <w:p w:rsidRPr="002A1F9A" w:rsidR="003B7F31" w:rsidP="003B7F31" w:rsidRDefault="003B7F31" w14:paraId="0C3D5323" w14:textId="2E010218">
            <w:pPr>
              <w:rPr>
                <w:rFonts w:ascii="Verdana" w:hAnsi="Verdana"/>
                <w:sz w:val="18"/>
                <w:szCs w:val="18"/>
              </w:rPr>
            </w:pPr>
            <w:r w:rsidRPr="002A1F9A">
              <w:rPr>
                <w:rFonts w:ascii="Verdana" w:hAnsi="Verdana"/>
                <w:sz w:val="18"/>
                <w:szCs w:val="18"/>
              </w:rPr>
              <w:t xml:space="preserve">Het afschaffen van het lesgeld voor alle mbo (bol)-studenten kost per saldo structureel € 150 miljoen. Dit bestaat uit minder lesgeldontvangsten van structureel € 290 miljoen. Daarnaast zijn er besparingen op de aanvullende beurs omdat er een verhoging zit in de aanvullende beurs voor studenten die lesgeld betalen. Deze besparing is een structureel bedrag van € 140 miljoen. Deze verhoging - de lesgeld top-up – is voor mbo-studenten die </w:t>
            </w:r>
            <w:proofErr w:type="spellStart"/>
            <w:r w:rsidRPr="002A1F9A">
              <w:rPr>
                <w:rFonts w:ascii="Verdana" w:hAnsi="Verdana"/>
                <w:sz w:val="18"/>
                <w:szCs w:val="18"/>
              </w:rPr>
              <w:t>lesgeldplichtig</w:t>
            </w:r>
            <w:proofErr w:type="spellEnd"/>
            <w:r w:rsidRPr="002A1F9A">
              <w:rPr>
                <w:rFonts w:ascii="Verdana" w:hAnsi="Verdana"/>
                <w:sz w:val="18"/>
                <w:szCs w:val="18"/>
              </w:rPr>
              <w:t xml:space="preserve"> zijn en komt bovenop de aanvullende beurs (of lening als mbo-studenten geen (volledig) recht hebben op een aanvullende beurs). De top-up is gekoppeld aan het betalen van lesgeld. Dit betekent dus dat als het lesgeld wordt afgeschaft, ook de top-up verdwijnt. Alleen studenten zonder maximale aanvullende beurs zullen bij het afschaffen van het lesgeld er financieel op vooruit gaan.</w:t>
            </w:r>
          </w:p>
          <w:p w:rsidRPr="002A1F9A" w:rsidR="003B7F31" w:rsidP="003B7F31" w:rsidRDefault="003B7F31" w14:paraId="27AB0C88" w14:textId="77777777">
            <w:pPr>
              <w:rPr>
                <w:rFonts w:ascii="Verdana" w:hAnsi="Verdana"/>
                <w:sz w:val="18"/>
                <w:szCs w:val="18"/>
              </w:rPr>
            </w:pPr>
          </w:p>
          <w:p w:rsidRPr="002A1F9A" w:rsidR="003B7F31" w:rsidP="003B7F31" w:rsidRDefault="003B7F31" w14:paraId="680C7454" w14:textId="77777777">
            <w:pPr>
              <w:rPr>
                <w:rFonts w:ascii="Verdana" w:hAnsi="Verdana"/>
                <w:sz w:val="18"/>
                <w:szCs w:val="18"/>
              </w:rPr>
            </w:pPr>
            <w:r w:rsidRPr="002A1F9A">
              <w:rPr>
                <w:rFonts w:ascii="Verdana" w:hAnsi="Verdana"/>
                <w:sz w:val="18"/>
                <w:szCs w:val="18"/>
              </w:rPr>
              <w:t xml:space="preserve">BBL-studenten betalen cursusgeld aan mbo-instellingen. Het afschaffen hiervan kost circa € 70 miljoen structureel. </w:t>
            </w:r>
          </w:p>
          <w:p w:rsidRPr="002A1F9A" w:rsidR="003B7F31" w:rsidP="00FD60F1" w:rsidRDefault="003B7F31" w14:paraId="28155F34" w14:textId="77777777">
            <w:pPr>
              <w:rPr>
                <w:rFonts w:ascii="Verdana" w:hAnsi="Verdana"/>
                <w:sz w:val="18"/>
                <w:szCs w:val="18"/>
              </w:rPr>
            </w:pPr>
          </w:p>
        </w:tc>
        <w:tc>
          <w:tcPr>
            <w:tcW w:w="850" w:type="dxa"/>
          </w:tcPr>
          <w:p w:rsidRPr="002A1F9A" w:rsidR="00FD60F1" w:rsidP="00FD60F1" w:rsidRDefault="00FD60F1" w14:paraId="56F22242"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22192C0C" w14:textId="77777777">
            <w:pPr>
              <w:jc w:val="right"/>
              <w:rPr>
                <w:rFonts w:ascii="Verdana" w:hAnsi="Verdana"/>
                <w:sz w:val="18"/>
                <w:szCs w:val="18"/>
              </w:rPr>
            </w:pPr>
            <w:r w:rsidRPr="002A1F9A">
              <w:rPr>
                <w:rFonts w:ascii="Verdana" w:hAnsi="Verdana"/>
                <w:sz w:val="18"/>
                <w:szCs w:val="18"/>
              </w:rPr>
              <w:t>105</w:t>
            </w:r>
          </w:p>
        </w:tc>
        <w:tc>
          <w:tcPr>
            <w:tcW w:w="567" w:type="dxa"/>
            <w:tcBorders>
              <w:left w:val="nil"/>
            </w:tcBorders>
          </w:tcPr>
          <w:p w:rsidRPr="002A1F9A" w:rsidR="00FD60F1" w:rsidP="00FD60F1" w:rsidRDefault="00FD60F1" w14:paraId="3ABB9BAE"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053B4F45" w14:textId="77777777">
        <w:tc>
          <w:tcPr>
            <w:tcW w:w="567" w:type="dxa"/>
          </w:tcPr>
          <w:p w:rsidRPr="002A1F9A" w:rsidR="00FD60F1" w:rsidP="00FD60F1" w:rsidRDefault="00FD60F1" w14:paraId="0305916F" w14:textId="77777777">
            <w:pPr>
              <w:rPr>
                <w:rFonts w:ascii="Verdana" w:hAnsi="Verdana"/>
                <w:sz w:val="18"/>
                <w:szCs w:val="18"/>
              </w:rPr>
            </w:pPr>
            <w:r w:rsidRPr="002A1F9A">
              <w:rPr>
                <w:rFonts w:ascii="Verdana" w:hAnsi="Verdana"/>
                <w:sz w:val="18"/>
                <w:szCs w:val="18"/>
              </w:rPr>
              <w:t>168</w:t>
            </w:r>
          </w:p>
        </w:tc>
        <w:tc>
          <w:tcPr>
            <w:tcW w:w="6521" w:type="dxa"/>
          </w:tcPr>
          <w:p w:rsidRPr="002A1F9A" w:rsidR="00FD60F1" w:rsidP="00FD60F1" w:rsidRDefault="00FD60F1" w14:paraId="3EA7D9B6" w14:textId="77777777">
            <w:pPr>
              <w:rPr>
                <w:rFonts w:ascii="Verdana" w:hAnsi="Verdana"/>
                <w:sz w:val="18"/>
                <w:szCs w:val="18"/>
              </w:rPr>
            </w:pPr>
            <w:r w:rsidRPr="002A1F9A">
              <w:rPr>
                <w:rFonts w:ascii="Verdana" w:hAnsi="Verdana"/>
                <w:sz w:val="18"/>
                <w:szCs w:val="18"/>
              </w:rPr>
              <w:t>Kunt u toelichten waarom sociaaleconomische achtergrond dan wel klasse niet meegenomen wordt in het beleid voor emancipatie?</w:t>
            </w:r>
          </w:p>
          <w:p w:rsidRPr="002A1F9A" w:rsidR="00FD60F1" w:rsidP="00FD60F1" w:rsidRDefault="00FD60F1" w14:paraId="6F40C4FD" w14:textId="77777777">
            <w:pPr>
              <w:rPr>
                <w:rFonts w:ascii="Verdana" w:hAnsi="Verdana"/>
                <w:sz w:val="18"/>
                <w:szCs w:val="18"/>
              </w:rPr>
            </w:pPr>
          </w:p>
          <w:p w:rsidRPr="002A1F9A" w:rsidR="00FD60F1" w:rsidP="00FD60F1" w:rsidRDefault="00FD60F1" w14:paraId="5C650B6B" w14:textId="2D48A7F0">
            <w:pPr>
              <w:rPr>
                <w:rFonts w:ascii="Verdana" w:hAnsi="Verdana"/>
                <w:sz w:val="18"/>
                <w:szCs w:val="18"/>
              </w:rPr>
            </w:pPr>
            <w:r w:rsidRPr="002A1F9A">
              <w:rPr>
                <w:rFonts w:ascii="Verdana" w:hAnsi="Verdana"/>
                <w:sz w:val="18"/>
                <w:szCs w:val="18"/>
              </w:rPr>
              <w:t xml:space="preserve">Sociaaleconomische achtergrond wordt op onderdelen wel meegenomen in het emancipatiebeleid dat zich richt op vrouwen en </w:t>
            </w:r>
            <w:proofErr w:type="spellStart"/>
            <w:r w:rsidRPr="002A1F9A">
              <w:rPr>
                <w:rFonts w:ascii="Verdana" w:hAnsi="Verdana"/>
                <w:sz w:val="18"/>
                <w:szCs w:val="18"/>
              </w:rPr>
              <w:t>lhbtiq+</w:t>
            </w:r>
            <w:proofErr w:type="spellEnd"/>
            <w:r w:rsidRPr="002A1F9A">
              <w:rPr>
                <w:rFonts w:ascii="Verdana" w:hAnsi="Verdana"/>
                <w:sz w:val="18"/>
                <w:szCs w:val="18"/>
              </w:rPr>
              <w:t xml:space="preserve"> personen. Zo is er een verband tussen de </w:t>
            </w:r>
            <w:proofErr w:type="spellStart"/>
            <w:r w:rsidRPr="002A1F9A">
              <w:rPr>
                <w:rFonts w:ascii="Verdana" w:hAnsi="Verdana"/>
                <w:sz w:val="18"/>
                <w:szCs w:val="18"/>
              </w:rPr>
              <w:t>sociaal-economische</w:t>
            </w:r>
            <w:proofErr w:type="spellEnd"/>
            <w:r w:rsidRPr="002A1F9A">
              <w:rPr>
                <w:rFonts w:ascii="Verdana" w:hAnsi="Verdana"/>
                <w:sz w:val="18"/>
                <w:szCs w:val="18"/>
              </w:rPr>
              <w:t xml:space="preserve"> achtergrond van vrouwen en hun positie op de arbeidsmarkt en in de samenleving. Er wordt vanuit het emancipatiebeleid specifiek ingezet op het verbeteren van de positie van financieel kwetsbare vrouwen, zoals vrouwen zonder werk met een uitkering,</w:t>
            </w:r>
            <w:r w:rsidRPr="002A1F9A" w:rsidR="00475409">
              <w:rPr>
                <w:rFonts w:ascii="Verdana" w:hAnsi="Verdana"/>
                <w:sz w:val="18"/>
                <w:szCs w:val="18"/>
              </w:rPr>
              <w:t xml:space="preserve"> </w:t>
            </w:r>
            <w:r w:rsidRPr="002A1F9A">
              <w:rPr>
                <w:rFonts w:ascii="Verdana" w:hAnsi="Verdana"/>
                <w:sz w:val="18"/>
                <w:szCs w:val="18"/>
              </w:rPr>
              <w:t xml:space="preserve">niet-uitkeringsgerechtigde vrouwen en alleenstaande moeders. Een voorbeeld hiervan is het programma gericht op het verbeteren van de economische veerkracht van economisch kwetsbare vrouwen. Een ander voorbeeld is de subsidie ‘Economische zelfstandigheid’ binnen het programma ‘Vakkundig aan het werk’ dat tot doel heeft om vrouwen die niet financieel onafhankelijk zijn op weg te helpen naar betaald werk en economische zelfstandigheid.  </w:t>
            </w:r>
          </w:p>
          <w:p w:rsidRPr="002A1F9A" w:rsidR="00FD60F1" w:rsidP="00FD60F1" w:rsidRDefault="00FD60F1" w14:paraId="07A8FCF6" w14:textId="22D1FECB">
            <w:pPr>
              <w:rPr>
                <w:rFonts w:ascii="Verdana" w:hAnsi="Verdana"/>
                <w:sz w:val="18"/>
                <w:szCs w:val="18"/>
              </w:rPr>
            </w:pPr>
          </w:p>
        </w:tc>
        <w:tc>
          <w:tcPr>
            <w:tcW w:w="850" w:type="dxa"/>
          </w:tcPr>
          <w:p w:rsidRPr="002A1F9A" w:rsidR="00FD60F1" w:rsidP="00FD60F1" w:rsidRDefault="00FD60F1" w14:paraId="78FD0E3B"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1F17EC5B" w14:textId="77777777">
            <w:pPr>
              <w:jc w:val="right"/>
              <w:rPr>
                <w:rFonts w:ascii="Verdana" w:hAnsi="Verdana"/>
                <w:sz w:val="18"/>
                <w:szCs w:val="18"/>
              </w:rPr>
            </w:pPr>
            <w:r w:rsidRPr="002A1F9A">
              <w:rPr>
                <w:rFonts w:ascii="Verdana" w:hAnsi="Verdana"/>
                <w:sz w:val="18"/>
                <w:szCs w:val="18"/>
              </w:rPr>
              <w:t>123</w:t>
            </w:r>
          </w:p>
        </w:tc>
        <w:tc>
          <w:tcPr>
            <w:tcW w:w="567" w:type="dxa"/>
            <w:tcBorders>
              <w:left w:val="nil"/>
            </w:tcBorders>
          </w:tcPr>
          <w:p w:rsidRPr="002A1F9A" w:rsidR="00FD60F1" w:rsidP="00FD60F1" w:rsidRDefault="00FD60F1" w14:paraId="73D31E38"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00D2DF77" w14:textId="77777777">
        <w:tc>
          <w:tcPr>
            <w:tcW w:w="567" w:type="dxa"/>
          </w:tcPr>
          <w:p w:rsidRPr="002A1F9A" w:rsidR="00FD60F1" w:rsidP="00FD60F1" w:rsidRDefault="00FD60F1" w14:paraId="4F5CC688" w14:textId="77777777">
            <w:pPr>
              <w:rPr>
                <w:rFonts w:ascii="Verdana" w:hAnsi="Verdana"/>
                <w:sz w:val="18"/>
                <w:szCs w:val="18"/>
              </w:rPr>
            </w:pPr>
            <w:r w:rsidRPr="002A1F9A">
              <w:rPr>
                <w:rFonts w:ascii="Verdana" w:hAnsi="Verdana"/>
                <w:sz w:val="18"/>
                <w:szCs w:val="18"/>
              </w:rPr>
              <w:t>169</w:t>
            </w:r>
          </w:p>
        </w:tc>
        <w:tc>
          <w:tcPr>
            <w:tcW w:w="6521" w:type="dxa"/>
          </w:tcPr>
          <w:p w:rsidRPr="002A1F9A" w:rsidR="00FD60F1" w:rsidP="00FD60F1" w:rsidRDefault="00FD60F1" w14:paraId="4F345933" w14:textId="77777777">
            <w:pPr>
              <w:rPr>
                <w:rFonts w:ascii="Verdana" w:hAnsi="Verdana"/>
                <w:sz w:val="18"/>
                <w:szCs w:val="18"/>
              </w:rPr>
            </w:pPr>
            <w:r w:rsidRPr="002A1F9A">
              <w:rPr>
                <w:rFonts w:ascii="Verdana" w:hAnsi="Verdana"/>
                <w:sz w:val="18"/>
                <w:szCs w:val="18"/>
              </w:rPr>
              <w:t>Kunt u de ontwikkeling weergeven van het aantal hbo- en wo-studenten zonder ouders met zelf een hoger onderwijsdiploma?</w:t>
            </w:r>
          </w:p>
          <w:p w:rsidRPr="002A1F9A" w:rsidR="003B7F31" w:rsidP="00FD60F1" w:rsidRDefault="003B7F31" w14:paraId="3A8DDD9F" w14:textId="77777777">
            <w:pPr>
              <w:rPr>
                <w:rFonts w:ascii="Verdana" w:hAnsi="Verdana"/>
                <w:sz w:val="18"/>
                <w:szCs w:val="18"/>
              </w:rPr>
            </w:pPr>
          </w:p>
          <w:p w:rsidRPr="002A1F9A" w:rsidR="003B7F31" w:rsidP="00FD60F1" w:rsidRDefault="003B7F31" w14:paraId="5097DF26" w14:textId="1F5BF455">
            <w:pPr>
              <w:rPr>
                <w:rFonts w:ascii="Verdana" w:hAnsi="Verdana"/>
                <w:sz w:val="18"/>
                <w:szCs w:val="18"/>
              </w:rPr>
            </w:pPr>
            <w:r w:rsidRPr="002A1F9A">
              <w:rPr>
                <w:rFonts w:ascii="Verdana" w:hAnsi="Verdana"/>
                <w:sz w:val="18"/>
                <w:szCs w:val="18"/>
              </w:rPr>
              <w:t xml:space="preserve">In opdracht van het </w:t>
            </w:r>
            <w:r w:rsidRPr="002A1F9A" w:rsidR="006D0089">
              <w:rPr>
                <w:rFonts w:ascii="Verdana" w:hAnsi="Verdana"/>
                <w:sz w:val="18"/>
                <w:szCs w:val="18"/>
              </w:rPr>
              <w:t>m</w:t>
            </w:r>
            <w:r w:rsidRPr="002A1F9A">
              <w:rPr>
                <w:rFonts w:ascii="Verdana" w:hAnsi="Verdana"/>
                <w:sz w:val="18"/>
                <w:szCs w:val="18"/>
              </w:rPr>
              <w:t xml:space="preserve">inisterie van </w:t>
            </w:r>
            <w:r w:rsidRPr="002A1F9A" w:rsidR="009A3C2E">
              <w:rPr>
                <w:rFonts w:ascii="Verdana" w:hAnsi="Verdana"/>
                <w:sz w:val="18"/>
                <w:szCs w:val="18"/>
              </w:rPr>
              <w:t>OCW</w:t>
            </w:r>
            <w:r w:rsidRPr="002A1F9A">
              <w:rPr>
                <w:rFonts w:ascii="Verdana" w:hAnsi="Verdana"/>
                <w:sz w:val="18"/>
                <w:szCs w:val="18"/>
              </w:rPr>
              <w:t xml:space="preserve"> is vorig jaar </w:t>
            </w:r>
            <w:hyperlink w:history="1" r:id="rId95">
              <w:r w:rsidRPr="002A1F9A">
                <w:rPr>
                  <w:rStyle w:val="Hyperlink"/>
                  <w:rFonts w:ascii="Verdana" w:hAnsi="Verdana"/>
                  <w:sz w:val="18"/>
                  <w:szCs w:val="18"/>
                </w:rPr>
                <w:t>onderzoek</w:t>
              </w:r>
            </w:hyperlink>
            <w:r w:rsidRPr="002A1F9A">
              <w:t xml:space="preserve"> </w:t>
            </w:r>
            <w:r w:rsidRPr="002A1F9A">
              <w:rPr>
                <w:rFonts w:ascii="Verdana" w:hAnsi="Verdana"/>
                <w:sz w:val="18"/>
                <w:szCs w:val="18"/>
              </w:rPr>
              <w:t xml:space="preserve">gedaan naar </w:t>
            </w:r>
            <w:proofErr w:type="spellStart"/>
            <w:r w:rsidRPr="002A1F9A">
              <w:rPr>
                <w:rFonts w:ascii="Verdana" w:hAnsi="Verdana"/>
                <w:sz w:val="18"/>
                <w:szCs w:val="18"/>
              </w:rPr>
              <w:t>eerstegeneratiestudenten</w:t>
            </w:r>
            <w:proofErr w:type="spellEnd"/>
            <w:r w:rsidRPr="002A1F9A">
              <w:rPr>
                <w:rFonts w:ascii="Verdana" w:hAnsi="Verdana"/>
                <w:sz w:val="18"/>
                <w:szCs w:val="18"/>
              </w:rPr>
              <w:t xml:space="preserve"> in het hbo en wo. </w:t>
            </w:r>
            <w:proofErr w:type="spellStart"/>
            <w:r w:rsidRPr="002A1F9A">
              <w:rPr>
                <w:rFonts w:ascii="Verdana" w:hAnsi="Verdana"/>
                <w:sz w:val="18"/>
                <w:szCs w:val="18"/>
              </w:rPr>
              <w:t>Eerstegeneratiestudenten</w:t>
            </w:r>
            <w:proofErr w:type="spellEnd"/>
            <w:r w:rsidRPr="002A1F9A">
              <w:rPr>
                <w:rFonts w:ascii="Verdana" w:hAnsi="Verdana"/>
                <w:sz w:val="18"/>
                <w:szCs w:val="18"/>
              </w:rPr>
              <w:t xml:space="preserve"> zijn studenten wiens ouders geen studie op een hogeschool of universiteit hebben afgerond. Van de inschrijvingen vanaf 2008/09 tot en met 2018/19, is in totaal 46% gedaan door een </w:t>
            </w:r>
            <w:proofErr w:type="spellStart"/>
            <w:r w:rsidRPr="002A1F9A">
              <w:rPr>
                <w:rFonts w:ascii="Verdana" w:hAnsi="Verdana"/>
                <w:sz w:val="18"/>
                <w:szCs w:val="18"/>
              </w:rPr>
              <w:t>eerstegeneratiestudent</w:t>
            </w:r>
            <w:proofErr w:type="spellEnd"/>
            <w:r w:rsidRPr="002A1F9A">
              <w:rPr>
                <w:rFonts w:ascii="Verdana" w:hAnsi="Verdana"/>
                <w:sz w:val="18"/>
                <w:szCs w:val="18"/>
              </w:rPr>
              <w:t xml:space="preserve">. Dat is dus bijna de helft. Wanneer gekeken wordt naar de ontwikkeling </w:t>
            </w:r>
            <w:r w:rsidRPr="002A1F9A" w:rsidR="006D0089">
              <w:rPr>
                <w:rFonts w:ascii="Verdana" w:hAnsi="Verdana"/>
                <w:sz w:val="18"/>
                <w:szCs w:val="18"/>
              </w:rPr>
              <w:t>door</w:t>
            </w:r>
            <w:r w:rsidRPr="002A1F9A">
              <w:rPr>
                <w:rFonts w:ascii="Verdana" w:hAnsi="Verdana"/>
                <w:sz w:val="18"/>
                <w:szCs w:val="18"/>
              </w:rPr>
              <w:t xml:space="preserve"> de tijd heen, is te zien dat het aandeel eerstejaars </w:t>
            </w:r>
            <w:proofErr w:type="spellStart"/>
            <w:r w:rsidRPr="002A1F9A">
              <w:rPr>
                <w:rFonts w:ascii="Verdana" w:hAnsi="Verdana"/>
                <w:sz w:val="18"/>
                <w:szCs w:val="18"/>
              </w:rPr>
              <w:t>eerstegeneratiestudenten</w:t>
            </w:r>
            <w:proofErr w:type="spellEnd"/>
            <w:r w:rsidRPr="002A1F9A">
              <w:rPr>
                <w:rFonts w:ascii="Verdana" w:hAnsi="Verdana"/>
                <w:sz w:val="18"/>
                <w:szCs w:val="18"/>
              </w:rPr>
              <w:t xml:space="preserve"> jaarlijks wel afneemt. In 2023 is het aandeel </w:t>
            </w:r>
            <w:proofErr w:type="spellStart"/>
            <w:r w:rsidRPr="002A1F9A">
              <w:rPr>
                <w:rFonts w:ascii="Verdana" w:hAnsi="Verdana"/>
                <w:sz w:val="18"/>
                <w:szCs w:val="18"/>
              </w:rPr>
              <w:t>eerstegeneratiestudenten</w:t>
            </w:r>
            <w:proofErr w:type="spellEnd"/>
            <w:r w:rsidRPr="002A1F9A">
              <w:rPr>
                <w:rFonts w:ascii="Verdana" w:hAnsi="Verdana"/>
                <w:sz w:val="18"/>
                <w:szCs w:val="18"/>
              </w:rPr>
              <w:t xml:space="preserve"> 32%, </w:t>
            </w:r>
            <w:r w:rsidRPr="002A1F9A" w:rsidR="006D0089">
              <w:rPr>
                <w:rFonts w:ascii="Verdana" w:hAnsi="Verdana"/>
                <w:sz w:val="18"/>
                <w:szCs w:val="18"/>
              </w:rPr>
              <w:t>dus</w:t>
            </w:r>
            <w:r w:rsidRPr="002A1F9A">
              <w:rPr>
                <w:rFonts w:ascii="Verdana" w:hAnsi="Verdana"/>
                <w:sz w:val="18"/>
                <w:szCs w:val="18"/>
              </w:rPr>
              <w:t xml:space="preserve"> ongeveer een derde. </w:t>
            </w:r>
            <w:r w:rsidRPr="002A1F9A">
              <w:rPr>
                <w:rFonts w:ascii="Verdana" w:hAnsi="Verdana"/>
                <w:sz w:val="18"/>
                <w:szCs w:val="18"/>
              </w:rPr>
              <w:lastRenderedPageBreak/>
              <w:t>De ontwikkeling is in onderstaande figuur te zien. Een mogelijke verklaring voor dit kleinere aandeel in recente jaren, is het feit dat het aantal hbo- en wo-gediplomeerden in Nederland is gegroeid. Daardoor zijn er relatief minder aspirant-studenten die ouders hebben zonder hbo- of wo-diploma.</w:t>
            </w:r>
          </w:p>
          <w:p w:rsidRPr="002A1F9A" w:rsidR="003B7F31" w:rsidP="00FD60F1" w:rsidRDefault="003B7F31" w14:paraId="54249FF0" w14:textId="77777777">
            <w:pPr>
              <w:rPr>
                <w:rFonts w:ascii="Verdana" w:hAnsi="Verdana"/>
                <w:sz w:val="18"/>
                <w:szCs w:val="18"/>
              </w:rPr>
            </w:pPr>
          </w:p>
          <w:p w:rsidRPr="002A1F9A" w:rsidR="003B7F31" w:rsidP="00FD60F1" w:rsidRDefault="003B7F31" w14:paraId="75BA24CC" w14:textId="0122AB90">
            <w:pPr>
              <w:rPr>
                <w:rFonts w:ascii="Verdana" w:hAnsi="Verdana"/>
                <w:sz w:val="18"/>
                <w:szCs w:val="18"/>
              </w:rPr>
            </w:pPr>
            <w:r w:rsidRPr="002A1F9A">
              <w:rPr>
                <w:rFonts w:ascii="Verdana" w:hAnsi="Verdana"/>
                <w:noProof/>
                <w:sz w:val="18"/>
                <w:szCs w:val="18"/>
              </w:rPr>
              <w:drawing>
                <wp:anchor distT="0" distB="0" distL="114300" distR="114300" simplePos="0" relativeHeight="251663360" behindDoc="0" locked="0" layoutInCell="1" allowOverlap="1" wp14:editId="1BC605E8" wp14:anchorId="2A1C53C2">
                  <wp:simplePos x="0" y="0"/>
                  <wp:positionH relativeFrom="margin">
                    <wp:posOffset>0</wp:posOffset>
                  </wp:positionH>
                  <wp:positionV relativeFrom="paragraph">
                    <wp:posOffset>181610</wp:posOffset>
                  </wp:positionV>
                  <wp:extent cx="4114800" cy="2082800"/>
                  <wp:effectExtent l="0" t="0" r="0" b="0"/>
                  <wp:wrapTopAndBottom/>
                  <wp:docPr id="1466604489"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04489" name="Afbeelding 2" descr="Afbeelding met tekst, schermopname, Lettertype, lijn&#10;&#10;Door AI gegenereerde inhoud is mogelijk onjuist."/>
                          <pic:cNvPicPr>
                            <a:picLocks noChangeAspect="1" noChangeArrowheads="1"/>
                          </pic:cNvPicPr>
                        </pic:nvPicPr>
                        <pic:blipFill>
                          <a:blip r:embed="rId96" r:link="rId97">
                            <a:extLst>
                              <a:ext uri="{28A0092B-C50C-407E-A947-70E740481C1C}">
                                <a14:useLocalDpi xmlns:a14="http://schemas.microsoft.com/office/drawing/2010/main" val="0"/>
                              </a:ext>
                            </a:extLst>
                          </a:blip>
                          <a:srcRect/>
                          <a:stretch>
                            <a:fillRect/>
                          </a:stretch>
                        </pic:blipFill>
                        <pic:spPr bwMode="auto">
                          <a:xfrm>
                            <a:off x="0" y="0"/>
                            <a:ext cx="4114800" cy="2082800"/>
                          </a:xfrm>
                          <a:prstGeom prst="rect">
                            <a:avLst/>
                          </a:prstGeom>
                          <a:noFill/>
                          <a:ln>
                            <a:noFill/>
                          </a:ln>
                        </pic:spPr>
                      </pic:pic>
                    </a:graphicData>
                  </a:graphic>
                </wp:anchor>
              </w:drawing>
            </w:r>
          </w:p>
          <w:p w:rsidRPr="002A1F9A" w:rsidR="003B7F31" w:rsidP="00FD60F1" w:rsidRDefault="003B7F31" w14:paraId="35393FA6" w14:textId="77FEEF09">
            <w:pPr>
              <w:rPr>
                <w:rFonts w:ascii="Verdana" w:hAnsi="Verdana"/>
                <w:sz w:val="18"/>
                <w:szCs w:val="18"/>
              </w:rPr>
            </w:pPr>
          </w:p>
        </w:tc>
        <w:tc>
          <w:tcPr>
            <w:tcW w:w="850" w:type="dxa"/>
          </w:tcPr>
          <w:p w:rsidRPr="002A1F9A" w:rsidR="00FD60F1" w:rsidP="00FD60F1" w:rsidRDefault="00FD60F1" w14:paraId="704BA0E3"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20681FA6" w14:textId="77777777">
            <w:pPr>
              <w:jc w:val="right"/>
              <w:rPr>
                <w:rFonts w:ascii="Verdana" w:hAnsi="Verdana"/>
                <w:sz w:val="18"/>
                <w:szCs w:val="18"/>
              </w:rPr>
            </w:pPr>
            <w:r w:rsidRPr="002A1F9A">
              <w:rPr>
                <w:rFonts w:ascii="Verdana" w:hAnsi="Verdana"/>
                <w:sz w:val="18"/>
                <w:szCs w:val="18"/>
              </w:rPr>
              <w:t>123</w:t>
            </w:r>
          </w:p>
        </w:tc>
        <w:tc>
          <w:tcPr>
            <w:tcW w:w="567" w:type="dxa"/>
            <w:tcBorders>
              <w:left w:val="nil"/>
            </w:tcBorders>
          </w:tcPr>
          <w:p w:rsidRPr="002A1F9A" w:rsidR="00FD60F1" w:rsidP="00FD60F1" w:rsidRDefault="00FD60F1" w14:paraId="5592EE75"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7CDD9EB3" w14:textId="77777777">
        <w:tc>
          <w:tcPr>
            <w:tcW w:w="567" w:type="dxa"/>
          </w:tcPr>
          <w:p w:rsidRPr="002A1F9A" w:rsidR="00FD60F1" w:rsidP="00FD60F1" w:rsidRDefault="00FD60F1" w14:paraId="34D38D5B" w14:textId="77777777">
            <w:pPr>
              <w:rPr>
                <w:rFonts w:ascii="Verdana" w:hAnsi="Verdana"/>
                <w:sz w:val="18"/>
                <w:szCs w:val="18"/>
              </w:rPr>
            </w:pPr>
            <w:r w:rsidRPr="002A1F9A">
              <w:rPr>
                <w:rFonts w:ascii="Verdana" w:hAnsi="Verdana"/>
                <w:sz w:val="18"/>
                <w:szCs w:val="18"/>
              </w:rPr>
              <w:t>170</w:t>
            </w:r>
          </w:p>
        </w:tc>
        <w:tc>
          <w:tcPr>
            <w:tcW w:w="6521" w:type="dxa"/>
          </w:tcPr>
          <w:p w:rsidRPr="002A1F9A" w:rsidR="00FD60F1" w:rsidP="00FD60F1" w:rsidRDefault="00FD60F1" w14:paraId="04BF089B" w14:textId="77777777">
            <w:pPr>
              <w:rPr>
                <w:rFonts w:ascii="Verdana" w:hAnsi="Verdana"/>
                <w:sz w:val="18"/>
                <w:szCs w:val="18"/>
              </w:rPr>
            </w:pPr>
            <w:r w:rsidRPr="002A1F9A">
              <w:rPr>
                <w:rFonts w:ascii="Verdana" w:hAnsi="Verdana"/>
                <w:sz w:val="18"/>
                <w:szCs w:val="18"/>
              </w:rPr>
              <w:t>Kunt u de gedragseffecten bij leerwerkbedrijven en mbo’ers kwantificeren indien zou worden vastgelegd dat de stagevergoeding voor mbo’ers € 750 per maand bedraagt?</w:t>
            </w:r>
          </w:p>
          <w:p w:rsidRPr="002A1F9A" w:rsidR="00FD60F1" w:rsidP="00FD60F1" w:rsidRDefault="00FD60F1" w14:paraId="06D576FF" w14:textId="77777777">
            <w:pPr>
              <w:rPr>
                <w:rFonts w:ascii="Verdana" w:hAnsi="Verdana"/>
                <w:sz w:val="18"/>
                <w:szCs w:val="18"/>
              </w:rPr>
            </w:pPr>
          </w:p>
          <w:p w:rsidRPr="002A1F9A" w:rsidR="00FD60F1" w:rsidP="00FD60F1" w:rsidRDefault="00FD60F1" w14:paraId="6826007C" w14:textId="2D70EBD9">
            <w:pPr>
              <w:rPr>
                <w:rFonts w:ascii="Verdana" w:hAnsi="Verdana"/>
                <w:sz w:val="18"/>
                <w:szCs w:val="18"/>
              </w:rPr>
            </w:pPr>
            <w:r w:rsidRPr="002A1F9A">
              <w:rPr>
                <w:rFonts w:ascii="Verdana" w:hAnsi="Verdana"/>
                <w:sz w:val="18"/>
                <w:szCs w:val="18"/>
              </w:rPr>
              <w:t xml:space="preserve">Nee het is niet mogelijk om de gedragseffecten te kwantificeren, de data daarvoor ontbreekt. In een </w:t>
            </w:r>
            <w:hyperlink w:history="1" r:id="rId98">
              <w:r w:rsidRPr="002A1F9A">
                <w:rPr>
                  <w:rStyle w:val="Hyperlink"/>
                  <w:rFonts w:ascii="Verdana" w:hAnsi="Verdana"/>
                  <w:i/>
                  <w:iCs/>
                  <w:sz w:val="18"/>
                  <w:szCs w:val="18"/>
                </w:rPr>
                <w:t>Verkennend Onderzoek Minimumstagevergoeding</w:t>
              </w:r>
            </w:hyperlink>
            <w:r w:rsidRPr="002A1F9A">
              <w:rPr>
                <w:rFonts w:ascii="Verdana" w:hAnsi="Verdana"/>
                <w:sz w:val="18"/>
                <w:szCs w:val="18"/>
              </w:rPr>
              <w:t xml:space="preserve"> heeft </w:t>
            </w:r>
            <w:proofErr w:type="spellStart"/>
            <w:r w:rsidRPr="002A1F9A">
              <w:rPr>
                <w:rFonts w:ascii="Verdana" w:hAnsi="Verdana"/>
                <w:sz w:val="18"/>
                <w:szCs w:val="18"/>
              </w:rPr>
              <w:t>Dialogic</w:t>
            </w:r>
            <w:proofErr w:type="spellEnd"/>
            <w:r w:rsidRPr="002A1F9A">
              <w:rPr>
                <w:rFonts w:ascii="Verdana" w:hAnsi="Verdana"/>
                <w:sz w:val="18"/>
                <w:szCs w:val="18"/>
              </w:rPr>
              <w:t xml:space="preserve"> et. al. (2024) aangegeven dat de verschillende verwachte positieve en mogelijk negatieve effecten van een minimum</w:t>
            </w:r>
            <w:r w:rsidRPr="002A1F9A" w:rsidR="006D0089">
              <w:rPr>
                <w:rFonts w:ascii="Verdana" w:hAnsi="Verdana"/>
                <w:sz w:val="18"/>
                <w:szCs w:val="18"/>
              </w:rPr>
              <w:t xml:space="preserve"> </w:t>
            </w:r>
            <w:r w:rsidRPr="002A1F9A">
              <w:rPr>
                <w:rFonts w:ascii="Verdana" w:hAnsi="Verdana"/>
                <w:sz w:val="18"/>
                <w:szCs w:val="18"/>
              </w:rPr>
              <w:t>stagevergoeding op voorhand niet goed in te schatten zijn. Mogelijke effecten die zij aangeven zijn onder andere een positief effect op de inkomenspositie van de studenten en mogelijk minder stageplekken.</w:t>
            </w:r>
          </w:p>
          <w:p w:rsidRPr="002A1F9A" w:rsidR="00FD60F1" w:rsidP="00FD60F1" w:rsidRDefault="00FD60F1" w14:paraId="32E2AD95" w14:textId="4642D72C">
            <w:pPr>
              <w:rPr>
                <w:rFonts w:ascii="Verdana" w:hAnsi="Verdana"/>
                <w:sz w:val="18"/>
                <w:szCs w:val="18"/>
              </w:rPr>
            </w:pPr>
          </w:p>
        </w:tc>
        <w:tc>
          <w:tcPr>
            <w:tcW w:w="850" w:type="dxa"/>
          </w:tcPr>
          <w:p w:rsidRPr="002A1F9A" w:rsidR="00FD60F1" w:rsidP="00FD60F1" w:rsidRDefault="00FD60F1" w14:paraId="3D2A0415"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0FEB7EBF" w14:textId="77777777">
            <w:pPr>
              <w:jc w:val="right"/>
              <w:rPr>
                <w:rFonts w:ascii="Verdana" w:hAnsi="Verdana"/>
                <w:sz w:val="18"/>
                <w:szCs w:val="18"/>
              </w:rPr>
            </w:pPr>
            <w:r w:rsidRPr="002A1F9A">
              <w:rPr>
                <w:rFonts w:ascii="Verdana" w:hAnsi="Verdana"/>
                <w:sz w:val="18"/>
                <w:szCs w:val="18"/>
              </w:rPr>
              <w:t>152</w:t>
            </w:r>
          </w:p>
        </w:tc>
        <w:tc>
          <w:tcPr>
            <w:tcW w:w="567" w:type="dxa"/>
            <w:tcBorders>
              <w:left w:val="nil"/>
            </w:tcBorders>
          </w:tcPr>
          <w:p w:rsidRPr="002A1F9A" w:rsidR="00FD60F1" w:rsidP="00FD60F1" w:rsidRDefault="00FD60F1" w14:paraId="586A30C3"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3458E501" w14:textId="77777777">
        <w:tc>
          <w:tcPr>
            <w:tcW w:w="567" w:type="dxa"/>
          </w:tcPr>
          <w:p w:rsidRPr="002A1F9A" w:rsidR="00FD60F1" w:rsidP="00FD60F1" w:rsidRDefault="00FD60F1" w14:paraId="5D1E2E83" w14:textId="77777777">
            <w:pPr>
              <w:rPr>
                <w:rFonts w:ascii="Verdana" w:hAnsi="Verdana"/>
                <w:sz w:val="18"/>
                <w:szCs w:val="18"/>
              </w:rPr>
            </w:pPr>
            <w:r w:rsidRPr="002A1F9A">
              <w:rPr>
                <w:rFonts w:ascii="Verdana" w:hAnsi="Verdana"/>
                <w:sz w:val="18"/>
                <w:szCs w:val="18"/>
              </w:rPr>
              <w:t>171</w:t>
            </w:r>
          </w:p>
        </w:tc>
        <w:tc>
          <w:tcPr>
            <w:tcW w:w="6521" w:type="dxa"/>
          </w:tcPr>
          <w:p w:rsidRPr="002A1F9A" w:rsidR="00FD60F1" w:rsidP="00FD60F1" w:rsidRDefault="00FD60F1" w14:paraId="54B7F428" w14:textId="77777777">
            <w:pPr>
              <w:rPr>
                <w:rFonts w:ascii="Verdana" w:hAnsi="Verdana"/>
                <w:sz w:val="18"/>
                <w:szCs w:val="18"/>
              </w:rPr>
            </w:pPr>
            <w:r w:rsidRPr="002A1F9A">
              <w:rPr>
                <w:rFonts w:ascii="Verdana" w:hAnsi="Verdana"/>
                <w:sz w:val="18"/>
                <w:szCs w:val="18"/>
              </w:rPr>
              <w:t>Hoeveel middelen worden in 2026 verschoven van de NPO</w:t>
            </w:r>
            <w:r w:rsidRPr="002A1F9A">
              <w:rPr>
                <w:rStyle w:val="Voetnootmarkering"/>
                <w:rFonts w:ascii="Verdana" w:hAnsi="Verdana"/>
                <w:sz w:val="18"/>
                <w:szCs w:val="18"/>
              </w:rPr>
              <w:footnoteReference w:id="14"/>
            </w:r>
            <w:r w:rsidRPr="002A1F9A">
              <w:rPr>
                <w:rFonts w:ascii="Verdana" w:hAnsi="Verdana"/>
                <w:sz w:val="18"/>
                <w:szCs w:val="18"/>
              </w:rPr>
              <w:t xml:space="preserve"> naar regionale media en welke hervormingen van het publieke omroepbestel worden doorgevoerd?</w:t>
            </w:r>
          </w:p>
          <w:p w:rsidRPr="002A1F9A" w:rsidR="00FD60F1" w:rsidP="00FD60F1" w:rsidRDefault="00FD60F1" w14:paraId="1E53A624" w14:textId="77777777">
            <w:pPr>
              <w:rPr>
                <w:rFonts w:ascii="Verdana" w:hAnsi="Verdana"/>
                <w:sz w:val="18"/>
                <w:szCs w:val="18"/>
              </w:rPr>
            </w:pPr>
          </w:p>
          <w:p w:rsidRPr="002A1F9A" w:rsidR="00FD60F1" w:rsidP="00FD60F1" w:rsidRDefault="00FD60F1" w14:paraId="0A197385" w14:textId="77777777">
            <w:pPr>
              <w:rPr>
                <w:rFonts w:ascii="Verdana" w:hAnsi="Verdana"/>
                <w:sz w:val="18"/>
                <w:szCs w:val="18"/>
              </w:rPr>
            </w:pPr>
            <w:r w:rsidRPr="002A1F9A">
              <w:rPr>
                <w:rFonts w:ascii="Verdana" w:hAnsi="Verdana"/>
                <w:sz w:val="18"/>
                <w:szCs w:val="18"/>
              </w:rPr>
              <w:t xml:space="preserve">Er worden in 2026 geen middelen van de NPO naar regionale media verschoven. </w:t>
            </w:r>
          </w:p>
          <w:p w:rsidRPr="002A1F9A" w:rsidR="00FD60F1" w:rsidP="00FD60F1" w:rsidRDefault="00FD60F1" w14:paraId="0D7170E3" w14:textId="266474F2">
            <w:pPr>
              <w:rPr>
                <w:rFonts w:ascii="Verdana" w:hAnsi="Verdana"/>
                <w:sz w:val="18"/>
                <w:szCs w:val="18"/>
              </w:rPr>
            </w:pPr>
            <w:r w:rsidRPr="002A1F9A">
              <w:rPr>
                <w:rFonts w:ascii="Verdana" w:hAnsi="Verdana"/>
                <w:sz w:val="18"/>
                <w:szCs w:val="18"/>
              </w:rPr>
              <w:t xml:space="preserve">Momenteel wordt er gewerkt aan de hervorming van de lokale publieke omroepen en de landelijke publieke omroep. Voor de hervorming van de lokale publieke omroepen is het streven om eind 2025 het wetsvoorstel aan </w:t>
            </w:r>
            <w:r w:rsidRPr="002A1F9A" w:rsidR="006D0089">
              <w:rPr>
                <w:rFonts w:ascii="Verdana" w:hAnsi="Verdana"/>
                <w:sz w:val="18"/>
                <w:szCs w:val="18"/>
              </w:rPr>
              <w:t>uw</w:t>
            </w:r>
            <w:r w:rsidRPr="002A1F9A">
              <w:rPr>
                <w:rFonts w:ascii="Verdana" w:hAnsi="Verdana"/>
                <w:sz w:val="18"/>
                <w:szCs w:val="18"/>
              </w:rPr>
              <w:t xml:space="preserve"> Kamer te sturen. Inwerkingtreding van dit wetsvoorstel is voorzien per 1 juli 2026. De feitelijke start van het stelsel is vervolgens voorzien, na anderhalf overgangsjaar, per 1 januari 2028.</w:t>
            </w:r>
            <w:r w:rsidRPr="002A1F9A">
              <w:rPr>
                <w:rStyle w:val="Voetnootmarkering"/>
                <w:rFonts w:ascii="Verdana" w:hAnsi="Verdana"/>
                <w:sz w:val="18"/>
                <w:szCs w:val="18"/>
              </w:rPr>
              <w:footnoteReference w:id="15"/>
            </w:r>
            <w:r w:rsidRPr="002A1F9A">
              <w:rPr>
                <w:rFonts w:ascii="Verdana" w:hAnsi="Verdana"/>
                <w:sz w:val="18"/>
                <w:szCs w:val="18"/>
              </w:rPr>
              <w:t xml:space="preserve"> Het wetsvoorstel voor de hervorming van de landelijke publieke omroep gaat in de loop van 2026 naar </w:t>
            </w:r>
            <w:r w:rsidRPr="002A1F9A" w:rsidR="00514931">
              <w:rPr>
                <w:rFonts w:ascii="Verdana" w:hAnsi="Verdana"/>
                <w:sz w:val="18"/>
                <w:szCs w:val="18"/>
              </w:rPr>
              <w:t>uw</w:t>
            </w:r>
            <w:r w:rsidRPr="002A1F9A">
              <w:rPr>
                <w:rFonts w:ascii="Verdana" w:hAnsi="Verdana"/>
                <w:sz w:val="18"/>
                <w:szCs w:val="18"/>
              </w:rPr>
              <w:t xml:space="preserve"> Kamer. De planning is dat deze hervorming daadwerkelijk </w:t>
            </w:r>
            <w:r w:rsidRPr="002A1F9A" w:rsidR="006D0089">
              <w:rPr>
                <w:rFonts w:ascii="Verdana" w:hAnsi="Verdana"/>
                <w:sz w:val="18"/>
                <w:szCs w:val="18"/>
              </w:rPr>
              <w:t>wordt</w:t>
            </w:r>
            <w:r w:rsidRPr="002A1F9A">
              <w:rPr>
                <w:rFonts w:ascii="Verdana" w:hAnsi="Verdana"/>
                <w:sz w:val="18"/>
                <w:szCs w:val="18"/>
              </w:rPr>
              <w:t xml:space="preserve"> doorgevoerd bij het ingaan van een nieuwe concessieperiode, op 1 januari 2029.</w:t>
            </w:r>
          </w:p>
          <w:p w:rsidRPr="002A1F9A" w:rsidR="00FD60F1" w:rsidP="00FD60F1" w:rsidRDefault="00FD60F1" w14:paraId="69EB5099" w14:textId="4B4EFDD1">
            <w:pPr>
              <w:rPr>
                <w:rFonts w:ascii="Verdana" w:hAnsi="Verdana"/>
                <w:sz w:val="18"/>
                <w:szCs w:val="18"/>
              </w:rPr>
            </w:pPr>
          </w:p>
        </w:tc>
        <w:tc>
          <w:tcPr>
            <w:tcW w:w="850" w:type="dxa"/>
          </w:tcPr>
          <w:p w:rsidRPr="002A1F9A" w:rsidR="00FD60F1" w:rsidP="00FD60F1" w:rsidRDefault="00FD60F1" w14:paraId="037FE4D6"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5C7AA4C1" w14:textId="77777777">
            <w:pPr>
              <w:jc w:val="right"/>
              <w:rPr>
                <w:rFonts w:ascii="Verdana" w:hAnsi="Verdana"/>
                <w:sz w:val="18"/>
                <w:szCs w:val="18"/>
              </w:rPr>
            </w:pPr>
            <w:r w:rsidRPr="002A1F9A">
              <w:rPr>
                <w:rFonts w:ascii="Verdana" w:hAnsi="Verdana"/>
                <w:sz w:val="18"/>
                <w:szCs w:val="18"/>
              </w:rPr>
              <w:t>157</w:t>
            </w:r>
          </w:p>
        </w:tc>
        <w:tc>
          <w:tcPr>
            <w:tcW w:w="567" w:type="dxa"/>
            <w:tcBorders>
              <w:left w:val="nil"/>
            </w:tcBorders>
          </w:tcPr>
          <w:p w:rsidRPr="002A1F9A" w:rsidR="00FD60F1" w:rsidP="00FD60F1" w:rsidRDefault="00FD60F1" w14:paraId="680F7719"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3CC97D61" w14:textId="77777777">
        <w:tc>
          <w:tcPr>
            <w:tcW w:w="567" w:type="dxa"/>
          </w:tcPr>
          <w:p w:rsidRPr="002A1F9A" w:rsidR="00FD60F1" w:rsidP="00FD60F1" w:rsidRDefault="00FD60F1" w14:paraId="515638EB" w14:textId="77777777">
            <w:pPr>
              <w:rPr>
                <w:rFonts w:ascii="Verdana" w:hAnsi="Verdana"/>
                <w:sz w:val="18"/>
                <w:szCs w:val="18"/>
              </w:rPr>
            </w:pPr>
            <w:r w:rsidRPr="002A1F9A">
              <w:rPr>
                <w:rFonts w:ascii="Verdana" w:hAnsi="Verdana"/>
                <w:sz w:val="18"/>
                <w:szCs w:val="18"/>
              </w:rPr>
              <w:lastRenderedPageBreak/>
              <w:t>172</w:t>
            </w:r>
          </w:p>
        </w:tc>
        <w:tc>
          <w:tcPr>
            <w:tcW w:w="6521" w:type="dxa"/>
          </w:tcPr>
          <w:p w:rsidRPr="002A1F9A" w:rsidR="00FD60F1" w:rsidP="00FD60F1" w:rsidRDefault="00FD60F1" w14:paraId="450EE8B3" w14:textId="77777777">
            <w:pPr>
              <w:rPr>
                <w:rFonts w:ascii="Verdana" w:hAnsi="Verdana"/>
                <w:sz w:val="18"/>
                <w:szCs w:val="18"/>
              </w:rPr>
            </w:pPr>
            <w:r w:rsidRPr="002A1F9A">
              <w:rPr>
                <w:rFonts w:ascii="Verdana" w:hAnsi="Verdana"/>
                <w:sz w:val="18"/>
                <w:szCs w:val="18"/>
              </w:rPr>
              <w:t xml:space="preserve">Hoeveel scholen hebben in 2026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interventies ingevoerd met de aanvullende middelen voor basisvaardigheden en wat zijn de eerste resultaten?</w:t>
            </w:r>
          </w:p>
          <w:p w:rsidRPr="002A1F9A" w:rsidR="00FD60F1" w:rsidP="00FD60F1" w:rsidRDefault="00FD60F1" w14:paraId="300A2414" w14:textId="77777777">
            <w:pPr>
              <w:rPr>
                <w:rFonts w:ascii="Verdana" w:hAnsi="Verdana"/>
                <w:sz w:val="18"/>
                <w:szCs w:val="18"/>
              </w:rPr>
            </w:pPr>
          </w:p>
          <w:p w:rsidRPr="002A1F9A" w:rsidR="00FD60F1" w:rsidP="00FD60F1" w:rsidRDefault="00FD60F1" w14:paraId="1016DA60" w14:textId="77777777">
            <w:pPr>
              <w:rPr>
                <w:rFonts w:ascii="Verdana" w:hAnsi="Verdana"/>
                <w:sz w:val="18"/>
                <w:szCs w:val="18"/>
              </w:rPr>
            </w:pPr>
            <w:r w:rsidRPr="002A1F9A">
              <w:rPr>
                <w:rFonts w:ascii="Verdana" w:hAnsi="Verdana"/>
                <w:sz w:val="18"/>
                <w:szCs w:val="18"/>
              </w:rPr>
              <w:t xml:space="preserve">In 2022 is de eerste groep van zo’n 650 scholen aan de slag gegaan met de aanvullende middelen voor basisvaardigheden; in 2025 is de vierde groep scholen aan de slag gegaan. In totaal gaat het om ruim 7.800 scholen die </w:t>
            </w:r>
            <w:proofErr w:type="spellStart"/>
            <w:r w:rsidRPr="002A1F9A">
              <w:rPr>
                <w:rFonts w:ascii="Verdana" w:hAnsi="Verdana"/>
                <w:sz w:val="18"/>
                <w:szCs w:val="18"/>
              </w:rPr>
              <w:t>evidence-informed</w:t>
            </w:r>
            <w:proofErr w:type="spellEnd"/>
            <w:r w:rsidRPr="002A1F9A">
              <w:rPr>
                <w:rFonts w:ascii="Verdana" w:hAnsi="Verdana"/>
                <w:sz w:val="18"/>
                <w:szCs w:val="18"/>
              </w:rPr>
              <w:t xml:space="preserve"> werken aan de verbetering van de basisvaardigheden. Op basis van de </w:t>
            </w:r>
            <w:hyperlink w:history="1" r:id="rId99">
              <w:r w:rsidRPr="002A1F9A">
                <w:rPr>
                  <w:rStyle w:val="Hyperlink"/>
                  <w:rFonts w:ascii="Verdana" w:hAnsi="Verdana"/>
                  <w:sz w:val="18"/>
                  <w:szCs w:val="18"/>
                </w:rPr>
                <w:t>eindmeting</w:t>
              </w:r>
            </w:hyperlink>
            <w:r w:rsidRPr="002A1F9A">
              <w:rPr>
                <w:rFonts w:ascii="Verdana" w:hAnsi="Verdana"/>
                <w:sz w:val="18"/>
                <w:szCs w:val="18"/>
              </w:rPr>
              <w:t xml:space="preserve"> onder de scholen die als eerste zijn begonnen, weten we dat een zeer groot deel van deze scholen positief is over het effect van hun extra inzet op de basisvaardigheden op de leerprestaties van hun leerlingen. Zij zien veelal ook veranderingen binnen de school die duurzaam bijdragen aan de verbetering van de onderwijskwaliteit, zoals meer expertise binnen het team. Het eerste beeld is dus positief. Aan het einde van het jaar zullen we aan de hand van alle onderzoeksresultaten in meer detail rapporteren.</w:t>
            </w:r>
          </w:p>
          <w:p w:rsidRPr="002A1F9A" w:rsidR="00FD60F1" w:rsidP="00FD60F1" w:rsidRDefault="00FD60F1" w14:paraId="73D27C3D" w14:textId="77777777">
            <w:pPr>
              <w:rPr>
                <w:rFonts w:ascii="Verdana" w:hAnsi="Verdana"/>
                <w:sz w:val="18"/>
                <w:szCs w:val="18"/>
              </w:rPr>
            </w:pPr>
          </w:p>
        </w:tc>
        <w:tc>
          <w:tcPr>
            <w:tcW w:w="850" w:type="dxa"/>
          </w:tcPr>
          <w:p w:rsidRPr="002A1F9A" w:rsidR="00FD60F1" w:rsidP="00FD60F1" w:rsidRDefault="00FD60F1" w14:paraId="6CF52D70"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14DD1681" w14:textId="77777777">
            <w:pPr>
              <w:jc w:val="right"/>
              <w:rPr>
                <w:rFonts w:ascii="Verdana" w:hAnsi="Verdana"/>
                <w:sz w:val="18"/>
                <w:szCs w:val="18"/>
              </w:rPr>
            </w:pPr>
            <w:r w:rsidRPr="002A1F9A">
              <w:rPr>
                <w:rFonts w:ascii="Verdana" w:hAnsi="Verdana"/>
                <w:sz w:val="18"/>
                <w:szCs w:val="18"/>
              </w:rPr>
              <w:t>165</w:t>
            </w:r>
          </w:p>
        </w:tc>
        <w:tc>
          <w:tcPr>
            <w:tcW w:w="567" w:type="dxa"/>
            <w:tcBorders>
              <w:left w:val="nil"/>
            </w:tcBorders>
          </w:tcPr>
          <w:p w:rsidRPr="002A1F9A" w:rsidR="00FD60F1" w:rsidP="00FD60F1" w:rsidRDefault="00FD60F1" w14:paraId="00B50D3D" w14:textId="77777777">
            <w:pPr>
              <w:jc w:val="right"/>
              <w:rPr>
                <w:rFonts w:ascii="Verdana" w:hAnsi="Verdana"/>
                <w:sz w:val="18"/>
                <w:szCs w:val="18"/>
              </w:rPr>
            </w:pPr>
            <w:r w:rsidRPr="002A1F9A">
              <w:rPr>
                <w:rFonts w:ascii="Verdana" w:hAnsi="Verdana"/>
                <w:sz w:val="18"/>
                <w:szCs w:val="18"/>
              </w:rPr>
              <w:t xml:space="preserve">166 </w:t>
            </w:r>
          </w:p>
        </w:tc>
      </w:tr>
      <w:tr w:rsidRPr="002A1F9A" w:rsidR="00FD60F1" w:rsidTr="00E7153D" w14:paraId="500167EC" w14:textId="77777777">
        <w:tc>
          <w:tcPr>
            <w:tcW w:w="567" w:type="dxa"/>
          </w:tcPr>
          <w:p w:rsidRPr="002A1F9A" w:rsidR="00FD60F1" w:rsidP="00FD60F1" w:rsidRDefault="00FD60F1" w14:paraId="18DBD021" w14:textId="77777777">
            <w:pPr>
              <w:rPr>
                <w:rFonts w:ascii="Verdana" w:hAnsi="Verdana"/>
                <w:sz w:val="18"/>
                <w:szCs w:val="18"/>
              </w:rPr>
            </w:pPr>
            <w:r w:rsidRPr="002A1F9A">
              <w:rPr>
                <w:rFonts w:ascii="Verdana" w:hAnsi="Verdana"/>
                <w:sz w:val="18"/>
                <w:szCs w:val="18"/>
              </w:rPr>
              <w:t>173</w:t>
            </w:r>
          </w:p>
        </w:tc>
        <w:tc>
          <w:tcPr>
            <w:tcW w:w="6521" w:type="dxa"/>
          </w:tcPr>
          <w:p w:rsidRPr="002A1F9A" w:rsidR="00FD60F1" w:rsidP="00FD60F1" w:rsidRDefault="00FD60F1" w14:paraId="4EC15C29" w14:textId="77777777">
            <w:pPr>
              <w:rPr>
                <w:rFonts w:ascii="Verdana" w:hAnsi="Verdana"/>
                <w:sz w:val="18"/>
                <w:szCs w:val="18"/>
              </w:rPr>
            </w:pPr>
            <w:r w:rsidRPr="002A1F9A">
              <w:rPr>
                <w:rFonts w:ascii="Verdana" w:hAnsi="Verdana"/>
                <w:sz w:val="18"/>
                <w:szCs w:val="18"/>
              </w:rPr>
              <w:t>Wanneer en hoe wordt de doorstroomtoets herzien (zoals te lezen is in de begroting): voor, tijdens of na de evaluatie in 2028?</w:t>
            </w:r>
          </w:p>
          <w:p w:rsidRPr="002A1F9A" w:rsidR="00FD60F1" w:rsidP="00FD60F1" w:rsidRDefault="00FD60F1" w14:paraId="7F608A5E" w14:textId="77777777">
            <w:pPr>
              <w:rPr>
                <w:rFonts w:ascii="Verdana" w:hAnsi="Verdana"/>
                <w:sz w:val="18"/>
                <w:szCs w:val="18"/>
              </w:rPr>
            </w:pPr>
          </w:p>
          <w:p w:rsidRPr="002A1F9A" w:rsidR="00C8378F" w:rsidP="00C8378F" w:rsidRDefault="00C8378F" w14:paraId="567B7963" w14:textId="3845297A">
            <w:pPr>
              <w:rPr>
                <w:rFonts w:ascii="Verdana" w:hAnsi="Verdana"/>
                <w:sz w:val="18"/>
                <w:szCs w:val="18"/>
              </w:rPr>
            </w:pPr>
            <w:r w:rsidRPr="002A1F9A">
              <w:rPr>
                <w:rFonts w:ascii="Verdana" w:hAnsi="Verdana"/>
                <w:sz w:val="18"/>
                <w:szCs w:val="18"/>
              </w:rPr>
              <w:t xml:space="preserve">Dat is nog niet bekend. Aanpassing van het beleid t.a.v. de doorstroomtoets vraagt een zorgvuldige voorbereiding. Het vraagstuk betreft in samenhang de implementatie van het nieuwe curriculum, de vergelijkbaarheid van de toets, de functie van de toets als tweede objectieve gegeven voor het schooladvies en de functie van de toets in het toezicht door de Inspectie van het Onderwijs. Hierop lopen verschillende analyses. Zo heeft het </w:t>
            </w:r>
            <w:proofErr w:type="spellStart"/>
            <w:r w:rsidRPr="002A1F9A">
              <w:rPr>
                <w:rFonts w:ascii="Verdana" w:hAnsi="Verdana"/>
                <w:sz w:val="18"/>
                <w:szCs w:val="18"/>
              </w:rPr>
              <w:t>CvTE</w:t>
            </w:r>
            <w:proofErr w:type="spellEnd"/>
            <w:r w:rsidRPr="002A1F9A">
              <w:rPr>
                <w:rFonts w:ascii="Verdana" w:hAnsi="Verdana"/>
                <w:sz w:val="18"/>
                <w:szCs w:val="18"/>
              </w:rPr>
              <w:t xml:space="preserve"> recentelijk de scenario’s voor de invoering van één doorstroomtoets verkend. Deze verkenning </w:t>
            </w:r>
            <w:r w:rsidR="0093373D">
              <w:rPr>
                <w:rFonts w:ascii="Verdana" w:hAnsi="Verdana"/>
                <w:sz w:val="18"/>
                <w:szCs w:val="18"/>
              </w:rPr>
              <w:t xml:space="preserve">wordt spoedig </w:t>
            </w:r>
            <w:r w:rsidRPr="002A1F9A">
              <w:rPr>
                <w:rFonts w:ascii="Verdana" w:hAnsi="Verdana"/>
                <w:sz w:val="18"/>
                <w:szCs w:val="18"/>
              </w:rPr>
              <w:t xml:space="preserve">naar uw Kamer verstuurd. Daarnaast publiceert de Inspectie van het Onderwijs in het najaar van 2025 de </w:t>
            </w:r>
            <w:proofErr w:type="spellStart"/>
            <w:r w:rsidRPr="002A1F9A">
              <w:rPr>
                <w:rFonts w:ascii="Verdana" w:hAnsi="Verdana"/>
                <w:sz w:val="18"/>
                <w:szCs w:val="18"/>
              </w:rPr>
              <w:t>onderzoekskaders</w:t>
            </w:r>
            <w:proofErr w:type="spellEnd"/>
            <w:r w:rsidRPr="002A1F9A">
              <w:rPr>
                <w:rFonts w:ascii="Verdana" w:hAnsi="Verdana"/>
                <w:sz w:val="18"/>
                <w:szCs w:val="18"/>
              </w:rPr>
              <w:t xml:space="preserve"> 2027 en verschijnen in het voorjaar van 2026 de peiling van het onderwijsveld rondom </w:t>
            </w:r>
            <w:proofErr w:type="spellStart"/>
            <w:r w:rsidRPr="002A1F9A">
              <w:rPr>
                <w:rFonts w:ascii="Verdana" w:hAnsi="Verdana"/>
                <w:sz w:val="18"/>
                <w:szCs w:val="18"/>
              </w:rPr>
              <w:t>toetsaanbod</w:t>
            </w:r>
            <w:proofErr w:type="spellEnd"/>
            <w:r w:rsidRPr="002A1F9A">
              <w:rPr>
                <w:rFonts w:ascii="Verdana" w:hAnsi="Verdana"/>
                <w:sz w:val="18"/>
                <w:szCs w:val="18"/>
              </w:rPr>
              <w:t xml:space="preserve"> en het advies van de Onderwijsraad over toetsing in een vernieuwd curriculum. Met deze informatie kan vóór de zomer van 2026 het politieke debat over dit thema gevoerd worden. </w:t>
            </w:r>
          </w:p>
          <w:p w:rsidRPr="002A1F9A" w:rsidR="00FD60F1" w:rsidP="00FD60F1" w:rsidRDefault="00FD60F1" w14:paraId="43CC316B" w14:textId="25E3BCF3">
            <w:pPr>
              <w:rPr>
                <w:rFonts w:ascii="Verdana" w:hAnsi="Verdana"/>
                <w:sz w:val="18"/>
                <w:szCs w:val="18"/>
              </w:rPr>
            </w:pPr>
          </w:p>
        </w:tc>
        <w:tc>
          <w:tcPr>
            <w:tcW w:w="850" w:type="dxa"/>
          </w:tcPr>
          <w:p w:rsidRPr="002A1F9A" w:rsidR="00FD60F1" w:rsidP="00FD60F1" w:rsidRDefault="00FD60F1" w14:paraId="0B90AEE4"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48920C36" w14:textId="77777777">
            <w:pPr>
              <w:jc w:val="right"/>
              <w:rPr>
                <w:rFonts w:ascii="Verdana" w:hAnsi="Verdana"/>
                <w:sz w:val="18"/>
                <w:szCs w:val="18"/>
              </w:rPr>
            </w:pPr>
            <w:r w:rsidRPr="002A1F9A">
              <w:rPr>
                <w:rFonts w:ascii="Verdana" w:hAnsi="Verdana"/>
                <w:sz w:val="18"/>
                <w:szCs w:val="18"/>
              </w:rPr>
              <w:t>170</w:t>
            </w:r>
          </w:p>
        </w:tc>
        <w:tc>
          <w:tcPr>
            <w:tcW w:w="567" w:type="dxa"/>
            <w:tcBorders>
              <w:left w:val="nil"/>
            </w:tcBorders>
          </w:tcPr>
          <w:p w:rsidRPr="002A1F9A" w:rsidR="00FD60F1" w:rsidP="00FD60F1" w:rsidRDefault="00FD60F1" w14:paraId="25EB53FA"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0CF86751" w14:textId="77777777">
        <w:tc>
          <w:tcPr>
            <w:tcW w:w="567" w:type="dxa"/>
          </w:tcPr>
          <w:p w:rsidRPr="002A1F9A" w:rsidR="00FD60F1" w:rsidP="00FD60F1" w:rsidRDefault="00FD60F1" w14:paraId="60FCBB39" w14:textId="77777777">
            <w:pPr>
              <w:rPr>
                <w:rFonts w:ascii="Verdana" w:hAnsi="Verdana"/>
                <w:sz w:val="18"/>
                <w:szCs w:val="18"/>
              </w:rPr>
            </w:pPr>
            <w:r w:rsidRPr="002A1F9A">
              <w:rPr>
                <w:rFonts w:ascii="Verdana" w:hAnsi="Verdana"/>
                <w:sz w:val="18"/>
                <w:szCs w:val="18"/>
              </w:rPr>
              <w:t>174</w:t>
            </w:r>
          </w:p>
        </w:tc>
        <w:tc>
          <w:tcPr>
            <w:tcW w:w="6521" w:type="dxa"/>
          </w:tcPr>
          <w:p w:rsidRPr="002A1F9A" w:rsidR="00FD60F1" w:rsidP="00FD60F1" w:rsidRDefault="00FD60F1" w14:paraId="1F40C67D" w14:textId="77777777">
            <w:pPr>
              <w:rPr>
                <w:rFonts w:ascii="Verdana" w:hAnsi="Verdana"/>
                <w:sz w:val="18"/>
                <w:szCs w:val="18"/>
              </w:rPr>
            </w:pPr>
            <w:r w:rsidRPr="002A1F9A">
              <w:rPr>
                <w:rFonts w:ascii="Verdana" w:hAnsi="Verdana"/>
                <w:sz w:val="18"/>
                <w:szCs w:val="18"/>
              </w:rPr>
              <w:t>Hoe beziet u het advies Herijking Bekwaamheidseisen Leraren</w:t>
            </w:r>
            <w:r w:rsidRPr="002A1F9A">
              <w:rPr>
                <w:rStyle w:val="Voetnootmarkering"/>
                <w:rFonts w:ascii="Verdana" w:hAnsi="Verdana"/>
                <w:sz w:val="18"/>
                <w:szCs w:val="18"/>
              </w:rPr>
              <w:footnoteReference w:id="16"/>
            </w:r>
            <w:r w:rsidRPr="002A1F9A">
              <w:rPr>
                <w:rFonts w:ascii="Verdana" w:hAnsi="Verdana"/>
                <w:sz w:val="18"/>
                <w:szCs w:val="18"/>
              </w:rPr>
              <w:t xml:space="preserve"> mede in het licht van het probleem dat onderzoekers in een rapport van de Inspectie van het Onderwijs</w:t>
            </w:r>
            <w:r w:rsidRPr="002A1F9A">
              <w:rPr>
                <w:rStyle w:val="Voetnootmarkering"/>
                <w:rFonts w:ascii="Verdana" w:hAnsi="Verdana"/>
                <w:sz w:val="18"/>
                <w:szCs w:val="18"/>
              </w:rPr>
              <w:footnoteReference w:id="17"/>
            </w:r>
            <w:r w:rsidRPr="002A1F9A">
              <w:rPr>
                <w:rFonts w:ascii="Verdana" w:hAnsi="Verdana"/>
                <w:sz w:val="18"/>
                <w:szCs w:val="18"/>
              </w:rPr>
              <w:t xml:space="preserve"> onlangs signaleerden dat bij de 47 voltijdroutes die leiden tot het leraarschap in het primair onderwijs lang niet altijd alle bekwaamheidseisen in de leerdoelen worden gedekt?</w:t>
            </w:r>
          </w:p>
          <w:p w:rsidRPr="002A1F9A" w:rsidR="00FD60F1" w:rsidP="00FD60F1" w:rsidRDefault="00FD60F1" w14:paraId="381689B2" w14:textId="77777777">
            <w:pPr>
              <w:rPr>
                <w:rFonts w:ascii="Verdana" w:hAnsi="Verdana"/>
                <w:sz w:val="18"/>
                <w:szCs w:val="18"/>
              </w:rPr>
            </w:pPr>
          </w:p>
          <w:p w:rsidRPr="002A1F9A" w:rsidR="00FD60F1" w:rsidP="00FD60F1" w:rsidRDefault="00FD60F1" w14:paraId="53AD3F70" w14:textId="77777777">
            <w:pPr>
              <w:rPr>
                <w:rFonts w:ascii="Verdana" w:hAnsi="Verdana"/>
                <w:sz w:val="18"/>
                <w:szCs w:val="18"/>
              </w:rPr>
            </w:pPr>
            <w:r w:rsidRPr="002A1F9A">
              <w:rPr>
                <w:rFonts w:ascii="Verdana" w:hAnsi="Verdana"/>
                <w:sz w:val="18"/>
                <w:szCs w:val="18"/>
              </w:rPr>
              <w:t xml:space="preserve">Goed opgeleide leraren zijn van groot belang voor de onderwijskwaliteit. De kwaliteit van de lerarenopleidingen is geborgd in het accreditatiestelsel. Voor de lerarenopleidingen zijn de wettelijke bekwaamheidseisen daarbij een belangrijk kader. Het </w:t>
            </w:r>
            <w:r w:rsidRPr="002A1F9A">
              <w:rPr>
                <w:rFonts w:ascii="Verdana" w:hAnsi="Verdana"/>
                <w:i/>
                <w:iCs/>
                <w:sz w:val="18"/>
                <w:szCs w:val="18"/>
              </w:rPr>
              <w:t>advies Herijking Bekwaamheidseisen Leraren</w:t>
            </w:r>
            <w:r w:rsidRPr="002A1F9A">
              <w:rPr>
                <w:rFonts w:ascii="Verdana" w:hAnsi="Verdana"/>
                <w:sz w:val="18"/>
                <w:szCs w:val="18"/>
              </w:rPr>
              <w:t xml:space="preserve"> geeft handvatten om de bekwaamheidseisen aan te scherpen en verder te concretiseren. Het advies geeft daarmee ook gedeeltelijk invulling aan de aanbeveling van het onderzoeksrapport van de Radboud Universiteit en de Inspectie van </w:t>
            </w:r>
            <w:r w:rsidRPr="002A1F9A">
              <w:rPr>
                <w:rFonts w:ascii="Verdana" w:hAnsi="Verdana"/>
                <w:sz w:val="18"/>
                <w:szCs w:val="18"/>
              </w:rPr>
              <w:lastRenderedPageBreak/>
              <w:t>het Onderwijs om lerarenopleidingen te versterken en aandacht te besteden aan de bekwaamheidseisen.</w:t>
            </w:r>
          </w:p>
          <w:p w:rsidRPr="002A1F9A" w:rsidR="00FD60F1" w:rsidP="00FD60F1" w:rsidRDefault="00FD60F1" w14:paraId="5AA76886" w14:textId="4AA7762A">
            <w:pPr>
              <w:rPr>
                <w:rFonts w:ascii="Verdana" w:hAnsi="Verdana"/>
                <w:sz w:val="18"/>
                <w:szCs w:val="18"/>
              </w:rPr>
            </w:pPr>
          </w:p>
        </w:tc>
        <w:tc>
          <w:tcPr>
            <w:tcW w:w="850" w:type="dxa"/>
          </w:tcPr>
          <w:p w:rsidRPr="002A1F9A" w:rsidR="00FD60F1" w:rsidP="00FD60F1" w:rsidRDefault="00FD60F1" w14:paraId="6361CF51" w14:textId="77777777">
            <w:pPr>
              <w:jc w:val="right"/>
              <w:rPr>
                <w:rFonts w:ascii="Verdana" w:hAnsi="Verdana"/>
                <w:sz w:val="18"/>
                <w:szCs w:val="18"/>
              </w:rPr>
            </w:pPr>
            <w:r w:rsidRPr="002A1F9A">
              <w:rPr>
                <w:rFonts w:ascii="Verdana" w:hAnsi="Verdana"/>
                <w:sz w:val="18"/>
                <w:szCs w:val="18"/>
              </w:rPr>
              <w:lastRenderedPageBreak/>
              <w:t>36800-VIII-2</w:t>
            </w:r>
          </w:p>
        </w:tc>
        <w:tc>
          <w:tcPr>
            <w:tcW w:w="992" w:type="dxa"/>
          </w:tcPr>
          <w:p w:rsidRPr="002A1F9A" w:rsidR="00FD60F1" w:rsidP="00FD60F1" w:rsidRDefault="00FD60F1" w14:paraId="3A5B532F" w14:textId="77777777">
            <w:pPr>
              <w:jc w:val="right"/>
              <w:rPr>
                <w:rFonts w:ascii="Verdana" w:hAnsi="Verdana"/>
                <w:sz w:val="18"/>
                <w:szCs w:val="18"/>
              </w:rPr>
            </w:pPr>
            <w:r w:rsidRPr="002A1F9A">
              <w:rPr>
                <w:rFonts w:ascii="Verdana" w:hAnsi="Verdana"/>
                <w:sz w:val="18"/>
                <w:szCs w:val="18"/>
              </w:rPr>
              <w:t>173</w:t>
            </w:r>
          </w:p>
        </w:tc>
        <w:tc>
          <w:tcPr>
            <w:tcW w:w="567" w:type="dxa"/>
            <w:tcBorders>
              <w:left w:val="nil"/>
            </w:tcBorders>
          </w:tcPr>
          <w:p w:rsidRPr="002A1F9A" w:rsidR="00FD60F1" w:rsidP="00FD60F1" w:rsidRDefault="00FD60F1" w14:paraId="5C92F61C" w14:textId="77777777">
            <w:pPr>
              <w:jc w:val="right"/>
              <w:rPr>
                <w:rFonts w:ascii="Verdana" w:hAnsi="Verdana"/>
                <w:sz w:val="18"/>
                <w:szCs w:val="18"/>
              </w:rPr>
            </w:pPr>
            <w:r w:rsidRPr="002A1F9A">
              <w:rPr>
                <w:rFonts w:ascii="Verdana" w:hAnsi="Verdana"/>
                <w:sz w:val="18"/>
                <w:szCs w:val="18"/>
              </w:rPr>
              <w:t xml:space="preserve"> </w:t>
            </w:r>
          </w:p>
        </w:tc>
      </w:tr>
      <w:tr w:rsidRPr="002A1F9A" w:rsidR="00FD60F1" w:rsidTr="00E7153D" w14:paraId="6EDBCCFA" w14:textId="77777777">
        <w:tc>
          <w:tcPr>
            <w:tcW w:w="567" w:type="dxa"/>
          </w:tcPr>
          <w:p w:rsidRPr="002A1F9A" w:rsidR="00FD60F1" w:rsidP="00FD60F1" w:rsidRDefault="00FD60F1" w14:paraId="30A04B6B" w14:textId="77777777">
            <w:pPr>
              <w:rPr>
                <w:rFonts w:ascii="Verdana" w:hAnsi="Verdana"/>
                <w:sz w:val="18"/>
                <w:szCs w:val="18"/>
              </w:rPr>
            </w:pPr>
            <w:r w:rsidRPr="002A1F9A">
              <w:rPr>
                <w:rFonts w:ascii="Verdana" w:hAnsi="Verdana"/>
                <w:sz w:val="18"/>
                <w:szCs w:val="18"/>
              </w:rPr>
              <w:t>175</w:t>
            </w:r>
          </w:p>
        </w:tc>
        <w:tc>
          <w:tcPr>
            <w:tcW w:w="6521" w:type="dxa"/>
          </w:tcPr>
          <w:p w:rsidRPr="002A1F9A" w:rsidR="00FD60F1" w:rsidP="00FD60F1" w:rsidRDefault="00FD60F1" w14:paraId="65AD3F11" w14:textId="77777777">
            <w:pPr>
              <w:rPr>
                <w:rFonts w:ascii="Verdana" w:hAnsi="Verdana"/>
                <w:sz w:val="18"/>
                <w:szCs w:val="18"/>
              </w:rPr>
            </w:pPr>
            <w:r w:rsidRPr="002A1F9A">
              <w:rPr>
                <w:rFonts w:ascii="Verdana" w:hAnsi="Verdana"/>
                <w:sz w:val="18"/>
                <w:szCs w:val="18"/>
              </w:rPr>
              <w:t xml:space="preserve">Welke ontwikkelingen tekenen zich zoal af bij de schoolkosten, de </w:t>
            </w:r>
            <w:r w:rsidRPr="002A1F9A">
              <w:rPr>
                <w:rFonts w:ascii="Verdana" w:hAnsi="Verdana"/>
                <w:sz w:val="18"/>
                <w:szCs w:val="18"/>
              </w:rPr>
              <w:br/>
              <w:t>(vrijwillige) ouderbijdragen en het aanvullend onderwijs?</w:t>
            </w:r>
          </w:p>
          <w:p w:rsidRPr="002A1F9A" w:rsidR="00FD60F1" w:rsidP="00FD60F1" w:rsidRDefault="00FD60F1" w14:paraId="7918F02E" w14:textId="77777777">
            <w:pPr>
              <w:rPr>
                <w:rFonts w:ascii="Verdana" w:hAnsi="Verdana"/>
                <w:sz w:val="18"/>
                <w:szCs w:val="18"/>
              </w:rPr>
            </w:pPr>
          </w:p>
          <w:p w:rsidRPr="002A1F9A" w:rsidR="00FD60F1" w:rsidP="00FD60F1" w:rsidRDefault="00FD60F1" w14:paraId="4CC30002" w14:textId="349C94F1">
            <w:pPr>
              <w:rPr>
                <w:rFonts w:ascii="Verdana" w:hAnsi="Verdana"/>
                <w:sz w:val="18"/>
                <w:szCs w:val="18"/>
              </w:rPr>
            </w:pPr>
            <w:r w:rsidRPr="002A1F9A">
              <w:rPr>
                <w:rFonts w:ascii="Verdana" w:hAnsi="Verdana"/>
                <w:sz w:val="18"/>
                <w:szCs w:val="18"/>
              </w:rPr>
              <w:t xml:space="preserve">De ontwikkelingen rond schoolkosten, de vrijwillige ouderbijdragen en het aanvullend onderwijs worden periodiek gemonitord. Zowel de Schoolkostenmonitor – met daarin de ontwikkeling rondom de vrijwillige ouderbijdrage – als de monitor aanvullend onderwijs zijn in 2023 voor het laatst uitgevoerd. Eind 2025 zullen de meest recent uitgevoerde monitoringsonderzoeken met </w:t>
            </w:r>
            <w:r w:rsidRPr="002A1F9A" w:rsidR="007227FD">
              <w:rPr>
                <w:rFonts w:ascii="Verdana" w:hAnsi="Verdana"/>
                <w:sz w:val="18"/>
                <w:szCs w:val="18"/>
              </w:rPr>
              <w:t>uw</w:t>
            </w:r>
            <w:r w:rsidRPr="002A1F9A">
              <w:rPr>
                <w:rFonts w:ascii="Verdana" w:hAnsi="Verdana"/>
                <w:sz w:val="18"/>
                <w:szCs w:val="18"/>
              </w:rPr>
              <w:t xml:space="preserve"> Kamer worden gedeeld. In deze onderzoeken wordt ook de wetswijziging rondom de vrijwillige ouderbijdrage – waarin de vrijwilligheid is benadrukt – geëvalueerd. En wordt het effect van de richtlijn aanvullend onderwijs in beeld gebracht. </w:t>
            </w:r>
          </w:p>
          <w:p w:rsidRPr="002A1F9A" w:rsidR="00FD60F1" w:rsidP="00FD60F1" w:rsidRDefault="00FD60F1" w14:paraId="6FE42AC2" w14:textId="77777777">
            <w:pPr>
              <w:rPr>
                <w:rFonts w:ascii="Verdana" w:hAnsi="Verdana"/>
                <w:sz w:val="18"/>
                <w:szCs w:val="18"/>
              </w:rPr>
            </w:pPr>
            <w:r w:rsidRPr="002A1F9A">
              <w:rPr>
                <w:rFonts w:ascii="Verdana" w:hAnsi="Verdana"/>
                <w:sz w:val="18"/>
                <w:szCs w:val="18"/>
              </w:rPr>
              <w:t xml:space="preserve">Uit de laatste Schoolkostenmonitor blijkt dat de schoolkosten die door scholen aan ouders worden gevraagd voor het grootste deel bestaan uit een ouderbijdrage. In de door scholen gevraagde ouderbijdrage in het po en het vo is geen duidelijke stijgende trend zichtbaar t.o.v. de vorige meting. Wel blijkt dat genoemde wetswijziging uit 2021 ertoe leidt dat de inkomsten uit de vrijwillige ouderbijdrage afnemen. </w:t>
            </w:r>
          </w:p>
          <w:p w:rsidRPr="002A1F9A" w:rsidR="00FD60F1" w:rsidP="00FD60F1" w:rsidRDefault="00FD60F1" w14:paraId="1F49531C" w14:textId="77777777">
            <w:pPr>
              <w:rPr>
                <w:rFonts w:ascii="Verdana" w:hAnsi="Verdana"/>
                <w:sz w:val="18"/>
                <w:szCs w:val="18"/>
              </w:rPr>
            </w:pPr>
          </w:p>
          <w:p w:rsidRPr="002A1F9A" w:rsidR="00FD60F1" w:rsidP="00FD60F1" w:rsidRDefault="00FD60F1" w14:paraId="5B060BBF" w14:textId="5062510C">
            <w:pPr>
              <w:rPr>
                <w:rFonts w:ascii="Verdana" w:hAnsi="Verdana"/>
                <w:sz w:val="18"/>
                <w:szCs w:val="18"/>
              </w:rPr>
            </w:pPr>
            <w:r w:rsidRPr="002A1F9A">
              <w:rPr>
                <w:rFonts w:ascii="Verdana" w:hAnsi="Verdana"/>
                <w:sz w:val="18"/>
                <w:szCs w:val="18"/>
              </w:rPr>
              <w:t>Uit de laatste monitor aanvullend onderwijs blijkt dat het gebruik van aanvullend onderwijs onder leerlingen in het funderend onderwijs niet is toegenomen. Vooral leerlingen met hbo- of wo-geschoolde ouders, of ouders met een hoog inkomen, volgen betaald aanvullend onderwijs. In de meeste gevallen maken leerlingen echter gebruik van gratis aanbod, terwijl zij in het schooljaar 2018-2019 nog vaker betaald aanvullend onderwijs volgden.</w:t>
            </w:r>
          </w:p>
          <w:p w:rsidRPr="002A1F9A" w:rsidR="00FD60F1" w:rsidP="00FD60F1" w:rsidRDefault="00FD60F1" w14:paraId="107A1C2B" w14:textId="77777777">
            <w:pPr>
              <w:rPr>
                <w:rFonts w:ascii="Verdana" w:hAnsi="Verdana"/>
                <w:sz w:val="18"/>
                <w:szCs w:val="18"/>
              </w:rPr>
            </w:pPr>
          </w:p>
        </w:tc>
        <w:tc>
          <w:tcPr>
            <w:tcW w:w="850" w:type="dxa"/>
          </w:tcPr>
          <w:p w:rsidRPr="002A1F9A" w:rsidR="00FD60F1" w:rsidP="00FD60F1" w:rsidRDefault="00FD60F1" w14:paraId="37975E5C" w14:textId="77777777">
            <w:pPr>
              <w:jc w:val="right"/>
              <w:rPr>
                <w:rFonts w:ascii="Verdana" w:hAnsi="Verdana"/>
                <w:sz w:val="18"/>
                <w:szCs w:val="18"/>
              </w:rPr>
            </w:pPr>
            <w:r w:rsidRPr="002A1F9A">
              <w:rPr>
                <w:rFonts w:ascii="Verdana" w:hAnsi="Verdana"/>
                <w:sz w:val="18"/>
                <w:szCs w:val="18"/>
              </w:rPr>
              <w:t>36800-VIII-2</w:t>
            </w:r>
          </w:p>
        </w:tc>
        <w:tc>
          <w:tcPr>
            <w:tcW w:w="992" w:type="dxa"/>
          </w:tcPr>
          <w:p w:rsidRPr="002A1F9A" w:rsidR="00FD60F1" w:rsidP="00FD60F1" w:rsidRDefault="00FD60F1" w14:paraId="450BC6DD" w14:textId="77777777">
            <w:pPr>
              <w:jc w:val="right"/>
              <w:rPr>
                <w:rFonts w:ascii="Verdana" w:hAnsi="Verdana"/>
                <w:sz w:val="18"/>
                <w:szCs w:val="18"/>
              </w:rPr>
            </w:pPr>
            <w:r w:rsidRPr="002A1F9A">
              <w:rPr>
                <w:rFonts w:ascii="Verdana" w:hAnsi="Verdana"/>
                <w:sz w:val="18"/>
                <w:szCs w:val="18"/>
              </w:rPr>
              <w:t>174</w:t>
            </w:r>
          </w:p>
        </w:tc>
        <w:tc>
          <w:tcPr>
            <w:tcW w:w="567" w:type="dxa"/>
            <w:tcBorders>
              <w:left w:val="nil"/>
            </w:tcBorders>
          </w:tcPr>
          <w:p w:rsidRPr="002A1F9A" w:rsidR="00FD60F1" w:rsidP="00FD60F1" w:rsidRDefault="00FD60F1" w14:paraId="6FD8E526" w14:textId="77777777">
            <w:pPr>
              <w:jc w:val="right"/>
              <w:rPr>
                <w:rFonts w:ascii="Verdana" w:hAnsi="Verdana"/>
                <w:sz w:val="18"/>
                <w:szCs w:val="18"/>
              </w:rPr>
            </w:pPr>
            <w:r w:rsidRPr="002A1F9A">
              <w:rPr>
                <w:rFonts w:ascii="Verdana" w:hAnsi="Verdana"/>
                <w:sz w:val="18"/>
                <w:szCs w:val="18"/>
              </w:rPr>
              <w:t xml:space="preserve"> </w:t>
            </w:r>
          </w:p>
        </w:tc>
      </w:tr>
      <w:tr w:rsidRPr="0073161D" w:rsidR="00FD60F1" w:rsidTr="00E7153D" w14:paraId="7B55F377" w14:textId="77777777">
        <w:tc>
          <w:tcPr>
            <w:tcW w:w="567" w:type="dxa"/>
          </w:tcPr>
          <w:p w:rsidRPr="002A1F9A" w:rsidR="00FD60F1" w:rsidP="00FD60F1" w:rsidRDefault="00FD60F1" w14:paraId="01537B80" w14:textId="77777777">
            <w:pPr>
              <w:rPr>
                <w:rFonts w:ascii="Verdana" w:hAnsi="Verdana"/>
                <w:sz w:val="18"/>
                <w:szCs w:val="18"/>
              </w:rPr>
            </w:pPr>
            <w:r w:rsidRPr="002A1F9A">
              <w:rPr>
                <w:rFonts w:ascii="Verdana" w:hAnsi="Verdana"/>
                <w:sz w:val="18"/>
                <w:szCs w:val="18"/>
              </w:rPr>
              <w:t>176</w:t>
            </w:r>
          </w:p>
        </w:tc>
        <w:tc>
          <w:tcPr>
            <w:tcW w:w="6521" w:type="dxa"/>
          </w:tcPr>
          <w:p w:rsidRPr="002A1F9A" w:rsidR="00FD60F1" w:rsidP="00FD60F1" w:rsidRDefault="00FD60F1" w14:paraId="5CB8BE29" w14:textId="77777777">
            <w:pPr>
              <w:rPr>
                <w:rFonts w:ascii="Verdana" w:hAnsi="Verdana"/>
                <w:sz w:val="18"/>
                <w:szCs w:val="18"/>
              </w:rPr>
            </w:pPr>
            <w:r w:rsidRPr="002A1F9A">
              <w:rPr>
                <w:rFonts w:ascii="Verdana" w:hAnsi="Verdana"/>
                <w:sz w:val="18"/>
                <w:szCs w:val="18"/>
              </w:rPr>
              <w:t>Houdt de Inspectie van het Onderwijs bij hoeveel onbevoegde leraren voor de klas staan en zo ja wordt daarop ook door de Inspectie gehandhaafd?</w:t>
            </w:r>
          </w:p>
          <w:p w:rsidRPr="002A1F9A" w:rsidR="00FD60F1" w:rsidP="00FD60F1" w:rsidRDefault="00FD60F1" w14:paraId="35AC16C1" w14:textId="77777777">
            <w:pPr>
              <w:rPr>
                <w:rFonts w:ascii="Verdana" w:hAnsi="Verdana"/>
                <w:sz w:val="18"/>
                <w:szCs w:val="18"/>
              </w:rPr>
            </w:pPr>
          </w:p>
          <w:p w:rsidRPr="002A1F9A" w:rsidR="00FD60F1" w:rsidP="00FD60F1" w:rsidRDefault="00FD60F1" w14:paraId="25F1C288" w14:textId="00987D36">
            <w:pPr>
              <w:rPr>
                <w:rFonts w:ascii="Verdana" w:hAnsi="Verdana"/>
                <w:sz w:val="18"/>
                <w:szCs w:val="18"/>
              </w:rPr>
            </w:pPr>
            <w:r w:rsidRPr="002A1F9A">
              <w:rPr>
                <w:rFonts w:ascii="Verdana" w:hAnsi="Verdana"/>
                <w:sz w:val="18"/>
                <w:szCs w:val="18"/>
              </w:rPr>
              <w:t xml:space="preserve">Dit wordt door </w:t>
            </w:r>
            <w:r w:rsidRPr="002A1F9A" w:rsidR="009A3C2E">
              <w:rPr>
                <w:rFonts w:ascii="Verdana" w:hAnsi="Verdana"/>
                <w:sz w:val="18"/>
                <w:szCs w:val="18"/>
              </w:rPr>
              <w:t xml:space="preserve">het ministerie van </w:t>
            </w:r>
            <w:r w:rsidRPr="002A1F9A">
              <w:rPr>
                <w:rFonts w:ascii="Verdana" w:hAnsi="Verdana"/>
                <w:sz w:val="18"/>
                <w:szCs w:val="18"/>
              </w:rPr>
              <w:t xml:space="preserve">OCW bijgehouden door het onderzoek IPTO in het </w:t>
            </w:r>
            <w:r w:rsidRPr="002A1F9A" w:rsidR="007227FD">
              <w:rPr>
                <w:rFonts w:ascii="Verdana" w:hAnsi="Verdana"/>
                <w:sz w:val="18"/>
                <w:szCs w:val="18"/>
              </w:rPr>
              <w:t>vo</w:t>
            </w:r>
            <w:r w:rsidRPr="002A1F9A">
              <w:rPr>
                <w:rFonts w:ascii="Verdana" w:hAnsi="Verdana"/>
                <w:sz w:val="18"/>
                <w:szCs w:val="18"/>
              </w:rPr>
              <w:t xml:space="preserve"> en door DUO-bestanden, zoals personeelsadministratie, </w:t>
            </w:r>
            <w:proofErr w:type="spellStart"/>
            <w:r w:rsidRPr="002A1F9A">
              <w:rPr>
                <w:rFonts w:ascii="Verdana" w:hAnsi="Verdana"/>
                <w:sz w:val="18"/>
                <w:szCs w:val="18"/>
              </w:rPr>
              <w:t>zij-instroom</w:t>
            </w:r>
            <w:proofErr w:type="spellEnd"/>
            <w:r w:rsidRPr="002A1F9A">
              <w:rPr>
                <w:rFonts w:ascii="Verdana" w:hAnsi="Verdana"/>
                <w:sz w:val="18"/>
                <w:szCs w:val="18"/>
              </w:rPr>
              <w:t xml:space="preserve">- en diplomabestanden in het </w:t>
            </w:r>
            <w:r w:rsidRPr="002A1F9A" w:rsidR="007227FD">
              <w:rPr>
                <w:rFonts w:ascii="Verdana" w:hAnsi="Verdana"/>
                <w:sz w:val="18"/>
                <w:szCs w:val="18"/>
              </w:rPr>
              <w:t>po</w:t>
            </w:r>
            <w:r w:rsidRPr="002A1F9A">
              <w:rPr>
                <w:rFonts w:ascii="Verdana" w:hAnsi="Verdana"/>
                <w:sz w:val="18"/>
                <w:szCs w:val="18"/>
              </w:rPr>
              <w:t xml:space="preserve">. </w:t>
            </w:r>
          </w:p>
          <w:p w:rsidRPr="002A1F9A" w:rsidR="00FD60F1" w:rsidP="00FD60F1" w:rsidRDefault="00FD60F1" w14:paraId="46C09BC5" w14:textId="7EC62A90">
            <w:pPr>
              <w:rPr>
                <w:rFonts w:ascii="Verdana" w:hAnsi="Verdana"/>
                <w:sz w:val="18"/>
                <w:szCs w:val="18"/>
              </w:rPr>
            </w:pPr>
            <w:r w:rsidRPr="002A1F9A">
              <w:rPr>
                <w:rFonts w:ascii="Verdana" w:hAnsi="Verdana"/>
                <w:sz w:val="18"/>
                <w:szCs w:val="18"/>
              </w:rPr>
              <w:t xml:space="preserve">Uiteraard komt de Inspectie </w:t>
            </w:r>
            <w:r w:rsidRPr="002A1F9A" w:rsidR="007227FD">
              <w:rPr>
                <w:rFonts w:ascii="Verdana" w:hAnsi="Verdana"/>
                <w:sz w:val="18"/>
                <w:szCs w:val="18"/>
              </w:rPr>
              <w:t xml:space="preserve">van het Onderwijs </w:t>
            </w:r>
            <w:r w:rsidRPr="002A1F9A">
              <w:rPr>
                <w:rFonts w:ascii="Verdana" w:hAnsi="Verdana"/>
                <w:sz w:val="18"/>
                <w:szCs w:val="18"/>
              </w:rPr>
              <w:t xml:space="preserve">de inzet van onbevoegde leraren wel tegen en wordt er passend opgetreden. De </w:t>
            </w:r>
            <w:r w:rsidRPr="002A1F9A" w:rsidR="00514931">
              <w:rPr>
                <w:rFonts w:ascii="Verdana" w:hAnsi="Verdana"/>
                <w:sz w:val="18"/>
                <w:szCs w:val="18"/>
              </w:rPr>
              <w:t>I</w:t>
            </w:r>
            <w:r w:rsidRPr="002A1F9A">
              <w:rPr>
                <w:rFonts w:ascii="Verdana" w:hAnsi="Verdana"/>
                <w:sz w:val="18"/>
                <w:szCs w:val="18"/>
              </w:rPr>
              <w:t>nspectie</w:t>
            </w:r>
            <w:r w:rsidRPr="002A1F9A" w:rsidR="00514931">
              <w:rPr>
                <w:rFonts w:ascii="Verdana" w:hAnsi="Verdana"/>
                <w:sz w:val="18"/>
                <w:szCs w:val="18"/>
              </w:rPr>
              <w:t xml:space="preserve"> van het Onderwijs</w:t>
            </w:r>
            <w:r w:rsidRPr="002A1F9A">
              <w:rPr>
                <w:rFonts w:ascii="Verdana" w:hAnsi="Verdana"/>
                <w:sz w:val="18"/>
                <w:szCs w:val="18"/>
              </w:rPr>
              <w:t xml:space="preserve"> zal niet altijd direct handhaven wanneer er tijdelijk een on(der)bevoegde voor de klas staat. Schoolleiders en besturen zijn veelvuldig op zoek naar oplossingen, bijvoorbeeld als leraren onverwachts uitvallen. Dat leidt dan vaak tot vragen over welke oplossingen zijn toegestaan. Om daar antwoord op te geven en om handvatten te bieden hebben </w:t>
            </w:r>
            <w:r w:rsidRPr="002A1F9A" w:rsidR="009A3C2E">
              <w:rPr>
                <w:rFonts w:ascii="Verdana" w:hAnsi="Verdana"/>
                <w:sz w:val="18"/>
                <w:szCs w:val="18"/>
              </w:rPr>
              <w:t xml:space="preserve">het ministerie van </w:t>
            </w:r>
            <w:r w:rsidRPr="002A1F9A">
              <w:rPr>
                <w:rFonts w:ascii="Verdana" w:hAnsi="Verdana"/>
                <w:sz w:val="18"/>
                <w:szCs w:val="18"/>
              </w:rPr>
              <w:t xml:space="preserve">OCW en de </w:t>
            </w:r>
            <w:r w:rsidRPr="002A1F9A" w:rsidR="00514931">
              <w:rPr>
                <w:rFonts w:ascii="Verdana" w:hAnsi="Verdana"/>
                <w:sz w:val="18"/>
                <w:szCs w:val="18"/>
              </w:rPr>
              <w:t>Inspectie van het Onderwijs</w:t>
            </w:r>
            <w:r w:rsidRPr="002A1F9A">
              <w:rPr>
                <w:rFonts w:ascii="Verdana" w:hAnsi="Verdana"/>
                <w:sz w:val="18"/>
                <w:szCs w:val="18"/>
              </w:rPr>
              <w:t xml:space="preserve"> een </w:t>
            </w:r>
            <w:hyperlink w:history="1" r:id="rId100">
              <w:r w:rsidRPr="002A1F9A">
                <w:rPr>
                  <w:rStyle w:val="Hyperlink"/>
                  <w:rFonts w:ascii="Verdana" w:hAnsi="Verdana"/>
                  <w:sz w:val="18"/>
                  <w:szCs w:val="18"/>
                </w:rPr>
                <w:t>handreiking</w:t>
              </w:r>
            </w:hyperlink>
            <w:r w:rsidRPr="002A1F9A">
              <w:rPr>
                <w:rFonts w:ascii="Verdana" w:hAnsi="Verdana"/>
                <w:sz w:val="18"/>
                <w:szCs w:val="18"/>
              </w:rPr>
              <w:t xml:space="preserve"> opgesteld. </w:t>
            </w:r>
          </w:p>
          <w:p w:rsidRPr="002A1F9A" w:rsidR="00FD60F1" w:rsidP="00FD60F1" w:rsidRDefault="00FD60F1" w14:paraId="7AB58788" w14:textId="477C4E1E">
            <w:pPr>
              <w:rPr>
                <w:rFonts w:ascii="Verdana" w:hAnsi="Verdana"/>
                <w:sz w:val="18"/>
                <w:szCs w:val="18"/>
              </w:rPr>
            </w:pPr>
            <w:r w:rsidRPr="002A1F9A">
              <w:rPr>
                <w:rFonts w:ascii="Verdana" w:hAnsi="Verdana"/>
                <w:sz w:val="18"/>
                <w:szCs w:val="18"/>
              </w:rPr>
              <w:t xml:space="preserve">De </w:t>
            </w:r>
            <w:r w:rsidRPr="002A1F9A" w:rsidR="00514931">
              <w:rPr>
                <w:rFonts w:ascii="Verdana" w:hAnsi="Verdana"/>
                <w:sz w:val="18"/>
                <w:szCs w:val="18"/>
              </w:rPr>
              <w:t>Inspectie van het Onderwijs</w:t>
            </w:r>
            <w:r w:rsidRPr="002A1F9A">
              <w:rPr>
                <w:rFonts w:ascii="Verdana" w:hAnsi="Verdana"/>
                <w:sz w:val="18"/>
                <w:szCs w:val="18"/>
              </w:rPr>
              <w:t xml:space="preserve"> houdt scholen niet aan het onmogelijke. Wel moeten schoolleiders en bestuurders kunnen laten zien welke stappen ze hebben gezet om tot hun keuzes te komen. Ook wordt van hen gevraagd om te blijven zoeken naar structurele oplossingen.</w:t>
            </w:r>
          </w:p>
        </w:tc>
        <w:tc>
          <w:tcPr>
            <w:tcW w:w="850" w:type="dxa"/>
          </w:tcPr>
          <w:p w:rsidRPr="002A1F9A" w:rsidR="00FD60F1" w:rsidP="00FD60F1" w:rsidRDefault="00FD60F1" w14:paraId="211D68CA" w14:textId="77777777">
            <w:pPr>
              <w:jc w:val="right"/>
              <w:rPr>
                <w:rFonts w:ascii="Verdana" w:hAnsi="Verdana"/>
                <w:sz w:val="18"/>
                <w:szCs w:val="18"/>
              </w:rPr>
            </w:pPr>
            <w:r w:rsidRPr="002A1F9A">
              <w:rPr>
                <w:rFonts w:ascii="Verdana" w:hAnsi="Verdana"/>
                <w:sz w:val="18"/>
                <w:szCs w:val="18"/>
              </w:rPr>
              <w:t>36800-VIII-2</w:t>
            </w:r>
          </w:p>
        </w:tc>
        <w:tc>
          <w:tcPr>
            <w:tcW w:w="992" w:type="dxa"/>
          </w:tcPr>
          <w:p w:rsidRPr="0073161D" w:rsidR="00FD60F1" w:rsidP="00FD60F1" w:rsidRDefault="00FD60F1" w14:paraId="0049E07C" w14:textId="77777777">
            <w:pPr>
              <w:jc w:val="right"/>
              <w:rPr>
                <w:rFonts w:ascii="Verdana" w:hAnsi="Verdana"/>
                <w:sz w:val="18"/>
                <w:szCs w:val="18"/>
              </w:rPr>
            </w:pPr>
            <w:r w:rsidRPr="002A1F9A">
              <w:rPr>
                <w:rFonts w:ascii="Verdana" w:hAnsi="Verdana"/>
                <w:sz w:val="18"/>
                <w:szCs w:val="18"/>
              </w:rPr>
              <w:t>177</w:t>
            </w:r>
          </w:p>
        </w:tc>
        <w:tc>
          <w:tcPr>
            <w:tcW w:w="567" w:type="dxa"/>
            <w:tcBorders>
              <w:left w:val="nil"/>
            </w:tcBorders>
          </w:tcPr>
          <w:p w:rsidRPr="0073161D" w:rsidR="00FD60F1" w:rsidP="00FD60F1" w:rsidRDefault="00FD60F1" w14:paraId="2D359305" w14:textId="77777777">
            <w:pPr>
              <w:jc w:val="right"/>
              <w:rPr>
                <w:rFonts w:ascii="Verdana" w:hAnsi="Verdana"/>
                <w:sz w:val="18"/>
                <w:szCs w:val="18"/>
              </w:rPr>
            </w:pPr>
            <w:r w:rsidRPr="0073161D">
              <w:rPr>
                <w:rFonts w:ascii="Verdana" w:hAnsi="Verdana"/>
                <w:sz w:val="18"/>
                <w:szCs w:val="18"/>
              </w:rPr>
              <w:t xml:space="preserve"> </w:t>
            </w:r>
          </w:p>
        </w:tc>
      </w:tr>
    </w:tbl>
    <w:p w:rsidRPr="0073161D" w:rsidR="001256CA" w:rsidRDefault="001256CA" w14:paraId="2B6A23DA" w14:textId="77777777">
      <w:pPr>
        <w:rPr>
          <w:rFonts w:ascii="Verdana" w:hAnsi="Verdana"/>
          <w:sz w:val="18"/>
          <w:szCs w:val="18"/>
        </w:rPr>
      </w:pPr>
    </w:p>
    <w:sectPr w:rsidRPr="0073161D" w:rsidR="001256CA" w:rsidSect="00B915EC">
      <w:footerReference w:type="default" r:id="rId10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D432" w14:textId="77777777" w:rsidR="001A47AF" w:rsidRDefault="001A47AF">
      <w:pPr>
        <w:spacing w:before="0" w:after="0"/>
      </w:pPr>
      <w:r>
        <w:separator/>
      </w:r>
    </w:p>
  </w:endnote>
  <w:endnote w:type="continuationSeparator" w:id="0">
    <w:p w14:paraId="1967861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2D8" w14:textId="77777777" w:rsidR="001256CA" w:rsidRDefault="001856D0">
    <w:pPr>
      <w:pStyle w:val="Voettekst"/>
    </w:pPr>
    <w:r>
      <w:t xml:space="preserve">Totaallijst feitelijke vragen Vaststelling van de begrotingsstaten van het Ministerie van Onderwijs, Cultuur en Wetenschap (VIII) voor het jaar 2026 (36800-VIII-0)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85F1" w14:textId="77777777" w:rsidR="001A47AF" w:rsidRDefault="001A47AF">
      <w:pPr>
        <w:spacing w:before="0" w:after="0"/>
      </w:pPr>
      <w:r>
        <w:separator/>
      </w:r>
    </w:p>
  </w:footnote>
  <w:footnote w:type="continuationSeparator" w:id="0">
    <w:p w14:paraId="07921842" w14:textId="77777777" w:rsidR="001A47AF" w:rsidRDefault="001A47AF">
      <w:pPr>
        <w:spacing w:before="0" w:after="0"/>
      </w:pPr>
      <w:r>
        <w:continuationSeparator/>
      </w:r>
    </w:p>
  </w:footnote>
  <w:footnote w:id="1">
    <w:p w14:paraId="623EBBC9" w14:textId="77777777" w:rsidR="00850DFF" w:rsidRPr="004442C7" w:rsidRDefault="00850DFF" w:rsidP="00DB6ADA">
      <w:pPr>
        <w:pStyle w:val="Voetnoottekst"/>
        <w:rPr>
          <w:sz w:val="16"/>
          <w:szCs w:val="16"/>
        </w:rPr>
      </w:pPr>
      <w:r w:rsidRPr="004442C7">
        <w:rPr>
          <w:rStyle w:val="Voetnootmarkering"/>
          <w:rFonts w:eastAsiaTheme="majorEastAsia"/>
          <w:sz w:val="16"/>
          <w:szCs w:val="16"/>
        </w:rPr>
        <w:footnoteRef/>
      </w:r>
      <w:r w:rsidRPr="004442C7">
        <w:rPr>
          <w:sz w:val="16"/>
          <w:szCs w:val="16"/>
        </w:rPr>
        <w:t xml:space="preserve"> mbo: middelbaar beroepsonderwijs</w:t>
      </w:r>
    </w:p>
  </w:footnote>
  <w:footnote w:id="2">
    <w:p w14:paraId="1BB6F81F" w14:textId="77777777" w:rsidR="00850DFF" w:rsidRPr="004442C7" w:rsidRDefault="00850DFF" w:rsidP="00DB6ADA">
      <w:pPr>
        <w:pStyle w:val="Voetnoottekst"/>
        <w:rPr>
          <w:sz w:val="16"/>
          <w:szCs w:val="16"/>
        </w:rPr>
      </w:pPr>
      <w:r w:rsidRPr="004442C7">
        <w:rPr>
          <w:rStyle w:val="Voetnootmarkering"/>
          <w:rFonts w:eastAsiaTheme="majorEastAsia"/>
          <w:sz w:val="16"/>
          <w:szCs w:val="16"/>
        </w:rPr>
        <w:footnoteRef/>
      </w:r>
      <w:r w:rsidRPr="004442C7">
        <w:rPr>
          <w:sz w:val="16"/>
          <w:szCs w:val="16"/>
        </w:rPr>
        <w:t xml:space="preserve"> hbo: hoger beroepsonderwijs</w:t>
      </w:r>
    </w:p>
  </w:footnote>
  <w:footnote w:id="3">
    <w:p w14:paraId="55597887" w14:textId="77777777" w:rsidR="00850DFF" w:rsidRDefault="00850DFF" w:rsidP="00DB6ADA">
      <w:pPr>
        <w:pStyle w:val="Voetnoottekst"/>
      </w:pPr>
      <w:r w:rsidRPr="004442C7">
        <w:rPr>
          <w:rStyle w:val="Voetnootmarkering"/>
          <w:rFonts w:eastAsiaTheme="majorEastAsia"/>
          <w:sz w:val="16"/>
          <w:szCs w:val="16"/>
        </w:rPr>
        <w:footnoteRef/>
      </w:r>
      <w:r w:rsidRPr="004442C7">
        <w:rPr>
          <w:sz w:val="16"/>
          <w:szCs w:val="16"/>
        </w:rPr>
        <w:t xml:space="preserve"> wo: wetenschappelijk onderwijs</w:t>
      </w:r>
    </w:p>
  </w:footnote>
  <w:footnote w:id="4">
    <w:p w14:paraId="1E05395F" w14:textId="6DA48FFF" w:rsidR="00B520A1" w:rsidRDefault="00B520A1">
      <w:pPr>
        <w:pStyle w:val="Voetnoottekst"/>
      </w:pPr>
      <w:r>
        <w:rPr>
          <w:rStyle w:val="Voetnootmarkering"/>
        </w:rPr>
        <w:footnoteRef/>
      </w:r>
      <w:r>
        <w:t xml:space="preserve"> Documentnummer </w:t>
      </w:r>
      <w:r w:rsidRPr="00B520A1">
        <w:t>2024D19455</w:t>
      </w:r>
      <w:r>
        <w:t xml:space="preserve">, bijlage bij Kamerstuk </w:t>
      </w:r>
      <w:r w:rsidRPr="00B520A1">
        <w:t>36471</w:t>
      </w:r>
      <w:r>
        <w:t xml:space="preserve">, nr. </w:t>
      </w:r>
      <w:r w:rsidRPr="00B520A1">
        <w:t>37</w:t>
      </w:r>
    </w:p>
  </w:footnote>
  <w:footnote w:id="5">
    <w:p w14:paraId="57F83871" w14:textId="4753C275" w:rsidR="00B520A1" w:rsidRDefault="00B520A1">
      <w:pPr>
        <w:pStyle w:val="Voetnoottekst"/>
      </w:pPr>
      <w:r>
        <w:rPr>
          <w:rStyle w:val="Voetnootmarkering"/>
        </w:rPr>
        <w:footnoteRef/>
      </w:r>
      <w:r>
        <w:t xml:space="preserve"> EER: </w:t>
      </w:r>
      <w:r w:rsidRPr="00B520A1">
        <w:t>Europese Economische Ruimte</w:t>
      </w:r>
    </w:p>
  </w:footnote>
  <w:footnote w:id="6">
    <w:p w14:paraId="161F9FAB" w14:textId="224A323A" w:rsidR="00B520A1" w:rsidRDefault="00B520A1">
      <w:pPr>
        <w:pStyle w:val="Voetnoottekst"/>
      </w:pPr>
      <w:r>
        <w:rPr>
          <w:rStyle w:val="Voetnootmarkering"/>
        </w:rPr>
        <w:footnoteRef/>
      </w:r>
      <w:r>
        <w:t xml:space="preserve"> </w:t>
      </w:r>
      <w:proofErr w:type="spellStart"/>
      <w:r>
        <w:t>bsa</w:t>
      </w:r>
      <w:proofErr w:type="spellEnd"/>
      <w:r>
        <w:t>: bindend studieadvies</w:t>
      </w:r>
    </w:p>
  </w:footnote>
  <w:footnote w:id="7">
    <w:p w14:paraId="07B03FB7" w14:textId="0EEF1431" w:rsidR="00D8417D" w:rsidRDefault="00D8417D">
      <w:pPr>
        <w:pStyle w:val="Voetnoottekst"/>
      </w:pPr>
      <w:r>
        <w:rPr>
          <w:rStyle w:val="Voetnootmarkering"/>
        </w:rPr>
        <w:footnoteRef/>
      </w:r>
      <w:r>
        <w:t xml:space="preserve"> po: primair onderwijs</w:t>
      </w:r>
    </w:p>
  </w:footnote>
  <w:footnote w:id="8">
    <w:p w14:paraId="10FAF9CC" w14:textId="1F40C551" w:rsidR="00D8417D" w:rsidRDefault="00D8417D">
      <w:pPr>
        <w:pStyle w:val="Voetnoottekst"/>
      </w:pPr>
      <w:r>
        <w:rPr>
          <w:rStyle w:val="Voetnootmarkering"/>
        </w:rPr>
        <w:footnoteRef/>
      </w:r>
      <w:r>
        <w:t xml:space="preserve"> vo: voortgezet onderwijs</w:t>
      </w:r>
    </w:p>
  </w:footnote>
  <w:footnote w:id="9">
    <w:p w14:paraId="0D606674" w14:textId="79BF0031" w:rsidR="00DB2CBB" w:rsidRDefault="00DB2CBB">
      <w:pPr>
        <w:pStyle w:val="Voetnoottekst"/>
      </w:pPr>
      <w:r>
        <w:rPr>
          <w:rStyle w:val="Voetnootmarkering"/>
        </w:rPr>
        <w:footnoteRef/>
      </w:r>
      <w:r>
        <w:t xml:space="preserve"> Zzp’ers: zelfstandigen zonder personeel</w:t>
      </w:r>
    </w:p>
  </w:footnote>
  <w:footnote w:id="10">
    <w:p w14:paraId="087539BE" w14:textId="747CD22F" w:rsidR="00DB2CBB" w:rsidRDefault="00DB2CBB">
      <w:pPr>
        <w:pStyle w:val="Voetnoottekst"/>
      </w:pPr>
      <w:r>
        <w:rPr>
          <w:rStyle w:val="Voetnootmarkering"/>
        </w:rPr>
        <w:footnoteRef/>
      </w:r>
      <w:r>
        <w:t xml:space="preserve"> Kamerstuk </w:t>
      </w:r>
      <w:r w:rsidRPr="00454DDB">
        <w:t>27 923, nr.</w:t>
      </w:r>
      <w:r>
        <w:t xml:space="preserve"> </w:t>
      </w:r>
      <w:r w:rsidRPr="00454DDB">
        <w:t>503</w:t>
      </w:r>
    </w:p>
  </w:footnote>
  <w:footnote w:id="11">
    <w:p w14:paraId="112543A1" w14:textId="080BDFCE" w:rsidR="00EC2A90" w:rsidRDefault="00EC2A90">
      <w:pPr>
        <w:pStyle w:val="Voetnoottekst"/>
      </w:pPr>
      <w:r>
        <w:rPr>
          <w:rStyle w:val="Voetnootmarkering"/>
        </w:rPr>
        <w:footnoteRef/>
      </w:r>
      <w:r>
        <w:t xml:space="preserve"> </w:t>
      </w:r>
      <w:r w:rsidR="00E12441">
        <w:t xml:space="preserve">Kamerstuk </w:t>
      </w:r>
      <w:r w:rsidR="00E12441" w:rsidRPr="00E12441">
        <w:t>35570-VIII</w:t>
      </w:r>
      <w:r w:rsidR="00E12441">
        <w:t>, nr. 213, p. 48</w:t>
      </w:r>
    </w:p>
  </w:footnote>
  <w:footnote w:id="12">
    <w:p w14:paraId="0BE9009B" w14:textId="62CC554E" w:rsidR="00F72A22" w:rsidRDefault="00F72A22">
      <w:pPr>
        <w:pStyle w:val="Voetnoottekst"/>
      </w:pPr>
      <w:r>
        <w:rPr>
          <w:rStyle w:val="Voetnootmarkering"/>
        </w:rPr>
        <w:footnoteRef/>
      </w:r>
      <w:r>
        <w:t xml:space="preserve"> NAPL: </w:t>
      </w:r>
      <w:r w:rsidRPr="00F72A22">
        <w:t>Nationale Aanpak Professionalisering Leraren</w:t>
      </w:r>
    </w:p>
  </w:footnote>
  <w:footnote w:id="13">
    <w:p w14:paraId="72445103" w14:textId="7FF1CB60" w:rsidR="00F72A22" w:rsidRDefault="00F72A22">
      <w:pPr>
        <w:pStyle w:val="Voetnoottekst"/>
      </w:pPr>
      <w:r>
        <w:rPr>
          <w:rStyle w:val="Voetnootmarkering"/>
        </w:rPr>
        <w:footnoteRef/>
      </w:r>
      <w:r>
        <w:t xml:space="preserve"> </w:t>
      </w:r>
      <w:r w:rsidR="0036743E">
        <w:t xml:space="preserve">NWO: </w:t>
      </w:r>
      <w:r w:rsidR="0036743E" w:rsidRPr="0036743E">
        <w:t>Nederlandse Organisatie voor Wetenschappelijk Onderzoek</w:t>
      </w:r>
    </w:p>
  </w:footnote>
  <w:footnote w:id="14">
    <w:p w14:paraId="23822050" w14:textId="4C509AC9" w:rsidR="00FD60F1" w:rsidRDefault="00FD60F1">
      <w:pPr>
        <w:pStyle w:val="Voetnoottekst"/>
      </w:pPr>
      <w:r>
        <w:rPr>
          <w:rStyle w:val="Voetnootmarkering"/>
        </w:rPr>
        <w:footnoteRef/>
      </w:r>
      <w:r>
        <w:t xml:space="preserve"> NPO: </w:t>
      </w:r>
      <w:r w:rsidRPr="003D7310">
        <w:t>Nederlandse Publieke Omroep</w:t>
      </w:r>
    </w:p>
  </w:footnote>
  <w:footnote w:id="15">
    <w:p w14:paraId="54047773" w14:textId="77777777" w:rsidR="00FD60F1" w:rsidRDefault="00FD60F1" w:rsidP="007A4DC1">
      <w:pPr>
        <w:pStyle w:val="Voetnoottekst"/>
      </w:pPr>
      <w:r>
        <w:rPr>
          <w:rStyle w:val="Voetnootmarkering"/>
        </w:rPr>
        <w:footnoteRef/>
      </w:r>
      <w:r>
        <w:t xml:space="preserve"> </w:t>
      </w:r>
      <w:r w:rsidRPr="00F45568">
        <w:rPr>
          <w:rFonts w:ascii="Verdana" w:hAnsi="Verdana"/>
          <w:sz w:val="18"/>
          <w:szCs w:val="18"/>
        </w:rPr>
        <w:t>Kamerstukken II, 2024/25, 32827, nr. 370</w:t>
      </w:r>
    </w:p>
  </w:footnote>
  <w:footnote w:id="16">
    <w:p w14:paraId="00D2DABD" w14:textId="11EEE53A" w:rsidR="00FD60F1" w:rsidRDefault="00FD60F1">
      <w:pPr>
        <w:pStyle w:val="Voetnoottekst"/>
      </w:pPr>
      <w:r>
        <w:rPr>
          <w:rStyle w:val="Voetnootmarkering"/>
        </w:rPr>
        <w:footnoteRef/>
      </w:r>
      <w:r>
        <w:t xml:space="preserve"> Advies Herijking Bekwaamheidseisen Leraren (</w:t>
      </w:r>
      <w:hyperlink r:id="rId1" w:history="1">
        <w:r w:rsidRPr="00472103">
          <w:rPr>
            <w:rStyle w:val="Hyperlink"/>
          </w:rPr>
          <w:t>https://www.aob.nl/assets/Downloads/Herijking-bekwaamheidseisen-leraar.pdf</w:t>
        </w:r>
      </w:hyperlink>
      <w:r>
        <w:t>)</w:t>
      </w:r>
    </w:p>
  </w:footnote>
  <w:footnote w:id="17">
    <w:p w14:paraId="7F0EA2C1" w14:textId="36D6BD4B" w:rsidR="00FD60F1" w:rsidRDefault="00FD60F1" w:rsidP="00E00D8C">
      <w:pPr>
        <w:pStyle w:val="Voetnoottekst"/>
      </w:pPr>
      <w:r>
        <w:rPr>
          <w:rStyle w:val="Voetnootmarkering"/>
        </w:rPr>
        <w:footnoteRef/>
      </w:r>
      <w:r>
        <w:t xml:space="preserve"> Onderzoeksrapport: Inventarisatie Curricula Voltijdroutes naar het Leraarschap Primair Onderwijs, 9 september 2025 (</w:t>
      </w:r>
      <w:hyperlink r:id="rId2" w:history="1">
        <w:r w:rsidRPr="00472103">
          <w:rPr>
            <w:rStyle w:val="Hyperlink"/>
          </w:rPr>
          <w:t>https://www.onderwijsinspectie.nl/documenten/rapporten/2025/09/09/rapport-inventarisatie-curricula-voltijdroutes-naar-het-leraarschap-primair-onderwijs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D3F"/>
    <w:multiLevelType w:val="hybridMultilevel"/>
    <w:tmpl w:val="FEBE4A76"/>
    <w:lvl w:ilvl="0" w:tplc="E4563C6E">
      <w:start w:val="1"/>
      <w:numFmt w:val="decimal"/>
      <w:lvlText w:val="%1."/>
      <w:lvlJc w:val="left"/>
      <w:pPr>
        <w:ind w:left="1440" w:hanging="360"/>
      </w:pPr>
    </w:lvl>
    <w:lvl w:ilvl="1" w:tplc="BCC20D98">
      <w:start w:val="1"/>
      <w:numFmt w:val="decimal"/>
      <w:lvlText w:val="%2."/>
      <w:lvlJc w:val="left"/>
      <w:pPr>
        <w:ind w:left="1440" w:hanging="360"/>
      </w:pPr>
    </w:lvl>
    <w:lvl w:ilvl="2" w:tplc="CBA64F6C">
      <w:start w:val="1"/>
      <w:numFmt w:val="decimal"/>
      <w:lvlText w:val="%3."/>
      <w:lvlJc w:val="left"/>
      <w:pPr>
        <w:ind w:left="1440" w:hanging="360"/>
      </w:pPr>
    </w:lvl>
    <w:lvl w:ilvl="3" w:tplc="709ED914">
      <w:start w:val="1"/>
      <w:numFmt w:val="decimal"/>
      <w:lvlText w:val="%4."/>
      <w:lvlJc w:val="left"/>
      <w:pPr>
        <w:ind w:left="1440" w:hanging="360"/>
      </w:pPr>
    </w:lvl>
    <w:lvl w:ilvl="4" w:tplc="6E22A696">
      <w:start w:val="1"/>
      <w:numFmt w:val="decimal"/>
      <w:lvlText w:val="%5."/>
      <w:lvlJc w:val="left"/>
      <w:pPr>
        <w:ind w:left="1440" w:hanging="360"/>
      </w:pPr>
    </w:lvl>
    <w:lvl w:ilvl="5" w:tplc="5A4C77A6">
      <w:start w:val="1"/>
      <w:numFmt w:val="decimal"/>
      <w:lvlText w:val="%6."/>
      <w:lvlJc w:val="left"/>
      <w:pPr>
        <w:ind w:left="1440" w:hanging="360"/>
      </w:pPr>
    </w:lvl>
    <w:lvl w:ilvl="6" w:tplc="8C32F36C">
      <w:start w:val="1"/>
      <w:numFmt w:val="decimal"/>
      <w:lvlText w:val="%7."/>
      <w:lvlJc w:val="left"/>
      <w:pPr>
        <w:ind w:left="1440" w:hanging="360"/>
      </w:pPr>
    </w:lvl>
    <w:lvl w:ilvl="7" w:tplc="3D8461B2">
      <w:start w:val="1"/>
      <w:numFmt w:val="decimal"/>
      <w:lvlText w:val="%8."/>
      <w:lvlJc w:val="left"/>
      <w:pPr>
        <w:ind w:left="1440" w:hanging="360"/>
      </w:pPr>
    </w:lvl>
    <w:lvl w:ilvl="8" w:tplc="45F2D298">
      <w:start w:val="1"/>
      <w:numFmt w:val="decimal"/>
      <w:lvlText w:val="%9."/>
      <w:lvlJc w:val="left"/>
      <w:pPr>
        <w:ind w:left="1440" w:hanging="360"/>
      </w:pPr>
    </w:lvl>
  </w:abstractNum>
  <w:abstractNum w:abstractNumId="1" w15:restartNumberingAfterBreak="0">
    <w:nsid w:val="164634EA"/>
    <w:multiLevelType w:val="hybridMultilevel"/>
    <w:tmpl w:val="DA324C50"/>
    <w:lvl w:ilvl="0" w:tplc="5C9AE132">
      <w:numFmt w:val="bullet"/>
      <w:lvlText w:val="-"/>
      <w:lvlJc w:val="left"/>
      <w:pPr>
        <w:ind w:left="720" w:hanging="360"/>
      </w:pPr>
      <w:rPr>
        <w:rFonts w:ascii="Verdana" w:eastAsia="Calibri" w:hAnsi="Verdana"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760043E"/>
    <w:multiLevelType w:val="hybridMultilevel"/>
    <w:tmpl w:val="692C2142"/>
    <w:lvl w:ilvl="0" w:tplc="73DC4C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9B3406"/>
    <w:multiLevelType w:val="hybridMultilevel"/>
    <w:tmpl w:val="20085552"/>
    <w:lvl w:ilvl="0" w:tplc="A2425A72">
      <w:start w:val="29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2F3BFF"/>
    <w:multiLevelType w:val="hybridMultilevel"/>
    <w:tmpl w:val="BB88E770"/>
    <w:lvl w:ilvl="0" w:tplc="F2F445D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F13AEE"/>
    <w:multiLevelType w:val="hybridMultilevel"/>
    <w:tmpl w:val="E40C459C"/>
    <w:lvl w:ilvl="0" w:tplc="3F169F8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E2432C6"/>
    <w:multiLevelType w:val="hybridMultilevel"/>
    <w:tmpl w:val="7346A612"/>
    <w:lvl w:ilvl="0" w:tplc="4A6224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39699199">
    <w:abstractNumId w:val="6"/>
  </w:num>
  <w:num w:numId="2" w16cid:durableId="1627082175">
    <w:abstractNumId w:val="4"/>
  </w:num>
  <w:num w:numId="3" w16cid:durableId="173688276">
    <w:abstractNumId w:val="1"/>
  </w:num>
  <w:num w:numId="4" w16cid:durableId="651493740">
    <w:abstractNumId w:val="2"/>
  </w:num>
  <w:num w:numId="5" w16cid:durableId="287585654">
    <w:abstractNumId w:val="5"/>
  </w:num>
  <w:num w:numId="6" w16cid:durableId="1173950880">
    <w:abstractNumId w:val="3"/>
  </w:num>
  <w:num w:numId="7" w16cid:durableId="74590574">
    <w:abstractNumId w:val="4"/>
  </w:num>
  <w:num w:numId="8" w16cid:durableId="264728532">
    <w:abstractNumId w:val="1"/>
  </w:num>
  <w:num w:numId="9" w16cid:durableId="136309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A22"/>
    <w:rsid w:val="00025018"/>
    <w:rsid w:val="00034649"/>
    <w:rsid w:val="00047AA7"/>
    <w:rsid w:val="0005314A"/>
    <w:rsid w:val="00070021"/>
    <w:rsid w:val="00084F10"/>
    <w:rsid w:val="00093087"/>
    <w:rsid w:val="00094BC7"/>
    <w:rsid w:val="000A18FF"/>
    <w:rsid w:val="000A76BE"/>
    <w:rsid w:val="000B1B5A"/>
    <w:rsid w:val="000E680B"/>
    <w:rsid w:val="0010100C"/>
    <w:rsid w:val="0011001F"/>
    <w:rsid w:val="00115E8F"/>
    <w:rsid w:val="00122AEB"/>
    <w:rsid w:val="00124146"/>
    <w:rsid w:val="001256CA"/>
    <w:rsid w:val="001333FF"/>
    <w:rsid w:val="001346E7"/>
    <w:rsid w:val="001472F2"/>
    <w:rsid w:val="00147599"/>
    <w:rsid w:val="001569B9"/>
    <w:rsid w:val="0015763C"/>
    <w:rsid w:val="00166AC6"/>
    <w:rsid w:val="00177D24"/>
    <w:rsid w:val="00182265"/>
    <w:rsid w:val="00182E0A"/>
    <w:rsid w:val="001856D0"/>
    <w:rsid w:val="001918F6"/>
    <w:rsid w:val="00195FA3"/>
    <w:rsid w:val="001960BA"/>
    <w:rsid w:val="001A0B25"/>
    <w:rsid w:val="001A2F53"/>
    <w:rsid w:val="001A47AF"/>
    <w:rsid w:val="001A4817"/>
    <w:rsid w:val="001A56AB"/>
    <w:rsid w:val="001B0FEB"/>
    <w:rsid w:val="001D3154"/>
    <w:rsid w:val="001D771E"/>
    <w:rsid w:val="001E231E"/>
    <w:rsid w:val="0020434F"/>
    <w:rsid w:val="00204CC9"/>
    <w:rsid w:val="002122F4"/>
    <w:rsid w:val="00225C0D"/>
    <w:rsid w:val="00240860"/>
    <w:rsid w:val="00263264"/>
    <w:rsid w:val="00263CDF"/>
    <w:rsid w:val="00272B6C"/>
    <w:rsid w:val="00284D19"/>
    <w:rsid w:val="002909F8"/>
    <w:rsid w:val="002A1F9A"/>
    <w:rsid w:val="002B093C"/>
    <w:rsid w:val="002C1B1D"/>
    <w:rsid w:val="002D2043"/>
    <w:rsid w:val="002F2EE7"/>
    <w:rsid w:val="002F6253"/>
    <w:rsid w:val="002F6760"/>
    <w:rsid w:val="00304E99"/>
    <w:rsid w:val="00306185"/>
    <w:rsid w:val="00307026"/>
    <w:rsid w:val="00312724"/>
    <w:rsid w:val="00325C76"/>
    <w:rsid w:val="00343185"/>
    <w:rsid w:val="0036743E"/>
    <w:rsid w:val="003840E8"/>
    <w:rsid w:val="003843F0"/>
    <w:rsid w:val="003B043F"/>
    <w:rsid w:val="003B095E"/>
    <w:rsid w:val="003B7F31"/>
    <w:rsid w:val="003C531F"/>
    <w:rsid w:val="003D1FB7"/>
    <w:rsid w:val="003D44DD"/>
    <w:rsid w:val="003D7310"/>
    <w:rsid w:val="004107C4"/>
    <w:rsid w:val="00421B4C"/>
    <w:rsid w:val="0042407E"/>
    <w:rsid w:val="00434BEE"/>
    <w:rsid w:val="00454DDB"/>
    <w:rsid w:val="00456C7C"/>
    <w:rsid w:val="00462742"/>
    <w:rsid w:val="0046497E"/>
    <w:rsid w:val="00475409"/>
    <w:rsid w:val="004903A0"/>
    <w:rsid w:val="00490707"/>
    <w:rsid w:val="00495464"/>
    <w:rsid w:val="004D09D9"/>
    <w:rsid w:val="004D2C83"/>
    <w:rsid w:val="004F4E04"/>
    <w:rsid w:val="005004ED"/>
    <w:rsid w:val="00501CDB"/>
    <w:rsid w:val="00514811"/>
    <w:rsid w:val="00514931"/>
    <w:rsid w:val="005208E4"/>
    <w:rsid w:val="00534420"/>
    <w:rsid w:val="00545C0A"/>
    <w:rsid w:val="005543A7"/>
    <w:rsid w:val="005653D3"/>
    <w:rsid w:val="00577B06"/>
    <w:rsid w:val="00577DA6"/>
    <w:rsid w:val="005B3685"/>
    <w:rsid w:val="005C3129"/>
    <w:rsid w:val="005C63D5"/>
    <w:rsid w:val="006169C2"/>
    <w:rsid w:val="006406A5"/>
    <w:rsid w:val="00643C2B"/>
    <w:rsid w:val="00675744"/>
    <w:rsid w:val="006776FB"/>
    <w:rsid w:val="006878C8"/>
    <w:rsid w:val="006B6912"/>
    <w:rsid w:val="006B7208"/>
    <w:rsid w:val="006B7B12"/>
    <w:rsid w:val="006D0089"/>
    <w:rsid w:val="006D00E0"/>
    <w:rsid w:val="006D1997"/>
    <w:rsid w:val="006D4387"/>
    <w:rsid w:val="006F437D"/>
    <w:rsid w:val="00701A8A"/>
    <w:rsid w:val="007025D7"/>
    <w:rsid w:val="00705693"/>
    <w:rsid w:val="007227FD"/>
    <w:rsid w:val="00725A6C"/>
    <w:rsid w:val="0073161D"/>
    <w:rsid w:val="00747333"/>
    <w:rsid w:val="00756999"/>
    <w:rsid w:val="007643E2"/>
    <w:rsid w:val="00783106"/>
    <w:rsid w:val="007A4DC1"/>
    <w:rsid w:val="007A74C6"/>
    <w:rsid w:val="007C4A0A"/>
    <w:rsid w:val="007D3BA1"/>
    <w:rsid w:val="007F7133"/>
    <w:rsid w:val="008040A7"/>
    <w:rsid w:val="0082021F"/>
    <w:rsid w:val="00820938"/>
    <w:rsid w:val="00850DFF"/>
    <w:rsid w:val="008602E2"/>
    <w:rsid w:val="00873D4E"/>
    <w:rsid w:val="00894624"/>
    <w:rsid w:val="008971BB"/>
    <w:rsid w:val="008A2F1E"/>
    <w:rsid w:val="008C76D3"/>
    <w:rsid w:val="008D21F4"/>
    <w:rsid w:val="0093373D"/>
    <w:rsid w:val="00970005"/>
    <w:rsid w:val="0098304B"/>
    <w:rsid w:val="00992239"/>
    <w:rsid w:val="009A3C2E"/>
    <w:rsid w:val="009B10B0"/>
    <w:rsid w:val="009C018F"/>
    <w:rsid w:val="009C1E65"/>
    <w:rsid w:val="009C5BF6"/>
    <w:rsid w:val="009D133E"/>
    <w:rsid w:val="009D19C6"/>
    <w:rsid w:val="009D2DA4"/>
    <w:rsid w:val="009E3818"/>
    <w:rsid w:val="009E6969"/>
    <w:rsid w:val="009E6BCE"/>
    <w:rsid w:val="009F2E4A"/>
    <w:rsid w:val="00A11F03"/>
    <w:rsid w:val="00A13AF3"/>
    <w:rsid w:val="00A347D5"/>
    <w:rsid w:val="00A60F50"/>
    <w:rsid w:val="00A73F21"/>
    <w:rsid w:val="00A77A08"/>
    <w:rsid w:val="00A77C3E"/>
    <w:rsid w:val="00A81D70"/>
    <w:rsid w:val="00AC209A"/>
    <w:rsid w:val="00AD3AB9"/>
    <w:rsid w:val="00AD616C"/>
    <w:rsid w:val="00AD6C7A"/>
    <w:rsid w:val="00AE6393"/>
    <w:rsid w:val="00AF38CE"/>
    <w:rsid w:val="00B01777"/>
    <w:rsid w:val="00B23A49"/>
    <w:rsid w:val="00B2713A"/>
    <w:rsid w:val="00B43386"/>
    <w:rsid w:val="00B43B0D"/>
    <w:rsid w:val="00B443A3"/>
    <w:rsid w:val="00B520A1"/>
    <w:rsid w:val="00B600BA"/>
    <w:rsid w:val="00B85F01"/>
    <w:rsid w:val="00B915EC"/>
    <w:rsid w:val="00B926C6"/>
    <w:rsid w:val="00B9771F"/>
    <w:rsid w:val="00BA1B12"/>
    <w:rsid w:val="00BB73B7"/>
    <w:rsid w:val="00BD42BA"/>
    <w:rsid w:val="00BD6AE0"/>
    <w:rsid w:val="00BE4EE5"/>
    <w:rsid w:val="00C15E11"/>
    <w:rsid w:val="00C20DA7"/>
    <w:rsid w:val="00C436E2"/>
    <w:rsid w:val="00C451F4"/>
    <w:rsid w:val="00C546E2"/>
    <w:rsid w:val="00C621AC"/>
    <w:rsid w:val="00C8378F"/>
    <w:rsid w:val="00CB02A1"/>
    <w:rsid w:val="00CC1FDB"/>
    <w:rsid w:val="00CE552A"/>
    <w:rsid w:val="00D032A7"/>
    <w:rsid w:val="00D10C89"/>
    <w:rsid w:val="00D13EC2"/>
    <w:rsid w:val="00D54B57"/>
    <w:rsid w:val="00D57DA7"/>
    <w:rsid w:val="00D745B4"/>
    <w:rsid w:val="00D8417D"/>
    <w:rsid w:val="00D8435E"/>
    <w:rsid w:val="00D966C0"/>
    <w:rsid w:val="00DA66AD"/>
    <w:rsid w:val="00DB2693"/>
    <w:rsid w:val="00DB2CBB"/>
    <w:rsid w:val="00DB654F"/>
    <w:rsid w:val="00DB7982"/>
    <w:rsid w:val="00DD62A1"/>
    <w:rsid w:val="00DF1500"/>
    <w:rsid w:val="00DF2B80"/>
    <w:rsid w:val="00E00D8C"/>
    <w:rsid w:val="00E02D63"/>
    <w:rsid w:val="00E12441"/>
    <w:rsid w:val="00E252F0"/>
    <w:rsid w:val="00E26F07"/>
    <w:rsid w:val="00E34293"/>
    <w:rsid w:val="00E45DCA"/>
    <w:rsid w:val="00E62F48"/>
    <w:rsid w:val="00E63BD8"/>
    <w:rsid w:val="00E7153D"/>
    <w:rsid w:val="00E81C4E"/>
    <w:rsid w:val="00E924C2"/>
    <w:rsid w:val="00E93E0A"/>
    <w:rsid w:val="00E96999"/>
    <w:rsid w:val="00EC2A90"/>
    <w:rsid w:val="00ED72DD"/>
    <w:rsid w:val="00EE05A3"/>
    <w:rsid w:val="00EE0D18"/>
    <w:rsid w:val="00EE2590"/>
    <w:rsid w:val="00EE6AF7"/>
    <w:rsid w:val="00EF5D63"/>
    <w:rsid w:val="00F15B4C"/>
    <w:rsid w:val="00F1660A"/>
    <w:rsid w:val="00F35AC0"/>
    <w:rsid w:val="00F3677D"/>
    <w:rsid w:val="00F54137"/>
    <w:rsid w:val="00F70553"/>
    <w:rsid w:val="00F7094A"/>
    <w:rsid w:val="00F72A22"/>
    <w:rsid w:val="00F84712"/>
    <w:rsid w:val="00F976F8"/>
    <w:rsid w:val="00FB0A8A"/>
    <w:rsid w:val="00FC5C2F"/>
    <w:rsid w:val="00FD0F4D"/>
    <w:rsid w:val="00FD60F1"/>
    <w:rsid w:val="00FE1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4EAAAB36"/>
  <w15:docId w15:val="{3A0C061B-9E87-4134-A968-AF60A185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707"/>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084F10"/>
    <w:pPr>
      <w:spacing w:before="0" w:after="0"/>
    </w:pPr>
  </w:style>
  <w:style w:type="character" w:customStyle="1" w:styleId="VoetnoottekstChar">
    <w:name w:val="Voetnoottekst Char"/>
    <w:basedOn w:val="Standaardalinea-lettertype"/>
    <w:link w:val="Voetnoottekst"/>
    <w:uiPriority w:val="99"/>
    <w:semiHidden/>
    <w:rsid w:val="00084F10"/>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084F10"/>
    <w:rPr>
      <w:vertAlign w:val="superscript"/>
    </w:rPr>
  </w:style>
  <w:style w:type="character" w:styleId="Hyperlink">
    <w:name w:val="Hyperlink"/>
    <w:basedOn w:val="Standaardalinea-lettertype"/>
    <w:uiPriority w:val="99"/>
    <w:unhideWhenUsed/>
    <w:rsid w:val="001E231E"/>
    <w:rPr>
      <w:color w:val="0000FF" w:themeColor="hyperlink"/>
      <w:u w:val="single"/>
    </w:rPr>
  </w:style>
  <w:style w:type="character" w:styleId="Onopgelostemelding">
    <w:name w:val="Unresolved Mention"/>
    <w:basedOn w:val="Standaardalinea-lettertype"/>
    <w:uiPriority w:val="99"/>
    <w:semiHidden/>
    <w:unhideWhenUsed/>
    <w:rsid w:val="001E231E"/>
    <w:rPr>
      <w:color w:val="605E5C"/>
      <w:shd w:val="clear" w:color="auto" w:fill="E1DFDD"/>
    </w:rPr>
  </w:style>
  <w:style w:type="paragraph" w:styleId="Revisie">
    <w:name w:val="Revision"/>
    <w:hidden/>
    <w:uiPriority w:val="99"/>
    <w:semiHidden/>
    <w:rsid w:val="00E93E0A"/>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E93E0A"/>
    <w:rPr>
      <w:sz w:val="16"/>
      <w:szCs w:val="16"/>
    </w:rPr>
  </w:style>
  <w:style w:type="paragraph" w:styleId="Tekstopmerking">
    <w:name w:val="annotation text"/>
    <w:basedOn w:val="Standaard"/>
    <w:link w:val="TekstopmerkingChar"/>
    <w:uiPriority w:val="99"/>
    <w:unhideWhenUsed/>
    <w:rsid w:val="00E93E0A"/>
  </w:style>
  <w:style w:type="character" w:customStyle="1" w:styleId="TekstopmerkingChar">
    <w:name w:val="Tekst opmerking Char"/>
    <w:basedOn w:val="Standaardalinea-lettertype"/>
    <w:link w:val="Tekstopmerking"/>
    <w:uiPriority w:val="99"/>
    <w:rsid w:val="00E93E0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3E0A"/>
    <w:rPr>
      <w:b/>
      <w:bCs/>
    </w:rPr>
  </w:style>
  <w:style w:type="character" w:customStyle="1" w:styleId="OnderwerpvanopmerkingChar">
    <w:name w:val="Onderwerp van opmerking Char"/>
    <w:basedOn w:val="TekstopmerkingChar"/>
    <w:link w:val="Onderwerpvanopmerking"/>
    <w:uiPriority w:val="99"/>
    <w:semiHidden/>
    <w:rsid w:val="00E93E0A"/>
    <w:rPr>
      <w:rFonts w:ascii="Times New Roman" w:eastAsia="Times New Roman" w:hAnsi="Times New Roman" w:cs="Times New Roman"/>
      <w:b/>
      <w:bCs/>
      <w:sz w:val="20"/>
      <w:szCs w:val="20"/>
      <w:lang w:val="nl-NL" w:eastAsia="nl-NL"/>
    </w:rPr>
  </w:style>
  <w:style w:type="table" w:styleId="Tabelraster">
    <w:name w:val="Table Grid"/>
    <w:basedOn w:val="Standaardtabel"/>
    <w:uiPriority w:val="39"/>
    <w:rsid w:val="0015763C"/>
    <w:rPr>
      <w:rFonts w:eastAsiaTheme="minorHAns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5B36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Standaardalinea-lettertype"/>
    <w:rsid w:val="00307026"/>
    <w:rPr>
      <w:rFonts w:ascii="Segoe UI" w:hAnsi="Segoe UI" w:cs="Segoe UI" w:hint="default"/>
      <w:sz w:val="18"/>
      <w:szCs w:val="18"/>
    </w:rPr>
  </w:style>
  <w:style w:type="paragraph" w:styleId="Geenafstand">
    <w:name w:val="No Spacing"/>
    <w:uiPriority w:val="1"/>
    <w:qFormat/>
    <w:rsid w:val="00850DFF"/>
    <w:rPr>
      <w:rFonts w:ascii="Times New Roman" w:eastAsia="Times New Roman" w:hAnsi="Times New Roman" w:cs="Times New Roman"/>
      <w:sz w:val="20"/>
      <w:szCs w:val="20"/>
      <w:lang w:val="nl-NL" w:eastAsia="nl-NL"/>
    </w:rPr>
  </w:style>
  <w:style w:type="character" w:customStyle="1" w:styleId="null1">
    <w:name w:val="null1"/>
    <w:basedOn w:val="Standaardalinea-lettertype"/>
    <w:rsid w:val="00850DFF"/>
  </w:style>
  <w:style w:type="paragraph" w:styleId="Lijstalinea">
    <w:name w:val="List Paragraph"/>
    <w:basedOn w:val="Standaard"/>
    <w:uiPriority w:val="34"/>
    <w:qFormat/>
    <w:rsid w:val="00C621AC"/>
    <w:pPr>
      <w:spacing w:before="0" w:after="0" w:line="240" w:lineRule="atLeast"/>
      <w:ind w:left="720"/>
      <w:contextualSpacing/>
    </w:pPr>
    <w:rPr>
      <w:rFonts w:ascii="Verdana" w:hAnsi="Verdana"/>
      <w:kern w:val="2"/>
      <w:sz w:val="1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141532">
      <w:bodyDiv w:val="1"/>
      <w:marLeft w:val="0"/>
      <w:marRight w:val="0"/>
      <w:marTop w:val="0"/>
      <w:marBottom w:val="0"/>
      <w:divBdr>
        <w:top w:val="none" w:sz="0" w:space="0" w:color="auto"/>
        <w:left w:val="none" w:sz="0" w:space="0" w:color="auto"/>
        <w:bottom w:val="none" w:sz="0" w:space="0" w:color="auto"/>
        <w:right w:val="none" w:sz="0" w:space="0" w:color="auto"/>
      </w:divBdr>
    </w:div>
    <w:div w:id="1153718674">
      <w:bodyDiv w:val="1"/>
      <w:marLeft w:val="0"/>
      <w:marRight w:val="0"/>
      <w:marTop w:val="0"/>
      <w:marBottom w:val="0"/>
      <w:divBdr>
        <w:top w:val="none" w:sz="0" w:space="0" w:color="auto"/>
        <w:left w:val="none" w:sz="0" w:space="0" w:color="auto"/>
        <w:bottom w:val="none" w:sz="0" w:space="0" w:color="auto"/>
        <w:right w:val="none" w:sz="0" w:space="0" w:color="auto"/>
      </w:divBdr>
    </w:div>
    <w:div w:id="1503162838">
      <w:bodyDiv w:val="1"/>
      <w:marLeft w:val="0"/>
      <w:marRight w:val="0"/>
      <w:marTop w:val="0"/>
      <w:marBottom w:val="0"/>
      <w:divBdr>
        <w:top w:val="none" w:sz="0" w:space="0" w:color="auto"/>
        <w:left w:val="none" w:sz="0" w:space="0" w:color="auto"/>
        <w:bottom w:val="none" w:sz="0" w:space="0" w:color="auto"/>
        <w:right w:val="none" w:sz="0" w:space="0" w:color="auto"/>
      </w:divBdr>
    </w:div>
    <w:div w:id="1759599972">
      <w:bodyDiv w:val="1"/>
      <w:marLeft w:val="0"/>
      <w:marRight w:val="0"/>
      <w:marTop w:val="0"/>
      <w:marBottom w:val="0"/>
      <w:divBdr>
        <w:top w:val="none" w:sz="0" w:space="0" w:color="auto"/>
        <w:left w:val="none" w:sz="0" w:space="0" w:color="auto"/>
        <w:bottom w:val="none" w:sz="0" w:space="0" w:color="auto"/>
        <w:right w:val="none" w:sz="0" w:space="0" w:color="auto"/>
      </w:divBdr>
    </w:div>
    <w:div w:id="1835298666">
      <w:bodyDiv w:val="1"/>
      <w:marLeft w:val="0"/>
      <w:marRight w:val="0"/>
      <w:marTop w:val="0"/>
      <w:marBottom w:val="0"/>
      <w:divBdr>
        <w:top w:val="none" w:sz="0" w:space="0" w:color="auto"/>
        <w:left w:val="none" w:sz="0" w:space="0" w:color="auto"/>
        <w:bottom w:val="none" w:sz="0" w:space="0" w:color="auto"/>
        <w:right w:val="none" w:sz="0" w:space="0" w:color="auto"/>
      </w:divBdr>
    </w:div>
    <w:div w:id="1877888010">
      <w:bodyDiv w:val="1"/>
      <w:marLeft w:val="0"/>
      <w:marRight w:val="0"/>
      <w:marTop w:val="0"/>
      <w:marBottom w:val="0"/>
      <w:divBdr>
        <w:top w:val="none" w:sz="0" w:space="0" w:color="auto"/>
        <w:left w:val="none" w:sz="0" w:space="0" w:color="auto"/>
        <w:bottom w:val="none" w:sz="0" w:space="0" w:color="auto"/>
        <w:right w:val="none" w:sz="0" w:space="0" w:color="auto"/>
      </w:divBdr>
    </w:div>
    <w:div w:id="2030637616">
      <w:bodyDiv w:val="1"/>
      <w:marLeft w:val="0"/>
      <w:marRight w:val="0"/>
      <w:marTop w:val="0"/>
      <w:marBottom w:val="0"/>
      <w:divBdr>
        <w:top w:val="none" w:sz="0" w:space="0" w:color="auto"/>
        <w:left w:val="none" w:sz="0" w:space="0" w:color="auto"/>
        <w:bottom w:val="none" w:sz="0" w:space="0" w:color="auto"/>
        <w:right w:val="none" w:sz="0" w:space="0" w:color="auto"/>
      </w:divBdr>
    </w:div>
    <w:div w:id="2065986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1524-657" TargetMode="External" Id="rId26" /><Relationship Type="http://schemas.openxmlformats.org/officeDocument/2006/relationships/hyperlink" Target="https://zoek.officielebekendmakingen.nl/ah-tk-20242025-3018.html" TargetMode="External" Id="rId21" /><Relationship Type="http://schemas.openxmlformats.org/officeDocument/2006/relationships/image" Target="media/image3.png" Id="rId42" /><Relationship Type="http://schemas.openxmlformats.org/officeDocument/2006/relationships/hyperlink" Target="https://www.s-bb.nl/media/qqil1raz/stagebarometer-april-2025.pdf" TargetMode="External" Id="rId47" /><Relationship Type="http://schemas.openxmlformats.org/officeDocument/2006/relationships/hyperlink" Target="https://www.cbs.nl/nl-nl/nieuws/2025/41/steeds-minder-vrouwen-zonder-eigen-inkomen" TargetMode="External" Id="rId63" /><Relationship Type="http://schemas.openxmlformats.org/officeDocument/2006/relationships/hyperlink" Target="https://www.cbs.nl/nl-nl/longread/statistische-trends/2024/slachtofferschap-en-veiligheidsbeleving-lhbtqia-personen?onepage=true" TargetMode="External" Id="rId68" /><Relationship Type="http://schemas.openxmlformats.org/officeDocument/2006/relationships/hyperlink" Target="https://wetten.overheid.nl/BWBR0050760/2025-02-08" TargetMode="External" Id="rId84" /><Relationship Type="http://schemas.openxmlformats.org/officeDocument/2006/relationships/hyperlink" Target="https://www.rathenau.nl/nl/wetenschap-cijfers/geld/inkomsten-uitgaven-van-universiteiten-umcs-en-hogescholen/baten-nederlandse-universiteiten-werk-voor-derden" TargetMode="External" Id="rId89" /><Relationship Type="http://schemas.openxmlformats.org/officeDocument/2006/relationships/hyperlink" Target="https://zoek.officielebekendmakingen.nl/kst-31293-727.html" TargetMode="External" Id="rId16" /><Relationship Type="http://schemas.openxmlformats.org/officeDocument/2006/relationships/endnotes" Target="endnotes.xml" Id="rId11" /><Relationship Type="http://schemas.openxmlformats.org/officeDocument/2006/relationships/hyperlink" Target="https://www.rijksoverheid.nl/documenten/rapporten/2025/04/25/referentieraming-ocw-2025" TargetMode="External" Id="rId32" /><Relationship Type="http://schemas.openxmlformats.org/officeDocument/2006/relationships/hyperlink" Target="https://www.universiteitenvannederland.nl/actueel/nieuws/universiteiten-gaan-zelf-internationalisering-verder-in-balans-brengen" TargetMode="External" Id="rId37" /><Relationship Type="http://schemas.openxmlformats.org/officeDocument/2006/relationships/hyperlink" Target="https://www.rijksoverheid.nl/documenten/kamerstukken/2025/10/03/toezegging-commissiedebat-mbo-1-oktober" TargetMode="External" Id="rId53" /><Relationship Type="http://schemas.openxmlformats.org/officeDocument/2006/relationships/hyperlink" Target="https://www.ocwincijfers.nl/sectoren/hoger-onderwijs/kengetallen-hoger-beroepsonderwijs/personeel/samenstelling-personeel-hbo" TargetMode="External" Id="rId58" /><Relationship Type="http://schemas.openxmlformats.org/officeDocument/2006/relationships/hyperlink" Target="file:///H:\Downloads\Antwoord%20op%20vragen%20van%20de%20leden%20Chakor%20en%20Lahlah%20over%20raadsleden%20met%20een%20uitkering.pdf" TargetMode="External" Id="rId74" /><Relationship Type="http://schemas.openxmlformats.org/officeDocument/2006/relationships/hyperlink" Target="https://zoek.officielebekendmakingen.nl/kst-27923-492.html" TargetMode="External" Id="rId79" /><Relationship Type="http://schemas.openxmlformats.org/officeDocument/2006/relationships/fontTable" Target="fontTable.xml" Id="rId102" /><Relationship Type="http://schemas.openxmlformats.org/officeDocument/2006/relationships/hyperlink" Target="https://www.rathenau.nl/nl/wetenschap-cijfers/wetenschappers/personeel-aan-de-universiteiten-en-umcs/academische-carriere-van-wetenschappers" TargetMode="External" Id="rId90" /><Relationship Type="http://schemas.openxmlformats.org/officeDocument/2006/relationships/hyperlink" Target="https://www.rijksoverheid.nl/documenten/rapporten/2024/12/19/bijlage-dialogic-2024-een-serieuze-zaak-eindrapport" TargetMode="External" Id="rId95" /><Relationship Type="http://schemas.openxmlformats.org/officeDocument/2006/relationships/hyperlink" Target="https://zoek.officielebekendmakingen.nl/blg-1206445" TargetMode="External" Id="rId22" /><Relationship Type="http://schemas.openxmlformats.org/officeDocument/2006/relationships/hyperlink" Target="https://duo.nl/open_onderwijsdata/" TargetMode="External" Id="rId27" /><Relationship Type="http://schemas.openxmlformats.org/officeDocument/2006/relationships/image" Target="media/image4.png" Id="rId43" /><Relationship Type="http://schemas.openxmlformats.org/officeDocument/2006/relationships/hyperlink" Target="https://www.cbs.nl/nl-nl/maatwerk/2025/16/stages-en-banen-van-studenten-in-het-mbo-en-ho-op-detailniveau-2023-24" TargetMode="External" Id="rId48" /><Relationship Type="http://schemas.openxmlformats.org/officeDocument/2006/relationships/hyperlink" Target="https://www.cbs.nl/nl-nl/longread/statistische-trends/2025/vrouwen-zonder-eigen-inkomen" TargetMode="External" Id="rId64" /><Relationship Type="http://schemas.openxmlformats.org/officeDocument/2006/relationships/hyperlink" Target="https://www.cbs.nl/nl-nl/longread/statistische-trends/2024/slachtofferschap-en-veiligheidsbeleving-lhbtqia-personen?onepage=true" TargetMode="External" Id="rId69" /><Relationship Type="http://schemas.openxmlformats.org/officeDocument/2006/relationships/hyperlink" Target="https://zoek.officielebekendmakingen.nl/kst-31497-497.pdf" TargetMode="External" Id="rId80" /><Relationship Type="http://schemas.openxmlformats.org/officeDocument/2006/relationships/hyperlink" Target="https://duo.nl/open_onderwijsdata/voortgezet-onderwijs/personeel/in-aantal-fte.jsp" TargetMode="External" Id="rId85" /><Relationship Type="http://schemas.openxmlformats.org/officeDocument/2006/relationships/hyperlink" Target="https://www.ocwincijfers.nl/sectoren/hoger-onderwijs/doelmatigheid/doelmatigheid/aanbod-van-opleidingen/aantal-opleidingen-aan-1-instelling" TargetMode="External" Id="rId12" /><Relationship Type="http://schemas.openxmlformats.org/officeDocument/2006/relationships/hyperlink" Target="https://zoek.officielebekendmakingen.nl/kst-31293-828.html" TargetMode="External" Id="rId17" /><Relationship Type="http://schemas.openxmlformats.org/officeDocument/2006/relationships/hyperlink" Target="https://zoek.officielebekendmakingen.nl/kst-36600-VIII-18.pdf" TargetMode="External" Id="rId25" /><Relationship Type="http://schemas.openxmlformats.org/officeDocument/2006/relationships/hyperlink" Target="https://www.studiekeuze123.nl/selectie/welke-opleidingen-hebben-een-numerus-fixus" TargetMode="External" Id="rId33" /><Relationship Type="http://schemas.openxmlformats.org/officeDocument/2006/relationships/hyperlink" Target="https://open.overheid.nl/documenten/014c821e-e6c7-4975-ba84-56f82c385a0e/file" TargetMode="External" Id="rId38" /><Relationship Type="http://schemas.openxmlformats.org/officeDocument/2006/relationships/hyperlink" Target="https://www.tweedekamer.nl/kamerstukken/brieven_regering/detail?id=2024Z07391&amp;did=2024D16922" TargetMode="External" Id="rId46" /><Relationship Type="http://schemas.openxmlformats.org/officeDocument/2006/relationships/hyperlink" Target="https://www.universiteitenvannederland.nl/downloadbare-gegevens-personeel" TargetMode="External" Id="rId59" /><Relationship Type="http://schemas.openxmlformats.org/officeDocument/2006/relationships/hyperlink" Target="https://www.ocwincijfers.nl/sectoren/emancipatie/sociale-veiligheid/online-bedreiging-en-intimidatie-lhb" TargetMode="External" Id="rId67" /><Relationship Type="http://schemas.openxmlformats.org/officeDocument/2006/relationships/theme" Target="theme/theme1.xml" Id="rId103" /><Relationship Type="http://schemas.openxmlformats.org/officeDocument/2006/relationships/hyperlink" Target="https://zoek.officielebekendmakingen.nl/kst-31288-1161.html" TargetMode="External" Id="rId20" /><Relationship Type="http://schemas.openxmlformats.org/officeDocument/2006/relationships/chart" Target="charts/chart1.xml" Id="rId41" /><Relationship Type="http://schemas.openxmlformats.org/officeDocument/2006/relationships/image" Target="media/image6.png" Id="rId54" /><Relationship Type="http://schemas.openxmlformats.org/officeDocument/2006/relationships/hyperlink" Target="https://www.cbs.nl/nl-nl/nieuws/2024/22/van-20-naar-70-procent-economisch-zelfstandige-vrouwen-in-45-jaar" TargetMode="External" Id="rId62" /><Relationship Type="http://schemas.openxmlformats.org/officeDocument/2006/relationships/hyperlink" Target="https://www.cbs.nl/nl-nl/longread/statistische-trends/2024/slachtofferschap-en-veiligheidsbeleving-lhbtqia-personen?onepage=true" TargetMode="External" Id="rId70" /><Relationship Type="http://schemas.openxmlformats.org/officeDocument/2006/relationships/hyperlink" Target="https://wetten.overheid.nl/BWBV0002909/1991-08-22" TargetMode="External" Id="rId75" /><Relationship Type="http://schemas.openxmlformats.org/officeDocument/2006/relationships/hyperlink" Target="https://zoek.officielebekendmakingen.nl/kst-27923-492.html" TargetMode="External" Id="rId83" /><Relationship Type="http://schemas.openxmlformats.org/officeDocument/2006/relationships/hyperlink" Target="https://zoek.officielebekendmakingen.nl/kst-36600-VIII-139.html" TargetMode="External" Id="rId88" /><Relationship Type="http://schemas.openxmlformats.org/officeDocument/2006/relationships/hyperlink" Target="http://www.werkeninhetonderwijs.nl" TargetMode="External" Id="rId91" /><Relationship Type="http://schemas.openxmlformats.org/officeDocument/2006/relationships/image" Target="media/image10.png" Id="rId96" /><Relationship Type="http://schemas.openxmlformats.org/officeDocument/2006/relationships/numbering" Target="numbering.xml" Id="rId6" /><Relationship Type="http://schemas.openxmlformats.org/officeDocument/2006/relationships/oleObject" Target="embeddings/oleObject1.bin" Id="rId15" /><Relationship Type="http://schemas.openxmlformats.org/officeDocument/2006/relationships/hyperlink" Target="https://zoek.officielebekendmakingen.nl/blg-1206445.html" TargetMode="External" Id="rId23" /><Relationship Type="http://schemas.openxmlformats.org/officeDocument/2006/relationships/hyperlink" Target="https://www.ocwincijfers.nl/sectoren/hoger-onderwijs/kwaliteit/internationalisering/inkomende-internationale-mobiliteit" TargetMode="External" Id="rId28" /><Relationship Type="http://schemas.openxmlformats.org/officeDocument/2006/relationships/hyperlink" Target="https://www.rijksoverheid.nl/documenten/kamerstukken/2025/07/03/uitvoering-moties-wib-en-vervolgproces" TargetMode="External" Id="rId36" /><Relationship Type="http://schemas.openxmlformats.org/officeDocument/2006/relationships/hyperlink" Target="https://zoek.officielebekendmakingen.nl/kst-31293-743.html" TargetMode="External" Id="rId49" /><Relationship Type="http://schemas.openxmlformats.org/officeDocument/2006/relationships/image" Target="media/image8.svg" Id="rId57" /><Relationship Type="http://schemas.openxmlformats.org/officeDocument/2006/relationships/footnotes" Target="footnotes.xml" Id="rId10" /><Relationship Type="http://schemas.openxmlformats.org/officeDocument/2006/relationships/hyperlink" Target="https://www.rijksoverheid.nl/documenten/rapporten/2025/04/25/referentieraming-ocw-2025" TargetMode="External" Id="rId31" /><Relationship Type="http://schemas.openxmlformats.org/officeDocument/2006/relationships/image" Target="media/image5.png" Id="rId44" /><Relationship Type="http://schemas.openxmlformats.org/officeDocument/2006/relationships/hyperlink" Target="https://zoek.officielebekendmakingen.nl/kst-31289-436.html" TargetMode="External" Id="rId52" /><Relationship Type="http://schemas.openxmlformats.org/officeDocument/2006/relationships/hyperlink" Target="https://www.masterplanbasisvaardigheden.nl/masterplan-basisvaardigheden/monitoren-en-evalueren" TargetMode="External" Id="rId60" /><Relationship Type="http://schemas.openxmlformats.org/officeDocument/2006/relationships/hyperlink" Target="https://www.rijksoverheid.nl/documenten/rapporten/2024/11/06/rapport-lhbtiqa-monitor-2024" TargetMode="External" Id="rId65" /><Relationship Type="http://schemas.openxmlformats.org/officeDocument/2006/relationships/hyperlink" Target="https://www.tweedekamer.nl/kamerstukken/brieven_regering/detail?id=2025Z14584&amp;did=2025D33403" TargetMode="External" Id="rId73" /><Relationship Type="http://schemas.openxmlformats.org/officeDocument/2006/relationships/hyperlink" Target="https://www.tweedekamer.nl/kamerstukken/brieven_regering/detail?id=2025D27243&amp;did=2025D27243" TargetMode="External" Id="rId78" /><Relationship Type="http://schemas.openxmlformats.org/officeDocument/2006/relationships/hyperlink" Target="https://zoek.officielebekendmakingen.nl/kst-31293-775.html" TargetMode="External" Id="rId81" /><Relationship Type="http://schemas.openxmlformats.org/officeDocument/2006/relationships/hyperlink" Target="https://www.rijksoverheid.nl/documenten/rapporten/2025/04/24/7-leerplichttelling-2023-2024" TargetMode="External" Id="rId86" /><Relationship Type="http://schemas.openxmlformats.org/officeDocument/2006/relationships/hyperlink" Target="https://duo.nl/open_onderwijsdata/images/trendrapport-ho-2025.pdf" TargetMode="External" Id="rId94" /><Relationship Type="http://schemas.openxmlformats.org/officeDocument/2006/relationships/hyperlink" Target="https://open.overheid.nl/documenten/d86e47f8-0b93-4605-bcdc-c791518ec93c/file" TargetMode="External" Id="rId99" /><Relationship Type="http://schemas.openxmlformats.org/officeDocument/2006/relationships/footer" Target="footer1.xml" Id="rId101" /><Relationship Type="http://schemas.openxmlformats.org/officeDocument/2006/relationships/webSettings" Target="webSettings.xml" Id="rId9" /><Relationship Type="http://schemas.openxmlformats.org/officeDocument/2006/relationships/hyperlink" Target="file:///\\ocw.local\userdata\Homedrive\o209ove\Data\Proza\proza_ocw_local-otcs\c51394467\gezonde-praktijk-in-het-nederlandse-promotiestelsel_______________" TargetMode="External" Id="rId13" /><Relationship Type="http://schemas.openxmlformats.org/officeDocument/2006/relationships/hyperlink" Target="https://zoek.officielebekendmakingen.nl/kst-30950-468.html" TargetMode="External" Id="rId18" /><Relationship Type="http://schemas.openxmlformats.org/officeDocument/2006/relationships/hyperlink" Target="https://zoek.officielebekendmakingen.nl/kst-31293-832.html" TargetMode="External" Id="rId39" /><Relationship Type="http://schemas.openxmlformats.org/officeDocument/2006/relationships/hyperlink" Target="https://wetten.overheid.nl/jci1.3:c:BWBR0005682&amp;hoofdstuk=7&amp;titeldeel=2&amp;paragraaf=2&amp;artikel=7.30b&amp;z=2025-01-01&amp;g=2025-01-01" TargetMode="External" Id="rId34" /><Relationship Type="http://schemas.openxmlformats.org/officeDocument/2006/relationships/hyperlink" Target="https://zoek.officielebekendmakingen.nl/kst-31524-524.html" TargetMode="External" Id="rId50" /><Relationship Type="http://schemas.openxmlformats.org/officeDocument/2006/relationships/hyperlink" Target="https://www.ocwincijfers.nl/sectoren/hoger-onderwijs/kengetallen-hoger-beroepsonderwijs/personeel/samenstelling-personeel-hbo" TargetMode="External" Id="rId55" /><Relationship Type="http://schemas.openxmlformats.org/officeDocument/2006/relationships/hyperlink" Target="https://eur-lex.europa.eu/legal-content/NL/ALL/?uri=celex:32023L0970" TargetMode="External" Id="rId76" /><Relationship Type="http://schemas.openxmlformats.org/officeDocument/2006/relationships/image" Target="cid:image002.png@01DC36A8.CB651FC0" TargetMode="External" Id="rId97" /><Relationship Type="http://schemas.openxmlformats.org/officeDocument/2006/relationships/styles" Target="styles.xml" Id="rId7" /><Relationship Type="http://schemas.openxmlformats.org/officeDocument/2006/relationships/hyperlink" Target="https://www.cbs.nl/nl-nl/longread/statistische-trends/2024/slachtofferschap-en-veiligheidsbeleving-lhbtqia-personen?onepage=true" TargetMode="External" Id="rId71" /><Relationship Type="http://schemas.openxmlformats.org/officeDocument/2006/relationships/hyperlink" Target="https://zoek.officielebekendmakingen.nl/kst-36200-VIII-63.html" TargetMode="External" Id="rId92" /><Relationship Type="http://schemas.openxmlformats.org/officeDocument/2006/relationships/hyperlink" Target="https://www.google.nl/url?sa=t&amp;rct=j&amp;q=&amp;esrc=s&amp;source=web&amp;cd=&amp;cad=rja&amp;uact=8&amp;ved=2ahUKEwjI-c-_kKGQAxUI9rsIHf1IH5AQFnoECCEQAw&amp;url=https%3A%2F%2Fwww.rijksoverheid.nl%2Fdocumenten%2Frapporten%2F2025%2F04%2F25%2Freferentieraming-ocw-2025%23%3A~%3Atext%3DDe%2520Referentieraming%25202025%2520presenteert%2520de%2Cgebruikt%2520in%2520de%2520Voorjaarsnota%25202025.&amp;usg=AOvVaw33spnjNuRybdOWOECrco-s&amp;opi=89978449" TargetMode="External" Id="rId29" /><Relationship Type="http://schemas.openxmlformats.org/officeDocument/2006/relationships/hyperlink" Target="https://www.universiteitenvannederland.nl/files/publications/Definitief%20-%20Infographic%20BSA%20sheet.pdf" TargetMode="External" Id="rId24" /><Relationship Type="http://schemas.openxmlformats.org/officeDocument/2006/relationships/image" Target="media/image2.png" Id="rId40" /><Relationship Type="http://schemas.openxmlformats.org/officeDocument/2006/relationships/hyperlink" Target="https://www.aanpaklerarentekort.nl/actueel/nieuws/2024/10/17/onderzoeksrapport-inzet-van-andere-professionals-voor-de-aanpak-van-het-lerarentekort-in-de-g5" TargetMode="External" Id="rId45" /><Relationship Type="http://schemas.openxmlformats.org/officeDocument/2006/relationships/hyperlink" Target="https://www.cbs.nl/nl-nl/longread/statistische-trends/2024/slachtofferschap-en-veiligheidsbeleving-lhbtqia-personen?onepage=true" TargetMode="External" Id="rId66" /><Relationship Type="http://schemas.openxmlformats.org/officeDocument/2006/relationships/hyperlink" Target="https://open.overheid.nl/documenten/13d899a0-dc5a-4f32-b4a3-ef85cd2201f0/file" TargetMode="External" Id="rId87" /><Relationship Type="http://schemas.openxmlformats.org/officeDocument/2006/relationships/image" Target="media/image9.png" Id="rId61" /><Relationship Type="http://schemas.openxmlformats.org/officeDocument/2006/relationships/hyperlink" Target="https://zoek.officielebekendmakingen.nl/kst-31293-775.html" TargetMode="External" Id="rId82" /><Relationship Type="http://schemas.openxmlformats.org/officeDocument/2006/relationships/hyperlink" Target="https://www.nro.nl/sites/nro/files/migrate/NRO_OPRO_De-overgang-van-po-naar-vo-in-internationaal-perspectief_Opdenakker_projectleider.pdf" TargetMode="External" Id="rId19" /><Relationship Type="http://schemas.openxmlformats.org/officeDocument/2006/relationships/image" Target="media/image1.png" Id="rId14" /><Relationship Type="http://schemas.openxmlformats.org/officeDocument/2006/relationships/hyperlink" Target="https://zoek.officielebekendmakingen.nl/kst-31293-727.html" TargetMode="External" Id="rId30" /><Relationship Type="http://schemas.openxmlformats.org/officeDocument/2006/relationships/hyperlink" Target="https://www.onderwijsinspectie.nl/documenten/rapporten/2025/02/20/hboers-gelijkgeschakeld-een-onderzoek-naar-de-ontoegankelijkheid-van-wo-masters-voor-hbo-bachelor-gediplomeerden" TargetMode="External" Id="rId35" /><Relationship Type="http://schemas.openxmlformats.org/officeDocument/2006/relationships/image" Target="media/image7.png" Id="rId56" /><Relationship Type="http://schemas.openxmlformats.org/officeDocument/2006/relationships/hyperlink" Target="https://eur-lex.europa.eu/legal-content/NL/ALL/?uri=CELEX:32024L1385" TargetMode="External" Id="rId77" /><Relationship Type="http://schemas.openxmlformats.org/officeDocument/2006/relationships/hyperlink" Target="https://open.overheid.nl/details/ronl-d18dd68a-bdc6-436a-97f3-8eead027a4db" TargetMode="External" Id="rId100" /><Relationship Type="http://schemas.openxmlformats.org/officeDocument/2006/relationships/settings" Target="settings.xml" Id="rId8" /><Relationship Type="http://schemas.openxmlformats.org/officeDocument/2006/relationships/hyperlink" Target="https://zoek.officielebekendmakingen.nl/kst-31524-570.html" TargetMode="External" Id="rId51" /><Relationship Type="http://schemas.openxmlformats.org/officeDocument/2006/relationships/hyperlink" Target="https://zoek.officielebekendmakingen.nl/blg-1195590" TargetMode="External" Id="rId72" /><Relationship Type="http://schemas.openxmlformats.org/officeDocument/2006/relationships/hyperlink" Target="https://open.overheid.nl/documenten/e258c453-bbb3-4856-ad34-37f746b79226/file" TargetMode="External" Id="rId93" /><Relationship Type="http://schemas.openxmlformats.org/officeDocument/2006/relationships/hyperlink" Target="https://www.tweedekamer.nl/kamerstukken/brieven_regering/detail?id=2025Z04525&amp;did=2025D10488" TargetMode="External" Id="rId98"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inspectie.nl/documenten/rapporten/2025/09/09/rapport-inventarisatie-curricula-voltijdroutes-naar-het-leraarschap-primair-onderwijs" TargetMode="External"/><Relationship Id="rId1" Type="http://schemas.openxmlformats.org/officeDocument/2006/relationships/hyperlink" Target="https://www.aob.nl/assets/Downloads/Herijking-bekwaamheidseisen-leraar.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$C$81</c:f>
              <c:strCache>
                <c:ptCount val="1"/>
                <c:pt idx="0">
                  <c:v>neutraal</c:v>
                </c:pt>
              </c:strCache>
            </c:strRef>
          </c:tx>
          <c:spPr>
            <a:ln w="19050">
              <a:solidFill>
                <a:srgbClr val="5B9BD5">
                  <a:alpha val="100000"/>
                </a:srgbClr>
              </a:solidFill>
              <a:round/>
            </a:ln>
          </c:spPr>
          <c:marker>
            <c:symbol val="none"/>
          </c:marker>
          <c:dPt>
            <c:idx val="0"/>
            <c:bubble3D val="0"/>
            <c:extLst>
              <c:ext xmlns:c16="http://schemas.microsoft.com/office/drawing/2014/chart" uri="{C3380CC4-5D6E-409C-BE32-E72D297353CC}">
                <c16:uniqueId val="{00000000-6638-4588-8F48-43178288AFCB}"/>
              </c:ext>
            </c:extLst>
          </c:dPt>
          <c:dPt>
            <c:idx val="1"/>
            <c:bubble3D val="0"/>
            <c:extLst>
              <c:ext xmlns:c16="http://schemas.microsoft.com/office/drawing/2014/chart" uri="{C3380CC4-5D6E-409C-BE32-E72D297353CC}">
                <c16:uniqueId val="{00000001-6638-4588-8F48-43178288AFCB}"/>
              </c:ext>
            </c:extLst>
          </c:dPt>
          <c:dPt>
            <c:idx val="2"/>
            <c:bubble3D val="0"/>
            <c:extLst>
              <c:ext xmlns:c16="http://schemas.microsoft.com/office/drawing/2014/chart" uri="{C3380CC4-5D6E-409C-BE32-E72D297353CC}">
                <c16:uniqueId val="{00000002-6638-4588-8F48-43178288AFCB}"/>
              </c:ext>
            </c:extLst>
          </c:dPt>
          <c:dPt>
            <c:idx val="3"/>
            <c:bubble3D val="0"/>
            <c:extLst>
              <c:ext xmlns:c16="http://schemas.microsoft.com/office/drawing/2014/chart" uri="{C3380CC4-5D6E-409C-BE32-E72D297353CC}">
                <c16:uniqueId val="{00000003-6638-4588-8F48-43178288AFCB}"/>
              </c:ext>
            </c:extLst>
          </c:dPt>
          <c:dPt>
            <c:idx val="4"/>
            <c:bubble3D val="0"/>
            <c:extLst>
              <c:ext xmlns:c16="http://schemas.microsoft.com/office/drawing/2014/chart" uri="{C3380CC4-5D6E-409C-BE32-E72D297353CC}">
                <c16:uniqueId val="{00000004-6638-4588-8F48-43178288AFCB}"/>
              </c:ext>
            </c:extLst>
          </c:dPt>
          <c:dPt>
            <c:idx val="5"/>
            <c:bubble3D val="0"/>
            <c:extLst>
              <c:ext xmlns:c16="http://schemas.microsoft.com/office/drawing/2014/chart" uri="{C3380CC4-5D6E-409C-BE32-E72D297353CC}">
                <c16:uniqueId val="{00000005-6638-4588-8F48-43178288AFCB}"/>
              </c:ext>
            </c:extLst>
          </c:dPt>
          <c:dPt>
            <c:idx val="6"/>
            <c:bubble3D val="0"/>
            <c:extLst>
              <c:ext xmlns:c16="http://schemas.microsoft.com/office/drawing/2014/chart" uri="{C3380CC4-5D6E-409C-BE32-E72D297353CC}">
                <c16:uniqueId val="{00000006-6638-4588-8F48-43178288AFCB}"/>
              </c:ext>
            </c:extLst>
          </c:dPt>
          <c:dPt>
            <c:idx val="7"/>
            <c:bubble3D val="0"/>
            <c:extLst>
              <c:ext xmlns:c16="http://schemas.microsoft.com/office/drawing/2014/chart" uri="{C3380CC4-5D6E-409C-BE32-E72D297353CC}">
                <c16:uniqueId val="{00000007-6638-4588-8F48-43178288AFCB}"/>
              </c:ext>
            </c:extLst>
          </c:dPt>
          <c:dPt>
            <c:idx val="8"/>
            <c:bubble3D val="0"/>
            <c:extLst>
              <c:ext xmlns:c16="http://schemas.microsoft.com/office/drawing/2014/chart" uri="{C3380CC4-5D6E-409C-BE32-E72D297353CC}">
                <c16:uniqueId val="{00000008-6638-4588-8F48-43178288AFCB}"/>
              </c:ext>
            </c:extLst>
          </c:dPt>
          <c:dPt>
            <c:idx val="9"/>
            <c:bubble3D val="0"/>
            <c:extLst>
              <c:ext xmlns:c16="http://schemas.microsoft.com/office/drawing/2014/chart" uri="{C3380CC4-5D6E-409C-BE32-E72D297353CC}">
                <c16:uniqueId val="{00000009-6638-4588-8F48-43178288AFCB}"/>
              </c:ext>
            </c:extLst>
          </c:dPt>
          <c:dPt>
            <c:idx val="10"/>
            <c:bubble3D val="0"/>
            <c:extLst>
              <c:ext xmlns:c16="http://schemas.microsoft.com/office/drawing/2014/chart" uri="{C3380CC4-5D6E-409C-BE32-E72D297353CC}">
                <c16:uniqueId val="{0000000A-6638-4588-8F48-43178288AFCB}"/>
              </c:ext>
            </c:extLst>
          </c:dPt>
          <c:dPt>
            <c:idx val="11"/>
            <c:bubble3D val="0"/>
            <c:extLst>
              <c:ext xmlns:c16="http://schemas.microsoft.com/office/drawing/2014/chart" uri="{C3380CC4-5D6E-409C-BE32-E72D297353CC}">
                <c16:uniqueId val="{0000000B-6638-4588-8F48-43178288AFCB}"/>
              </c:ext>
            </c:extLst>
          </c:dPt>
          <c:dPt>
            <c:idx val="12"/>
            <c:bubble3D val="0"/>
            <c:extLst>
              <c:ext xmlns:c16="http://schemas.microsoft.com/office/drawing/2014/chart" uri="{C3380CC4-5D6E-409C-BE32-E72D297353CC}">
                <c16:uniqueId val="{0000000C-6638-4588-8F48-43178288AFCB}"/>
              </c:ext>
            </c:extLst>
          </c:dPt>
          <c:dPt>
            <c:idx val="13"/>
            <c:bubble3D val="0"/>
            <c:extLst>
              <c:ext xmlns:c16="http://schemas.microsoft.com/office/drawing/2014/chart" uri="{C3380CC4-5D6E-409C-BE32-E72D297353CC}">
                <c16:uniqueId val="{0000000D-6638-4588-8F48-43178288AFCB}"/>
              </c:ext>
            </c:extLst>
          </c:dPt>
          <c:dPt>
            <c:idx val="14"/>
            <c:bubble3D val="0"/>
            <c:extLst>
              <c:ext xmlns:c16="http://schemas.microsoft.com/office/drawing/2014/chart" uri="{C3380CC4-5D6E-409C-BE32-E72D297353CC}">
                <c16:uniqueId val="{0000000E-6638-4588-8F48-43178288AFCB}"/>
              </c:ext>
            </c:extLst>
          </c:dPt>
          <c:xVal>
            <c:numRef>
              <c:f>$D$79:$R$79</c:f>
              <c:numCache>
                <c:formatCode>General</c:formatCode>
                <c:ptCount val="15"/>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xVal>
          <c:yVal>
            <c:numRef>
              <c:f>$D$81:$R$81</c:f>
              <c:numCache>
                <c:formatCode>#,##0</c:formatCode>
                <c:ptCount val="15"/>
                <c:pt idx="0">
                  <c:v>3089.8077474807251</c:v>
                </c:pt>
                <c:pt idx="1">
                  <c:v>2127.9112021023052</c:v>
                </c:pt>
                <c:pt idx="2">
                  <c:v>2059.8765001099741</c:v>
                </c:pt>
                <c:pt idx="3">
                  <c:v>2321.5316070569434</c:v>
                </c:pt>
                <c:pt idx="4">
                  <c:v>2452.8410717598899</c:v>
                </c:pt>
                <c:pt idx="5">
                  <c:v>2644.2778989033532</c:v>
                </c:pt>
                <c:pt idx="6">
                  <c:v>2879.5757238972442</c:v>
                </c:pt>
                <c:pt idx="7">
                  <c:v>3053.8841368283752</c:v>
                </c:pt>
                <c:pt idx="8">
                  <c:v>3190.6593399891217</c:v>
                </c:pt>
                <c:pt idx="9">
                  <c:v>3295.7474269344621</c:v>
                </c:pt>
                <c:pt idx="10">
                  <c:v>3553.3886894261168</c:v>
                </c:pt>
                <c:pt idx="11">
                  <c:v>3658.7504639052049</c:v>
                </c:pt>
                <c:pt idx="12">
                  <c:v>3631.3625883505879</c:v>
                </c:pt>
              </c:numCache>
            </c:numRef>
          </c:yVal>
          <c:smooth val="0"/>
          <c:extLst>
            <c:ext xmlns:c16="http://schemas.microsoft.com/office/drawing/2014/chart" uri="{C3380CC4-5D6E-409C-BE32-E72D297353CC}">
              <c16:uniqueId val="{0000000F-6638-4588-8F48-43178288AFCB}"/>
            </c:ext>
          </c:extLst>
        </c:ser>
        <c:dLbls>
          <c:showLegendKey val="0"/>
          <c:showVal val="0"/>
          <c:showCatName val="0"/>
          <c:showSerName val="0"/>
          <c:showPercent val="0"/>
          <c:showBubbleSize val="0"/>
        </c:dLbls>
        <c:axId val="1111"/>
        <c:axId val="2222"/>
      </c:scatterChart>
      <c:valAx>
        <c:axId val="1111"/>
        <c:scaling>
          <c:orientation val="minMax"/>
          <c:max val="2034"/>
          <c:min val="2024"/>
        </c:scaling>
        <c:delete val="0"/>
        <c:axPos val="b"/>
        <c:numFmt formatCode="General" sourceLinked="1"/>
        <c:majorTickMark val="out"/>
        <c:minorTickMark val="none"/>
        <c:tickLblPos val="nextTo"/>
        <c:spPr>
          <a:noFill/>
          <a:ln w="9525" cap="flat">
            <a:solidFill>
              <a:srgbClr val="BFBFBF">
                <a:alpha val="100000"/>
              </a:srgbClr>
            </a:solidFill>
            <a:round/>
          </a:ln>
        </c:spPr>
        <c:txPr>
          <a:bodyPr/>
          <a:lstStyle/>
          <a:p>
            <a:pPr>
              <a:defRPr sz="900" b="0" i="0" u="none" baseline="0">
                <a:solidFill>
                  <a:srgbClr val="000000"/>
                </a:solidFill>
                <a:latin typeface="Corbel"/>
                <a:ea typeface="Corbel"/>
              </a:defRPr>
            </a:pPr>
            <a:endParaRPr lang="ko-KR"/>
          </a:p>
        </c:txPr>
        <c:crossAx val="2222"/>
        <c:crosses val="autoZero"/>
        <c:crossBetween val="midCat"/>
        <c:minorUnit val="1"/>
      </c:valAx>
      <c:valAx>
        <c:axId val="2222"/>
        <c:scaling>
          <c:orientation val="minMax"/>
          <c:min val="0"/>
        </c:scaling>
        <c:delete val="0"/>
        <c:axPos val="l"/>
        <c:majorGridlines>
          <c:spPr>
            <a:ln w="9525" cap="flat">
              <a:solidFill>
                <a:srgbClr val="D9D9D9">
                  <a:alpha val="100000"/>
                </a:srgbClr>
              </a:solidFill>
              <a:round/>
            </a:ln>
          </c:spPr>
        </c:majorGridlines>
        <c:numFmt formatCode="0" sourceLinked="0"/>
        <c:majorTickMark val="none"/>
        <c:minorTickMark val="none"/>
        <c:tickLblPos val="nextTo"/>
        <c:spPr>
          <a:noFill/>
          <a:ln w="9525" cap="flat">
            <a:solidFill>
              <a:srgbClr val="BFBFBF">
                <a:alpha val="100000"/>
              </a:srgbClr>
            </a:solidFill>
            <a:round/>
          </a:ln>
        </c:spPr>
        <c:txPr>
          <a:bodyPr/>
          <a:lstStyle/>
          <a:p>
            <a:pPr>
              <a:defRPr sz="900" b="0" i="0" u="none" baseline="0">
                <a:solidFill>
                  <a:srgbClr val="595959"/>
                </a:solidFill>
                <a:latin typeface="Corbel"/>
                <a:ea typeface="Corbel"/>
              </a:defRPr>
            </a:pPr>
            <a:endParaRPr lang="ko-KR"/>
          </a:p>
        </c:txPr>
        <c:crossAx val="1111"/>
        <c:crosses val="autoZero"/>
        <c:crossBetween val="midCat"/>
      </c:valAx>
      <c:spPr>
        <a:noFill/>
        <a:ln>
          <a:noFill/>
          <a:round/>
        </a:ln>
      </c:spPr>
    </c:plotArea>
    <c:plotVisOnly val="1"/>
    <c:dispBlanksAs val="gap"/>
    <c:showDLblsOverMax val="0"/>
  </c:chart>
  <c:spPr>
    <a:noFill/>
    <a:ln>
      <a:noFill/>
      <a:round/>
    </a:ln>
  </c:spPr>
  <c:txPr>
    <a:bodyPr/>
    <a:lstStyle/>
    <a:p>
      <a:pPr>
        <a:defRPr sz="900" b="0" i="0" u="none" baseline="0">
          <a:solidFill>
            <a:srgbClr val="595959"/>
          </a:solidFill>
          <a:latin typeface="Corbel"/>
          <a:ea typeface="Corbel"/>
        </a:defRPr>
      </a:pPr>
      <a:endParaRPr lang="ko-KR"/>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66</ap:Pages>
  <ap:Words>27760</ap:Words>
  <ap:Characters>152683</ap:Characters>
  <ap:DocSecurity>0</ap:DocSecurity>
  <ap:Lines>1272</ap:Lines>
  <ap:Paragraphs>360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180083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2025-11-12T08:07:00.0000000Z</lastPrinted>
  <dcterms:created xsi:type="dcterms:W3CDTF">2025-11-12T08:28:00.0000000Z</dcterms:created>
  <dcterms:modified xsi:type="dcterms:W3CDTF">2025-11-12T08:28:00.0000000Z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6f438ea6-862f-48fb-a07b-db1d160ea128</vt:lpwstr>
  </property>
  <property fmtid="{D5CDD505-2E9C-101B-9397-08002B2CF9AE}" pid="4" name="cs_objectid">
    <vt:lpwstr>55111322</vt:lpwstr>
  </property>
</Properties>
</file>