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055E" w:rsidR="000478A7" w:rsidP="00180EEB" w:rsidRDefault="003E7003" w14:paraId="6A1C9131" w14:textId="77777777">
      <w:pPr>
        <w:suppressAutoHyphens/>
      </w:pPr>
      <w:r w:rsidRPr="005F055E">
        <w:t>Vraag 1</w:t>
      </w:r>
      <w:r w:rsidRPr="005F055E">
        <w:tab/>
      </w:r>
    </w:p>
    <w:p w:rsidRPr="005F055E" w:rsidR="000478A7" w:rsidP="00180EEB" w:rsidRDefault="003E7003" w14:paraId="4A8C2849" w14:textId="4B43262E">
      <w:pPr>
        <w:suppressAutoHyphens/>
      </w:pPr>
      <w:r w:rsidRPr="005F055E">
        <w:t>Wat zijn de parameters van de zorgtoeslag in 2026 en in 2030? Wilt u hierbij de hoogte van alle parameters noemen? Wilt u in ieder geval ook noemen wat de hoogte is van de standaardpremie, van alle parameters die worden gebruikt voor de berekening van de normpremie en het maximum inkomen en vermogen?</w:t>
      </w:r>
    </w:p>
    <w:p w:rsidRPr="005F055E" w:rsidR="000478A7" w:rsidP="00180EEB" w:rsidRDefault="003E7003" w14:paraId="6F9702D8" w14:textId="7629A04E">
      <w:pPr>
        <w:suppressAutoHyphens/>
      </w:pPr>
      <w:r w:rsidRPr="005F055E">
        <w:t>Antwoord</w:t>
      </w:r>
    </w:p>
    <w:p w:rsidRPr="005F055E" w:rsidR="00F74915" w:rsidP="00180EEB" w:rsidRDefault="00F74915" w14:paraId="17DB5071" w14:textId="1576ED18">
      <w:pPr>
        <w:suppressAutoHyphens/>
      </w:pPr>
      <w:r w:rsidRPr="005F055E">
        <w:t xml:space="preserve">Hieronder een tabel met de geraamde parameters zorgtoeslag voor 2026 en 2030. Vanaf 2027 wordt de vermogensgrens met € 27500 verlaagd in verband met dekking voor de beoogde aanpassing van het partnerbegrip in de toeslagen (afschaffing samengesteld gezin criterium), waardoor de vermogensgrenzen (na indexaties) in 2030 lager liggen dan in 2026. </w:t>
      </w:r>
    </w:p>
    <w:tbl>
      <w:tblPr>
        <w:tblStyle w:val="Tabelraster"/>
        <w:tblW w:w="0" w:type="auto"/>
        <w:tblLook w:val="04A0" w:firstRow="1" w:lastRow="0" w:firstColumn="1" w:lastColumn="0" w:noHBand="0" w:noVBand="1"/>
      </w:tblPr>
      <w:tblGrid>
        <w:gridCol w:w="3539"/>
        <w:gridCol w:w="1559"/>
        <w:gridCol w:w="1276"/>
      </w:tblGrid>
      <w:tr w:rsidRPr="00056279" w:rsidR="00F74915" w:rsidTr="00056279" w14:paraId="5257D4B7" w14:textId="77777777">
        <w:tc>
          <w:tcPr>
            <w:tcW w:w="3539" w:type="dxa"/>
          </w:tcPr>
          <w:p w:rsidRPr="00056279" w:rsidR="00F74915" w:rsidP="00180EEB" w:rsidRDefault="00F74915" w14:paraId="53A9BA18" w14:textId="77777777">
            <w:pPr>
              <w:suppressAutoHyphens/>
              <w:rPr>
                <w:rFonts w:ascii="Verdana" w:hAnsi="Verdana"/>
                <w:sz w:val="20"/>
                <w:szCs w:val="20"/>
              </w:rPr>
            </w:pPr>
          </w:p>
        </w:tc>
        <w:tc>
          <w:tcPr>
            <w:tcW w:w="1559" w:type="dxa"/>
          </w:tcPr>
          <w:p w:rsidRPr="00056279" w:rsidR="00F74915" w:rsidP="00180EEB" w:rsidRDefault="00F74915" w14:paraId="315509A7" w14:textId="77777777">
            <w:pPr>
              <w:suppressAutoHyphens/>
              <w:rPr>
                <w:rFonts w:ascii="Verdana" w:hAnsi="Verdana"/>
                <w:b/>
                <w:bCs/>
                <w:sz w:val="20"/>
                <w:szCs w:val="20"/>
              </w:rPr>
            </w:pPr>
            <w:r w:rsidRPr="00056279">
              <w:rPr>
                <w:rFonts w:ascii="Verdana" w:hAnsi="Verdana"/>
                <w:b/>
                <w:bCs/>
                <w:sz w:val="20"/>
                <w:szCs w:val="20"/>
              </w:rPr>
              <w:t>2026</w:t>
            </w:r>
          </w:p>
        </w:tc>
        <w:tc>
          <w:tcPr>
            <w:tcW w:w="1276" w:type="dxa"/>
          </w:tcPr>
          <w:p w:rsidRPr="00056279" w:rsidR="00F74915" w:rsidP="00180EEB" w:rsidRDefault="00F74915" w14:paraId="26602AD4" w14:textId="77777777">
            <w:pPr>
              <w:suppressAutoHyphens/>
              <w:rPr>
                <w:rFonts w:ascii="Verdana" w:hAnsi="Verdana"/>
                <w:b/>
                <w:bCs/>
                <w:sz w:val="20"/>
                <w:szCs w:val="20"/>
              </w:rPr>
            </w:pPr>
            <w:r w:rsidRPr="00056279">
              <w:rPr>
                <w:rFonts w:ascii="Verdana" w:hAnsi="Verdana"/>
                <w:b/>
                <w:bCs/>
                <w:sz w:val="20"/>
                <w:szCs w:val="20"/>
              </w:rPr>
              <w:t>2030</w:t>
            </w:r>
          </w:p>
        </w:tc>
      </w:tr>
      <w:tr w:rsidRPr="00056279" w:rsidR="00F74915" w:rsidTr="00056279" w14:paraId="14A2B4B7" w14:textId="77777777">
        <w:tc>
          <w:tcPr>
            <w:tcW w:w="3539" w:type="dxa"/>
          </w:tcPr>
          <w:p w:rsidRPr="00056279" w:rsidR="00F74915" w:rsidP="00180EEB" w:rsidRDefault="00F74915" w14:paraId="0E88582F" w14:textId="77777777">
            <w:pPr>
              <w:suppressAutoHyphens/>
              <w:rPr>
                <w:rFonts w:ascii="Verdana" w:hAnsi="Verdana"/>
                <w:sz w:val="20"/>
                <w:szCs w:val="20"/>
              </w:rPr>
            </w:pPr>
            <w:r w:rsidRPr="00056279">
              <w:rPr>
                <w:rFonts w:ascii="Verdana" w:hAnsi="Verdana"/>
                <w:sz w:val="20"/>
                <w:szCs w:val="20"/>
              </w:rPr>
              <w:t>Standaardpremie</w:t>
            </w:r>
          </w:p>
        </w:tc>
        <w:tc>
          <w:tcPr>
            <w:tcW w:w="1559" w:type="dxa"/>
          </w:tcPr>
          <w:p w:rsidRPr="00056279" w:rsidR="00F74915" w:rsidP="00180EEB" w:rsidRDefault="00F74915" w14:paraId="1FABC58A" w14:textId="77777777">
            <w:pPr>
              <w:suppressAutoHyphens/>
              <w:rPr>
                <w:rFonts w:ascii="Verdana" w:hAnsi="Verdana"/>
                <w:sz w:val="20"/>
                <w:szCs w:val="20"/>
              </w:rPr>
            </w:pPr>
            <w:r w:rsidRPr="00056279">
              <w:rPr>
                <w:rFonts w:ascii="Verdana" w:hAnsi="Verdana" w:cstheme="minorHAnsi"/>
                <w:sz w:val="20"/>
                <w:szCs w:val="20"/>
              </w:rPr>
              <w:t>€</w:t>
            </w:r>
            <w:r w:rsidRPr="00056279">
              <w:rPr>
                <w:rFonts w:ascii="Verdana" w:hAnsi="Verdana"/>
                <w:sz w:val="20"/>
                <w:szCs w:val="20"/>
              </w:rPr>
              <w:t xml:space="preserve"> 2.143</w:t>
            </w:r>
          </w:p>
        </w:tc>
        <w:tc>
          <w:tcPr>
            <w:tcW w:w="1276" w:type="dxa"/>
          </w:tcPr>
          <w:p w:rsidRPr="00056279" w:rsidR="00F74915" w:rsidP="00180EEB" w:rsidRDefault="00F74915" w14:paraId="1BC5F708" w14:textId="77777777">
            <w:pPr>
              <w:suppressAutoHyphens/>
              <w:rPr>
                <w:rFonts w:ascii="Verdana" w:hAnsi="Verdana"/>
                <w:sz w:val="20"/>
                <w:szCs w:val="20"/>
              </w:rPr>
            </w:pPr>
            <w:r w:rsidRPr="00056279">
              <w:rPr>
                <w:rFonts w:ascii="Verdana" w:hAnsi="Verdana" w:cstheme="minorHAnsi"/>
                <w:sz w:val="20"/>
                <w:szCs w:val="20"/>
              </w:rPr>
              <w:t>€</w:t>
            </w:r>
            <w:r w:rsidRPr="00056279">
              <w:rPr>
                <w:rFonts w:ascii="Verdana" w:hAnsi="Verdana"/>
                <w:sz w:val="20"/>
                <w:szCs w:val="20"/>
              </w:rPr>
              <w:t xml:space="preserve"> 2.576</w:t>
            </w:r>
          </w:p>
        </w:tc>
      </w:tr>
      <w:tr w:rsidRPr="00056279" w:rsidR="00F74915" w:rsidTr="00056279" w14:paraId="23618AE9" w14:textId="77777777">
        <w:tc>
          <w:tcPr>
            <w:tcW w:w="3539" w:type="dxa"/>
          </w:tcPr>
          <w:p w:rsidRPr="00056279" w:rsidR="00F74915" w:rsidP="00180EEB" w:rsidRDefault="00F74915" w14:paraId="40FB9CE8" w14:textId="77777777">
            <w:pPr>
              <w:suppressAutoHyphens/>
              <w:rPr>
                <w:rFonts w:ascii="Verdana" w:hAnsi="Verdana"/>
                <w:sz w:val="20"/>
                <w:szCs w:val="20"/>
              </w:rPr>
            </w:pPr>
            <w:r w:rsidRPr="00056279">
              <w:rPr>
                <w:rFonts w:ascii="Verdana" w:hAnsi="Verdana"/>
                <w:sz w:val="20"/>
                <w:szCs w:val="20"/>
              </w:rPr>
              <w:t>Drempelinkomen (=WML)</w:t>
            </w:r>
          </w:p>
        </w:tc>
        <w:tc>
          <w:tcPr>
            <w:tcW w:w="1559" w:type="dxa"/>
          </w:tcPr>
          <w:p w:rsidRPr="00056279" w:rsidR="00F74915" w:rsidP="00180EEB" w:rsidRDefault="00F74915" w14:paraId="0FBF549D" w14:textId="77777777">
            <w:pPr>
              <w:suppressAutoHyphens/>
              <w:rPr>
                <w:rFonts w:ascii="Verdana" w:hAnsi="Verdana"/>
                <w:sz w:val="20"/>
                <w:szCs w:val="20"/>
              </w:rPr>
            </w:pPr>
            <w:r w:rsidRPr="00056279">
              <w:rPr>
                <w:rFonts w:ascii="Verdana" w:hAnsi="Verdana" w:cstheme="minorHAnsi"/>
                <w:sz w:val="20"/>
                <w:szCs w:val="20"/>
              </w:rPr>
              <w:t>€</w:t>
            </w:r>
            <w:r w:rsidRPr="00056279">
              <w:rPr>
                <w:rFonts w:ascii="Verdana" w:hAnsi="Verdana"/>
                <w:sz w:val="20"/>
                <w:szCs w:val="20"/>
              </w:rPr>
              <w:t xml:space="preserve"> 29.736</w:t>
            </w:r>
          </w:p>
        </w:tc>
        <w:tc>
          <w:tcPr>
            <w:tcW w:w="1276" w:type="dxa"/>
          </w:tcPr>
          <w:p w:rsidRPr="00056279" w:rsidR="00F74915" w:rsidP="00180EEB" w:rsidRDefault="00F74915" w14:paraId="3A1DC6D4" w14:textId="77777777">
            <w:pPr>
              <w:suppressAutoHyphens/>
              <w:rPr>
                <w:rFonts w:ascii="Verdana" w:hAnsi="Verdana"/>
                <w:sz w:val="20"/>
                <w:szCs w:val="20"/>
              </w:rPr>
            </w:pPr>
            <w:r w:rsidRPr="00056279">
              <w:rPr>
                <w:rFonts w:ascii="Verdana" w:hAnsi="Verdana" w:cstheme="minorHAnsi"/>
                <w:sz w:val="20"/>
                <w:szCs w:val="20"/>
              </w:rPr>
              <w:t>€</w:t>
            </w:r>
            <w:r w:rsidRPr="00056279">
              <w:rPr>
                <w:rFonts w:ascii="Verdana" w:hAnsi="Verdana"/>
                <w:sz w:val="20"/>
                <w:szCs w:val="20"/>
              </w:rPr>
              <w:t xml:space="preserve"> 34.152</w:t>
            </w:r>
          </w:p>
        </w:tc>
      </w:tr>
      <w:tr w:rsidRPr="00056279" w:rsidR="00F74915" w:rsidTr="00056279" w14:paraId="27316AC5" w14:textId="77777777">
        <w:tc>
          <w:tcPr>
            <w:tcW w:w="3539" w:type="dxa"/>
          </w:tcPr>
          <w:p w:rsidRPr="00056279" w:rsidR="00F74915" w:rsidP="00180EEB" w:rsidRDefault="00F74915" w14:paraId="701AC297" w14:textId="77777777">
            <w:pPr>
              <w:suppressAutoHyphens/>
              <w:rPr>
                <w:rFonts w:ascii="Verdana" w:hAnsi="Verdana"/>
                <w:sz w:val="20"/>
                <w:szCs w:val="20"/>
              </w:rPr>
            </w:pPr>
            <w:r w:rsidRPr="00056279">
              <w:rPr>
                <w:rFonts w:ascii="Verdana" w:hAnsi="Verdana"/>
                <w:sz w:val="20"/>
                <w:szCs w:val="20"/>
              </w:rPr>
              <w:t>Normpercentage 1-persoon</w:t>
            </w:r>
          </w:p>
        </w:tc>
        <w:tc>
          <w:tcPr>
            <w:tcW w:w="1559" w:type="dxa"/>
          </w:tcPr>
          <w:p w:rsidRPr="00056279" w:rsidR="00F74915" w:rsidP="00180EEB" w:rsidRDefault="00F74915" w14:paraId="4DA812AA" w14:textId="77777777">
            <w:pPr>
              <w:suppressAutoHyphens/>
              <w:rPr>
                <w:rFonts w:ascii="Verdana" w:hAnsi="Verdana"/>
                <w:sz w:val="20"/>
                <w:szCs w:val="20"/>
              </w:rPr>
            </w:pPr>
            <w:r w:rsidRPr="00056279">
              <w:rPr>
                <w:rFonts w:ascii="Verdana" w:hAnsi="Verdana"/>
                <w:sz w:val="20"/>
                <w:szCs w:val="20"/>
              </w:rPr>
              <w:t>1,912%</w:t>
            </w:r>
          </w:p>
        </w:tc>
        <w:tc>
          <w:tcPr>
            <w:tcW w:w="1276" w:type="dxa"/>
          </w:tcPr>
          <w:p w:rsidRPr="00056279" w:rsidR="00F74915" w:rsidP="00180EEB" w:rsidRDefault="00F74915" w14:paraId="43E0EEAE" w14:textId="77777777">
            <w:pPr>
              <w:suppressAutoHyphens/>
              <w:rPr>
                <w:rFonts w:ascii="Verdana" w:hAnsi="Verdana"/>
                <w:sz w:val="20"/>
                <w:szCs w:val="20"/>
              </w:rPr>
            </w:pPr>
            <w:r w:rsidRPr="00056279">
              <w:rPr>
                <w:rFonts w:ascii="Verdana" w:hAnsi="Verdana"/>
                <w:sz w:val="20"/>
                <w:szCs w:val="20"/>
              </w:rPr>
              <w:t>1,975%</w:t>
            </w:r>
          </w:p>
        </w:tc>
      </w:tr>
      <w:tr w:rsidRPr="00056279" w:rsidR="00F74915" w:rsidTr="00056279" w14:paraId="49570E51" w14:textId="77777777">
        <w:tc>
          <w:tcPr>
            <w:tcW w:w="3539" w:type="dxa"/>
          </w:tcPr>
          <w:p w:rsidRPr="00056279" w:rsidR="00F74915" w:rsidP="00180EEB" w:rsidRDefault="00F74915" w14:paraId="2DD9CE13" w14:textId="77777777">
            <w:pPr>
              <w:suppressAutoHyphens/>
              <w:rPr>
                <w:rFonts w:ascii="Verdana" w:hAnsi="Verdana"/>
                <w:sz w:val="20"/>
                <w:szCs w:val="20"/>
              </w:rPr>
            </w:pPr>
            <w:r w:rsidRPr="00056279">
              <w:rPr>
                <w:rFonts w:ascii="Verdana" w:hAnsi="Verdana"/>
                <w:sz w:val="20"/>
                <w:szCs w:val="20"/>
              </w:rPr>
              <w:t>Normpercentage 2-persoon</w:t>
            </w:r>
          </w:p>
        </w:tc>
        <w:tc>
          <w:tcPr>
            <w:tcW w:w="1559" w:type="dxa"/>
          </w:tcPr>
          <w:p w:rsidRPr="00056279" w:rsidR="00F74915" w:rsidP="00180EEB" w:rsidRDefault="00F74915" w14:paraId="17C385D2" w14:textId="77777777">
            <w:pPr>
              <w:suppressAutoHyphens/>
              <w:rPr>
                <w:rFonts w:ascii="Verdana" w:hAnsi="Verdana"/>
                <w:sz w:val="20"/>
                <w:szCs w:val="20"/>
              </w:rPr>
            </w:pPr>
            <w:r w:rsidRPr="00056279">
              <w:rPr>
                <w:rFonts w:ascii="Verdana" w:hAnsi="Verdana"/>
                <w:sz w:val="20"/>
                <w:szCs w:val="20"/>
              </w:rPr>
              <w:t>4,289%</w:t>
            </w:r>
          </w:p>
        </w:tc>
        <w:tc>
          <w:tcPr>
            <w:tcW w:w="1276" w:type="dxa"/>
          </w:tcPr>
          <w:p w:rsidRPr="00056279" w:rsidR="00F74915" w:rsidP="00180EEB" w:rsidRDefault="00F74915" w14:paraId="42F197BD" w14:textId="77777777">
            <w:pPr>
              <w:suppressAutoHyphens/>
              <w:rPr>
                <w:rFonts w:ascii="Verdana" w:hAnsi="Verdana"/>
                <w:sz w:val="20"/>
                <w:szCs w:val="20"/>
              </w:rPr>
            </w:pPr>
            <w:r w:rsidRPr="00056279">
              <w:rPr>
                <w:rFonts w:ascii="Verdana" w:hAnsi="Verdana"/>
                <w:sz w:val="20"/>
                <w:szCs w:val="20"/>
              </w:rPr>
              <w:t>4,352%</w:t>
            </w:r>
          </w:p>
        </w:tc>
      </w:tr>
      <w:tr w:rsidRPr="00056279" w:rsidR="00F74915" w:rsidTr="00056279" w14:paraId="0F927CDB" w14:textId="77777777">
        <w:tc>
          <w:tcPr>
            <w:tcW w:w="3539" w:type="dxa"/>
          </w:tcPr>
          <w:p w:rsidRPr="00056279" w:rsidR="00F74915" w:rsidP="00180EEB" w:rsidRDefault="00F74915" w14:paraId="2BCD1F68" w14:textId="77777777">
            <w:pPr>
              <w:suppressAutoHyphens/>
              <w:rPr>
                <w:rFonts w:ascii="Verdana" w:hAnsi="Verdana"/>
                <w:sz w:val="20"/>
                <w:szCs w:val="20"/>
              </w:rPr>
            </w:pPr>
            <w:r w:rsidRPr="00056279">
              <w:rPr>
                <w:rFonts w:ascii="Verdana" w:hAnsi="Verdana"/>
                <w:sz w:val="20"/>
                <w:szCs w:val="20"/>
              </w:rPr>
              <w:t>Afbouwpercentage</w:t>
            </w:r>
          </w:p>
        </w:tc>
        <w:tc>
          <w:tcPr>
            <w:tcW w:w="1559" w:type="dxa"/>
          </w:tcPr>
          <w:p w:rsidRPr="00056279" w:rsidR="00F74915" w:rsidP="00180EEB" w:rsidRDefault="00F74915" w14:paraId="773A946C" w14:textId="77777777">
            <w:pPr>
              <w:suppressAutoHyphens/>
              <w:rPr>
                <w:rFonts w:ascii="Verdana" w:hAnsi="Verdana"/>
                <w:sz w:val="20"/>
                <w:szCs w:val="20"/>
              </w:rPr>
            </w:pPr>
            <w:r w:rsidRPr="00056279">
              <w:rPr>
                <w:rFonts w:ascii="Verdana" w:hAnsi="Verdana"/>
                <w:sz w:val="20"/>
                <w:szCs w:val="20"/>
              </w:rPr>
              <w:t>13,73%</w:t>
            </w:r>
          </w:p>
        </w:tc>
        <w:tc>
          <w:tcPr>
            <w:tcW w:w="1276" w:type="dxa"/>
          </w:tcPr>
          <w:p w:rsidRPr="00056279" w:rsidR="00F74915" w:rsidP="00180EEB" w:rsidRDefault="00F74915" w14:paraId="1D5CE38E" w14:textId="77777777">
            <w:pPr>
              <w:suppressAutoHyphens/>
              <w:rPr>
                <w:rFonts w:ascii="Verdana" w:hAnsi="Verdana"/>
                <w:sz w:val="20"/>
                <w:szCs w:val="20"/>
              </w:rPr>
            </w:pPr>
            <w:r w:rsidRPr="00056279">
              <w:rPr>
                <w:rFonts w:ascii="Verdana" w:hAnsi="Verdana"/>
                <w:sz w:val="20"/>
                <w:szCs w:val="20"/>
              </w:rPr>
              <w:t>13,85%</w:t>
            </w:r>
          </w:p>
        </w:tc>
      </w:tr>
      <w:tr w:rsidRPr="00056279" w:rsidR="00F74915" w:rsidTr="00056279" w14:paraId="474119E6" w14:textId="77777777">
        <w:tc>
          <w:tcPr>
            <w:tcW w:w="3539" w:type="dxa"/>
          </w:tcPr>
          <w:p w:rsidRPr="00056279" w:rsidR="00F74915" w:rsidP="00180EEB" w:rsidRDefault="00F74915" w14:paraId="01CC8EDE" w14:textId="77777777">
            <w:pPr>
              <w:suppressAutoHyphens/>
              <w:rPr>
                <w:rFonts w:ascii="Verdana" w:hAnsi="Verdana"/>
                <w:sz w:val="20"/>
                <w:szCs w:val="20"/>
              </w:rPr>
            </w:pPr>
            <w:r w:rsidRPr="00056279">
              <w:rPr>
                <w:rFonts w:ascii="Verdana" w:hAnsi="Verdana"/>
                <w:sz w:val="20"/>
                <w:szCs w:val="20"/>
              </w:rPr>
              <w:t>Maximum inkomen 1-persoon</w:t>
            </w:r>
          </w:p>
        </w:tc>
        <w:tc>
          <w:tcPr>
            <w:tcW w:w="1559" w:type="dxa"/>
          </w:tcPr>
          <w:p w:rsidRPr="00056279" w:rsidR="00F74915" w:rsidP="00180EEB" w:rsidRDefault="00F74915" w14:paraId="1F917BB2" w14:textId="77777777">
            <w:pPr>
              <w:suppressAutoHyphens/>
              <w:rPr>
                <w:rFonts w:ascii="Verdana" w:hAnsi="Verdana"/>
                <w:sz w:val="20"/>
                <w:szCs w:val="20"/>
              </w:rPr>
            </w:pPr>
            <w:r w:rsidRPr="00056279">
              <w:rPr>
                <w:rFonts w:ascii="Verdana" w:hAnsi="Verdana" w:cstheme="minorHAnsi"/>
                <w:sz w:val="20"/>
                <w:szCs w:val="20"/>
              </w:rPr>
              <w:t>€</w:t>
            </w:r>
            <w:r w:rsidRPr="00056279">
              <w:rPr>
                <w:rFonts w:ascii="Verdana" w:hAnsi="Verdana"/>
                <w:sz w:val="20"/>
                <w:szCs w:val="20"/>
              </w:rPr>
              <w:t xml:space="preserve"> 41.032</w:t>
            </w:r>
          </w:p>
        </w:tc>
        <w:tc>
          <w:tcPr>
            <w:tcW w:w="1276" w:type="dxa"/>
          </w:tcPr>
          <w:p w:rsidRPr="00056279" w:rsidR="00F74915" w:rsidP="00180EEB" w:rsidRDefault="00F74915" w14:paraId="2B43131D" w14:textId="77777777">
            <w:pPr>
              <w:suppressAutoHyphens/>
              <w:rPr>
                <w:rFonts w:ascii="Verdana" w:hAnsi="Verdana"/>
                <w:sz w:val="20"/>
                <w:szCs w:val="20"/>
              </w:rPr>
            </w:pPr>
            <w:r w:rsidRPr="00056279">
              <w:rPr>
                <w:rFonts w:ascii="Verdana" w:hAnsi="Verdana" w:cstheme="minorHAnsi"/>
                <w:sz w:val="20"/>
                <w:szCs w:val="20"/>
              </w:rPr>
              <w:t>€</w:t>
            </w:r>
            <w:r w:rsidRPr="00056279">
              <w:rPr>
                <w:rFonts w:ascii="Verdana" w:hAnsi="Verdana"/>
                <w:sz w:val="20"/>
                <w:szCs w:val="20"/>
              </w:rPr>
              <w:t xml:space="preserve"> 47.709</w:t>
            </w:r>
          </w:p>
        </w:tc>
      </w:tr>
      <w:tr w:rsidRPr="00056279" w:rsidR="00F74915" w:rsidTr="00056279" w14:paraId="081589A9" w14:textId="77777777">
        <w:tc>
          <w:tcPr>
            <w:tcW w:w="3539" w:type="dxa"/>
          </w:tcPr>
          <w:p w:rsidRPr="00056279" w:rsidR="00F74915" w:rsidP="00180EEB" w:rsidRDefault="00F74915" w14:paraId="278B68A5" w14:textId="77777777">
            <w:pPr>
              <w:suppressAutoHyphens/>
              <w:rPr>
                <w:rFonts w:ascii="Verdana" w:hAnsi="Verdana"/>
                <w:sz w:val="20"/>
                <w:szCs w:val="20"/>
              </w:rPr>
            </w:pPr>
            <w:r w:rsidRPr="00056279">
              <w:rPr>
                <w:rFonts w:ascii="Verdana" w:hAnsi="Verdana"/>
                <w:sz w:val="20"/>
                <w:szCs w:val="20"/>
              </w:rPr>
              <w:t>Maximum inkomen 2-persoon</w:t>
            </w:r>
          </w:p>
        </w:tc>
        <w:tc>
          <w:tcPr>
            <w:tcW w:w="1559" w:type="dxa"/>
          </w:tcPr>
          <w:p w:rsidRPr="00056279" w:rsidR="00F74915" w:rsidP="00180EEB" w:rsidRDefault="00F74915" w14:paraId="2A3A3E7C" w14:textId="77777777">
            <w:pPr>
              <w:suppressAutoHyphens/>
              <w:rPr>
                <w:rFonts w:ascii="Verdana" w:hAnsi="Verdana" w:cstheme="minorHAnsi"/>
                <w:sz w:val="20"/>
                <w:szCs w:val="20"/>
              </w:rPr>
            </w:pPr>
            <w:r w:rsidRPr="00056279">
              <w:rPr>
                <w:rFonts w:ascii="Verdana" w:hAnsi="Verdana" w:cstheme="minorHAnsi"/>
                <w:sz w:val="20"/>
                <w:szCs w:val="20"/>
              </w:rPr>
              <w:t>€ 51.492</w:t>
            </w:r>
          </w:p>
        </w:tc>
        <w:tc>
          <w:tcPr>
            <w:tcW w:w="1276" w:type="dxa"/>
          </w:tcPr>
          <w:p w:rsidRPr="00056279" w:rsidR="00F74915" w:rsidP="00180EEB" w:rsidRDefault="00F74915" w14:paraId="177BEBE6" w14:textId="77777777">
            <w:pPr>
              <w:suppressAutoHyphens/>
              <w:rPr>
                <w:rFonts w:ascii="Verdana" w:hAnsi="Verdana" w:cstheme="minorHAnsi"/>
                <w:sz w:val="20"/>
                <w:szCs w:val="20"/>
              </w:rPr>
            </w:pPr>
            <w:r w:rsidRPr="00056279">
              <w:rPr>
                <w:rFonts w:ascii="Verdana" w:hAnsi="Verdana" w:cstheme="minorHAnsi"/>
                <w:sz w:val="20"/>
                <w:szCs w:val="20"/>
              </w:rPr>
              <w:t>€ 60.446</w:t>
            </w:r>
          </w:p>
        </w:tc>
      </w:tr>
      <w:tr w:rsidRPr="00056279" w:rsidR="00F74915" w:rsidTr="00056279" w14:paraId="484F0262" w14:textId="77777777">
        <w:tc>
          <w:tcPr>
            <w:tcW w:w="3539" w:type="dxa"/>
          </w:tcPr>
          <w:p w:rsidRPr="00056279" w:rsidR="00F74915" w:rsidP="00180EEB" w:rsidRDefault="00F74915" w14:paraId="3D4EC73A" w14:textId="77777777">
            <w:pPr>
              <w:suppressAutoHyphens/>
              <w:rPr>
                <w:rFonts w:ascii="Verdana" w:hAnsi="Verdana"/>
                <w:sz w:val="20"/>
                <w:szCs w:val="20"/>
              </w:rPr>
            </w:pPr>
            <w:r w:rsidRPr="00056279">
              <w:rPr>
                <w:rFonts w:ascii="Verdana" w:hAnsi="Verdana"/>
                <w:sz w:val="20"/>
                <w:szCs w:val="20"/>
              </w:rPr>
              <w:t>Vermogensgrens 1-persoon</w:t>
            </w:r>
          </w:p>
        </w:tc>
        <w:tc>
          <w:tcPr>
            <w:tcW w:w="1559" w:type="dxa"/>
          </w:tcPr>
          <w:p w:rsidRPr="00056279" w:rsidR="00F74915" w:rsidP="00180EEB" w:rsidRDefault="00F74915" w14:paraId="123DC3B4" w14:textId="77777777">
            <w:pPr>
              <w:suppressAutoHyphens/>
              <w:rPr>
                <w:rFonts w:ascii="Verdana" w:hAnsi="Verdana" w:cstheme="minorHAnsi"/>
                <w:sz w:val="20"/>
                <w:szCs w:val="20"/>
              </w:rPr>
            </w:pPr>
            <w:r w:rsidRPr="00056279">
              <w:rPr>
                <w:rFonts w:ascii="Verdana" w:hAnsi="Verdana" w:cstheme="minorHAnsi"/>
                <w:sz w:val="20"/>
                <w:szCs w:val="20"/>
              </w:rPr>
              <w:t>€ 146.011</w:t>
            </w:r>
          </w:p>
        </w:tc>
        <w:tc>
          <w:tcPr>
            <w:tcW w:w="1276" w:type="dxa"/>
          </w:tcPr>
          <w:p w:rsidRPr="00056279" w:rsidR="00F74915" w:rsidP="00180EEB" w:rsidRDefault="00F74915" w14:paraId="66899CBE" w14:textId="77777777">
            <w:pPr>
              <w:suppressAutoHyphens/>
              <w:rPr>
                <w:rFonts w:ascii="Verdana" w:hAnsi="Verdana" w:cstheme="minorHAnsi"/>
                <w:sz w:val="20"/>
                <w:szCs w:val="20"/>
              </w:rPr>
            </w:pPr>
            <w:r w:rsidRPr="00056279">
              <w:rPr>
                <w:rFonts w:ascii="Verdana" w:hAnsi="Verdana" w:cstheme="minorHAnsi"/>
                <w:sz w:val="20"/>
                <w:szCs w:val="20"/>
              </w:rPr>
              <w:t>€ 128.845</w:t>
            </w:r>
          </w:p>
        </w:tc>
      </w:tr>
      <w:tr w:rsidRPr="00056279" w:rsidR="00F74915" w:rsidTr="00056279" w14:paraId="2B04D678" w14:textId="77777777">
        <w:tc>
          <w:tcPr>
            <w:tcW w:w="3539" w:type="dxa"/>
          </w:tcPr>
          <w:p w:rsidRPr="00056279" w:rsidR="00F74915" w:rsidP="00180EEB" w:rsidRDefault="00F74915" w14:paraId="1A1B4FE2" w14:textId="77777777">
            <w:pPr>
              <w:suppressAutoHyphens/>
              <w:rPr>
                <w:rFonts w:ascii="Verdana" w:hAnsi="Verdana"/>
                <w:sz w:val="20"/>
                <w:szCs w:val="20"/>
              </w:rPr>
            </w:pPr>
            <w:r w:rsidRPr="00056279">
              <w:rPr>
                <w:rFonts w:ascii="Verdana" w:hAnsi="Verdana"/>
                <w:sz w:val="20"/>
                <w:szCs w:val="20"/>
              </w:rPr>
              <w:t>Vermogensgrens 2-persoon</w:t>
            </w:r>
          </w:p>
        </w:tc>
        <w:tc>
          <w:tcPr>
            <w:tcW w:w="1559" w:type="dxa"/>
          </w:tcPr>
          <w:p w:rsidRPr="00056279" w:rsidR="00F74915" w:rsidP="00180EEB" w:rsidRDefault="00F74915" w14:paraId="24D44242" w14:textId="77777777">
            <w:pPr>
              <w:suppressAutoHyphens/>
              <w:rPr>
                <w:rFonts w:ascii="Verdana" w:hAnsi="Verdana" w:cstheme="minorHAnsi"/>
                <w:sz w:val="20"/>
                <w:szCs w:val="20"/>
              </w:rPr>
            </w:pPr>
            <w:r w:rsidRPr="00056279">
              <w:rPr>
                <w:rFonts w:ascii="Verdana" w:hAnsi="Verdana" w:cstheme="minorHAnsi"/>
                <w:sz w:val="20"/>
                <w:szCs w:val="20"/>
              </w:rPr>
              <w:t>€ 184.633</w:t>
            </w:r>
          </w:p>
        </w:tc>
        <w:tc>
          <w:tcPr>
            <w:tcW w:w="1276" w:type="dxa"/>
          </w:tcPr>
          <w:p w:rsidRPr="00056279" w:rsidR="00F74915" w:rsidP="00180EEB" w:rsidRDefault="00F74915" w14:paraId="7DFE9771" w14:textId="77777777">
            <w:pPr>
              <w:suppressAutoHyphens/>
              <w:rPr>
                <w:rFonts w:ascii="Verdana" w:hAnsi="Verdana" w:cstheme="minorHAnsi"/>
                <w:sz w:val="20"/>
                <w:szCs w:val="20"/>
              </w:rPr>
            </w:pPr>
            <w:r w:rsidRPr="00056279">
              <w:rPr>
                <w:rFonts w:ascii="Verdana" w:hAnsi="Verdana" w:cstheme="minorHAnsi"/>
                <w:sz w:val="20"/>
                <w:szCs w:val="20"/>
              </w:rPr>
              <w:t>€ 171.143</w:t>
            </w:r>
          </w:p>
        </w:tc>
      </w:tr>
    </w:tbl>
    <w:p w:rsidRPr="005F055E" w:rsidR="009B2DB4" w:rsidP="00180EEB" w:rsidRDefault="009B2DB4" w14:paraId="7B3F5B89" w14:textId="77777777">
      <w:pPr>
        <w:suppressAutoHyphens/>
      </w:pPr>
    </w:p>
    <w:p w:rsidRPr="005F055E" w:rsidR="000478A7" w:rsidP="00180EEB" w:rsidRDefault="003E7003" w14:paraId="0D43A5CE" w14:textId="77777777">
      <w:pPr>
        <w:suppressAutoHyphens/>
      </w:pPr>
      <w:r w:rsidRPr="005F055E">
        <w:t>Vraag 2</w:t>
      </w:r>
      <w:r w:rsidRPr="005F055E">
        <w:tab/>
      </w:r>
    </w:p>
    <w:p w:rsidRPr="005F055E" w:rsidR="000478A7" w:rsidP="00180EEB" w:rsidRDefault="003E7003" w14:paraId="6943F1B0" w14:textId="77777777">
      <w:pPr>
        <w:suppressAutoHyphens/>
      </w:pPr>
      <w:r w:rsidRPr="005F055E">
        <w:t xml:space="preserve">Zijn de geoormerkte middelen voor ‘Standaardisatie gegevensuitwisseling LDN, GF, Medicatieoverdracht, EHDS en </w:t>
      </w:r>
      <w:proofErr w:type="spellStart"/>
      <w:r w:rsidRPr="005F055E">
        <w:t>Nictiz</w:t>
      </w:r>
      <w:proofErr w:type="spellEnd"/>
      <w:r w:rsidRPr="005F055E">
        <w:t>’ die in 2025 zijn toegekend nog steeds beschikbaar?</w:t>
      </w:r>
      <w:r w:rsidRPr="005F055E">
        <w:tab/>
      </w:r>
    </w:p>
    <w:p w:rsidRPr="005F055E" w:rsidR="000478A7" w:rsidP="00180EEB" w:rsidRDefault="003E7003" w14:paraId="6B19BB76" w14:textId="48A785D0">
      <w:pPr>
        <w:suppressAutoHyphens/>
      </w:pPr>
      <w:r w:rsidRPr="005F055E">
        <w:t>Antwoord</w:t>
      </w:r>
    </w:p>
    <w:p w:rsidRPr="005F055E" w:rsidR="003F2B3B" w:rsidP="00180EEB" w:rsidRDefault="003F2B3B" w14:paraId="225F491E" w14:textId="77777777">
      <w:pPr>
        <w:suppressAutoHyphens/>
      </w:pPr>
      <w:r w:rsidRPr="005F055E">
        <w:t xml:space="preserve">De voor 2025 toegekende middelen voor standaardisatie gegevensuitwisseling Landelijke Dekkend Netwerk, Generieke Functies, Medicatieoverdracht, European Health </w:t>
      </w:r>
      <w:proofErr w:type="spellStart"/>
      <w:r w:rsidRPr="005F055E">
        <w:t>Dataspace</w:t>
      </w:r>
      <w:proofErr w:type="spellEnd"/>
      <w:r w:rsidRPr="005F055E">
        <w:t xml:space="preserve"> en </w:t>
      </w:r>
      <w:proofErr w:type="spellStart"/>
      <w:r w:rsidRPr="005F055E">
        <w:t>Nictiz</w:t>
      </w:r>
      <w:proofErr w:type="spellEnd"/>
      <w:r w:rsidRPr="005F055E">
        <w:t xml:space="preserve"> zijn nog steeds beschikbaar. Bij augustusbesluitvorming is bezien of alle in 2025 beschikbare middelen ook in 2025 ingezet zouden worden. Voor de activiteiten die niet in 2025 uitgevoerd gaan worden is een kasschuif ingediend. Hiermee kunnen de beschikbare middelen voor de betreffende onderwerpen ingezet worden.</w:t>
      </w:r>
    </w:p>
    <w:p w:rsidRPr="005F055E" w:rsidR="000478A7" w:rsidP="00180EEB" w:rsidRDefault="000478A7" w14:paraId="1A6718D9" w14:textId="77777777">
      <w:pPr>
        <w:suppressAutoHyphens/>
      </w:pPr>
    </w:p>
    <w:p w:rsidRPr="005F055E" w:rsidR="000478A7" w:rsidP="00180EEB" w:rsidRDefault="003E7003" w14:paraId="26CCE600" w14:textId="77777777">
      <w:pPr>
        <w:suppressAutoHyphens/>
      </w:pPr>
      <w:r w:rsidRPr="005F055E">
        <w:t>Vraag 3</w:t>
      </w:r>
    </w:p>
    <w:p w:rsidRPr="005F055E" w:rsidR="000478A7" w:rsidP="00180EEB" w:rsidRDefault="003E7003" w14:paraId="5625C7A6" w14:textId="77777777">
      <w:pPr>
        <w:suppressAutoHyphens/>
      </w:pPr>
      <w:r w:rsidRPr="005F055E">
        <w:t>Hoe wordt er inmiddels uitvoering gegeven aan de motie-Claassen/Vondeling (Kamerstuk 29689-1283) over Oekraïners die in Nederland werken en loon naar Nederlandse maatstaven ontvangen de basispremie te laten betalen?</w:t>
      </w:r>
      <w:r w:rsidRPr="005F055E">
        <w:tab/>
      </w:r>
    </w:p>
    <w:p w:rsidRPr="005F055E" w:rsidR="003E7003" w:rsidP="00180EEB" w:rsidRDefault="003E7003" w14:paraId="5E0104E2" w14:textId="289ACFE2">
      <w:pPr>
        <w:suppressAutoHyphens/>
      </w:pPr>
      <w:r w:rsidRPr="005F055E">
        <w:t>Antwoord</w:t>
      </w:r>
    </w:p>
    <w:p w:rsidRPr="005F055E" w:rsidR="000478A7" w:rsidP="00180EEB" w:rsidRDefault="000478A7" w14:paraId="7383ECA8" w14:textId="2DEC9330">
      <w:pPr>
        <w:suppressAutoHyphens/>
        <w:rPr>
          <w:szCs w:val="18"/>
          <w:lang w:eastAsia="nl-NL"/>
        </w:rPr>
      </w:pPr>
      <w:r w:rsidRPr="005F055E">
        <w:rPr>
          <w:szCs w:val="18"/>
          <w:lang w:eastAsia="nl-NL"/>
        </w:rPr>
        <w:t>De minister voor Asiel en Migratie heeft uw Kamer op 4 juli 2025 een reactie</w:t>
      </w:r>
      <w:r w:rsidRPr="005F055E">
        <w:rPr>
          <w:szCs w:val="18"/>
          <w:vertAlign w:val="superscript"/>
          <w:lang w:eastAsia="nl-NL"/>
        </w:rPr>
        <w:footnoteReference w:id="1"/>
      </w:r>
      <w:r w:rsidRPr="005F055E">
        <w:rPr>
          <w:szCs w:val="18"/>
          <w:lang w:eastAsia="nl-NL"/>
        </w:rPr>
        <w:t xml:space="preserve"> gestuurd op de motie motie-Claassen/Vondeling. In deze Kamerbrief is toegelicht dat de eigen bijdrage zal verhoogd worden door ontheemden een bijdrage te laten leveren aan de exploitatiekosten van de opvang. Ook zal naar aanleiding van deze motie worden gekeken hoe hierbij de zorgkosten in rekening kunnen worden gebracht. </w:t>
      </w:r>
    </w:p>
    <w:p w:rsidRPr="005F055E" w:rsidR="000478A7" w:rsidP="00180EEB" w:rsidRDefault="003E7003" w14:paraId="4AE33D9D" w14:textId="77777777">
      <w:pPr>
        <w:suppressAutoHyphens/>
      </w:pPr>
      <w:r w:rsidRPr="005F055E">
        <w:t>Vraag 4</w:t>
      </w:r>
      <w:r w:rsidRPr="005F055E">
        <w:tab/>
      </w:r>
    </w:p>
    <w:p w:rsidRPr="005F055E" w:rsidR="000478A7" w:rsidP="00180EEB" w:rsidRDefault="003E7003" w14:paraId="736C2D46" w14:textId="77777777">
      <w:pPr>
        <w:suppressAutoHyphens/>
      </w:pPr>
      <w:r w:rsidRPr="005F055E">
        <w:t>Hoe vindt het besluit om de inflatiecorrectie in 2026 niet volledig door te voeren zijn weerslag in de voorliggende Volksgezondheid, Welzijn en Sport (VWS)-begroting?</w:t>
      </w:r>
      <w:r w:rsidRPr="005F055E">
        <w:tab/>
      </w:r>
    </w:p>
    <w:p w:rsidRPr="005F055E" w:rsidR="003E7003" w:rsidP="00180EEB" w:rsidRDefault="003E7003" w14:paraId="682540B2" w14:textId="0ABF9963">
      <w:pPr>
        <w:suppressAutoHyphens/>
      </w:pPr>
      <w:r w:rsidRPr="005F055E">
        <w:lastRenderedPageBreak/>
        <w:t>Antwoord</w:t>
      </w:r>
    </w:p>
    <w:p w:rsidRPr="005F055E" w:rsidR="000478A7" w:rsidP="00180EEB" w:rsidRDefault="004203EE" w14:paraId="7DF6C6F2" w14:textId="68067B22">
      <w:pPr>
        <w:suppressAutoHyphens/>
      </w:pPr>
      <w:r w:rsidRPr="005F055E">
        <w:rPr>
          <w:szCs w:val="18"/>
          <w:lang w:eastAsia="nl-NL"/>
        </w:rPr>
        <w:t xml:space="preserve">In de eerste suppletoire begroting 2025 van VWS, samenhangende met de Voorjaarsnota 2025, is toegelicht dat een deel van de </w:t>
      </w:r>
      <w:proofErr w:type="spellStart"/>
      <w:r w:rsidRPr="005F055E">
        <w:rPr>
          <w:szCs w:val="18"/>
          <w:lang w:eastAsia="nl-NL"/>
        </w:rPr>
        <w:t>loonbĳstelling</w:t>
      </w:r>
      <w:proofErr w:type="spellEnd"/>
      <w:r w:rsidRPr="005F055E">
        <w:rPr>
          <w:szCs w:val="18"/>
          <w:lang w:eastAsia="nl-NL"/>
        </w:rPr>
        <w:t xml:space="preserve"> wordt ingezet ter dekking van verschillende intensiveringen op de VWS-begroting, waaronder de inzet van </w:t>
      </w:r>
      <w:proofErr w:type="spellStart"/>
      <w:r w:rsidRPr="005F055E">
        <w:rPr>
          <w:szCs w:val="18"/>
          <w:lang w:eastAsia="nl-NL"/>
        </w:rPr>
        <w:t>vrĳwilligers</w:t>
      </w:r>
      <w:proofErr w:type="spellEnd"/>
      <w:r w:rsidRPr="005F055E">
        <w:rPr>
          <w:szCs w:val="18"/>
          <w:lang w:eastAsia="nl-NL"/>
        </w:rPr>
        <w:t xml:space="preserve"> in de palliatieve terminale zorg, de aanpassing van de regeling dienstverlening aan huis en het alternatief invullen van de aanvullende apparaatstaakstelling uit amendement Bontenbal c.s. In de Kamervragen die naar aanleiding van de eerste suppletoire begroting 2025 van VWS zijn gesteld, is toegelicht dat dit een korting op de beleidsartikelen van VWS betreft en instellingen in de </w:t>
      </w:r>
      <w:proofErr w:type="spellStart"/>
      <w:r w:rsidRPr="005F055E">
        <w:rPr>
          <w:szCs w:val="18"/>
          <w:lang w:eastAsia="nl-NL"/>
        </w:rPr>
        <w:t>premiegefinancierde</w:t>
      </w:r>
      <w:proofErr w:type="spellEnd"/>
      <w:r w:rsidRPr="005F055E">
        <w:rPr>
          <w:szCs w:val="18"/>
          <w:lang w:eastAsia="nl-NL"/>
        </w:rPr>
        <w:t xml:space="preserve"> zorguitgaven (zoals ziekenhuizen) niet geraakt worden. Vanaf de beleidsartikelen van VWS worden wel verschillende organisaties door VWS gesubsidieerd, waardoor deze korting wel gesubsidieerde organisaties raakt. Het niet of slechts gedeeltelijk corrigeren voor inflatie leidt tot relatief minder financiële ruimte bij gesubsidieerde instellingen, omdat de betrokken instellingen wel geconfronteerd worden met hogere lonen en prijzen.</w:t>
      </w:r>
    </w:p>
    <w:p w:rsidRPr="005F055E" w:rsidR="007B58FB" w:rsidP="00180EEB" w:rsidRDefault="007B58FB" w14:paraId="2B5AE428" w14:textId="77777777">
      <w:pPr>
        <w:suppressAutoHyphens/>
      </w:pPr>
    </w:p>
    <w:p w:rsidRPr="005F055E" w:rsidR="000478A7" w:rsidP="00180EEB" w:rsidRDefault="003E7003" w14:paraId="356F2384" w14:textId="77777777">
      <w:pPr>
        <w:suppressAutoHyphens/>
      </w:pPr>
      <w:r w:rsidRPr="005F055E">
        <w:t>Vraag 5</w:t>
      </w:r>
    </w:p>
    <w:p w:rsidRPr="005F055E" w:rsidR="000478A7" w:rsidP="00180EEB" w:rsidRDefault="003E7003" w14:paraId="3891A0F2" w14:textId="77777777">
      <w:pPr>
        <w:suppressAutoHyphens/>
      </w:pPr>
      <w:r w:rsidRPr="005F055E">
        <w:t>Betreft het besluit om inflatiecorrectie niet volledig door te voeren uitsluitend het jaar 2026 of wordt deze keuze ook voor de jaren daarna voorzien?</w:t>
      </w:r>
      <w:r w:rsidRPr="005F055E">
        <w:tab/>
      </w:r>
    </w:p>
    <w:p w:rsidRPr="005F055E" w:rsidR="003E7003" w:rsidP="00180EEB" w:rsidRDefault="003E7003" w14:paraId="782FCA65" w14:textId="6B6FBC24">
      <w:pPr>
        <w:suppressAutoHyphens/>
      </w:pPr>
      <w:r w:rsidRPr="005F055E">
        <w:t>Antwoord</w:t>
      </w:r>
    </w:p>
    <w:p w:rsidRPr="005F055E" w:rsidR="000478A7" w:rsidP="00180EEB" w:rsidRDefault="00280175" w14:paraId="14DF9A1D" w14:textId="2BC4526C">
      <w:pPr>
        <w:suppressAutoHyphens/>
        <w:spacing w:line="240" w:lineRule="atLeast"/>
        <w:rPr>
          <w:szCs w:val="18"/>
          <w:lang w:eastAsia="nl-NL"/>
        </w:rPr>
      </w:pPr>
      <w:r w:rsidRPr="005F055E">
        <w:rPr>
          <w:szCs w:val="18"/>
          <w:lang w:eastAsia="nl-NL"/>
        </w:rPr>
        <w:t>VWS streeft ernaar om in de toekomst inflatiecorrectie toe te kunnen passen op de gesubsidieerde instellingen. Dit blijft echter onderdeel van de financiële besluitvorming.</w:t>
      </w:r>
    </w:p>
    <w:p w:rsidRPr="005F055E" w:rsidR="007B58FB" w:rsidP="00180EEB" w:rsidRDefault="007B58FB" w14:paraId="3E054F92" w14:textId="77777777">
      <w:pPr>
        <w:suppressAutoHyphens/>
      </w:pPr>
    </w:p>
    <w:p w:rsidRPr="005F055E" w:rsidR="000478A7" w:rsidP="00180EEB" w:rsidRDefault="003E7003" w14:paraId="0378A457" w14:textId="77777777">
      <w:pPr>
        <w:suppressAutoHyphens/>
      </w:pPr>
      <w:r w:rsidRPr="005F055E">
        <w:t>Vraag 6</w:t>
      </w:r>
    </w:p>
    <w:p w:rsidRPr="005F055E" w:rsidR="000478A7" w:rsidP="00180EEB" w:rsidRDefault="003E7003" w14:paraId="5371ECD6" w14:textId="77777777">
      <w:pPr>
        <w:suppressAutoHyphens/>
      </w:pPr>
      <w:r w:rsidRPr="005F055E">
        <w:t>Welke effecten verwacht u in verschillende inflatiescenario’s indien de inflatiecorrectie structureel niet of slechts deels wordt doorgevoerd?</w:t>
      </w:r>
      <w:r w:rsidRPr="005F055E">
        <w:tab/>
      </w:r>
    </w:p>
    <w:p w:rsidRPr="005F055E" w:rsidR="003E7003" w:rsidP="00180EEB" w:rsidRDefault="003E7003" w14:paraId="5C748DCF" w14:textId="6E9489A8">
      <w:pPr>
        <w:suppressAutoHyphens/>
      </w:pPr>
      <w:r w:rsidRPr="005F055E">
        <w:t>Antwoord</w:t>
      </w:r>
    </w:p>
    <w:p w:rsidRPr="005F055E" w:rsidR="000478A7" w:rsidP="00180EEB" w:rsidRDefault="004203EE" w14:paraId="5D1B21BA" w14:textId="58899B52">
      <w:pPr>
        <w:suppressAutoHyphens/>
        <w:spacing w:line="240" w:lineRule="atLeast"/>
        <w:rPr>
          <w:szCs w:val="18"/>
          <w:lang w:eastAsia="nl-NL"/>
        </w:rPr>
      </w:pPr>
      <w:r w:rsidRPr="005F055E">
        <w:rPr>
          <w:szCs w:val="18"/>
          <w:lang w:eastAsia="nl-NL"/>
        </w:rPr>
        <w:t>Het niet of slechts gedeeltelijk corrigeren voor inflatie leidt tot relatief minder financiële ruimte bij gesubsidieerde instellingen, omdat de betrokken instellingen wel geconfronteerd worden met hogere lonen en prijzen. De effecten hiervan kunnen per organisatie verschillen. Hoe hoger de feitelijke inflatie, hoe sterker het effect voor de betrokken organisaties. Door een zo optimaal mogelijke inzet van de uitgekeerde subsidies, kunnen de effecten van de korting binnen de betrokken organisaties waar mogelijk gemitigeerd worden.</w:t>
      </w:r>
    </w:p>
    <w:p w:rsidRPr="005F055E" w:rsidR="007B58FB" w:rsidP="00180EEB" w:rsidRDefault="007B58FB" w14:paraId="1DA3D5F6" w14:textId="77777777">
      <w:pPr>
        <w:suppressAutoHyphens/>
      </w:pPr>
    </w:p>
    <w:p w:rsidRPr="005F055E" w:rsidR="000478A7" w:rsidP="00180EEB" w:rsidRDefault="003E7003" w14:paraId="3A80A7E4" w14:textId="77777777">
      <w:pPr>
        <w:suppressAutoHyphens/>
      </w:pPr>
      <w:r w:rsidRPr="005F055E">
        <w:t>Vraag 7</w:t>
      </w:r>
    </w:p>
    <w:p w:rsidRPr="005F055E" w:rsidR="000478A7" w:rsidP="00180EEB" w:rsidRDefault="003E7003" w14:paraId="6E9D1F43" w14:textId="77777777">
      <w:pPr>
        <w:suppressAutoHyphens/>
      </w:pPr>
      <w:r w:rsidRPr="005F055E">
        <w:t>Kunt u een overzicht geven van de organisaties en kennisinstituten binnen het VWS-domein die geraakt worden door het niet volledig doorvoeren van inflatiecorrectie?</w:t>
      </w:r>
    </w:p>
    <w:p w:rsidRPr="005F055E" w:rsidR="003E7003" w:rsidP="00180EEB" w:rsidRDefault="003E7003" w14:paraId="7E71279F" w14:textId="1CC5412E">
      <w:pPr>
        <w:suppressAutoHyphens/>
      </w:pPr>
      <w:r w:rsidRPr="005F055E">
        <w:t>Antwoord</w:t>
      </w:r>
    </w:p>
    <w:p w:rsidRPr="005F055E" w:rsidR="000478A7" w:rsidP="00180EEB" w:rsidRDefault="004203EE" w14:paraId="3F695AB3" w14:textId="5CDD4188">
      <w:pPr>
        <w:suppressAutoHyphens/>
        <w:spacing w:line="240" w:lineRule="atLeast"/>
        <w:rPr>
          <w:szCs w:val="18"/>
          <w:lang w:eastAsia="nl-NL"/>
        </w:rPr>
      </w:pPr>
      <w:r w:rsidRPr="005F055E">
        <w:rPr>
          <w:szCs w:val="18"/>
          <w:lang w:eastAsia="nl-NL"/>
        </w:rPr>
        <w:t>Het ministerie van VWS heeft relaties met honderden organisaties. Er zijn overzichten beschikbaar in de Ontwerpbegroting 2026, waaronder bijlage 3 “Subsidieoverzicht” . De doorwerking van het niet volledig doorvoeren van de inflatiecorrectie kan verschillend uitwerken voor de gesubsidieerde organisaties.</w:t>
      </w:r>
    </w:p>
    <w:p w:rsidRPr="005F055E" w:rsidR="00056279" w:rsidP="00180EEB" w:rsidRDefault="00056279" w14:paraId="6FC35889" w14:textId="77777777">
      <w:pPr>
        <w:suppressAutoHyphens/>
      </w:pPr>
    </w:p>
    <w:p w:rsidRPr="005F055E" w:rsidR="000478A7" w:rsidP="00180EEB" w:rsidRDefault="003E7003" w14:paraId="2455EC1B" w14:textId="77777777">
      <w:pPr>
        <w:suppressAutoHyphens/>
      </w:pPr>
      <w:r w:rsidRPr="005F055E">
        <w:t>Vraag 8</w:t>
      </w:r>
      <w:r w:rsidRPr="005F055E">
        <w:tab/>
      </w:r>
    </w:p>
    <w:p w:rsidRPr="005F055E" w:rsidR="000478A7" w:rsidP="00180EEB" w:rsidRDefault="003E7003" w14:paraId="791C5B76" w14:textId="77777777">
      <w:pPr>
        <w:suppressAutoHyphens/>
      </w:pPr>
      <w:r w:rsidRPr="005F055E">
        <w:t>Wanneer is de Kamer geïnformeerd dat de inflatiecorrectie definitief niet volledig doorging?</w:t>
      </w:r>
      <w:r w:rsidRPr="005F055E">
        <w:tab/>
      </w:r>
    </w:p>
    <w:p w:rsidR="009873CE" w:rsidP="00180EEB" w:rsidRDefault="009873CE" w14:paraId="3C6D4FE1" w14:textId="77777777">
      <w:pPr>
        <w:suppressAutoHyphens/>
      </w:pPr>
    </w:p>
    <w:p w:rsidRPr="005F055E" w:rsidR="003E7003" w:rsidP="00180EEB" w:rsidRDefault="003E7003" w14:paraId="5609EE67" w14:textId="6EF15C42">
      <w:pPr>
        <w:suppressAutoHyphens/>
      </w:pPr>
      <w:r w:rsidRPr="005F055E">
        <w:t>Antwoord</w:t>
      </w:r>
    </w:p>
    <w:p w:rsidRPr="005F055E" w:rsidR="000478A7" w:rsidP="00180EEB" w:rsidRDefault="004203EE" w14:paraId="6FD4B362" w14:textId="2F15557F">
      <w:pPr>
        <w:suppressAutoHyphens/>
        <w:spacing w:line="240" w:lineRule="atLeast"/>
        <w:rPr>
          <w:color w:val="000000" w:themeColor="text1"/>
          <w:szCs w:val="20"/>
          <w:lang w:eastAsia="nl-NL"/>
        </w:rPr>
      </w:pPr>
      <w:r w:rsidRPr="005F055E">
        <w:rPr>
          <w:color w:val="000000" w:themeColor="text1"/>
          <w:szCs w:val="20"/>
          <w:lang w:eastAsia="nl-NL"/>
        </w:rPr>
        <w:t xml:space="preserve">In de eerste suppletoire begroting 2025 van VWS, samenhangende met de Voorjaarsnota 2025, is toegelicht dat een deel van de </w:t>
      </w:r>
      <w:proofErr w:type="spellStart"/>
      <w:r w:rsidRPr="005F055E">
        <w:rPr>
          <w:color w:val="000000" w:themeColor="text1"/>
          <w:szCs w:val="20"/>
          <w:lang w:eastAsia="nl-NL"/>
        </w:rPr>
        <w:t>loonbĳstelling</w:t>
      </w:r>
      <w:proofErr w:type="spellEnd"/>
      <w:r w:rsidRPr="005F055E">
        <w:rPr>
          <w:color w:val="000000" w:themeColor="text1"/>
          <w:szCs w:val="20"/>
          <w:lang w:eastAsia="nl-NL"/>
        </w:rPr>
        <w:t xml:space="preserve"> wordt ingezet ter dekking van verschillende intensiveringen op de VWS-begroting, waaronder de inzet van </w:t>
      </w:r>
      <w:proofErr w:type="spellStart"/>
      <w:r w:rsidRPr="005F055E">
        <w:rPr>
          <w:color w:val="000000" w:themeColor="text1"/>
          <w:szCs w:val="20"/>
          <w:lang w:eastAsia="nl-NL"/>
        </w:rPr>
        <w:t>vrĳwilligers</w:t>
      </w:r>
      <w:proofErr w:type="spellEnd"/>
      <w:r w:rsidRPr="005F055E">
        <w:rPr>
          <w:color w:val="000000" w:themeColor="text1"/>
          <w:szCs w:val="20"/>
          <w:lang w:eastAsia="nl-NL"/>
        </w:rPr>
        <w:t xml:space="preserve"> in de palliatieve terminale zorg, de aanpassing van de regeling dienstverlening aan huis en het alternatief invullen van de aanvullende apparaatstaakstelling uit amendement Bontenbal c.s. In de Kamervragen die naar aanleiding van de eerste suppletoire begroting 2025 van VWS zijn gesteld, is toegelicht dat dit een korting op de beleidsartikelen van VWS betreft en instellingen in de </w:t>
      </w:r>
      <w:proofErr w:type="spellStart"/>
      <w:r w:rsidRPr="005F055E">
        <w:rPr>
          <w:color w:val="000000" w:themeColor="text1"/>
          <w:szCs w:val="20"/>
          <w:lang w:eastAsia="nl-NL"/>
        </w:rPr>
        <w:t>premiegefinancierde</w:t>
      </w:r>
      <w:proofErr w:type="spellEnd"/>
      <w:r w:rsidRPr="005F055E">
        <w:rPr>
          <w:color w:val="000000" w:themeColor="text1"/>
          <w:szCs w:val="20"/>
          <w:lang w:eastAsia="nl-NL"/>
        </w:rPr>
        <w:t xml:space="preserve"> zorguitgaven (zoals ziekenhuizen) niet geraakt worden. Vanaf de beleidsartikelen van VWS worden wel verschillende organisaties door VWS gesubsidieerd, waardoor deze korting wel betrekking heeft op gesubsidieerde organisaties.</w:t>
      </w:r>
      <w:r w:rsidRPr="005F055E" w:rsidR="00D73F76">
        <w:rPr>
          <w:color w:val="000000" w:themeColor="text1"/>
          <w:szCs w:val="20"/>
          <w:lang w:eastAsia="nl-NL"/>
        </w:rPr>
        <w:t xml:space="preserve"> </w:t>
      </w:r>
      <w:r w:rsidRPr="005F055E">
        <w:rPr>
          <w:color w:val="000000" w:themeColor="text1"/>
          <w:szCs w:val="20"/>
          <w:lang w:eastAsia="nl-NL"/>
        </w:rPr>
        <w:t xml:space="preserve"> </w:t>
      </w:r>
    </w:p>
    <w:p w:rsidRPr="005F055E" w:rsidR="007B58FB" w:rsidP="00180EEB" w:rsidRDefault="007B58FB" w14:paraId="2C78207D" w14:textId="77777777">
      <w:pPr>
        <w:suppressAutoHyphens/>
      </w:pPr>
    </w:p>
    <w:p w:rsidRPr="005F055E" w:rsidR="000478A7" w:rsidP="00180EEB" w:rsidRDefault="003E7003" w14:paraId="2E7B05C3" w14:textId="77777777">
      <w:pPr>
        <w:suppressAutoHyphens/>
      </w:pPr>
      <w:r w:rsidRPr="005F055E">
        <w:t>Vraag 9</w:t>
      </w:r>
      <w:r w:rsidRPr="005F055E">
        <w:tab/>
      </w:r>
    </w:p>
    <w:p w:rsidRPr="005F055E" w:rsidR="000478A7" w:rsidP="00180EEB" w:rsidRDefault="003E7003" w14:paraId="40EB23D8" w14:textId="77777777">
      <w:pPr>
        <w:suppressAutoHyphens/>
      </w:pPr>
      <w:r w:rsidRPr="005F055E">
        <w:t>Wanneer zijn de betrokken organisaties geïnformeerd over het niet volledig doorvoeren van de inflatiecorrectie?</w:t>
      </w:r>
      <w:r w:rsidRPr="005F055E">
        <w:tab/>
      </w:r>
    </w:p>
    <w:p w:rsidRPr="005F055E" w:rsidR="003E7003" w:rsidP="00180EEB" w:rsidRDefault="003E7003" w14:paraId="560BD822" w14:textId="4098CC87">
      <w:pPr>
        <w:suppressAutoHyphens/>
      </w:pPr>
      <w:r w:rsidRPr="005F055E">
        <w:t>Antwoord</w:t>
      </w:r>
    </w:p>
    <w:p w:rsidRPr="005F055E" w:rsidR="000478A7" w:rsidP="00180EEB" w:rsidRDefault="004203EE" w14:paraId="6056CF58" w14:textId="4D53867D">
      <w:pPr>
        <w:suppressAutoHyphens/>
        <w:spacing w:line="240" w:lineRule="atLeast"/>
        <w:rPr>
          <w:szCs w:val="18"/>
          <w:lang w:eastAsia="nl-NL"/>
        </w:rPr>
      </w:pPr>
      <w:r w:rsidRPr="005F055E">
        <w:rPr>
          <w:szCs w:val="18"/>
          <w:lang w:eastAsia="nl-NL"/>
        </w:rPr>
        <w:t xml:space="preserve">Organisaties zijn conform het reguliere proces via een beschikkingsbrief uiterlijk 1 oktober </w:t>
      </w:r>
      <w:r w:rsidR="00885DD3">
        <w:rPr>
          <w:szCs w:val="18"/>
          <w:lang w:eastAsia="nl-NL"/>
        </w:rPr>
        <w:t xml:space="preserve">2025 </w:t>
      </w:r>
      <w:r w:rsidRPr="005F055E">
        <w:rPr>
          <w:szCs w:val="18"/>
          <w:lang w:eastAsia="nl-NL"/>
        </w:rPr>
        <w:t>geïnformeerd over het besluit met betrekking tot indexatie. Het ministerie gaat evalueren of het reguliere proces van subsidiebeschikking voldoende tijd biedt voor organisaties om hun begroting zorgvuldig voor te bereiden.</w:t>
      </w:r>
    </w:p>
    <w:p w:rsidRPr="005F055E" w:rsidR="007B58FB" w:rsidP="00180EEB" w:rsidRDefault="007B58FB" w14:paraId="03666FD3" w14:textId="77777777">
      <w:pPr>
        <w:suppressAutoHyphens/>
      </w:pPr>
    </w:p>
    <w:p w:rsidRPr="005F055E" w:rsidR="000478A7" w:rsidP="00180EEB" w:rsidRDefault="003E7003" w14:paraId="7233BBD3" w14:textId="77777777">
      <w:pPr>
        <w:suppressAutoHyphens/>
      </w:pPr>
      <w:r w:rsidRPr="005F055E">
        <w:t>Vraag 10</w:t>
      </w:r>
      <w:r w:rsidRPr="005F055E">
        <w:tab/>
      </w:r>
    </w:p>
    <w:p w:rsidRPr="005F055E" w:rsidR="000478A7" w:rsidP="00180EEB" w:rsidRDefault="003E7003" w14:paraId="7AD178E3" w14:textId="77777777">
      <w:pPr>
        <w:suppressAutoHyphens/>
      </w:pPr>
      <w:r w:rsidRPr="005F055E">
        <w:t>Zijn alle organisaties op hetzelfde moment geïnformeerd over het volledig doorvoeren van de inflatiecorrectie en zo niet, welke afwegingen zijn daarbij gemaakt?</w:t>
      </w:r>
      <w:r w:rsidRPr="005F055E">
        <w:tab/>
      </w:r>
    </w:p>
    <w:p w:rsidRPr="005F055E" w:rsidR="003E7003" w:rsidP="00180EEB" w:rsidRDefault="003E7003" w14:paraId="1F6F6DB7" w14:textId="45B98FE1">
      <w:pPr>
        <w:suppressAutoHyphens/>
      </w:pPr>
      <w:r w:rsidRPr="005F055E">
        <w:t>Antwoord</w:t>
      </w:r>
    </w:p>
    <w:p w:rsidRPr="005F055E" w:rsidR="000478A7" w:rsidP="00180EEB" w:rsidRDefault="004203EE" w14:paraId="0EBA6249" w14:textId="4AE8C587">
      <w:pPr>
        <w:suppressAutoHyphens/>
        <w:spacing w:line="240" w:lineRule="atLeast"/>
        <w:rPr>
          <w:szCs w:val="18"/>
          <w:lang w:eastAsia="nl-NL"/>
        </w:rPr>
      </w:pPr>
      <w:r w:rsidRPr="005F055E">
        <w:rPr>
          <w:szCs w:val="18"/>
          <w:lang w:eastAsia="nl-NL"/>
        </w:rPr>
        <w:t xml:space="preserve">Organisaties zijn conform het reguliere proces via een beschikkingsbrief uiterlijk 1 oktober </w:t>
      </w:r>
      <w:r w:rsidR="00885DD3">
        <w:rPr>
          <w:szCs w:val="18"/>
          <w:lang w:eastAsia="nl-NL"/>
        </w:rPr>
        <w:t xml:space="preserve">2025 </w:t>
      </w:r>
      <w:r w:rsidRPr="005F055E">
        <w:rPr>
          <w:szCs w:val="18"/>
          <w:lang w:eastAsia="nl-NL"/>
        </w:rPr>
        <w:t>geïnformeerd over het besluit met betrekking tot indexatie. Het ministerie gaat evalueren of het reguliere proces van subsidiebeschikking voldoende tijd biedt voor organisaties om hun begroting zorgvuldig voor te bereiden.</w:t>
      </w:r>
    </w:p>
    <w:p w:rsidRPr="005F055E" w:rsidR="007B58FB" w:rsidP="00180EEB" w:rsidRDefault="007B58FB" w14:paraId="52B03705" w14:textId="77777777">
      <w:pPr>
        <w:suppressAutoHyphens/>
      </w:pPr>
    </w:p>
    <w:p w:rsidRPr="005F055E" w:rsidR="000478A7" w:rsidP="00180EEB" w:rsidRDefault="003E7003" w14:paraId="4381D157" w14:textId="77777777">
      <w:pPr>
        <w:suppressAutoHyphens/>
      </w:pPr>
      <w:r w:rsidRPr="005F055E">
        <w:t>Vraag 11</w:t>
      </w:r>
      <w:r w:rsidRPr="005F055E">
        <w:tab/>
      </w:r>
    </w:p>
    <w:p w:rsidRPr="005F055E" w:rsidR="000478A7" w:rsidP="00180EEB" w:rsidRDefault="003E7003" w14:paraId="14AD7D5A" w14:textId="77777777">
      <w:pPr>
        <w:suppressAutoHyphens/>
      </w:pPr>
      <w:r w:rsidRPr="005F055E">
        <w:t>Was de informatievoorziening over het niet volledig doorvoeren van de inflatiecorrectie aan organisaties tijdig of vond deze plaats na het verstrijken van termijnen die nodig zijn om hun begrotingen zorgvuldig voor te bereiden?</w:t>
      </w:r>
      <w:r w:rsidRPr="005F055E">
        <w:tab/>
      </w:r>
    </w:p>
    <w:p w:rsidRPr="005F055E" w:rsidR="003E7003" w:rsidP="00180EEB" w:rsidRDefault="003E7003" w14:paraId="10D0C566" w14:textId="6648DF5A">
      <w:pPr>
        <w:suppressAutoHyphens/>
      </w:pPr>
      <w:r w:rsidRPr="005F055E">
        <w:t>Antwoord</w:t>
      </w:r>
    </w:p>
    <w:p w:rsidRPr="005F055E" w:rsidR="000478A7" w:rsidP="00180EEB" w:rsidRDefault="004203EE" w14:paraId="6EBAB62D" w14:textId="1C11DB7D">
      <w:pPr>
        <w:suppressAutoHyphens/>
        <w:spacing w:line="240" w:lineRule="atLeast"/>
        <w:rPr>
          <w:szCs w:val="18"/>
          <w:lang w:eastAsia="nl-NL"/>
        </w:rPr>
      </w:pPr>
      <w:r w:rsidRPr="005F055E">
        <w:rPr>
          <w:szCs w:val="18"/>
          <w:lang w:eastAsia="nl-NL"/>
        </w:rPr>
        <w:t>Organisaties zijn conform het reguliere proces via een beschikkingsbrief uiterlijk 1 oktober geïnformeerd over het besluit met betrekking tot indexatie. Het ministerie gaat evalueren of het reguliere proces van subsidiebeschikking voldoende tijd biedt voor organisaties om hun begroting zorgvuldig voor te bereiden.</w:t>
      </w:r>
    </w:p>
    <w:p w:rsidRPr="005F055E" w:rsidR="00056279" w:rsidP="00180EEB" w:rsidRDefault="00056279" w14:paraId="03609A7F" w14:textId="77777777">
      <w:pPr>
        <w:suppressAutoHyphens/>
      </w:pPr>
    </w:p>
    <w:p w:rsidRPr="005F055E" w:rsidR="000478A7" w:rsidP="00180EEB" w:rsidRDefault="003E7003" w14:paraId="66F8B462" w14:textId="77777777">
      <w:pPr>
        <w:suppressAutoHyphens/>
      </w:pPr>
      <w:r w:rsidRPr="005F055E">
        <w:t>Vraag 12</w:t>
      </w:r>
      <w:r w:rsidRPr="005F055E">
        <w:tab/>
      </w:r>
    </w:p>
    <w:p w:rsidRPr="005F055E" w:rsidR="000478A7" w:rsidP="00180EEB" w:rsidRDefault="003E7003" w14:paraId="51804177" w14:textId="77777777">
      <w:pPr>
        <w:suppressAutoHyphens/>
      </w:pPr>
      <w:r w:rsidRPr="005F055E">
        <w:t>Welke gevolgen heeft het niet volledig doorvoeren van de inflatiecorrectie voor de uitvoerbaarheid van afspraken en verplichtingen binnen het VWS-domein?</w:t>
      </w:r>
      <w:r w:rsidRPr="005F055E">
        <w:tab/>
      </w:r>
    </w:p>
    <w:p w:rsidR="009873CE" w:rsidP="00180EEB" w:rsidRDefault="009873CE" w14:paraId="7B15AF4C" w14:textId="77777777">
      <w:pPr>
        <w:suppressAutoHyphens/>
      </w:pPr>
    </w:p>
    <w:p w:rsidRPr="005F055E" w:rsidR="003E7003" w:rsidP="00180EEB" w:rsidRDefault="003E7003" w14:paraId="34318B35" w14:textId="489E46FA">
      <w:pPr>
        <w:suppressAutoHyphens/>
      </w:pPr>
      <w:r w:rsidRPr="005F055E">
        <w:t>Antwoord</w:t>
      </w:r>
    </w:p>
    <w:p w:rsidRPr="005F055E" w:rsidR="000478A7" w:rsidP="00180EEB" w:rsidRDefault="004203EE" w14:paraId="7830C31F" w14:textId="26943B14">
      <w:pPr>
        <w:suppressAutoHyphens/>
        <w:spacing w:line="240" w:lineRule="atLeast"/>
        <w:rPr>
          <w:szCs w:val="18"/>
          <w:lang w:eastAsia="nl-NL"/>
        </w:rPr>
      </w:pPr>
      <w:r w:rsidRPr="005F055E">
        <w:rPr>
          <w:szCs w:val="18"/>
          <w:lang w:eastAsia="nl-NL"/>
        </w:rPr>
        <w:t>Het niet of slechts gedeeltelijk corrigeren voor inflatie leidt tot relatief minder financiële ruimte bij gesubsidieerde instellingen, omdat de betrokken instellingen wel geconfronteerd worden met hogere lonen en prijzen. De doorwerking van het niet volledig doorvoeren van de inflatiecorrectie kan verschillend uitwerken voor de gesubsidieerde organisaties. Door een zo optimaal mogelijke inzet van de uitgekeerde subsidies, kunnen de effecten van de korting binnen de betrokken organisaties waar mogelijk gemitigeerd worden.</w:t>
      </w:r>
    </w:p>
    <w:p w:rsidRPr="005F055E" w:rsidR="007B58FB" w:rsidP="00180EEB" w:rsidRDefault="007B58FB" w14:paraId="20B68D07" w14:textId="77777777">
      <w:pPr>
        <w:suppressAutoHyphens/>
      </w:pPr>
    </w:p>
    <w:p w:rsidRPr="005F055E" w:rsidR="000478A7" w:rsidP="00180EEB" w:rsidRDefault="003E7003" w14:paraId="666E9F34" w14:textId="77777777">
      <w:pPr>
        <w:suppressAutoHyphens/>
      </w:pPr>
      <w:r w:rsidRPr="005F055E">
        <w:t>Vraag 13</w:t>
      </w:r>
      <w:r w:rsidRPr="005F055E">
        <w:tab/>
      </w:r>
    </w:p>
    <w:p w:rsidRPr="005F055E" w:rsidR="000478A7" w:rsidP="00180EEB" w:rsidRDefault="003E7003" w14:paraId="4076FD79" w14:textId="77777777">
      <w:pPr>
        <w:suppressAutoHyphens/>
      </w:pPr>
      <w:r w:rsidRPr="005F055E">
        <w:t>Komt het niet doorvoeren van de volledige inflatiecorrectie feitelijk neer op een directe bezuiniging op organisaties met belangrijke maatschappelijke functies?</w:t>
      </w:r>
      <w:r w:rsidRPr="005F055E">
        <w:tab/>
      </w:r>
    </w:p>
    <w:p w:rsidRPr="005F055E" w:rsidR="003E7003" w:rsidP="00180EEB" w:rsidRDefault="003E7003" w14:paraId="6BB65016" w14:textId="3CDE8A93">
      <w:pPr>
        <w:suppressAutoHyphens/>
      </w:pPr>
      <w:r w:rsidRPr="005F055E">
        <w:t>Antwoord</w:t>
      </w:r>
    </w:p>
    <w:p w:rsidRPr="005F055E" w:rsidR="000478A7" w:rsidP="00180EEB" w:rsidRDefault="004203EE" w14:paraId="46BF04F9" w14:textId="73B44D60">
      <w:pPr>
        <w:suppressAutoHyphens/>
        <w:spacing w:line="240" w:lineRule="atLeast"/>
        <w:rPr>
          <w:szCs w:val="18"/>
          <w:lang w:eastAsia="nl-NL"/>
        </w:rPr>
      </w:pPr>
      <w:r w:rsidRPr="005F055E">
        <w:rPr>
          <w:szCs w:val="18"/>
          <w:lang w:eastAsia="nl-NL"/>
        </w:rPr>
        <w:t>Het niet of slechts gedeeltelijk corrigeren voor inflatie leidt tot relatief minder financiële ruimte bij gesubsidieerde instellingen, omdat de betrokken instellingen wel geconfronteerd worden met hogere lonen en prijzen. De doorwerking van het niet volledig doorvoeren van de inflatiecorrectie kan verschillend uitwerken voor de gesubsidieerde organisaties. Door een zo optimaal mogelijke inzet van de uitgekeerde subsidies, kunnen de effecten van de korting binnen de betrokken organisaties waar mogelijk gemitigeerd worden.</w:t>
      </w:r>
    </w:p>
    <w:p w:rsidRPr="005F055E" w:rsidR="007B58FB" w:rsidP="00180EEB" w:rsidRDefault="007B58FB" w14:paraId="109730D8" w14:textId="77777777">
      <w:pPr>
        <w:suppressAutoHyphens/>
      </w:pPr>
    </w:p>
    <w:p w:rsidRPr="005F055E" w:rsidR="000478A7" w:rsidP="00180EEB" w:rsidRDefault="003E7003" w14:paraId="3C0CED7C" w14:textId="77777777">
      <w:pPr>
        <w:suppressAutoHyphens/>
      </w:pPr>
      <w:r w:rsidRPr="005F055E">
        <w:t>Vraag 14</w:t>
      </w:r>
      <w:r w:rsidRPr="005F055E">
        <w:tab/>
      </w:r>
    </w:p>
    <w:p w:rsidRPr="005F055E" w:rsidR="000478A7" w:rsidP="00180EEB" w:rsidRDefault="003E7003" w14:paraId="40868B2A" w14:textId="049592DE">
      <w:pPr>
        <w:suppressAutoHyphens/>
      </w:pPr>
      <w:r w:rsidRPr="005F055E">
        <w:t>Zijn er middelen gereserveerd om organisaties die door het uitblijven van volledige inflatiecorrectie in de knel komen met hun verplichtingen te compenseren?</w:t>
      </w:r>
      <w:r w:rsidRPr="005F055E">
        <w:tab/>
      </w:r>
    </w:p>
    <w:p w:rsidRPr="005F055E" w:rsidR="003E7003" w:rsidP="00180EEB" w:rsidRDefault="003E7003" w14:paraId="4C2B420B" w14:textId="56FF7048">
      <w:pPr>
        <w:suppressAutoHyphens/>
      </w:pPr>
      <w:r w:rsidRPr="005F055E">
        <w:t>Antwoord</w:t>
      </w:r>
    </w:p>
    <w:p w:rsidRPr="005F055E" w:rsidR="000478A7" w:rsidP="00180EEB" w:rsidRDefault="004203EE" w14:paraId="06A6B71D" w14:textId="5320E8D4">
      <w:pPr>
        <w:suppressAutoHyphens/>
        <w:spacing w:line="240" w:lineRule="atLeast"/>
        <w:rPr>
          <w:szCs w:val="18"/>
          <w:lang w:eastAsia="nl-NL"/>
        </w:rPr>
      </w:pPr>
      <w:r w:rsidRPr="005F055E">
        <w:rPr>
          <w:szCs w:val="18"/>
          <w:lang w:eastAsia="nl-NL"/>
        </w:rPr>
        <w:t>Hiervoor zijn geen middelen gereserveerd. Door een zo optimaal mogelijke inzet van de uitgekeerde subsidies, kunnen de effecten van de korting binnen de betrokken organisaties waar mogelijk gemitigeerd worden. VWS treedt in overleg met organisaties die desondanks in de knel komen.</w:t>
      </w:r>
      <w:r w:rsidRPr="005F055E" w:rsidR="00D73F76">
        <w:rPr>
          <w:szCs w:val="18"/>
          <w:lang w:eastAsia="nl-NL"/>
        </w:rPr>
        <w:t xml:space="preserve"> </w:t>
      </w:r>
    </w:p>
    <w:p w:rsidRPr="005F055E" w:rsidR="007B58FB" w:rsidP="00180EEB" w:rsidRDefault="007B58FB" w14:paraId="73E8BB53" w14:textId="77777777">
      <w:pPr>
        <w:suppressAutoHyphens/>
      </w:pPr>
    </w:p>
    <w:p w:rsidRPr="005F055E" w:rsidR="000478A7" w:rsidP="00180EEB" w:rsidRDefault="003E7003" w14:paraId="4F690B5D" w14:textId="77777777">
      <w:pPr>
        <w:suppressAutoHyphens/>
      </w:pPr>
      <w:r w:rsidRPr="005F055E">
        <w:t>Vraag 15</w:t>
      </w:r>
      <w:r w:rsidRPr="005F055E">
        <w:tab/>
      </w:r>
    </w:p>
    <w:p w:rsidRPr="005F055E" w:rsidR="000478A7" w:rsidP="00180EEB" w:rsidRDefault="003E7003" w14:paraId="0B3CDD8E" w14:textId="77777777">
      <w:pPr>
        <w:suppressAutoHyphens/>
      </w:pPr>
      <w:r w:rsidRPr="005F055E">
        <w:t>Indien er geen middelen zijn gereserveerd, bent u dan bereid alsnog financiële compensatie te regelen voor organisaties die ernstig geraakt worden?</w:t>
      </w:r>
      <w:r w:rsidRPr="005F055E">
        <w:tab/>
      </w:r>
    </w:p>
    <w:p w:rsidRPr="005F055E" w:rsidR="003E7003" w:rsidP="00180EEB" w:rsidRDefault="003E7003" w14:paraId="3291891F" w14:textId="0BE5D584">
      <w:pPr>
        <w:suppressAutoHyphens/>
      </w:pPr>
      <w:r w:rsidRPr="005F055E">
        <w:t>Antwoord</w:t>
      </w:r>
    </w:p>
    <w:p w:rsidRPr="00056279" w:rsidR="000478A7" w:rsidP="00180EEB" w:rsidRDefault="004203EE" w14:paraId="41E1250A" w14:textId="2C13A299">
      <w:pPr>
        <w:suppressAutoHyphens/>
        <w:spacing w:line="240" w:lineRule="atLeast"/>
        <w:rPr>
          <w:szCs w:val="18"/>
          <w:lang w:eastAsia="nl-NL"/>
        </w:rPr>
      </w:pPr>
      <w:r w:rsidRPr="005F055E">
        <w:rPr>
          <w:szCs w:val="18"/>
          <w:lang w:eastAsia="nl-NL"/>
        </w:rPr>
        <w:t>Door een optimale inzet van de uitgekeerde subsidies, kunnen de effecten van de korting binnen de betrokken organisaties waar mogelijk gemitigeerd worden. VWS treedt in overleg met organisaties die desondanks in de knel komen.</w:t>
      </w:r>
      <w:r w:rsidRPr="005F055E" w:rsidR="00D73F76">
        <w:rPr>
          <w:szCs w:val="18"/>
          <w:lang w:eastAsia="nl-NL"/>
        </w:rPr>
        <w:t xml:space="preserve"> </w:t>
      </w:r>
    </w:p>
    <w:p w:rsidRPr="005F055E" w:rsidR="007B58FB" w:rsidP="00180EEB" w:rsidRDefault="007B58FB" w14:paraId="7433F457" w14:textId="77777777">
      <w:pPr>
        <w:suppressAutoHyphens/>
      </w:pPr>
    </w:p>
    <w:p w:rsidRPr="005F055E" w:rsidR="000478A7" w:rsidP="00180EEB" w:rsidRDefault="003E7003" w14:paraId="1B3B314F" w14:textId="77777777">
      <w:pPr>
        <w:suppressAutoHyphens/>
      </w:pPr>
      <w:r w:rsidRPr="005F055E">
        <w:t>Vraag 16</w:t>
      </w:r>
      <w:r w:rsidRPr="005F055E">
        <w:tab/>
      </w:r>
    </w:p>
    <w:p w:rsidRPr="005F055E" w:rsidR="000478A7" w:rsidP="00180EEB" w:rsidRDefault="003E7003" w14:paraId="3AFDAC92" w14:textId="77777777">
      <w:pPr>
        <w:suppressAutoHyphens/>
      </w:pPr>
      <w:r w:rsidRPr="005F055E">
        <w:t>Is onderzocht of binnen de VWS-begroting middelen konden worden herverdeeld om de inflatiecorrectie voor maatschappelijke partners toch mogelijk te maken?</w:t>
      </w:r>
      <w:r w:rsidRPr="005F055E">
        <w:tab/>
      </w:r>
    </w:p>
    <w:p w:rsidR="00056279" w:rsidP="00180EEB" w:rsidRDefault="00056279" w14:paraId="3F28F837" w14:textId="77777777">
      <w:pPr>
        <w:suppressAutoHyphens/>
      </w:pPr>
    </w:p>
    <w:p w:rsidRPr="005F055E" w:rsidR="003E7003" w:rsidP="00180EEB" w:rsidRDefault="003E7003" w14:paraId="14463E09" w14:textId="0851A4B9">
      <w:pPr>
        <w:suppressAutoHyphens/>
      </w:pPr>
      <w:r w:rsidRPr="005F055E">
        <w:t>Antwoord</w:t>
      </w:r>
    </w:p>
    <w:p w:rsidRPr="005F055E" w:rsidR="000478A7" w:rsidP="00180EEB" w:rsidRDefault="004203EE" w14:paraId="06ED1C06" w14:textId="05A16C06">
      <w:pPr>
        <w:suppressAutoHyphens/>
        <w:spacing w:line="240" w:lineRule="atLeast"/>
        <w:rPr>
          <w:szCs w:val="18"/>
          <w:lang w:eastAsia="nl-NL"/>
        </w:rPr>
      </w:pPr>
      <w:r w:rsidRPr="005F055E">
        <w:rPr>
          <w:szCs w:val="18"/>
          <w:lang w:eastAsia="nl-NL"/>
        </w:rPr>
        <w:t>Ja, VWS streeft ernaar om inflatiecorrectie toe te kunnen passen op de gesubsidieerde instellingen. Er zijn echter geen alternatieve oplossingen gevonden.</w:t>
      </w:r>
    </w:p>
    <w:p w:rsidRPr="005F055E" w:rsidR="007B58FB" w:rsidP="00180EEB" w:rsidRDefault="007B58FB" w14:paraId="62550033" w14:textId="77777777">
      <w:pPr>
        <w:suppressAutoHyphens/>
      </w:pPr>
    </w:p>
    <w:p w:rsidRPr="005F055E" w:rsidR="000478A7" w:rsidP="00180EEB" w:rsidRDefault="003E7003" w14:paraId="565007F1" w14:textId="77777777">
      <w:pPr>
        <w:suppressAutoHyphens/>
      </w:pPr>
      <w:r w:rsidRPr="005F055E">
        <w:t>Vraag 17</w:t>
      </w:r>
      <w:r w:rsidRPr="005F055E">
        <w:tab/>
      </w:r>
    </w:p>
    <w:p w:rsidRPr="005F055E" w:rsidR="000478A7" w:rsidP="00180EEB" w:rsidRDefault="003E7003" w14:paraId="273BDEEC" w14:textId="77777777">
      <w:pPr>
        <w:suppressAutoHyphens/>
      </w:pPr>
      <w:r w:rsidRPr="005F055E">
        <w:t>Waarom is het niet mogelijk of niet voldoende gebleken om binnen de VWS-begroting intern middelen vrij te maken voor volledige inflatiecorrectie?</w:t>
      </w:r>
    </w:p>
    <w:p w:rsidRPr="005F055E" w:rsidR="003E7003" w:rsidP="00180EEB" w:rsidRDefault="003E7003" w14:paraId="65C69597" w14:textId="3EE3C393">
      <w:pPr>
        <w:suppressAutoHyphens/>
      </w:pPr>
      <w:r w:rsidRPr="005F055E">
        <w:t>Antwoord</w:t>
      </w:r>
    </w:p>
    <w:p w:rsidRPr="005F055E" w:rsidR="000478A7" w:rsidP="00180EEB" w:rsidRDefault="00885DD3" w14:paraId="278E843C" w14:textId="4775A319">
      <w:pPr>
        <w:suppressAutoHyphens/>
        <w:spacing w:line="240" w:lineRule="atLeast"/>
      </w:pPr>
      <w:r w:rsidRPr="005F055E">
        <w:rPr>
          <w:szCs w:val="18"/>
          <w:lang w:eastAsia="nl-NL"/>
        </w:rPr>
        <w:t xml:space="preserve">Dit jaar is een andere afweging gemaakt en is een deel van de </w:t>
      </w:r>
      <w:proofErr w:type="spellStart"/>
      <w:r w:rsidRPr="005F055E">
        <w:rPr>
          <w:szCs w:val="18"/>
          <w:lang w:eastAsia="nl-NL"/>
        </w:rPr>
        <w:t>loonbĳstelling</w:t>
      </w:r>
      <w:proofErr w:type="spellEnd"/>
      <w:r w:rsidRPr="005F055E">
        <w:rPr>
          <w:szCs w:val="18"/>
          <w:lang w:eastAsia="nl-NL"/>
        </w:rPr>
        <w:t xml:space="preserve"> ingezet ter dekking van andere prioriteiten, waaronder de inzet van </w:t>
      </w:r>
      <w:proofErr w:type="spellStart"/>
      <w:r w:rsidRPr="005F055E">
        <w:rPr>
          <w:szCs w:val="18"/>
          <w:lang w:eastAsia="nl-NL"/>
        </w:rPr>
        <w:t>vrĳwilligers</w:t>
      </w:r>
      <w:proofErr w:type="spellEnd"/>
      <w:r w:rsidRPr="005F055E">
        <w:rPr>
          <w:szCs w:val="18"/>
          <w:lang w:eastAsia="nl-NL"/>
        </w:rPr>
        <w:t xml:space="preserve"> in de palliatieve terminale zorg, de aanpassing van de regeling dienstverlening aan huis en het alternatief invullen van de aanvullende apparaatstaakstelling uit amendement Bontenbal c.s.</w:t>
      </w:r>
      <w:r>
        <w:rPr>
          <w:szCs w:val="18"/>
          <w:lang w:eastAsia="nl-NL"/>
        </w:rPr>
        <w:t xml:space="preserve"> Hoewel </w:t>
      </w:r>
      <w:r w:rsidRPr="005F055E" w:rsidR="004203EE">
        <w:rPr>
          <w:szCs w:val="18"/>
          <w:lang w:eastAsia="nl-NL"/>
        </w:rPr>
        <w:t xml:space="preserve">VWS </w:t>
      </w:r>
      <w:r>
        <w:rPr>
          <w:szCs w:val="18"/>
          <w:lang w:eastAsia="nl-NL"/>
        </w:rPr>
        <w:t xml:space="preserve">ernaar </w:t>
      </w:r>
      <w:r w:rsidRPr="005F055E" w:rsidR="004203EE">
        <w:rPr>
          <w:szCs w:val="18"/>
          <w:lang w:eastAsia="nl-NL"/>
        </w:rPr>
        <w:t>streeft om inflatiecorrectie toe te kunnen passen op de gesubsidieerde instellingen</w:t>
      </w:r>
      <w:r>
        <w:rPr>
          <w:szCs w:val="18"/>
          <w:lang w:eastAsia="nl-NL"/>
        </w:rPr>
        <w:t xml:space="preserve">, </w:t>
      </w:r>
      <w:r w:rsidRPr="005F055E" w:rsidR="004203EE">
        <w:rPr>
          <w:szCs w:val="18"/>
          <w:lang w:eastAsia="nl-NL"/>
        </w:rPr>
        <w:t xml:space="preserve">resteerden </w:t>
      </w:r>
      <w:r>
        <w:rPr>
          <w:szCs w:val="18"/>
          <w:lang w:eastAsia="nl-NL"/>
        </w:rPr>
        <w:t xml:space="preserve">hierdoor </w:t>
      </w:r>
      <w:r w:rsidRPr="005F055E" w:rsidR="004203EE">
        <w:rPr>
          <w:szCs w:val="18"/>
          <w:lang w:eastAsia="nl-NL"/>
        </w:rPr>
        <w:t xml:space="preserve">minder middelen voor inflatiecorrectie. </w:t>
      </w:r>
    </w:p>
    <w:p w:rsidRPr="005F055E" w:rsidR="007B58FB" w:rsidP="00180EEB" w:rsidRDefault="007B58FB" w14:paraId="742D97DE" w14:textId="77777777">
      <w:pPr>
        <w:suppressAutoHyphens/>
      </w:pPr>
    </w:p>
    <w:p w:rsidRPr="005F055E" w:rsidR="000478A7" w:rsidP="00180EEB" w:rsidRDefault="003E7003" w14:paraId="6059A614" w14:textId="77777777">
      <w:pPr>
        <w:suppressAutoHyphens/>
      </w:pPr>
      <w:r w:rsidRPr="005F055E">
        <w:t>Vraag 18</w:t>
      </w:r>
      <w:r w:rsidRPr="005F055E">
        <w:tab/>
      </w:r>
    </w:p>
    <w:p w:rsidRPr="005F055E" w:rsidR="000478A7" w:rsidP="00180EEB" w:rsidRDefault="003E7003" w14:paraId="7BC313EA" w14:textId="77777777">
      <w:pPr>
        <w:suppressAutoHyphens/>
      </w:pPr>
      <w:r w:rsidRPr="005F055E">
        <w:t>Hoe wordt het niet doorvoeren van inflatiecorrectie bij andere ministeries behandeld?</w:t>
      </w:r>
      <w:r w:rsidRPr="005F055E">
        <w:tab/>
      </w:r>
    </w:p>
    <w:p w:rsidRPr="005F055E" w:rsidR="003E7003" w:rsidP="00180EEB" w:rsidRDefault="003E7003" w14:paraId="0E65B626" w14:textId="6A453304">
      <w:pPr>
        <w:suppressAutoHyphens/>
      </w:pPr>
      <w:r w:rsidRPr="005F055E">
        <w:t>Antwoord</w:t>
      </w:r>
    </w:p>
    <w:p w:rsidRPr="00056279" w:rsidR="000478A7" w:rsidP="00180EEB" w:rsidRDefault="00F74915" w14:paraId="6EF68B46" w14:textId="21C739DD">
      <w:pPr>
        <w:suppressAutoHyphens/>
        <w:rPr>
          <w:szCs w:val="18"/>
        </w:rPr>
      </w:pPr>
      <w:r w:rsidRPr="005F055E">
        <w:rPr>
          <w:szCs w:val="18"/>
        </w:rPr>
        <w:t>De inzet van loon- en prijsbijstelling is een kabinetsbesluit. Doordat andere prioriteiten voorrang kunnen krijgen, kan de omgang met inflatiecorrectie per jaar en per departement verschillen.</w:t>
      </w:r>
    </w:p>
    <w:p w:rsidRPr="005F055E" w:rsidR="007B58FB" w:rsidP="00180EEB" w:rsidRDefault="007B58FB" w14:paraId="589ED231" w14:textId="77777777">
      <w:pPr>
        <w:suppressAutoHyphens/>
      </w:pPr>
    </w:p>
    <w:p w:rsidRPr="005F055E" w:rsidR="000478A7" w:rsidP="00180EEB" w:rsidRDefault="003E7003" w14:paraId="4476F253" w14:textId="77777777">
      <w:pPr>
        <w:suppressAutoHyphens/>
      </w:pPr>
      <w:r w:rsidRPr="005F055E">
        <w:t>Vraag 19</w:t>
      </w:r>
      <w:r w:rsidRPr="005F055E">
        <w:tab/>
      </w:r>
    </w:p>
    <w:p w:rsidRPr="005F055E" w:rsidR="000478A7" w:rsidP="00180EEB" w:rsidRDefault="003E7003" w14:paraId="55D60DF9" w14:textId="77777777">
      <w:pPr>
        <w:suppressAutoHyphens/>
      </w:pPr>
      <w:r w:rsidRPr="005F055E">
        <w:t>Waarom is bij VWS gekozen voor een andere benadering van inflatiecorrectie dan bij andere ministeries?</w:t>
      </w:r>
      <w:r w:rsidRPr="005F055E">
        <w:tab/>
      </w:r>
    </w:p>
    <w:p w:rsidRPr="005F055E" w:rsidR="003E7003" w:rsidP="00180EEB" w:rsidRDefault="003E7003" w14:paraId="6F097FAE" w14:textId="223B3E69">
      <w:pPr>
        <w:suppressAutoHyphens/>
      </w:pPr>
      <w:r w:rsidRPr="005F055E">
        <w:t>Antwoord</w:t>
      </w:r>
    </w:p>
    <w:p w:rsidRPr="005F055E" w:rsidR="000478A7" w:rsidP="00180EEB" w:rsidRDefault="004203EE" w14:paraId="0D2E382F" w14:textId="6D183FD7">
      <w:pPr>
        <w:suppressAutoHyphens/>
        <w:spacing w:line="240" w:lineRule="atLeast"/>
        <w:rPr>
          <w:szCs w:val="18"/>
          <w:lang w:eastAsia="nl-NL"/>
        </w:rPr>
      </w:pPr>
      <w:r w:rsidRPr="005F055E">
        <w:rPr>
          <w:szCs w:val="18"/>
          <w:lang w:eastAsia="nl-NL"/>
        </w:rPr>
        <w:t>De inzet van loon- en prijsbijstelling is een kabinetsbesluit. Doordat andere prioriteiten voorrang kunnen krijgen, kan de omgang met inflatiecorrectie per jaar en per departement verschillen.</w:t>
      </w:r>
    </w:p>
    <w:p w:rsidRPr="005F055E" w:rsidR="007B58FB" w:rsidP="00180EEB" w:rsidRDefault="007B58FB" w14:paraId="641E9CF0" w14:textId="77777777">
      <w:pPr>
        <w:suppressAutoHyphens/>
      </w:pPr>
    </w:p>
    <w:p w:rsidRPr="005F055E" w:rsidR="000478A7" w:rsidP="00180EEB" w:rsidRDefault="003E7003" w14:paraId="763C26F8" w14:textId="77777777">
      <w:pPr>
        <w:suppressAutoHyphens/>
      </w:pPr>
      <w:r w:rsidRPr="005F055E">
        <w:t>Vraag 20</w:t>
      </w:r>
      <w:r w:rsidRPr="005F055E">
        <w:tab/>
      </w:r>
    </w:p>
    <w:p w:rsidRPr="005F055E" w:rsidR="000478A7" w:rsidP="00180EEB" w:rsidRDefault="003E7003" w14:paraId="040F21CB" w14:textId="77777777">
      <w:pPr>
        <w:suppressAutoHyphens/>
      </w:pPr>
      <w:r w:rsidRPr="005F055E">
        <w:t>Hoe wordt gewaarborgd dat het niet volledig doorvoeren van inflatiecorrectie een eenmalige maatregel blijft?</w:t>
      </w:r>
      <w:r w:rsidRPr="005F055E">
        <w:tab/>
      </w:r>
    </w:p>
    <w:p w:rsidRPr="005F055E" w:rsidR="003E7003" w:rsidP="00180EEB" w:rsidRDefault="003E7003" w14:paraId="5A743909" w14:textId="7CAFEC74">
      <w:pPr>
        <w:suppressAutoHyphens/>
      </w:pPr>
      <w:r w:rsidRPr="005F055E">
        <w:t>Antwoord</w:t>
      </w:r>
    </w:p>
    <w:p w:rsidRPr="005F055E" w:rsidR="000478A7" w:rsidP="00180EEB" w:rsidRDefault="004203EE" w14:paraId="71147FB7" w14:textId="20465FB5">
      <w:pPr>
        <w:suppressAutoHyphens/>
        <w:spacing w:line="240" w:lineRule="atLeast"/>
        <w:rPr>
          <w:szCs w:val="18"/>
          <w:lang w:eastAsia="nl-NL"/>
        </w:rPr>
      </w:pPr>
      <w:r w:rsidRPr="005F055E">
        <w:rPr>
          <w:szCs w:val="18"/>
          <w:lang w:eastAsia="nl-NL"/>
        </w:rPr>
        <w:t>VWS streeft ernaar om in de toekomst inflatiecorrectie toe te kunnen passen op de gesubsidieerde instellingen. Dit blijft echter onderdeel van de financiële besluitvorming.</w:t>
      </w:r>
    </w:p>
    <w:p w:rsidRPr="005F055E" w:rsidR="007B58FB" w:rsidP="00180EEB" w:rsidRDefault="007B58FB" w14:paraId="41DB9EED" w14:textId="77777777">
      <w:pPr>
        <w:suppressAutoHyphens/>
      </w:pPr>
    </w:p>
    <w:p w:rsidRPr="005F055E" w:rsidR="000478A7" w:rsidP="00180EEB" w:rsidRDefault="003E7003" w14:paraId="23CD48EE" w14:textId="77777777">
      <w:pPr>
        <w:suppressAutoHyphens/>
      </w:pPr>
      <w:r w:rsidRPr="005F055E">
        <w:t>Vraag 21</w:t>
      </w:r>
      <w:r w:rsidRPr="005F055E">
        <w:tab/>
      </w:r>
    </w:p>
    <w:p w:rsidRPr="005F055E" w:rsidR="000478A7" w:rsidP="00180EEB" w:rsidRDefault="003E7003" w14:paraId="0BC67B49" w14:textId="77777777">
      <w:pPr>
        <w:suppressAutoHyphens/>
      </w:pPr>
      <w:r w:rsidRPr="005F055E">
        <w:t>Op welke wijze verzekert u dat organisaties in het VWS-domein niet structureel het sluitstuk van bezuinigingsmaatregelen vormen door telkens inflatiecorrectie te missen?</w:t>
      </w:r>
      <w:r w:rsidRPr="005F055E">
        <w:tab/>
      </w:r>
    </w:p>
    <w:p w:rsidRPr="005F055E" w:rsidR="003E7003" w:rsidP="00180EEB" w:rsidRDefault="003E7003" w14:paraId="37BCEDCE" w14:textId="1573851E">
      <w:pPr>
        <w:suppressAutoHyphens/>
      </w:pPr>
      <w:r w:rsidRPr="005F055E">
        <w:t>Antwoord</w:t>
      </w:r>
    </w:p>
    <w:p w:rsidRPr="005F055E" w:rsidR="000478A7" w:rsidP="00180EEB" w:rsidRDefault="004203EE" w14:paraId="6C665439" w14:textId="1CB9D5A8">
      <w:pPr>
        <w:suppressAutoHyphens/>
        <w:spacing w:line="240" w:lineRule="atLeast"/>
        <w:rPr>
          <w:szCs w:val="18"/>
          <w:lang w:eastAsia="nl-NL"/>
        </w:rPr>
      </w:pPr>
      <w:r w:rsidRPr="005F055E">
        <w:rPr>
          <w:szCs w:val="18"/>
          <w:lang w:eastAsia="nl-NL"/>
        </w:rPr>
        <w:t>VWS streeft ernaar om in de toekomst inflatiecorrectie toe te kunnen passen op de gesubsidieerde instellingen. Dit blijft echter onderdeel van de financiële besluitvorming.</w:t>
      </w:r>
    </w:p>
    <w:p w:rsidR="009873CE" w:rsidP="00180EEB" w:rsidRDefault="009873CE" w14:paraId="465E390E" w14:textId="77777777">
      <w:pPr>
        <w:suppressAutoHyphens/>
      </w:pPr>
    </w:p>
    <w:p w:rsidR="009873CE" w:rsidP="00180EEB" w:rsidRDefault="009873CE" w14:paraId="7DE4E8EA" w14:textId="77777777">
      <w:pPr>
        <w:suppressAutoHyphens/>
      </w:pPr>
    </w:p>
    <w:p w:rsidRPr="005F055E" w:rsidR="000478A7" w:rsidP="00180EEB" w:rsidRDefault="003E7003" w14:paraId="7484E84C" w14:textId="27BFA335">
      <w:pPr>
        <w:suppressAutoHyphens/>
      </w:pPr>
      <w:r w:rsidRPr="005F055E">
        <w:t>Vraag 22</w:t>
      </w:r>
      <w:r w:rsidRPr="005F055E">
        <w:tab/>
      </w:r>
    </w:p>
    <w:p w:rsidRPr="005F055E" w:rsidR="000478A7" w:rsidP="00180EEB" w:rsidRDefault="003E7003" w14:paraId="42F2180A" w14:textId="30097078">
      <w:pPr>
        <w:suppressAutoHyphens/>
      </w:pPr>
      <w:r w:rsidRPr="005F055E">
        <w:t xml:space="preserve">Hoe ontwikkelt de omvang van de wachtlijsten zich per type behandeling (zoals oncologie, </w:t>
      </w:r>
      <w:r w:rsidR="00D55762">
        <w:t>GGZ</w:t>
      </w:r>
      <w:r w:rsidRPr="005F055E">
        <w:t>, oogheelkunde, orthopedie en verpleeghuiszorg) in aanloop naar 2026 en in hoeverre is dat per sector individueel meegewogen?</w:t>
      </w:r>
      <w:r w:rsidRPr="005F055E">
        <w:tab/>
      </w:r>
    </w:p>
    <w:p w:rsidRPr="005F055E" w:rsidR="003E7003" w:rsidP="00180EEB" w:rsidRDefault="003E7003" w14:paraId="65FBC203" w14:textId="29D09BB4">
      <w:pPr>
        <w:suppressAutoHyphens/>
      </w:pPr>
      <w:r w:rsidRPr="005F055E">
        <w:t>Antwoord</w:t>
      </w:r>
    </w:p>
    <w:p w:rsidRPr="005F055E" w:rsidR="00280175" w:rsidP="00180EEB" w:rsidRDefault="00280175" w14:paraId="19E94A2A" w14:textId="77777777">
      <w:pPr>
        <w:suppressAutoHyphens/>
        <w:spacing w:line="240" w:lineRule="atLeast"/>
        <w:rPr>
          <w:b/>
          <w:bCs/>
          <w:szCs w:val="18"/>
          <w:lang w:eastAsia="nl-NL"/>
        </w:rPr>
      </w:pPr>
      <w:r w:rsidRPr="005F055E">
        <w:rPr>
          <w:b/>
          <w:bCs/>
          <w:szCs w:val="18"/>
          <w:lang w:eastAsia="nl-NL"/>
        </w:rPr>
        <w:t>Medisch specialistische zorg</w:t>
      </w:r>
    </w:p>
    <w:p w:rsidRPr="005F055E" w:rsidR="00280175" w:rsidP="00180EEB" w:rsidRDefault="00280175" w14:paraId="0D28B71E" w14:textId="7AB4F187">
      <w:pPr>
        <w:suppressAutoHyphens/>
        <w:spacing w:line="240" w:lineRule="atLeast"/>
        <w:rPr>
          <w:szCs w:val="18"/>
          <w:lang w:eastAsia="nl-NL"/>
        </w:rPr>
      </w:pPr>
      <w:r w:rsidRPr="005F055E">
        <w:rPr>
          <w:szCs w:val="18"/>
          <w:lang w:eastAsia="nl-NL"/>
        </w:rPr>
        <w:t>Voor de medisch specialistische behandelingen is er geen landelijk inzicht in de omvang van wacht</w:t>
      </w:r>
      <w:r w:rsidRPr="005F055E">
        <w:rPr>
          <w:szCs w:val="18"/>
          <w:u w:val="single"/>
          <w:lang w:eastAsia="nl-NL"/>
        </w:rPr>
        <w:t>lijsten</w:t>
      </w:r>
      <w:r w:rsidRPr="005F055E">
        <w:rPr>
          <w:szCs w:val="18"/>
          <w:lang w:eastAsia="nl-NL"/>
        </w:rPr>
        <w:t xml:space="preserve">. </w:t>
      </w:r>
    </w:p>
    <w:p w:rsidRPr="005F055E" w:rsidR="00280175" w:rsidP="00180EEB" w:rsidRDefault="00280175" w14:paraId="6E05B8B0" w14:textId="77777777">
      <w:pPr>
        <w:suppressAutoHyphens/>
        <w:spacing w:line="240" w:lineRule="atLeast"/>
        <w:rPr>
          <w:szCs w:val="18"/>
          <w:lang w:eastAsia="nl-NL"/>
        </w:rPr>
      </w:pPr>
      <w:r w:rsidRPr="005F055E">
        <w:rPr>
          <w:szCs w:val="18"/>
          <w:lang w:eastAsia="nl-NL"/>
        </w:rPr>
        <w:t>Wel verzamelt de Nederlandse Zorgautoriteit (</w:t>
      </w:r>
      <w:proofErr w:type="spellStart"/>
      <w:r w:rsidRPr="005F055E">
        <w:rPr>
          <w:szCs w:val="18"/>
          <w:lang w:eastAsia="nl-NL"/>
        </w:rPr>
        <w:t>NZa</w:t>
      </w:r>
      <w:proofErr w:type="spellEnd"/>
      <w:r w:rsidRPr="005F055E">
        <w:rPr>
          <w:szCs w:val="18"/>
          <w:lang w:eastAsia="nl-NL"/>
        </w:rPr>
        <w:t>) informatie over wacht</w:t>
      </w:r>
      <w:r w:rsidRPr="005F055E">
        <w:rPr>
          <w:szCs w:val="18"/>
          <w:u w:val="single"/>
          <w:lang w:eastAsia="nl-NL"/>
        </w:rPr>
        <w:t>tijden</w:t>
      </w:r>
      <w:r w:rsidRPr="005F055E">
        <w:rPr>
          <w:szCs w:val="18"/>
          <w:lang w:eastAsia="nl-NL"/>
        </w:rPr>
        <w:t xml:space="preserve"> bij medisch specialistische zorgaanbieders conform de Regeling Aanleveren wachttijden medisch-specialistische zorg (NR/REG-2421). De monitor laat zien dat de wachttijden vaak langer zijn dan de Treeknormen (Monitor Toegankelijkheid van zorg – 22 juli 2025 – De </w:t>
      </w:r>
      <w:proofErr w:type="spellStart"/>
      <w:r w:rsidRPr="005F055E">
        <w:rPr>
          <w:szCs w:val="18"/>
          <w:lang w:eastAsia="nl-NL"/>
        </w:rPr>
        <w:t>NZa</w:t>
      </w:r>
      <w:proofErr w:type="spellEnd"/>
      <w:r w:rsidRPr="005F055E">
        <w:rPr>
          <w:szCs w:val="18"/>
          <w:lang w:eastAsia="nl-NL"/>
        </w:rPr>
        <w:t>). De groeiende zorgvraag is namelijk steeds lastiger op te vangen. Zorgverzekeraars hebben de plicht om voldoende zorg in te kopen voor hun verzekerden. De verzekeraars houden bij het maken van afspraken met aanbieders, rekening met de zorgvraag in de regio. In het Aanvullend Zorg- en Welzijnsakkoord zijn afspraken (onder fiche C3) gemaakt om de transparantie en inzichten in wachtlijsten te verbeteren en actieve zorgbemiddeling mogelijk te maken.</w:t>
      </w:r>
    </w:p>
    <w:p w:rsidRPr="005F055E" w:rsidR="00280175" w:rsidP="00180EEB" w:rsidRDefault="00D55762" w14:paraId="2F7202D1" w14:textId="19C8538E">
      <w:pPr>
        <w:suppressAutoHyphens/>
        <w:spacing w:line="240" w:lineRule="atLeast"/>
        <w:rPr>
          <w:b/>
          <w:bCs/>
          <w:szCs w:val="18"/>
          <w:lang w:eastAsia="nl-NL"/>
        </w:rPr>
      </w:pPr>
      <w:r>
        <w:rPr>
          <w:b/>
          <w:bCs/>
          <w:szCs w:val="18"/>
          <w:lang w:eastAsia="nl-NL"/>
        </w:rPr>
        <w:t>GGZ</w:t>
      </w:r>
    </w:p>
    <w:p w:rsidRPr="005F055E" w:rsidR="00280175" w:rsidP="00180EEB" w:rsidRDefault="00280175" w14:paraId="6EE0CC8D" w14:textId="06FEC044">
      <w:pPr>
        <w:suppressAutoHyphens/>
        <w:spacing w:line="240" w:lineRule="atLeast"/>
        <w:rPr>
          <w:szCs w:val="18"/>
          <w:lang w:eastAsia="nl-NL"/>
        </w:rPr>
      </w:pPr>
      <w:bookmarkStart w:name="_Hlk210848950" w:id="0"/>
      <w:r w:rsidRPr="005F055E">
        <w:rPr>
          <w:szCs w:val="18"/>
          <w:lang w:eastAsia="nl-NL"/>
        </w:rPr>
        <w:t xml:space="preserve">Ook voor de </w:t>
      </w:r>
      <w:r w:rsidR="00D55762">
        <w:rPr>
          <w:szCs w:val="18"/>
          <w:lang w:eastAsia="nl-NL"/>
        </w:rPr>
        <w:t>GGZ</w:t>
      </w:r>
      <w:r w:rsidRPr="005F055E">
        <w:rPr>
          <w:szCs w:val="18"/>
          <w:lang w:eastAsia="nl-NL"/>
        </w:rPr>
        <w:t xml:space="preserve"> geldt dat er geen inzicht is in het aantal mensen dat wacht op een behandeling in de </w:t>
      </w:r>
      <w:r w:rsidR="00D55762">
        <w:rPr>
          <w:szCs w:val="18"/>
          <w:lang w:eastAsia="nl-NL"/>
        </w:rPr>
        <w:t>GGZ</w:t>
      </w:r>
      <w:r w:rsidRPr="005F055E">
        <w:rPr>
          <w:szCs w:val="18"/>
          <w:lang w:eastAsia="nl-NL"/>
        </w:rPr>
        <w:t xml:space="preserve">. Wel verzamelt de </w:t>
      </w:r>
      <w:proofErr w:type="spellStart"/>
      <w:r w:rsidRPr="005F055E">
        <w:rPr>
          <w:szCs w:val="18"/>
          <w:lang w:eastAsia="nl-NL"/>
        </w:rPr>
        <w:t>NZa</w:t>
      </w:r>
      <w:proofErr w:type="spellEnd"/>
      <w:r w:rsidRPr="005F055E">
        <w:rPr>
          <w:szCs w:val="18"/>
          <w:lang w:eastAsia="nl-NL"/>
        </w:rPr>
        <w:t xml:space="preserve"> informatie over wachtplekken en wachttijden bij </w:t>
      </w:r>
      <w:r w:rsidR="00D55762">
        <w:rPr>
          <w:szCs w:val="18"/>
          <w:lang w:eastAsia="nl-NL"/>
        </w:rPr>
        <w:t>GGZ</w:t>
      </w:r>
      <w:r w:rsidR="005A01FE">
        <w:rPr>
          <w:szCs w:val="18"/>
          <w:lang w:eastAsia="nl-NL"/>
        </w:rPr>
        <w:t>-</w:t>
      </w:r>
      <w:r w:rsidRPr="005F055E">
        <w:rPr>
          <w:szCs w:val="18"/>
          <w:lang w:eastAsia="nl-NL"/>
        </w:rPr>
        <w:t xml:space="preserve">aanbieders conform de regeling Transparantieregeling (NR/REG-2219a). Uit de meest recente informatiekaart </w:t>
      </w:r>
      <w:r w:rsidRPr="005F055E">
        <w:rPr>
          <w:i/>
          <w:iCs/>
          <w:szCs w:val="18"/>
          <w:lang w:eastAsia="nl-NL"/>
        </w:rPr>
        <w:t xml:space="preserve">Wachttijden en wachtplekken </w:t>
      </w:r>
      <w:r w:rsidR="00D55762">
        <w:rPr>
          <w:i/>
          <w:iCs/>
          <w:szCs w:val="18"/>
          <w:lang w:eastAsia="nl-NL"/>
        </w:rPr>
        <w:t>GGZ</w:t>
      </w:r>
      <w:r w:rsidRPr="005F055E">
        <w:rPr>
          <w:szCs w:val="18"/>
          <w:lang w:eastAsia="nl-NL"/>
        </w:rPr>
        <w:t xml:space="preserve"> (oktober 2024) en de Monitor Toegankelijkheid van zorg (juli 2025) blijkt dat de toegankelijkheid van de </w:t>
      </w:r>
      <w:r w:rsidR="00D55762">
        <w:rPr>
          <w:szCs w:val="18"/>
          <w:lang w:eastAsia="nl-NL"/>
        </w:rPr>
        <w:t>GGZ</w:t>
      </w:r>
      <w:r w:rsidRPr="005F055E">
        <w:rPr>
          <w:szCs w:val="18"/>
          <w:lang w:eastAsia="nl-NL"/>
        </w:rPr>
        <w:t xml:space="preserve"> helaas niet is verbeterd is ten opzichte van afgelopen jaren. </w:t>
      </w:r>
    </w:p>
    <w:p w:rsidRPr="005F055E" w:rsidR="00280175" w:rsidP="00180EEB" w:rsidRDefault="00280175" w14:paraId="411427D9" w14:textId="7A5E9E15">
      <w:pPr>
        <w:suppressAutoHyphens/>
        <w:spacing w:line="240" w:lineRule="atLeast"/>
        <w:rPr>
          <w:szCs w:val="18"/>
          <w:lang w:eastAsia="nl-NL"/>
        </w:rPr>
      </w:pPr>
      <w:r w:rsidRPr="005F055E">
        <w:rPr>
          <w:szCs w:val="18"/>
          <w:lang w:eastAsia="nl-NL"/>
        </w:rPr>
        <w:t xml:space="preserve">Het verbeteren van de wachttijdinformatie in de </w:t>
      </w:r>
      <w:r w:rsidR="00D55762">
        <w:rPr>
          <w:szCs w:val="18"/>
          <w:lang w:eastAsia="nl-NL"/>
        </w:rPr>
        <w:t>GGZ</w:t>
      </w:r>
      <w:r w:rsidRPr="005F055E">
        <w:rPr>
          <w:szCs w:val="18"/>
          <w:lang w:eastAsia="nl-NL"/>
        </w:rPr>
        <w:t xml:space="preserve"> is onderdeel van het IZA en het AZWA. De </w:t>
      </w:r>
      <w:proofErr w:type="spellStart"/>
      <w:r w:rsidRPr="005F055E">
        <w:rPr>
          <w:szCs w:val="18"/>
          <w:lang w:eastAsia="nl-NL"/>
        </w:rPr>
        <w:t>NZa</w:t>
      </w:r>
      <w:proofErr w:type="spellEnd"/>
      <w:r w:rsidRPr="005F055E">
        <w:rPr>
          <w:szCs w:val="18"/>
          <w:lang w:eastAsia="nl-NL"/>
        </w:rPr>
        <w:t>, zorgverzekeraars en aanbieders versterken gezamenlijk de datakwaliteit en transparantie via verbeteringen in het Zorgbeeldportaal, een pilot met declaratiedata en de ontwikkeling van een landelijk wachttijdendashboard. Het streven is dat het regionale inzicht in wachttijden uiterlijk in 2026 significant is verbeterd.</w:t>
      </w:r>
      <w:bookmarkEnd w:id="0"/>
    </w:p>
    <w:p w:rsidRPr="005F055E" w:rsidR="00280175" w:rsidP="00180EEB" w:rsidRDefault="00280175" w14:paraId="4630FFD1" w14:textId="77777777">
      <w:pPr>
        <w:suppressAutoHyphens/>
        <w:spacing w:line="240" w:lineRule="atLeast"/>
        <w:rPr>
          <w:b/>
          <w:bCs/>
          <w:szCs w:val="18"/>
          <w:lang w:eastAsia="nl-NL"/>
        </w:rPr>
      </w:pPr>
      <w:bookmarkStart w:name="_Hlk210853841" w:id="1"/>
      <w:r w:rsidRPr="005F055E">
        <w:rPr>
          <w:b/>
          <w:bCs/>
          <w:szCs w:val="18"/>
          <w:lang w:eastAsia="nl-NL"/>
        </w:rPr>
        <w:t>Verpleeghuiszorg</w:t>
      </w:r>
    </w:p>
    <w:p w:rsidRPr="005F055E" w:rsidR="00280175" w:rsidP="00180EEB" w:rsidRDefault="00280175" w14:paraId="110B559F" w14:textId="73038BA1">
      <w:pPr>
        <w:suppressAutoHyphens/>
        <w:spacing w:line="240" w:lineRule="atLeast"/>
        <w:rPr>
          <w:szCs w:val="18"/>
          <w:lang w:eastAsia="nl-NL"/>
        </w:rPr>
      </w:pPr>
      <w:r w:rsidRPr="005F055E">
        <w:rPr>
          <w:szCs w:val="18"/>
          <w:lang w:eastAsia="nl-NL"/>
        </w:rPr>
        <w:t>Het Zorginstituut publiceert elke maand de wachtlijstinformatie op www.zorgcijfersdatabank.nl. Daarbij wordt scherp gekeken naar de zorgbehoefte van de wachtende. Daarom wordt in de wachtlijstmonitor onderscheid gemaakt tussen drie categorieën wachtenden: Acuut wachtenden; Actief plaatsen; Wachten op voorkeur.</w:t>
      </w:r>
    </w:p>
    <w:p w:rsidRPr="005F055E" w:rsidR="00280175" w:rsidP="00180EEB" w:rsidRDefault="00280175" w14:paraId="0F64AE51" w14:textId="202E3E8D">
      <w:pPr>
        <w:suppressAutoHyphens/>
        <w:spacing w:line="240" w:lineRule="atLeast"/>
        <w:rPr>
          <w:szCs w:val="18"/>
          <w:lang w:eastAsia="nl-NL"/>
        </w:rPr>
      </w:pPr>
      <w:r w:rsidRPr="005F055E">
        <w:rPr>
          <w:szCs w:val="18"/>
          <w:lang w:eastAsia="nl-NL"/>
        </w:rPr>
        <w:t>Het merendeel van de wachtenden wacht op voorkeur en ontvangt momenteel zorg thuis en er is ook geen dringende noodzaak tot opname in het verpleeghuis. Dit geldt wel voor de urgent wachtenden en de actief te plaatsen cliënten. Voor deze cliënten is er een actief beleid van zorgkantoren om binnen de geldende termijnen, een plek in een verpleeghuis te regelen.</w:t>
      </w:r>
    </w:p>
    <w:p w:rsidRPr="005F055E" w:rsidR="00280175" w:rsidP="00180EEB" w:rsidRDefault="00280175" w14:paraId="601144DD" w14:textId="2922760D">
      <w:pPr>
        <w:suppressAutoHyphens/>
        <w:spacing w:line="240" w:lineRule="atLeast"/>
        <w:rPr>
          <w:szCs w:val="18"/>
          <w:lang w:eastAsia="nl-NL"/>
        </w:rPr>
      </w:pPr>
      <w:r w:rsidRPr="005F055E">
        <w:rPr>
          <w:szCs w:val="18"/>
          <w:lang w:eastAsia="nl-NL"/>
        </w:rPr>
        <w:t xml:space="preserve">De meest recente wachtlijstinformatie voor verpleging en verzorging is van 1 augustus 2025. </w:t>
      </w:r>
    </w:p>
    <w:tbl>
      <w:tblPr>
        <w:tblStyle w:val="Tabelraster"/>
        <w:tblW w:w="0" w:type="auto"/>
        <w:tblLook w:val="04A0" w:firstRow="1" w:lastRow="0" w:firstColumn="1" w:lastColumn="0" w:noHBand="0" w:noVBand="1"/>
      </w:tblPr>
      <w:tblGrid>
        <w:gridCol w:w="2299"/>
        <w:gridCol w:w="1284"/>
        <w:gridCol w:w="1284"/>
        <w:gridCol w:w="1284"/>
        <w:gridCol w:w="1284"/>
      </w:tblGrid>
      <w:tr w:rsidRPr="005F055E" w:rsidR="00280175" w:rsidTr="005E2643" w14:paraId="0E1BBC5D" w14:textId="77777777">
        <w:tc>
          <w:tcPr>
            <w:tcW w:w="2299"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118BBB90" w14:textId="77777777">
            <w:pPr>
              <w:suppressAutoHyphens/>
              <w:spacing w:line="276" w:lineRule="auto"/>
              <w:rPr>
                <w:rFonts w:ascii="Verdana" w:hAnsi="Verdana"/>
                <w:b/>
                <w:bCs/>
                <w:kern w:val="2"/>
                <w:sz w:val="18"/>
                <w:szCs w:val="18"/>
                <w14:ligatures w14:val="standardContextual"/>
              </w:rPr>
            </w:pPr>
          </w:p>
        </w:tc>
        <w:tc>
          <w:tcPr>
            <w:tcW w:w="1284"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38A73EA8"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1-8-2022</w:t>
            </w:r>
          </w:p>
        </w:tc>
        <w:tc>
          <w:tcPr>
            <w:tcW w:w="1284"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031B877B"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1-8-2023</w:t>
            </w:r>
          </w:p>
        </w:tc>
        <w:tc>
          <w:tcPr>
            <w:tcW w:w="1284"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522921FF"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1-8-2024</w:t>
            </w:r>
          </w:p>
        </w:tc>
        <w:tc>
          <w:tcPr>
            <w:tcW w:w="1284"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0F0A02D7"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1-8-2025</w:t>
            </w:r>
          </w:p>
        </w:tc>
      </w:tr>
      <w:tr w:rsidRPr="005F055E" w:rsidR="00280175" w:rsidTr="005E2643" w14:paraId="6E1C72C0" w14:textId="77777777">
        <w:tc>
          <w:tcPr>
            <w:tcW w:w="2299" w:type="dxa"/>
            <w:tcBorders>
              <w:top w:val="single" w:color="auto" w:sz="4" w:space="0"/>
              <w:left w:val="single" w:color="auto" w:sz="4" w:space="0"/>
              <w:bottom w:val="single" w:color="auto" w:sz="4" w:space="0"/>
              <w:right w:val="single" w:color="auto" w:sz="4" w:space="0"/>
            </w:tcBorders>
            <w:hideMark/>
          </w:tcPr>
          <w:p w:rsidRPr="005F055E" w:rsidR="00280175" w:rsidP="00180EEB" w:rsidRDefault="00280175" w14:paraId="5915EF7C"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Urgent plaatsen</w:t>
            </w:r>
          </w:p>
        </w:tc>
        <w:tc>
          <w:tcPr>
            <w:tcW w:w="1284"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39914EA0"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306</w:t>
            </w:r>
          </w:p>
        </w:tc>
        <w:tc>
          <w:tcPr>
            <w:tcW w:w="1284"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16821D27"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318</w:t>
            </w:r>
          </w:p>
        </w:tc>
        <w:tc>
          <w:tcPr>
            <w:tcW w:w="1284"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18A53085"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305</w:t>
            </w:r>
          </w:p>
        </w:tc>
        <w:tc>
          <w:tcPr>
            <w:tcW w:w="1284"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14431F82"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312</w:t>
            </w:r>
          </w:p>
        </w:tc>
      </w:tr>
      <w:tr w:rsidRPr="005F055E" w:rsidR="00280175" w:rsidTr="005E2643" w14:paraId="46A2E4FC" w14:textId="77777777">
        <w:tc>
          <w:tcPr>
            <w:tcW w:w="2299" w:type="dxa"/>
            <w:tcBorders>
              <w:top w:val="single" w:color="auto" w:sz="4" w:space="0"/>
              <w:left w:val="single" w:color="auto" w:sz="4" w:space="0"/>
              <w:bottom w:val="single" w:color="auto" w:sz="4" w:space="0"/>
              <w:right w:val="single" w:color="auto" w:sz="4" w:space="0"/>
            </w:tcBorders>
            <w:hideMark/>
          </w:tcPr>
          <w:p w:rsidRPr="005F055E" w:rsidR="00280175" w:rsidP="00180EEB" w:rsidRDefault="00280175" w14:paraId="546B1640"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Actief plaatsen</w:t>
            </w:r>
          </w:p>
        </w:tc>
        <w:tc>
          <w:tcPr>
            <w:tcW w:w="1284"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2B4181AC"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3.848</w:t>
            </w:r>
          </w:p>
        </w:tc>
        <w:tc>
          <w:tcPr>
            <w:tcW w:w="1284"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0B1876F5"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3.880</w:t>
            </w:r>
          </w:p>
        </w:tc>
        <w:tc>
          <w:tcPr>
            <w:tcW w:w="1284"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449855D1"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3.756</w:t>
            </w:r>
          </w:p>
        </w:tc>
        <w:tc>
          <w:tcPr>
            <w:tcW w:w="1284"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23211156"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3.852</w:t>
            </w:r>
          </w:p>
        </w:tc>
      </w:tr>
      <w:tr w:rsidRPr="005F055E" w:rsidR="00280175" w:rsidTr="005E2643" w14:paraId="1A9F3A00" w14:textId="77777777">
        <w:tc>
          <w:tcPr>
            <w:tcW w:w="2299" w:type="dxa"/>
            <w:tcBorders>
              <w:top w:val="single" w:color="auto" w:sz="4" w:space="0"/>
              <w:left w:val="single" w:color="auto" w:sz="4" w:space="0"/>
              <w:bottom w:val="single" w:color="auto" w:sz="4" w:space="0"/>
              <w:right w:val="single" w:color="auto" w:sz="4" w:space="0"/>
            </w:tcBorders>
            <w:hideMark/>
          </w:tcPr>
          <w:p w:rsidRPr="005F055E" w:rsidR="00280175" w:rsidP="00180EEB" w:rsidRDefault="00280175" w14:paraId="72378218"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Wachten op voorkeur</w:t>
            </w:r>
          </w:p>
        </w:tc>
        <w:tc>
          <w:tcPr>
            <w:tcW w:w="1284"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5686B7CC"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16.605</w:t>
            </w:r>
          </w:p>
        </w:tc>
        <w:tc>
          <w:tcPr>
            <w:tcW w:w="1284"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0945E84D"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17.579</w:t>
            </w:r>
          </w:p>
        </w:tc>
        <w:tc>
          <w:tcPr>
            <w:tcW w:w="1284"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59ED879F"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16.400</w:t>
            </w:r>
          </w:p>
        </w:tc>
        <w:tc>
          <w:tcPr>
            <w:tcW w:w="1284"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0878BAB4"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13.763</w:t>
            </w:r>
          </w:p>
        </w:tc>
      </w:tr>
      <w:tr w:rsidRPr="005F055E" w:rsidR="00280175" w:rsidTr="005E2643" w14:paraId="7985C1E2" w14:textId="77777777">
        <w:tc>
          <w:tcPr>
            <w:tcW w:w="2299" w:type="dxa"/>
            <w:tcBorders>
              <w:top w:val="single" w:color="auto" w:sz="4" w:space="0"/>
              <w:left w:val="single" w:color="auto" w:sz="4" w:space="0"/>
              <w:bottom w:val="single" w:color="auto" w:sz="4" w:space="0"/>
              <w:right w:val="single" w:color="auto" w:sz="4" w:space="0"/>
            </w:tcBorders>
            <w:hideMark/>
          </w:tcPr>
          <w:p w:rsidRPr="005F055E" w:rsidR="00280175" w:rsidP="00180EEB" w:rsidRDefault="00280175" w14:paraId="6980C4B9"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Totaal</w:t>
            </w:r>
          </w:p>
        </w:tc>
        <w:tc>
          <w:tcPr>
            <w:tcW w:w="1284"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0C07EC4A"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20.759</w:t>
            </w:r>
          </w:p>
        </w:tc>
        <w:tc>
          <w:tcPr>
            <w:tcW w:w="1284"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270088C2"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21.777</w:t>
            </w:r>
          </w:p>
        </w:tc>
        <w:tc>
          <w:tcPr>
            <w:tcW w:w="1284"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5A8B44F4"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20.461</w:t>
            </w:r>
          </w:p>
        </w:tc>
        <w:tc>
          <w:tcPr>
            <w:tcW w:w="1284" w:type="dxa"/>
            <w:tcBorders>
              <w:top w:val="single" w:color="auto" w:sz="4" w:space="0"/>
              <w:left w:val="single" w:color="auto" w:sz="4" w:space="0"/>
              <w:bottom w:val="single" w:color="auto" w:sz="4" w:space="0"/>
              <w:right w:val="single" w:color="auto" w:sz="4" w:space="0"/>
            </w:tcBorders>
          </w:tcPr>
          <w:p w:rsidRPr="005F055E" w:rsidR="00280175" w:rsidP="00180EEB" w:rsidRDefault="00280175" w14:paraId="2BE1339C"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17.927</w:t>
            </w:r>
          </w:p>
        </w:tc>
      </w:tr>
      <w:bookmarkEnd w:id="1"/>
    </w:tbl>
    <w:p w:rsidR="00885DD3" w:rsidP="00180EEB" w:rsidRDefault="00885DD3" w14:paraId="70CF2BE1" w14:textId="77777777">
      <w:pPr>
        <w:suppressAutoHyphens/>
      </w:pPr>
    </w:p>
    <w:p w:rsidR="009873CE" w:rsidP="00180EEB" w:rsidRDefault="009873CE" w14:paraId="25693CBC" w14:textId="77777777">
      <w:pPr>
        <w:suppressAutoHyphens/>
      </w:pPr>
    </w:p>
    <w:p w:rsidRPr="005F055E" w:rsidR="000478A7" w:rsidP="00180EEB" w:rsidRDefault="003E7003" w14:paraId="5AE93B00" w14:textId="3B64CF15">
      <w:pPr>
        <w:suppressAutoHyphens/>
      </w:pPr>
      <w:r w:rsidRPr="005F055E">
        <w:t>Vraag 23</w:t>
      </w:r>
      <w:r w:rsidRPr="005F055E">
        <w:tab/>
      </w:r>
    </w:p>
    <w:p w:rsidRPr="005F055E" w:rsidR="000478A7" w:rsidP="00180EEB" w:rsidRDefault="003E7003" w14:paraId="6F5FDEE5" w14:textId="77777777">
      <w:pPr>
        <w:suppressAutoHyphens/>
      </w:pPr>
      <w:r w:rsidRPr="005F055E">
        <w:t>Kunt u aangeven per specialisme hoeveel patiënten momenteel langer wachten dan de Treeknorm?</w:t>
      </w:r>
      <w:r w:rsidRPr="005F055E">
        <w:tab/>
      </w:r>
    </w:p>
    <w:p w:rsidRPr="005F055E" w:rsidR="003E7003" w:rsidP="00180EEB" w:rsidRDefault="003E7003" w14:paraId="064EE68D" w14:textId="408953C7">
      <w:pPr>
        <w:suppressAutoHyphens/>
      </w:pPr>
      <w:r w:rsidRPr="005F055E">
        <w:t>Antwoord</w:t>
      </w:r>
    </w:p>
    <w:p w:rsidRPr="005F055E" w:rsidR="00280175" w:rsidP="00180EEB" w:rsidRDefault="00280175" w14:paraId="73117184" w14:textId="77777777">
      <w:pPr>
        <w:suppressAutoHyphens/>
        <w:spacing w:line="240" w:lineRule="atLeast"/>
        <w:rPr>
          <w:szCs w:val="18"/>
          <w:lang w:eastAsia="nl-NL"/>
        </w:rPr>
      </w:pPr>
      <w:r w:rsidRPr="005F055E">
        <w:rPr>
          <w:szCs w:val="18"/>
          <w:lang w:eastAsia="nl-NL"/>
        </w:rPr>
        <w:t>Er bestaat momenteel geen landelijke registratie van het aantal mensen dat langer dan de Treeknorm moet wachten. Via de Nederlandse Zorgautoriteit (</w:t>
      </w:r>
      <w:proofErr w:type="spellStart"/>
      <w:r w:rsidRPr="005F055E">
        <w:rPr>
          <w:szCs w:val="18"/>
          <w:lang w:eastAsia="nl-NL"/>
        </w:rPr>
        <w:t>NZa</w:t>
      </w:r>
      <w:proofErr w:type="spellEnd"/>
      <w:r w:rsidRPr="005F055E">
        <w:rPr>
          <w:szCs w:val="18"/>
          <w:lang w:eastAsia="nl-NL"/>
        </w:rPr>
        <w:t xml:space="preserve">) worden onder andere de wachttijden verzameld. Deze zijn na te kijken via </w:t>
      </w:r>
      <w:proofErr w:type="spellStart"/>
      <w:r w:rsidRPr="005F055E">
        <w:rPr>
          <w:szCs w:val="18"/>
          <w:lang w:eastAsia="nl-NL"/>
        </w:rPr>
        <w:t>ZorgkaartNederland</w:t>
      </w:r>
      <w:proofErr w:type="spellEnd"/>
      <w:r w:rsidRPr="005F055E">
        <w:rPr>
          <w:szCs w:val="18"/>
          <w:lang w:eastAsia="nl-NL"/>
        </w:rPr>
        <w:t>.</w:t>
      </w:r>
    </w:p>
    <w:p w:rsidRPr="005F055E" w:rsidR="000478A7" w:rsidP="00180EEB" w:rsidRDefault="00280175" w14:paraId="587E5D7A" w14:textId="60FEB1DC">
      <w:pPr>
        <w:suppressAutoHyphens/>
        <w:spacing w:line="240" w:lineRule="atLeast"/>
        <w:rPr>
          <w:szCs w:val="18"/>
          <w:lang w:eastAsia="nl-NL"/>
        </w:rPr>
      </w:pPr>
      <w:r w:rsidRPr="005F055E">
        <w:rPr>
          <w:szCs w:val="18"/>
          <w:lang w:eastAsia="nl-NL"/>
        </w:rPr>
        <w:t>In het Aanvullend Zorg en Welzijnsakkoord hebben partijen afgesproken dat aanbieders per 1 januari 2026 het aantal wachtenden periodiek gaan aanleveren bij de Nederlandse Zorgautoriteit (</w:t>
      </w:r>
      <w:proofErr w:type="spellStart"/>
      <w:r w:rsidRPr="005F055E">
        <w:rPr>
          <w:szCs w:val="18"/>
          <w:lang w:eastAsia="nl-NL"/>
        </w:rPr>
        <w:t>NZa</w:t>
      </w:r>
      <w:proofErr w:type="spellEnd"/>
      <w:r w:rsidRPr="005F055E">
        <w:rPr>
          <w:szCs w:val="18"/>
          <w:lang w:eastAsia="nl-NL"/>
        </w:rPr>
        <w:t xml:space="preserve">) om inzicht te geven in het aantal wachtenden per specialisme per zorgverzekeraar. </w:t>
      </w:r>
    </w:p>
    <w:p w:rsidRPr="005F055E" w:rsidR="007B58FB" w:rsidP="00180EEB" w:rsidRDefault="007B58FB" w14:paraId="633C99FC" w14:textId="77777777">
      <w:pPr>
        <w:suppressAutoHyphens/>
      </w:pPr>
    </w:p>
    <w:p w:rsidRPr="005F055E" w:rsidR="000478A7" w:rsidP="00180EEB" w:rsidRDefault="003E7003" w14:paraId="32BF0D30" w14:textId="77777777">
      <w:pPr>
        <w:suppressAutoHyphens/>
      </w:pPr>
      <w:r w:rsidRPr="005F055E">
        <w:t>Vraag 24</w:t>
      </w:r>
      <w:r w:rsidRPr="005F055E">
        <w:tab/>
      </w:r>
    </w:p>
    <w:p w:rsidRPr="005F055E" w:rsidR="000478A7" w:rsidP="00180EEB" w:rsidRDefault="003E7003" w14:paraId="02C3E7A9" w14:textId="77777777">
      <w:pPr>
        <w:suppressAutoHyphens/>
      </w:pPr>
      <w:r w:rsidRPr="005F055E">
        <w:t>Hoeveel weken bedraagt de gemiddelde wachttijd voor een behandeling in de geestelijke gezondheidszorg in 2026 volgens de begrotingsramingen? Kan dit worden uitgesplitst naar hoog-complexe en laag-complexe zorgvragen?</w:t>
      </w:r>
      <w:r w:rsidRPr="005F055E">
        <w:tab/>
      </w:r>
    </w:p>
    <w:p w:rsidRPr="005F055E" w:rsidR="003E7003" w:rsidP="00180EEB" w:rsidRDefault="003E7003" w14:paraId="1BEF738F" w14:textId="6669C553">
      <w:pPr>
        <w:suppressAutoHyphens/>
      </w:pPr>
      <w:r w:rsidRPr="005F055E">
        <w:t>Antwoord</w:t>
      </w:r>
    </w:p>
    <w:p w:rsidRPr="005F055E" w:rsidR="000478A7" w:rsidP="00180EEB" w:rsidRDefault="007A1B64" w14:paraId="4046EBD4" w14:textId="352C66AE">
      <w:pPr>
        <w:suppressAutoHyphens/>
      </w:pPr>
      <w:r w:rsidRPr="005F055E">
        <w:t xml:space="preserve">Zowel de instroomaantallen als de wachttijden in de </w:t>
      </w:r>
      <w:r w:rsidR="00D55762">
        <w:t>GGZ</w:t>
      </w:r>
      <w:r w:rsidRPr="005F055E">
        <w:t xml:space="preserve"> verschillen sterk per diagnosegroep. Deze verschillen maken dat het berekenen van een gewogen algemeen gemiddelde wachttijd beperkte informatiewaarde heeft. We zien dat voor alle diagnosegroepen de maximale aanvaardbare wachttijd die zorgaanbieders en zorgverzekeraars samen hebben afgesproken wordt overschreden. (Monitor Toegankelijkheid van zorg–juli 2025– Nederlandse Zorgautoriteit). Bij de verzameling van wachttijdinformatie wordt vooralsnog geen onderscheid gemaakt in zwaarte van de zorgvraag, wel wordt er onderscheid gemaakt in basis- en specialistische </w:t>
      </w:r>
      <w:r w:rsidR="00D55762">
        <w:t>GGZ</w:t>
      </w:r>
      <w:r w:rsidRPr="005F055E">
        <w:t xml:space="preserve">. Er zijn geen wachtlijst-streeftijden opgesteld voor 2026. Wel zijn er in het AZWA afspraken gemaakt om de toegankelijkheid van de </w:t>
      </w:r>
      <w:r w:rsidR="00D55762">
        <w:t>GGZ</w:t>
      </w:r>
      <w:r w:rsidRPr="005F055E">
        <w:t xml:space="preserve"> te verbeteren.</w:t>
      </w:r>
    </w:p>
    <w:p w:rsidRPr="005F055E" w:rsidR="007B58FB" w:rsidP="00180EEB" w:rsidRDefault="007B58FB" w14:paraId="5638006F" w14:textId="77777777">
      <w:pPr>
        <w:suppressAutoHyphens/>
      </w:pPr>
    </w:p>
    <w:p w:rsidRPr="005F055E" w:rsidR="000478A7" w:rsidP="00180EEB" w:rsidRDefault="003E7003" w14:paraId="7611B345" w14:textId="77777777">
      <w:pPr>
        <w:suppressAutoHyphens/>
      </w:pPr>
      <w:r w:rsidRPr="005F055E">
        <w:t>Vraag 25</w:t>
      </w:r>
      <w:r w:rsidRPr="005F055E">
        <w:tab/>
      </w:r>
    </w:p>
    <w:p w:rsidRPr="005F055E" w:rsidR="000478A7" w:rsidP="00180EEB" w:rsidRDefault="003E7003" w14:paraId="3B8E0E8E" w14:textId="77777777">
      <w:pPr>
        <w:suppressAutoHyphens/>
      </w:pPr>
      <w:r w:rsidRPr="005F055E">
        <w:t>Wat zijn de actuele wachttijden voor planbare operaties, uitgesplitst naar type behandeling, en hoe verhouden deze zich tot vorig jaar?</w:t>
      </w:r>
      <w:r w:rsidRPr="005F055E">
        <w:tab/>
      </w:r>
    </w:p>
    <w:p w:rsidRPr="005F055E" w:rsidR="003E7003" w:rsidP="00180EEB" w:rsidRDefault="003E7003" w14:paraId="4C31019A" w14:textId="20175E6C">
      <w:pPr>
        <w:suppressAutoHyphens/>
      </w:pPr>
      <w:r w:rsidRPr="005F055E">
        <w:t>Antwoord</w:t>
      </w:r>
    </w:p>
    <w:p w:rsidRPr="005F055E" w:rsidR="00280175" w:rsidP="00180EEB" w:rsidRDefault="00280175" w14:paraId="6E370719" w14:textId="2C9013F8">
      <w:pPr>
        <w:suppressAutoHyphens/>
        <w:spacing w:line="240" w:lineRule="atLeast"/>
        <w:rPr>
          <w:szCs w:val="18"/>
          <w:lang w:eastAsia="nl-NL"/>
        </w:rPr>
      </w:pPr>
      <w:r w:rsidRPr="005F055E">
        <w:rPr>
          <w:szCs w:val="18"/>
          <w:lang w:eastAsia="nl-NL"/>
        </w:rPr>
        <w:t xml:space="preserve">Tabel 1 bevat de gemiddelde wachttijden voor veelvoorkomende planbare behandelingen in 2024 en 2025. Deze tabel is tot stand gekomen op basis van informatie vanuit de Regeling Aanleveren wachttijden medisch-specialistische zorg (NR/REG-2421). De lijst van behandelingen in deze regeling is tot stand gekomen in afstemming met partijen. </w:t>
      </w:r>
    </w:p>
    <w:p w:rsidR="00280175" w:rsidP="00180EEB" w:rsidRDefault="00280175" w14:paraId="69C782E3" w14:textId="736CB607">
      <w:pPr>
        <w:suppressAutoHyphens/>
        <w:spacing w:line="240" w:lineRule="atLeast"/>
        <w:rPr>
          <w:szCs w:val="18"/>
          <w:lang w:eastAsia="nl-NL"/>
        </w:rPr>
      </w:pPr>
      <w:r w:rsidRPr="005F055E">
        <w:rPr>
          <w:szCs w:val="18"/>
          <w:lang w:eastAsia="nl-NL"/>
        </w:rPr>
        <w:t>De wachttijden lijken voor een groot deel van onderstaande behandelingen licht te dalen ten opzichte van 2024. Voor een totaal beeld van de wachttijd tot een behandeling, moeten ook de wachttijden tot polikliniek en diagnostiek meegenomen worden (Monitor Toegankelijkheid van zorg – 22 juli 2025 – De Nederlandse Zorgautoriteit). De wachttijden voor polikliniek lijken namelijk juist op te lopen. Ook verschillen (de trends van) de wachttijden tussen regio’s.</w:t>
      </w:r>
    </w:p>
    <w:p w:rsidR="009873CE" w:rsidP="00180EEB" w:rsidRDefault="009873CE" w14:paraId="62E6701D" w14:textId="77777777">
      <w:pPr>
        <w:suppressAutoHyphens/>
        <w:spacing w:line="240" w:lineRule="atLeast"/>
        <w:rPr>
          <w:szCs w:val="18"/>
          <w:lang w:eastAsia="nl-NL"/>
        </w:rPr>
      </w:pPr>
    </w:p>
    <w:p w:rsidR="009873CE" w:rsidP="00180EEB" w:rsidRDefault="009873CE" w14:paraId="0CABEE9C" w14:textId="77777777">
      <w:pPr>
        <w:suppressAutoHyphens/>
        <w:spacing w:line="240" w:lineRule="atLeast"/>
        <w:rPr>
          <w:b/>
          <w:bCs/>
          <w:sz w:val="16"/>
          <w:szCs w:val="16"/>
          <w:lang w:eastAsia="nl-NL"/>
        </w:rPr>
      </w:pPr>
    </w:p>
    <w:p w:rsidR="009873CE" w:rsidP="00180EEB" w:rsidRDefault="009873CE" w14:paraId="4494D417" w14:textId="77777777">
      <w:pPr>
        <w:suppressAutoHyphens/>
        <w:spacing w:line="240" w:lineRule="atLeast"/>
        <w:rPr>
          <w:b/>
          <w:bCs/>
          <w:sz w:val="16"/>
          <w:szCs w:val="16"/>
          <w:lang w:eastAsia="nl-NL"/>
        </w:rPr>
      </w:pPr>
    </w:p>
    <w:p w:rsidR="009873CE" w:rsidP="00180EEB" w:rsidRDefault="009873CE" w14:paraId="4161376E" w14:textId="77777777">
      <w:pPr>
        <w:suppressAutoHyphens/>
        <w:spacing w:line="240" w:lineRule="atLeast"/>
        <w:rPr>
          <w:b/>
          <w:bCs/>
          <w:sz w:val="16"/>
          <w:szCs w:val="16"/>
          <w:lang w:eastAsia="nl-NL"/>
        </w:rPr>
      </w:pPr>
    </w:p>
    <w:p w:rsidR="009873CE" w:rsidP="00180EEB" w:rsidRDefault="009873CE" w14:paraId="736939C1" w14:textId="77777777">
      <w:pPr>
        <w:suppressAutoHyphens/>
        <w:spacing w:line="240" w:lineRule="atLeast"/>
        <w:rPr>
          <w:b/>
          <w:bCs/>
          <w:sz w:val="16"/>
          <w:szCs w:val="16"/>
          <w:lang w:eastAsia="nl-NL"/>
        </w:rPr>
      </w:pPr>
    </w:p>
    <w:p w:rsidRPr="005F055E" w:rsidR="00280175" w:rsidP="00180EEB" w:rsidRDefault="00280175" w14:paraId="25F53155" w14:textId="49985106">
      <w:pPr>
        <w:suppressAutoHyphens/>
        <w:spacing w:line="240" w:lineRule="atLeast"/>
        <w:rPr>
          <w:sz w:val="16"/>
          <w:szCs w:val="16"/>
          <w:lang w:eastAsia="nl-NL"/>
        </w:rPr>
      </w:pPr>
      <w:r w:rsidRPr="005F055E">
        <w:rPr>
          <w:b/>
          <w:bCs/>
          <w:sz w:val="16"/>
          <w:szCs w:val="16"/>
          <w:lang w:eastAsia="nl-NL"/>
        </w:rPr>
        <w:t>Tabel 1.</w:t>
      </w:r>
      <w:r w:rsidRPr="005F055E">
        <w:rPr>
          <w:sz w:val="16"/>
          <w:szCs w:val="16"/>
          <w:lang w:eastAsia="nl-NL"/>
        </w:rPr>
        <w:t xml:space="preserve"> Gemiddelde wachttijd in weken over het jaar 2024 en 2025 voor veelvoorkomende behandelingen. </w:t>
      </w:r>
    </w:p>
    <w:tbl>
      <w:tblPr>
        <w:tblStyle w:val="TableGrid0"/>
        <w:tblW w:w="0" w:type="auto"/>
        <w:tblLook w:val="04A0" w:firstRow="1" w:lastRow="0" w:firstColumn="1" w:lastColumn="0" w:noHBand="0" w:noVBand="1"/>
      </w:tblPr>
      <w:tblGrid>
        <w:gridCol w:w="6516"/>
        <w:gridCol w:w="992"/>
        <w:gridCol w:w="1418"/>
      </w:tblGrid>
      <w:tr w:rsidRPr="005F055E" w:rsidR="00280175" w:rsidTr="00056279" w14:paraId="0CCE48DA" w14:textId="77777777">
        <w:trPr>
          <w:trHeight w:val="300"/>
        </w:trPr>
        <w:tc>
          <w:tcPr>
            <w:tcW w:w="6516" w:type="dxa"/>
            <w:vMerge w:val="restart"/>
            <w:noWrap/>
          </w:tcPr>
          <w:p w:rsidRPr="005F055E" w:rsidR="00280175" w:rsidP="00180EEB" w:rsidRDefault="00280175" w14:paraId="4A724ED0" w14:textId="77777777">
            <w:pPr>
              <w:suppressAutoHyphens/>
              <w:spacing w:line="240" w:lineRule="atLeast"/>
              <w:rPr>
                <w:rFonts w:ascii="Verdana" w:hAnsi="Verdana"/>
                <w:b/>
                <w:bCs/>
                <w:sz w:val="16"/>
                <w:szCs w:val="16"/>
                <w:lang w:eastAsia="nl-NL"/>
              </w:rPr>
            </w:pPr>
            <w:r w:rsidRPr="005F055E">
              <w:rPr>
                <w:rFonts w:ascii="Verdana" w:hAnsi="Verdana"/>
                <w:b/>
                <w:bCs/>
                <w:sz w:val="16"/>
                <w:szCs w:val="16"/>
                <w:lang w:eastAsia="nl-NL"/>
              </w:rPr>
              <w:t>Type behandeling</w:t>
            </w:r>
          </w:p>
        </w:tc>
        <w:tc>
          <w:tcPr>
            <w:tcW w:w="2410" w:type="dxa"/>
            <w:gridSpan w:val="2"/>
            <w:noWrap/>
          </w:tcPr>
          <w:p w:rsidRPr="005F055E" w:rsidR="00280175" w:rsidP="00180EEB" w:rsidRDefault="00280175" w14:paraId="1E465F9A" w14:textId="77777777">
            <w:pPr>
              <w:suppressAutoHyphens/>
              <w:spacing w:line="240" w:lineRule="atLeast"/>
              <w:rPr>
                <w:rFonts w:ascii="Verdana" w:hAnsi="Verdana"/>
                <w:b/>
                <w:bCs/>
                <w:sz w:val="16"/>
                <w:szCs w:val="16"/>
                <w:lang w:eastAsia="nl-NL"/>
              </w:rPr>
            </w:pPr>
            <w:r w:rsidRPr="005F055E">
              <w:rPr>
                <w:rFonts w:ascii="Verdana" w:hAnsi="Verdana"/>
                <w:b/>
                <w:bCs/>
                <w:sz w:val="16"/>
                <w:szCs w:val="16"/>
                <w:lang w:eastAsia="nl-NL"/>
              </w:rPr>
              <w:t>Wachttijd in weken</w:t>
            </w:r>
          </w:p>
        </w:tc>
      </w:tr>
      <w:tr w:rsidRPr="005F055E" w:rsidR="00280175" w:rsidTr="00056279" w14:paraId="2CFEDA1F" w14:textId="77777777">
        <w:trPr>
          <w:trHeight w:val="300"/>
        </w:trPr>
        <w:tc>
          <w:tcPr>
            <w:tcW w:w="6516" w:type="dxa"/>
            <w:vMerge/>
            <w:noWrap/>
          </w:tcPr>
          <w:p w:rsidRPr="005F055E" w:rsidR="00280175" w:rsidP="00180EEB" w:rsidRDefault="00280175" w14:paraId="60CD859F" w14:textId="77777777">
            <w:pPr>
              <w:suppressAutoHyphens/>
              <w:spacing w:line="240" w:lineRule="atLeast"/>
              <w:rPr>
                <w:rFonts w:ascii="Verdana" w:hAnsi="Verdana"/>
                <w:sz w:val="16"/>
                <w:szCs w:val="16"/>
                <w:lang w:eastAsia="nl-NL"/>
              </w:rPr>
            </w:pPr>
          </w:p>
        </w:tc>
        <w:tc>
          <w:tcPr>
            <w:tcW w:w="992" w:type="dxa"/>
            <w:noWrap/>
          </w:tcPr>
          <w:p w:rsidRPr="005F055E" w:rsidR="00280175" w:rsidP="00180EEB" w:rsidRDefault="00280175" w14:paraId="478C07F7" w14:textId="77777777">
            <w:pPr>
              <w:suppressAutoHyphens/>
              <w:spacing w:line="240" w:lineRule="atLeast"/>
              <w:rPr>
                <w:rFonts w:ascii="Verdana" w:hAnsi="Verdana"/>
                <w:b/>
                <w:bCs/>
                <w:sz w:val="16"/>
                <w:szCs w:val="16"/>
                <w:lang w:eastAsia="nl-NL"/>
              </w:rPr>
            </w:pPr>
            <w:r w:rsidRPr="005F055E">
              <w:rPr>
                <w:rFonts w:ascii="Verdana" w:hAnsi="Verdana"/>
                <w:b/>
                <w:bCs/>
                <w:sz w:val="16"/>
                <w:szCs w:val="16"/>
                <w:lang w:eastAsia="nl-NL"/>
              </w:rPr>
              <w:t>2024</w:t>
            </w:r>
          </w:p>
        </w:tc>
        <w:tc>
          <w:tcPr>
            <w:tcW w:w="1418" w:type="dxa"/>
            <w:noWrap/>
          </w:tcPr>
          <w:p w:rsidRPr="005F055E" w:rsidR="00280175" w:rsidP="00180EEB" w:rsidRDefault="00280175" w14:paraId="621A7B73" w14:textId="77777777">
            <w:pPr>
              <w:suppressAutoHyphens/>
              <w:spacing w:line="240" w:lineRule="atLeast"/>
              <w:rPr>
                <w:rFonts w:ascii="Verdana" w:hAnsi="Verdana"/>
                <w:b/>
                <w:bCs/>
                <w:sz w:val="16"/>
                <w:szCs w:val="16"/>
                <w:lang w:eastAsia="nl-NL"/>
              </w:rPr>
            </w:pPr>
            <w:r w:rsidRPr="005F055E">
              <w:rPr>
                <w:rFonts w:ascii="Verdana" w:hAnsi="Verdana"/>
                <w:b/>
                <w:bCs/>
                <w:sz w:val="16"/>
                <w:szCs w:val="16"/>
                <w:lang w:eastAsia="nl-NL"/>
              </w:rPr>
              <w:t>2025 (t/m september)</w:t>
            </w:r>
          </w:p>
        </w:tc>
      </w:tr>
      <w:tr w:rsidRPr="005F055E" w:rsidR="00280175" w:rsidTr="00056279" w14:paraId="7E7FD897" w14:textId="77777777">
        <w:trPr>
          <w:trHeight w:val="300"/>
        </w:trPr>
        <w:tc>
          <w:tcPr>
            <w:tcW w:w="6516" w:type="dxa"/>
            <w:noWrap/>
            <w:hideMark/>
          </w:tcPr>
          <w:p w:rsidRPr="005F055E" w:rsidR="00280175" w:rsidP="00180EEB" w:rsidRDefault="00280175" w14:paraId="4802ADF4"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Primaire operatieve behandeling van afwijkingen van neustussenschot (kno)</w:t>
            </w:r>
          </w:p>
        </w:tc>
        <w:tc>
          <w:tcPr>
            <w:tcW w:w="992" w:type="dxa"/>
            <w:noWrap/>
            <w:hideMark/>
          </w:tcPr>
          <w:p w:rsidRPr="005F055E" w:rsidR="00280175" w:rsidP="00180EEB" w:rsidRDefault="00280175" w14:paraId="29D8498D"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15,6</w:t>
            </w:r>
          </w:p>
        </w:tc>
        <w:tc>
          <w:tcPr>
            <w:tcW w:w="1418" w:type="dxa"/>
            <w:noWrap/>
            <w:hideMark/>
          </w:tcPr>
          <w:p w:rsidRPr="005F055E" w:rsidR="00280175" w:rsidP="00180EEB" w:rsidRDefault="00280175" w14:paraId="698A6CE1"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15,1</w:t>
            </w:r>
          </w:p>
        </w:tc>
      </w:tr>
      <w:tr w:rsidRPr="005F055E" w:rsidR="00280175" w:rsidTr="00056279" w14:paraId="6B83C5A8" w14:textId="77777777">
        <w:trPr>
          <w:trHeight w:val="300"/>
        </w:trPr>
        <w:tc>
          <w:tcPr>
            <w:tcW w:w="6516" w:type="dxa"/>
            <w:noWrap/>
            <w:hideMark/>
          </w:tcPr>
          <w:p w:rsidRPr="005F055E" w:rsidR="00280175" w:rsidP="00180EEB" w:rsidRDefault="00280175" w14:paraId="09A5056E"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Ablatie (cardiologie)</w:t>
            </w:r>
          </w:p>
        </w:tc>
        <w:tc>
          <w:tcPr>
            <w:tcW w:w="992" w:type="dxa"/>
            <w:noWrap/>
            <w:hideMark/>
          </w:tcPr>
          <w:p w:rsidRPr="005F055E" w:rsidR="00280175" w:rsidP="00180EEB" w:rsidRDefault="00280175" w14:paraId="1ACE0815"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14,3</w:t>
            </w:r>
          </w:p>
        </w:tc>
        <w:tc>
          <w:tcPr>
            <w:tcW w:w="1418" w:type="dxa"/>
            <w:noWrap/>
            <w:hideMark/>
          </w:tcPr>
          <w:p w:rsidRPr="005F055E" w:rsidR="00280175" w:rsidP="00180EEB" w:rsidRDefault="00280175" w14:paraId="6D18CD2A"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13,5</w:t>
            </w:r>
          </w:p>
        </w:tc>
      </w:tr>
      <w:tr w:rsidRPr="005F055E" w:rsidR="00280175" w:rsidTr="00056279" w14:paraId="20535D09" w14:textId="77777777">
        <w:trPr>
          <w:trHeight w:val="300"/>
        </w:trPr>
        <w:tc>
          <w:tcPr>
            <w:tcW w:w="6516" w:type="dxa"/>
            <w:noWrap/>
            <w:hideMark/>
          </w:tcPr>
          <w:p w:rsidRPr="005F055E" w:rsidR="00280175" w:rsidP="00180EEB" w:rsidRDefault="00280175" w14:paraId="3942B28C"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Operatieve behandeling bij vergrote prostaat (urologie)</w:t>
            </w:r>
          </w:p>
        </w:tc>
        <w:tc>
          <w:tcPr>
            <w:tcW w:w="992" w:type="dxa"/>
            <w:noWrap/>
            <w:hideMark/>
          </w:tcPr>
          <w:p w:rsidRPr="005F055E" w:rsidR="00280175" w:rsidP="00180EEB" w:rsidRDefault="00280175" w14:paraId="4EC869B8"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11,8</w:t>
            </w:r>
          </w:p>
        </w:tc>
        <w:tc>
          <w:tcPr>
            <w:tcW w:w="1418" w:type="dxa"/>
            <w:noWrap/>
            <w:hideMark/>
          </w:tcPr>
          <w:p w:rsidRPr="005F055E" w:rsidR="00280175" w:rsidP="00180EEB" w:rsidRDefault="00280175" w14:paraId="798C8EE8"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11,5</w:t>
            </w:r>
          </w:p>
        </w:tc>
      </w:tr>
      <w:tr w:rsidRPr="005F055E" w:rsidR="00280175" w:rsidTr="00056279" w14:paraId="1FF1FCAF" w14:textId="77777777">
        <w:trPr>
          <w:trHeight w:val="300"/>
        </w:trPr>
        <w:tc>
          <w:tcPr>
            <w:tcW w:w="6516" w:type="dxa"/>
            <w:noWrap/>
            <w:hideMark/>
          </w:tcPr>
          <w:p w:rsidRPr="005F055E" w:rsidR="00280175" w:rsidP="00180EEB" w:rsidRDefault="00280175" w14:paraId="3924D466"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Operatieve behandeling urine-incontinentie en/of verzakking bij vrouw (gynaecologie)</w:t>
            </w:r>
          </w:p>
        </w:tc>
        <w:tc>
          <w:tcPr>
            <w:tcW w:w="992" w:type="dxa"/>
            <w:noWrap/>
            <w:hideMark/>
          </w:tcPr>
          <w:p w:rsidRPr="005F055E" w:rsidR="00280175" w:rsidP="00180EEB" w:rsidRDefault="00280175" w14:paraId="54F51463"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11,1</w:t>
            </w:r>
          </w:p>
        </w:tc>
        <w:tc>
          <w:tcPr>
            <w:tcW w:w="1418" w:type="dxa"/>
            <w:noWrap/>
            <w:hideMark/>
          </w:tcPr>
          <w:p w:rsidRPr="005F055E" w:rsidR="00280175" w:rsidP="00180EEB" w:rsidRDefault="00280175" w14:paraId="591BF0CE"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11,3</w:t>
            </w:r>
          </w:p>
        </w:tc>
      </w:tr>
      <w:tr w:rsidRPr="005F055E" w:rsidR="00280175" w:rsidTr="00056279" w14:paraId="17517E76" w14:textId="77777777">
        <w:trPr>
          <w:trHeight w:val="300"/>
        </w:trPr>
        <w:tc>
          <w:tcPr>
            <w:tcW w:w="6516" w:type="dxa"/>
            <w:noWrap/>
            <w:hideMark/>
          </w:tcPr>
          <w:p w:rsidRPr="005F055E" w:rsidR="00280175" w:rsidP="00180EEB" w:rsidRDefault="00280175" w14:paraId="217783FE"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Operatieve behandeling urine-incontinentie en/of blaasverzakking bij man (urologie)</w:t>
            </w:r>
          </w:p>
        </w:tc>
        <w:tc>
          <w:tcPr>
            <w:tcW w:w="992" w:type="dxa"/>
            <w:noWrap/>
            <w:hideMark/>
          </w:tcPr>
          <w:p w:rsidRPr="005F055E" w:rsidR="00280175" w:rsidP="00180EEB" w:rsidRDefault="00280175" w14:paraId="010F6684"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11</w:t>
            </w:r>
          </w:p>
        </w:tc>
        <w:tc>
          <w:tcPr>
            <w:tcW w:w="1418" w:type="dxa"/>
            <w:noWrap/>
            <w:hideMark/>
          </w:tcPr>
          <w:p w:rsidRPr="005F055E" w:rsidR="00280175" w:rsidP="00180EEB" w:rsidRDefault="00280175" w14:paraId="46DC951E"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9,6</w:t>
            </w:r>
          </w:p>
        </w:tc>
      </w:tr>
      <w:tr w:rsidRPr="005F055E" w:rsidR="00280175" w:rsidTr="00056279" w14:paraId="5A24AC44" w14:textId="77777777">
        <w:trPr>
          <w:trHeight w:val="300"/>
        </w:trPr>
        <w:tc>
          <w:tcPr>
            <w:tcW w:w="6516" w:type="dxa"/>
            <w:noWrap/>
            <w:hideMark/>
          </w:tcPr>
          <w:p w:rsidRPr="005F055E" w:rsidR="00280175" w:rsidP="00180EEB" w:rsidRDefault="00280175" w14:paraId="2C6D3CA6"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 xml:space="preserve">Tonsillectomie en/of </w:t>
            </w:r>
            <w:proofErr w:type="spellStart"/>
            <w:r w:rsidRPr="005F055E">
              <w:rPr>
                <w:rFonts w:ascii="Verdana" w:hAnsi="Verdana"/>
                <w:sz w:val="16"/>
                <w:szCs w:val="16"/>
                <w:lang w:eastAsia="nl-NL"/>
              </w:rPr>
              <w:t>adenotomie</w:t>
            </w:r>
            <w:proofErr w:type="spellEnd"/>
            <w:r w:rsidRPr="005F055E">
              <w:rPr>
                <w:rFonts w:ascii="Verdana" w:hAnsi="Verdana"/>
                <w:sz w:val="16"/>
                <w:szCs w:val="16"/>
                <w:lang w:eastAsia="nl-NL"/>
              </w:rPr>
              <w:t xml:space="preserve"> (kno)</w:t>
            </w:r>
          </w:p>
        </w:tc>
        <w:tc>
          <w:tcPr>
            <w:tcW w:w="992" w:type="dxa"/>
            <w:noWrap/>
            <w:hideMark/>
          </w:tcPr>
          <w:p w:rsidRPr="005F055E" w:rsidR="00280175" w:rsidP="00180EEB" w:rsidRDefault="00280175" w14:paraId="75BC8697"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10,9</w:t>
            </w:r>
          </w:p>
        </w:tc>
        <w:tc>
          <w:tcPr>
            <w:tcW w:w="1418" w:type="dxa"/>
            <w:noWrap/>
            <w:hideMark/>
          </w:tcPr>
          <w:p w:rsidRPr="005F055E" w:rsidR="00280175" w:rsidP="00180EEB" w:rsidRDefault="00280175" w14:paraId="5C844A56"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9,2</w:t>
            </w:r>
          </w:p>
        </w:tc>
      </w:tr>
      <w:tr w:rsidRPr="005F055E" w:rsidR="00280175" w:rsidTr="00056279" w14:paraId="67EFB2C9" w14:textId="77777777">
        <w:trPr>
          <w:trHeight w:val="300"/>
        </w:trPr>
        <w:tc>
          <w:tcPr>
            <w:tcW w:w="6516" w:type="dxa"/>
            <w:noWrap/>
            <w:hideMark/>
          </w:tcPr>
          <w:p w:rsidRPr="005F055E" w:rsidR="00280175" w:rsidP="00180EEB" w:rsidRDefault="00280175" w14:paraId="4BF1A38A"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Sterilisatie man als zelfstandige verrichting (urologie, heelkunde)</w:t>
            </w:r>
          </w:p>
        </w:tc>
        <w:tc>
          <w:tcPr>
            <w:tcW w:w="992" w:type="dxa"/>
            <w:noWrap/>
            <w:hideMark/>
          </w:tcPr>
          <w:p w:rsidRPr="005F055E" w:rsidR="00280175" w:rsidP="00180EEB" w:rsidRDefault="00280175" w14:paraId="101BC21F"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10,6</w:t>
            </w:r>
          </w:p>
        </w:tc>
        <w:tc>
          <w:tcPr>
            <w:tcW w:w="1418" w:type="dxa"/>
            <w:noWrap/>
            <w:hideMark/>
          </w:tcPr>
          <w:p w:rsidRPr="005F055E" w:rsidR="00280175" w:rsidP="00180EEB" w:rsidRDefault="00280175" w14:paraId="13F2E2B3"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7,4</w:t>
            </w:r>
          </w:p>
        </w:tc>
      </w:tr>
      <w:tr w:rsidRPr="005F055E" w:rsidR="00280175" w:rsidTr="00056279" w14:paraId="1E7A64EC" w14:textId="77777777">
        <w:trPr>
          <w:trHeight w:val="300"/>
        </w:trPr>
        <w:tc>
          <w:tcPr>
            <w:tcW w:w="6516" w:type="dxa"/>
            <w:noWrap/>
            <w:hideMark/>
          </w:tcPr>
          <w:p w:rsidRPr="005F055E" w:rsidR="00280175" w:rsidP="00180EEB" w:rsidRDefault="00280175" w14:paraId="71AAA6FA"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Operatieve borstreconstructie (plastische chirurgie)</w:t>
            </w:r>
          </w:p>
        </w:tc>
        <w:tc>
          <w:tcPr>
            <w:tcW w:w="992" w:type="dxa"/>
            <w:noWrap/>
            <w:hideMark/>
          </w:tcPr>
          <w:p w:rsidRPr="005F055E" w:rsidR="00280175" w:rsidP="00180EEB" w:rsidRDefault="00280175" w14:paraId="3AD4BC7B"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10,1</w:t>
            </w:r>
          </w:p>
        </w:tc>
        <w:tc>
          <w:tcPr>
            <w:tcW w:w="1418" w:type="dxa"/>
            <w:noWrap/>
            <w:hideMark/>
          </w:tcPr>
          <w:p w:rsidRPr="005F055E" w:rsidR="00280175" w:rsidP="00180EEB" w:rsidRDefault="00280175" w14:paraId="0E4F97AC"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9,4</w:t>
            </w:r>
          </w:p>
        </w:tc>
      </w:tr>
      <w:tr w:rsidRPr="005F055E" w:rsidR="00280175" w:rsidTr="00056279" w14:paraId="67F5D721" w14:textId="77777777">
        <w:trPr>
          <w:trHeight w:val="300"/>
        </w:trPr>
        <w:tc>
          <w:tcPr>
            <w:tcW w:w="6516" w:type="dxa"/>
            <w:noWrap/>
            <w:hideMark/>
          </w:tcPr>
          <w:p w:rsidRPr="005F055E" w:rsidR="00280175" w:rsidP="00180EEB" w:rsidRDefault="00280175" w14:paraId="587E777E"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 xml:space="preserve">Operatieve behandeling navelbreuk (hernia </w:t>
            </w:r>
            <w:proofErr w:type="spellStart"/>
            <w:r w:rsidRPr="005F055E">
              <w:rPr>
                <w:rFonts w:ascii="Verdana" w:hAnsi="Verdana"/>
                <w:sz w:val="16"/>
                <w:szCs w:val="16"/>
                <w:lang w:eastAsia="nl-NL"/>
              </w:rPr>
              <w:t>umbilicalis</w:t>
            </w:r>
            <w:proofErr w:type="spellEnd"/>
            <w:r w:rsidRPr="005F055E">
              <w:rPr>
                <w:rFonts w:ascii="Verdana" w:hAnsi="Verdana"/>
                <w:sz w:val="16"/>
                <w:szCs w:val="16"/>
                <w:lang w:eastAsia="nl-NL"/>
              </w:rPr>
              <w:t>) bij volwassenen (heelkunde)</w:t>
            </w:r>
          </w:p>
        </w:tc>
        <w:tc>
          <w:tcPr>
            <w:tcW w:w="992" w:type="dxa"/>
            <w:noWrap/>
            <w:hideMark/>
          </w:tcPr>
          <w:p w:rsidRPr="005F055E" w:rsidR="00280175" w:rsidP="00180EEB" w:rsidRDefault="00280175" w14:paraId="06BAFABD"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9,9</w:t>
            </w:r>
          </w:p>
        </w:tc>
        <w:tc>
          <w:tcPr>
            <w:tcW w:w="1418" w:type="dxa"/>
            <w:noWrap/>
            <w:hideMark/>
          </w:tcPr>
          <w:p w:rsidRPr="005F055E" w:rsidR="00280175" w:rsidP="00180EEB" w:rsidRDefault="00280175" w14:paraId="4E31CF98"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8,6</w:t>
            </w:r>
          </w:p>
        </w:tc>
      </w:tr>
      <w:tr w:rsidRPr="005F055E" w:rsidR="00280175" w:rsidTr="00056279" w14:paraId="697AF612" w14:textId="77777777">
        <w:trPr>
          <w:trHeight w:val="300"/>
        </w:trPr>
        <w:tc>
          <w:tcPr>
            <w:tcW w:w="6516" w:type="dxa"/>
            <w:noWrap/>
            <w:hideMark/>
          </w:tcPr>
          <w:p w:rsidRPr="005F055E" w:rsidR="00280175" w:rsidP="00180EEB" w:rsidRDefault="00280175" w14:paraId="5D4AEFD1"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Initiële totale knie vervanging (orthopedie)</w:t>
            </w:r>
          </w:p>
        </w:tc>
        <w:tc>
          <w:tcPr>
            <w:tcW w:w="992" w:type="dxa"/>
            <w:noWrap/>
            <w:hideMark/>
          </w:tcPr>
          <w:p w:rsidRPr="005F055E" w:rsidR="00280175" w:rsidP="00180EEB" w:rsidRDefault="00280175" w14:paraId="1EDF152C"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9,8</w:t>
            </w:r>
          </w:p>
        </w:tc>
        <w:tc>
          <w:tcPr>
            <w:tcW w:w="1418" w:type="dxa"/>
            <w:noWrap/>
            <w:hideMark/>
          </w:tcPr>
          <w:p w:rsidRPr="005F055E" w:rsidR="00280175" w:rsidP="00180EEB" w:rsidRDefault="00280175" w14:paraId="6F3BF034"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10</w:t>
            </w:r>
          </w:p>
        </w:tc>
      </w:tr>
      <w:tr w:rsidRPr="005F055E" w:rsidR="00280175" w:rsidTr="00056279" w14:paraId="2BA99792" w14:textId="77777777">
        <w:trPr>
          <w:trHeight w:val="300"/>
        </w:trPr>
        <w:tc>
          <w:tcPr>
            <w:tcW w:w="6516" w:type="dxa"/>
            <w:noWrap/>
            <w:hideMark/>
          </w:tcPr>
          <w:p w:rsidRPr="005F055E" w:rsidR="00280175" w:rsidP="00180EEB" w:rsidRDefault="00280175" w14:paraId="2D3F020F" w14:textId="77777777">
            <w:pPr>
              <w:suppressAutoHyphens/>
              <w:spacing w:line="240" w:lineRule="atLeast"/>
              <w:rPr>
                <w:rFonts w:ascii="Verdana" w:hAnsi="Verdana"/>
                <w:sz w:val="16"/>
                <w:szCs w:val="16"/>
                <w:lang w:eastAsia="nl-NL"/>
              </w:rPr>
            </w:pPr>
            <w:proofErr w:type="spellStart"/>
            <w:r w:rsidRPr="005F055E">
              <w:rPr>
                <w:rFonts w:ascii="Verdana" w:hAnsi="Verdana"/>
                <w:sz w:val="16"/>
                <w:szCs w:val="16"/>
                <w:lang w:eastAsia="nl-NL"/>
              </w:rPr>
              <w:t>Spondylodese</w:t>
            </w:r>
            <w:proofErr w:type="spellEnd"/>
            <w:r w:rsidRPr="005F055E">
              <w:rPr>
                <w:rFonts w:ascii="Verdana" w:hAnsi="Verdana"/>
                <w:sz w:val="16"/>
                <w:szCs w:val="16"/>
                <w:lang w:eastAsia="nl-NL"/>
              </w:rPr>
              <w:t xml:space="preserve"> operatie aan de wervelkolom anders dan </w:t>
            </w:r>
            <w:proofErr w:type="spellStart"/>
            <w:r w:rsidRPr="005F055E">
              <w:rPr>
                <w:rFonts w:ascii="Verdana" w:hAnsi="Verdana"/>
                <w:sz w:val="16"/>
                <w:szCs w:val="16"/>
                <w:lang w:eastAsia="nl-NL"/>
              </w:rPr>
              <w:t>ihkv</w:t>
            </w:r>
            <w:proofErr w:type="spellEnd"/>
            <w:r w:rsidRPr="005F055E">
              <w:rPr>
                <w:rFonts w:ascii="Verdana" w:hAnsi="Verdana"/>
                <w:sz w:val="16"/>
                <w:szCs w:val="16"/>
                <w:lang w:eastAsia="nl-NL"/>
              </w:rPr>
              <w:t xml:space="preserve"> behandeling van hernia nuclei pulposi/kanaalstenose (orthopedie, neurochirurgie)</w:t>
            </w:r>
          </w:p>
        </w:tc>
        <w:tc>
          <w:tcPr>
            <w:tcW w:w="992" w:type="dxa"/>
            <w:noWrap/>
            <w:hideMark/>
          </w:tcPr>
          <w:p w:rsidRPr="005F055E" w:rsidR="00280175" w:rsidP="00180EEB" w:rsidRDefault="00280175" w14:paraId="653EB40B"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9,8</w:t>
            </w:r>
          </w:p>
        </w:tc>
        <w:tc>
          <w:tcPr>
            <w:tcW w:w="1418" w:type="dxa"/>
            <w:noWrap/>
            <w:hideMark/>
          </w:tcPr>
          <w:p w:rsidRPr="005F055E" w:rsidR="00280175" w:rsidP="00180EEB" w:rsidRDefault="00280175" w14:paraId="318DE57C"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9,4</w:t>
            </w:r>
          </w:p>
        </w:tc>
      </w:tr>
      <w:tr w:rsidRPr="005F055E" w:rsidR="00280175" w:rsidTr="00056279" w14:paraId="5B46CA10" w14:textId="77777777">
        <w:trPr>
          <w:trHeight w:val="300"/>
        </w:trPr>
        <w:tc>
          <w:tcPr>
            <w:tcW w:w="6516" w:type="dxa"/>
            <w:noWrap/>
            <w:hideMark/>
          </w:tcPr>
          <w:p w:rsidRPr="005F055E" w:rsidR="00280175" w:rsidP="00180EEB" w:rsidRDefault="00280175" w14:paraId="2428877E"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Initiële staaroperatie (oogheelkunde)</w:t>
            </w:r>
          </w:p>
        </w:tc>
        <w:tc>
          <w:tcPr>
            <w:tcW w:w="992" w:type="dxa"/>
            <w:noWrap/>
            <w:hideMark/>
          </w:tcPr>
          <w:p w:rsidRPr="005F055E" w:rsidR="00280175" w:rsidP="00180EEB" w:rsidRDefault="00280175" w14:paraId="41E2C33E"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9,7</w:t>
            </w:r>
          </w:p>
        </w:tc>
        <w:tc>
          <w:tcPr>
            <w:tcW w:w="1418" w:type="dxa"/>
            <w:noWrap/>
            <w:hideMark/>
          </w:tcPr>
          <w:p w:rsidRPr="005F055E" w:rsidR="00280175" w:rsidP="00180EEB" w:rsidRDefault="00280175" w14:paraId="3368EC87"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7,6</w:t>
            </w:r>
          </w:p>
        </w:tc>
      </w:tr>
      <w:tr w:rsidRPr="005F055E" w:rsidR="00280175" w:rsidTr="00056279" w14:paraId="054336A2" w14:textId="77777777">
        <w:trPr>
          <w:trHeight w:val="300"/>
        </w:trPr>
        <w:tc>
          <w:tcPr>
            <w:tcW w:w="6516" w:type="dxa"/>
            <w:noWrap/>
            <w:hideMark/>
          </w:tcPr>
          <w:p w:rsidRPr="005F055E" w:rsidR="00280175" w:rsidP="00180EEB" w:rsidRDefault="00280175" w14:paraId="45C2AB8B"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 xml:space="preserve">Operatieve behandeling liesbreuk (hernia </w:t>
            </w:r>
            <w:proofErr w:type="spellStart"/>
            <w:r w:rsidRPr="005F055E">
              <w:rPr>
                <w:rFonts w:ascii="Verdana" w:hAnsi="Verdana"/>
                <w:sz w:val="16"/>
                <w:szCs w:val="16"/>
                <w:lang w:eastAsia="nl-NL"/>
              </w:rPr>
              <w:t>inguinalis</w:t>
            </w:r>
            <w:proofErr w:type="spellEnd"/>
            <w:r w:rsidRPr="005F055E">
              <w:rPr>
                <w:rFonts w:ascii="Verdana" w:hAnsi="Verdana"/>
                <w:sz w:val="16"/>
                <w:szCs w:val="16"/>
                <w:lang w:eastAsia="nl-NL"/>
              </w:rPr>
              <w:t>/ hernia femoralis) (heelkunde)</w:t>
            </w:r>
          </w:p>
        </w:tc>
        <w:tc>
          <w:tcPr>
            <w:tcW w:w="992" w:type="dxa"/>
            <w:noWrap/>
            <w:hideMark/>
          </w:tcPr>
          <w:p w:rsidRPr="005F055E" w:rsidR="00280175" w:rsidP="00180EEB" w:rsidRDefault="00280175" w14:paraId="583BC445"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9,6</w:t>
            </w:r>
          </w:p>
        </w:tc>
        <w:tc>
          <w:tcPr>
            <w:tcW w:w="1418" w:type="dxa"/>
            <w:noWrap/>
            <w:hideMark/>
          </w:tcPr>
          <w:p w:rsidRPr="005F055E" w:rsidR="00280175" w:rsidP="00180EEB" w:rsidRDefault="00280175" w14:paraId="07E55D91"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8,4</w:t>
            </w:r>
          </w:p>
        </w:tc>
      </w:tr>
      <w:tr w:rsidRPr="005F055E" w:rsidR="00280175" w:rsidTr="00056279" w14:paraId="6964E2C5" w14:textId="77777777">
        <w:trPr>
          <w:trHeight w:val="300"/>
        </w:trPr>
        <w:tc>
          <w:tcPr>
            <w:tcW w:w="6516" w:type="dxa"/>
            <w:noWrap/>
            <w:hideMark/>
          </w:tcPr>
          <w:p w:rsidRPr="005F055E" w:rsidR="00280175" w:rsidP="00180EEB" w:rsidRDefault="00280175" w14:paraId="7E9385BE"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Percutane niersteenverwijdering (urologie)</w:t>
            </w:r>
          </w:p>
        </w:tc>
        <w:tc>
          <w:tcPr>
            <w:tcW w:w="992" w:type="dxa"/>
            <w:noWrap/>
            <w:hideMark/>
          </w:tcPr>
          <w:p w:rsidRPr="005F055E" w:rsidR="00280175" w:rsidP="00180EEB" w:rsidRDefault="00280175" w14:paraId="7C7EC042"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9,5</w:t>
            </w:r>
          </w:p>
        </w:tc>
        <w:tc>
          <w:tcPr>
            <w:tcW w:w="1418" w:type="dxa"/>
            <w:noWrap/>
            <w:hideMark/>
          </w:tcPr>
          <w:p w:rsidRPr="005F055E" w:rsidR="00280175" w:rsidP="00180EEB" w:rsidRDefault="00280175" w14:paraId="25A29618"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8,8</w:t>
            </w:r>
          </w:p>
        </w:tc>
      </w:tr>
      <w:tr w:rsidRPr="005F055E" w:rsidR="00280175" w:rsidTr="00056279" w14:paraId="464B708C" w14:textId="77777777">
        <w:trPr>
          <w:trHeight w:val="300"/>
        </w:trPr>
        <w:tc>
          <w:tcPr>
            <w:tcW w:w="6516" w:type="dxa"/>
            <w:noWrap/>
            <w:hideMark/>
          </w:tcPr>
          <w:p w:rsidRPr="005F055E" w:rsidR="00280175" w:rsidP="00180EEB" w:rsidRDefault="00280175" w14:paraId="5E5C876A"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Sterilisatie vrouw als zelfstandige verrichting (gynaecologie)</w:t>
            </w:r>
          </w:p>
        </w:tc>
        <w:tc>
          <w:tcPr>
            <w:tcW w:w="992" w:type="dxa"/>
            <w:noWrap/>
            <w:hideMark/>
          </w:tcPr>
          <w:p w:rsidRPr="005F055E" w:rsidR="00280175" w:rsidP="00180EEB" w:rsidRDefault="00280175" w14:paraId="1EC3E446"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9,1</w:t>
            </w:r>
          </w:p>
        </w:tc>
        <w:tc>
          <w:tcPr>
            <w:tcW w:w="1418" w:type="dxa"/>
            <w:noWrap/>
            <w:hideMark/>
          </w:tcPr>
          <w:p w:rsidRPr="005F055E" w:rsidR="00280175" w:rsidP="00180EEB" w:rsidRDefault="00280175" w14:paraId="5C190115"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9,9</w:t>
            </w:r>
          </w:p>
        </w:tc>
      </w:tr>
      <w:tr w:rsidRPr="005F055E" w:rsidR="00280175" w:rsidTr="00056279" w14:paraId="51708B8F" w14:textId="77777777">
        <w:trPr>
          <w:trHeight w:val="300"/>
        </w:trPr>
        <w:tc>
          <w:tcPr>
            <w:tcW w:w="6516" w:type="dxa"/>
            <w:noWrap/>
            <w:hideMark/>
          </w:tcPr>
          <w:p w:rsidRPr="005F055E" w:rsidR="00280175" w:rsidP="00180EEB" w:rsidRDefault="00280175" w14:paraId="5729969B"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Besnijdenis als zelfstandige verrichting (urologie, heelkunde)</w:t>
            </w:r>
          </w:p>
        </w:tc>
        <w:tc>
          <w:tcPr>
            <w:tcW w:w="992" w:type="dxa"/>
            <w:noWrap/>
            <w:hideMark/>
          </w:tcPr>
          <w:p w:rsidRPr="005F055E" w:rsidR="00280175" w:rsidP="00180EEB" w:rsidRDefault="00280175" w14:paraId="718399CA"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8,8</w:t>
            </w:r>
          </w:p>
        </w:tc>
        <w:tc>
          <w:tcPr>
            <w:tcW w:w="1418" w:type="dxa"/>
            <w:noWrap/>
            <w:hideMark/>
          </w:tcPr>
          <w:p w:rsidRPr="005F055E" w:rsidR="00280175" w:rsidP="00180EEB" w:rsidRDefault="00280175" w14:paraId="60AFC049"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8,3</w:t>
            </w:r>
          </w:p>
        </w:tc>
      </w:tr>
      <w:tr w:rsidRPr="005F055E" w:rsidR="00280175" w:rsidTr="00056279" w14:paraId="686DBDB5" w14:textId="77777777">
        <w:trPr>
          <w:trHeight w:val="300"/>
        </w:trPr>
        <w:tc>
          <w:tcPr>
            <w:tcW w:w="6516" w:type="dxa"/>
            <w:noWrap/>
            <w:hideMark/>
          </w:tcPr>
          <w:p w:rsidRPr="005F055E" w:rsidR="00280175" w:rsidP="00180EEB" w:rsidRDefault="00280175" w14:paraId="65A6BB06"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Geïsoleerde/ op zichzelf staande baarmoederverwijdering (gynaecologie)</w:t>
            </w:r>
          </w:p>
        </w:tc>
        <w:tc>
          <w:tcPr>
            <w:tcW w:w="992" w:type="dxa"/>
            <w:noWrap/>
            <w:hideMark/>
          </w:tcPr>
          <w:p w:rsidRPr="005F055E" w:rsidR="00280175" w:rsidP="00180EEB" w:rsidRDefault="00280175" w14:paraId="4861B95C"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8,8</w:t>
            </w:r>
          </w:p>
        </w:tc>
        <w:tc>
          <w:tcPr>
            <w:tcW w:w="1418" w:type="dxa"/>
            <w:noWrap/>
            <w:hideMark/>
          </w:tcPr>
          <w:p w:rsidRPr="005F055E" w:rsidR="00280175" w:rsidP="00180EEB" w:rsidRDefault="00280175" w14:paraId="6810D2A4"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9,6</w:t>
            </w:r>
          </w:p>
        </w:tc>
      </w:tr>
      <w:tr w:rsidRPr="005F055E" w:rsidR="00280175" w:rsidTr="00056279" w14:paraId="5E59C50C" w14:textId="77777777">
        <w:trPr>
          <w:trHeight w:val="300"/>
        </w:trPr>
        <w:tc>
          <w:tcPr>
            <w:tcW w:w="6516" w:type="dxa"/>
            <w:noWrap/>
            <w:hideMark/>
          </w:tcPr>
          <w:p w:rsidRPr="005F055E" w:rsidR="00280175" w:rsidP="00180EEB" w:rsidRDefault="00280175" w14:paraId="5513CAAE"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Initiële totale heupvervanging (orthopedie)</w:t>
            </w:r>
          </w:p>
        </w:tc>
        <w:tc>
          <w:tcPr>
            <w:tcW w:w="992" w:type="dxa"/>
            <w:noWrap/>
            <w:hideMark/>
          </w:tcPr>
          <w:p w:rsidRPr="005F055E" w:rsidR="00280175" w:rsidP="00180EEB" w:rsidRDefault="00280175" w14:paraId="73534DB3"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8,6</w:t>
            </w:r>
          </w:p>
        </w:tc>
        <w:tc>
          <w:tcPr>
            <w:tcW w:w="1418" w:type="dxa"/>
            <w:noWrap/>
            <w:hideMark/>
          </w:tcPr>
          <w:p w:rsidRPr="005F055E" w:rsidR="00280175" w:rsidP="00180EEB" w:rsidRDefault="00280175" w14:paraId="5DD8B9B9"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8,6</w:t>
            </w:r>
          </w:p>
        </w:tc>
      </w:tr>
      <w:tr w:rsidRPr="005F055E" w:rsidR="00280175" w:rsidTr="00056279" w14:paraId="657BCDBC" w14:textId="77777777">
        <w:trPr>
          <w:trHeight w:val="300"/>
        </w:trPr>
        <w:tc>
          <w:tcPr>
            <w:tcW w:w="6516" w:type="dxa"/>
            <w:noWrap/>
            <w:hideMark/>
          </w:tcPr>
          <w:p w:rsidRPr="005F055E" w:rsidR="00280175" w:rsidP="00180EEB" w:rsidRDefault="00280175" w14:paraId="34E94B35"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Ooglidcorrectie (oogheelkunde)</w:t>
            </w:r>
          </w:p>
        </w:tc>
        <w:tc>
          <w:tcPr>
            <w:tcW w:w="992" w:type="dxa"/>
            <w:noWrap/>
            <w:hideMark/>
          </w:tcPr>
          <w:p w:rsidRPr="005F055E" w:rsidR="00280175" w:rsidP="00180EEB" w:rsidRDefault="00280175" w14:paraId="74F6EEAB"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8,4</w:t>
            </w:r>
          </w:p>
        </w:tc>
        <w:tc>
          <w:tcPr>
            <w:tcW w:w="1418" w:type="dxa"/>
            <w:noWrap/>
            <w:hideMark/>
          </w:tcPr>
          <w:p w:rsidRPr="005F055E" w:rsidR="00280175" w:rsidP="00180EEB" w:rsidRDefault="00280175" w14:paraId="402EFBB9"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7,8</w:t>
            </w:r>
          </w:p>
        </w:tc>
      </w:tr>
      <w:tr w:rsidRPr="005F055E" w:rsidR="00280175" w:rsidTr="00056279" w14:paraId="36F3CC0F" w14:textId="77777777">
        <w:trPr>
          <w:trHeight w:val="300"/>
        </w:trPr>
        <w:tc>
          <w:tcPr>
            <w:tcW w:w="6516" w:type="dxa"/>
            <w:noWrap/>
            <w:hideMark/>
          </w:tcPr>
          <w:p w:rsidRPr="005F055E" w:rsidR="00280175" w:rsidP="00180EEB" w:rsidRDefault="00280175" w14:paraId="599083DB"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Plaatsen middenoorbeluchtingsbuisjes (kno)</w:t>
            </w:r>
          </w:p>
        </w:tc>
        <w:tc>
          <w:tcPr>
            <w:tcW w:w="992" w:type="dxa"/>
            <w:noWrap/>
            <w:hideMark/>
          </w:tcPr>
          <w:p w:rsidRPr="005F055E" w:rsidR="00280175" w:rsidP="00180EEB" w:rsidRDefault="00280175" w14:paraId="181F4B3E"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8,3</w:t>
            </w:r>
          </w:p>
        </w:tc>
        <w:tc>
          <w:tcPr>
            <w:tcW w:w="1418" w:type="dxa"/>
            <w:noWrap/>
            <w:hideMark/>
          </w:tcPr>
          <w:p w:rsidRPr="005F055E" w:rsidR="00280175" w:rsidP="00180EEB" w:rsidRDefault="00280175" w14:paraId="03964578"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6,8</w:t>
            </w:r>
          </w:p>
        </w:tc>
      </w:tr>
      <w:tr w:rsidRPr="005F055E" w:rsidR="00280175" w:rsidTr="00056279" w14:paraId="6F61F66E" w14:textId="77777777">
        <w:trPr>
          <w:trHeight w:val="300"/>
        </w:trPr>
        <w:tc>
          <w:tcPr>
            <w:tcW w:w="6516" w:type="dxa"/>
            <w:noWrap/>
            <w:hideMark/>
          </w:tcPr>
          <w:p w:rsidRPr="005F055E" w:rsidR="00280175" w:rsidP="00180EEB" w:rsidRDefault="00280175" w14:paraId="41E82F85"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Galblaasverwijdering (heelkunde)</w:t>
            </w:r>
          </w:p>
        </w:tc>
        <w:tc>
          <w:tcPr>
            <w:tcW w:w="992" w:type="dxa"/>
            <w:noWrap/>
            <w:hideMark/>
          </w:tcPr>
          <w:p w:rsidRPr="005F055E" w:rsidR="00280175" w:rsidP="00180EEB" w:rsidRDefault="00280175" w14:paraId="0373D384"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8</w:t>
            </w:r>
          </w:p>
        </w:tc>
        <w:tc>
          <w:tcPr>
            <w:tcW w:w="1418" w:type="dxa"/>
            <w:noWrap/>
            <w:hideMark/>
          </w:tcPr>
          <w:p w:rsidRPr="005F055E" w:rsidR="00280175" w:rsidP="00180EEB" w:rsidRDefault="00280175" w14:paraId="0D862C66"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6,9</w:t>
            </w:r>
          </w:p>
        </w:tc>
      </w:tr>
      <w:tr w:rsidRPr="005F055E" w:rsidR="00280175" w:rsidTr="00056279" w14:paraId="3244332E" w14:textId="77777777">
        <w:trPr>
          <w:trHeight w:val="300"/>
        </w:trPr>
        <w:tc>
          <w:tcPr>
            <w:tcW w:w="6516" w:type="dxa"/>
            <w:noWrap/>
            <w:hideMark/>
          </w:tcPr>
          <w:p w:rsidRPr="005F055E" w:rsidR="00280175" w:rsidP="00180EEB" w:rsidRDefault="00280175" w14:paraId="1C37CEB4"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Operatieve behandeling hernia nuclei pulposi/kanaalstenose (orthopedie, neurochirurgie)</w:t>
            </w:r>
          </w:p>
        </w:tc>
        <w:tc>
          <w:tcPr>
            <w:tcW w:w="992" w:type="dxa"/>
            <w:noWrap/>
            <w:hideMark/>
          </w:tcPr>
          <w:p w:rsidRPr="005F055E" w:rsidR="00280175" w:rsidP="00180EEB" w:rsidRDefault="00280175" w14:paraId="240182DE"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8</w:t>
            </w:r>
          </w:p>
        </w:tc>
        <w:tc>
          <w:tcPr>
            <w:tcW w:w="1418" w:type="dxa"/>
            <w:noWrap/>
            <w:hideMark/>
          </w:tcPr>
          <w:p w:rsidRPr="005F055E" w:rsidR="00280175" w:rsidP="00180EEB" w:rsidRDefault="00280175" w14:paraId="69065051"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7,8</w:t>
            </w:r>
          </w:p>
        </w:tc>
      </w:tr>
      <w:tr w:rsidRPr="005F055E" w:rsidR="00280175" w:rsidTr="00056279" w14:paraId="4FA60FCC" w14:textId="77777777">
        <w:trPr>
          <w:trHeight w:val="300"/>
        </w:trPr>
        <w:tc>
          <w:tcPr>
            <w:tcW w:w="6516" w:type="dxa"/>
            <w:noWrap/>
            <w:hideMark/>
          </w:tcPr>
          <w:p w:rsidRPr="005F055E" w:rsidR="00280175" w:rsidP="00180EEB" w:rsidRDefault="00280175" w14:paraId="7D6C39EF"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Extractie gebitselement(en), niet in algehele anesthesie (kaakchirurgie)</w:t>
            </w:r>
          </w:p>
        </w:tc>
        <w:tc>
          <w:tcPr>
            <w:tcW w:w="992" w:type="dxa"/>
            <w:noWrap/>
            <w:hideMark/>
          </w:tcPr>
          <w:p w:rsidRPr="005F055E" w:rsidR="00280175" w:rsidP="00180EEB" w:rsidRDefault="00280175" w14:paraId="3BF777F1"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7,5</w:t>
            </w:r>
          </w:p>
        </w:tc>
        <w:tc>
          <w:tcPr>
            <w:tcW w:w="1418" w:type="dxa"/>
            <w:noWrap/>
            <w:hideMark/>
          </w:tcPr>
          <w:p w:rsidRPr="005F055E" w:rsidR="00280175" w:rsidP="00180EEB" w:rsidRDefault="00280175" w14:paraId="1FC1249B"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7,9</w:t>
            </w:r>
          </w:p>
        </w:tc>
      </w:tr>
      <w:tr w:rsidRPr="005F055E" w:rsidR="00280175" w:rsidTr="00056279" w14:paraId="3EB0F4CC" w14:textId="77777777">
        <w:trPr>
          <w:trHeight w:val="300"/>
        </w:trPr>
        <w:tc>
          <w:tcPr>
            <w:tcW w:w="6516" w:type="dxa"/>
            <w:noWrap/>
            <w:hideMark/>
          </w:tcPr>
          <w:p w:rsidRPr="005F055E" w:rsidR="00280175" w:rsidP="00180EEB" w:rsidRDefault="00280175" w14:paraId="30B8D582"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Behandeling vanwege apneu (CPAP, operatieve behandeling) (kno, longgeneeskunde)</w:t>
            </w:r>
          </w:p>
        </w:tc>
        <w:tc>
          <w:tcPr>
            <w:tcW w:w="992" w:type="dxa"/>
            <w:noWrap/>
            <w:hideMark/>
          </w:tcPr>
          <w:p w:rsidRPr="005F055E" w:rsidR="00280175" w:rsidP="00180EEB" w:rsidRDefault="00280175" w14:paraId="3DE3B23F"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7,1</w:t>
            </w:r>
          </w:p>
        </w:tc>
        <w:tc>
          <w:tcPr>
            <w:tcW w:w="1418" w:type="dxa"/>
            <w:noWrap/>
            <w:hideMark/>
          </w:tcPr>
          <w:p w:rsidRPr="005F055E" w:rsidR="00280175" w:rsidP="00180EEB" w:rsidRDefault="00280175" w14:paraId="6339E271"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7,2</w:t>
            </w:r>
          </w:p>
        </w:tc>
      </w:tr>
      <w:tr w:rsidRPr="005F055E" w:rsidR="00280175" w:rsidTr="00056279" w14:paraId="58B05807" w14:textId="77777777">
        <w:trPr>
          <w:trHeight w:val="300"/>
        </w:trPr>
        <w:tc>
          <w:tcPr>
            <w:tcW w:w="6516" w:type="dxa"/>
            <w:noWrap/>
            <w:hideMark/>
          </w:tcPr>
          <w:p w:rsidRPr="005F055E" w:rsidR="00280175" w:rsidP="00180EEB" w:rsidRDefault="00280175" w14:paraId="25AC1798"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Operatieve behandeling goedaardige aandoeningen van/rondom de anus (heelkunde)</w:t>
            </w:r>
          </w:p>
        </w:tc>
        <w:tc>
          <w:tcPr>
            <w:tcW w:w="992" w:type="dxa"/>
            <w:noWrap/>
            <w:hideMark/>
          </w:tcPr>
          <w:p w:rsidRPr="005F055E" w:rsidR="00280175" w:rsidP="00180EEB" w:rsidRDefault="00280175" w14:paraId="5611E1C2"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7</w:t>
            </w:r>
          </w:p>
        </w:tc>
        <w:tc>
          <w:tcPr>
            <w:tcW w:w="1418" w:type="dxa"/>
            <w:noWrap/>
            <w:hideMark/>
          </w:tcPr>
          <w:p w:rsidRPr="005F055E" w:rsidR="00280175" w:rsidP="00180EEB" w:rsidRDefault="00280175" w14:paraId="070EAA85"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6,2</w:t>
            </w:r>
          </w:p>
        </w:tc>
      </w:tr>
      <w:tr w:rsidRPr="005F055E" w:rsidR="00280175" w:rsidTr="00056279" w14:paraId="56B86DF5" w14:textId="77777777">
        <w:trPr>
          <w:trHeight w:val="300"/>
        </w:trPr>
        <w:tc>
          <w:tcPr>
            <w:tcW w:w="6516" w:type="dxa"/>
            <w:noWrap/>
            <w:hideMark/>
          </w:tcPr>
          <w:p w:rsidRPr="005F055E" w:rsidR="00280175" w:rsidP="00180EEB" w:rsidRDefault="00280175" w14:paraId="002DE8BA"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Operatieve behandeling goedaardige aandoeningen van/rondom de anus (heelkunde, dermatologie)</w:t>
            </w:r>
          </w:p>
        </w:tc>
        <w:tc>
          <w:tcPr>
            <w:tcW w:w="992" w:type="dxa"/>
            <w:noWrap/>
            <w:hideMark/>
          </w:tcPr>
          <w:p w:rsidRPr="005F055E" w:rsidR="00280175" w:rsidP="00180EEB" w:rsidRDefault="00280175" w14:paraId="7C45D56C"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7</w:t>
            </w:r>
          </w:p>
        </w:tc>
        <w:tc>
          <w:tcPr>
            <w:tcW w:w="1418" w:type="dxa"/>
            <w:noWrap/>
            <w:hideMark/>
          </w:tcPr>
          <w:p w:rsidRPr="005F055E" w:rsidR="00280175" w:rsidP="00180EEB" w:rsidRDefault="00280175" w14:paraId="1E1996BC"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6,2</w:t>
            </w:r>
          </w:p>
        </w:tc>
      </w:tr>
      <w:tr w:rsidRPr="005F055E" w:rsidR="00280175" w:rsidTr="00056279" w14:paraId="5E0C1EEB" w14:textId="77777777">
        <w:trPr>
          <w:trHeight w:val="300"/>
        </w:trPr>
        <w:tc>
          <w:tcPr>
            <w:tcW w:w="6516" w:type="dxa"/>
            <w:noWrap/>
            <w:hideMark/>
          </w:tcPr>
          <w:p w:rsidRPr="005F055E" w:rsidR="00280175" w:rsidP="00180EEB" w:rsidRDefault="00280175" w14:paraId="7C5F2AAA"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Operatieve verwijdering slokdarm (heelkunde)</w:t>
            </w:r>
          </w:p>
        </w:tc>
        <w:tc>
          <w:tcPr>
            <w:tcW w:w="992" w:type="dxa"/>
            <w:noWrap/>
            <w:hideMark/>
          </w:tcPr>
          <w:p w:rsidRPr="005F055E" w:rsidR="00280175" w:rsidP="00180EEB" w:rsidRDefault="00280175" w14:paraId="69F4B3B7"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6,9</w:t>
            </w:r>
          </w:p>
        </w:tc>
        <w:tc>
          <w:tcPr>
            <w:tcW w:w="1418" w:type="dxa"/>
            <w:noWrap/>
            <w:hideMark/>
          </w:tcPr>
          <w:p w:rsidRPr="005F055E" w:rsidR="00280175" w:rsidP="00180EEB" w:rsidRDefault="00280175" w14:paraId="6B9F6C56"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6,6</w:t>
            </w:r>
          </w:p>
        </w:tc>
      </w:tr>
      <w:tr w:rsidRPr="005F055E" w:rsidR="00280175" w:rsidTr="00056279" w14:paraId="71BAF52F" w14:textId="77777777">
        <w:trPr>
          <w:trHeight w:val="300"/>
        </w:trPr>
        <w:tc>
          <w:tcPr>
            <w:tcW w:w="6516" w:type="dxa"/>
            <w:noWrap/>
            <w:hideMark/>
          </w:tcPr>
          <w:p w:rsidRPr="005F055E" w:rsidR="00280175" w:rsidP="00180EEB" w:rsidRDefault="00280175" w14:paraId="120B0AFF"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Operatieve behandeling meniscus en/of kniebanden (geen vers letsel, exclusief artroscopische behandeling) (heelkunde, orthopedie)</w:t>
            </w:r>
          </w:p>
        </w:tc>
        <w:tc>
          <w:tcPr>
            <w:tcW w:w="992" w:type="dxa"/>
            <w:noWrap/>
            <w:hideMark/>
          </w:tcPr>
          <w:p w:rsidRPr="005F055E" w:rsidR="00280175" w:rsidP="00180EEB" w:rsidRDefault="00280175" w14:paraId="4CB18226"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6,8</w:t>
            </w:r>
          </w:p>
        </w:tc>
        <w:tc>
          <w:tcPr>
            <w:tcW w:w="1418" w:type="dxa"/>
            <w:noWrap/>
            <w:hideMark/>
          </w:tcPr>
          <w:p w:rsidRPr="005F055E" w:rsidR="00280175" w:rsidP="00180EEB" w:rsidRDefault="00280175" w14:paraId="50DAB768"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6,6</w:t>
            </w:r>
          </w:p>
        </w:tc>
      </w:tr>
      <w:tr w:rsidRPr="005F055E" w:rsidR="00280175" w:rsidTr="00056279" w14:paraId="4E90DC6D" w14:textId="77777777">
        <w:trPr>
          <w:trHeight w:val="300"/>
        </w:trPr>
        <w:tc>
          <w:tcPr>
            <w:tcW w:w="6516" w:type="dxa"/>
            <w:noWrap/>
            <w:hideMark/>
          </w:tcPr>
          <w:p w:rsidRPr="005F055E" w:rsidR="00280175" w:rsidP="00180EEB" w:rsidRDefault="00280175" w14:paraId="2C5CF533"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Apexresectie(s) (kaakchirurgie)</w:t>
            </w:r>
          </w:p>
        </w:tc>
        <w:tc>
          <w:tcPr>
            <w:tcW w:w="992" w:type="dxa"/>
            <w:noWrap/>
            <w:hideMark/>
          </w:tcPr>
          <w:p w:rsidRPr="005F055E" w:rsidR="00280175" w:rsidP="00180EEB" w:rsidRDefault="00280175" w14:paraId="05377960"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6,8</w:t>
            </w:r>
          </w:p>
        </w:tc>
        <w:tc>
          <w:tcPr>
            <w:tcW w:w="1418" w:type="dxa"/>
            <w:noWrap/>
            <w:hideMark/>
          </w:tcPr>
          <w:p w:rsidRPr="005F055E" w:rsidR="00280175" w:rsidP="00180EEB" w:rsidRDefault="00280175" w14:paraId="3C38152B"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7,3</w:t>
            </w:r>
          </w:p>
        </w:tc>
      </w:tr>
      <w:tr w:rsidRPr="005F055E" w:rsidR="00280175" w:rsidTr="00056279" w14:paraId="6314CC11" w14:textId="77777777">
        <w:trPr>
          <w:trHeight w:val="300"/>
        </w:trPr>
        <w:tc>
          <w:tcPr>
            <w:tcW w:w="6516" w:type="dxa"/>
            <w:noWrap/>
            <w:hideMark/>
          </w:tcPr>
          <w:p w:rsidRPr="005F055E" w:rsidR="00280175" w:rsidP="00180EEB" w:rsidRDefault="00280175" w14:paraId="26651837"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Behandeling spataderen (endovasculaire procedure) (dermatologie, heelkunde)</w:t>
            </w:r>
          </w:p>
        </w:tc>
        <w:tc>
          <w:tcPr>
            <w:tcW w:w="992" w:type="dxa"/>
            <w:noWrap/>
            <w:hideMark/>
          </w:tcPr>
          <w:p w:rsidRPr="005F055E" w:rsidR="00280175" w:rsidP="00180EEB" w:rsidRDefault="00280175" w14:paraId="0F5ECEEC"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6,6</w:t>
            </w:r>
          </w:p>
        </w:tc>
        <w:tc>
          <w:tcPr>
            <w:tcW w:w="1418" w:type="dxa"/>
            <w:noWrap/>
            <w:hideMark/>
          </w:tcPr>
          <w:p w:rsidRPr="005F055E" w:rsidR="00280175" w:rsidP="00180EEB" w:rsidRDefault="00280175" w14:paraId="4334FE83"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6,4</w:t>
            </w:r>
          </w:p>
        </w:tc>
      </w:tr>
      <w:tr w:rsidRPr="005F055E" w:rsidR="00280175" w:rsidTr="00056279" w14:paraId="4010F1E6" w14:textId="77777777">
        <w:trPr>
          <w:trHeight w:val="300"/>
        </w:trPr>
        <w:tc>
          <w:tcPr>
            <w:tcW w:w="6516" w:type="dxa"/>
            <w:noWrap/>
            <w:hideMark/>
          </w:tcPr>
          <w:p w:rsidRPr="005F055E" w:rsidR="00280175" w:rsidP="00180EEB" w:rsidRDefault="00280175" w14:paraId="2FE59845"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(Vaat)chirurgische behandeling spataderen (heelkunde)</w:t>
            </w:r>
          </w:p>
        </w:tc>
        <w:tc>
          <w:tcPr>
            <w:tcW w:w="992" w:type="dxa"/>
            <w:noWrap/>
            <w:hideMark/>
          </w:tcPr>
          <w:p w:rsidRPr="005F055E" w:rsidR="00280175" w:rsidP="00180EEB" w:rsidRDefault="00280175" w14:paraId="160F5EB8"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6,5</w:t>
            </w:r>
          </w:p>
        </w:tc>
        <w:tc>
          <w:tcPr>
            <w:tcW w:w="1418" w:type="dxa"/>
            <w:noWrap/>
            <w:hideMark/>
          </w:tcPr>
          <w:p w:rsidRPr="005F055E" w:rsidR="00280175" w:rsidP="00180EEB" w:rsidRDefault="00280175" w14:paraId="66B16F8A"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5,3</w:t>
            </w:r>
          </w:p>
        </w:tc>
      </w:tr>
      <w:tr w:rsidRPr="005F055E" w:rsidR="00280175" w:rsidTr="00056279" w14:paraId="5612B1E5" w14:textId="77777777">
        <w:trPr>
          <w:trHeight w:val="300"/>
        </w:trPr>
        <w:tc>
          <w:tcPr>
            <w:tcW w:w="6516" w:type="dxa"/>
            <w:noWrap/>
            <w:hideMark/>
          </w:tcPr>
          <w:p w:rsidRPr="005F055E" w:rsidR="00280175" w:rsidP="00180EEB" w:rsidRDefault="00280175" w14:paraId="651CEC8E" w14:textId="77777777">
            <w:pPr>
              <w:suppressAutoHyphens/>
              <w:spacing w:line="240" w:lineRule="atLeast"/>
              <w:rPr>
                <w:rFonts w:ascii="Verdana" w:hAnsi="Verdana"/>
                <w:sz w:val="16"/>
                <w:szCs w:val="16"/>
                <w:lang w:eastAsia="nl-NL"/>
              </w:rPr>
            </w:pPr>
            <w:proofErr w:type="spellStart"/>
            <w:r w:rsidRPr="005F055E">
              <w:rPr>
                <w:rFonts w:ascii="Verdana" w:hAnsi="Verdana"/>
                <w:sz w:val="16"/>
                <w:szCs w:val="16"/>
                <w:lang w:eastAsia="nl-NL"/>
              </w:rPr>
              <w:t>Neurolyse</w:t>
            </w:r>
            <w:proofErr w:type="spellEnd"/>
            <w:r w:rsidRPr="005F055E">
              <w:rPr>
                <w:rFonts w:ascii="Verdana" w:hAnsi="Verdana"/>
                <w:sz w:val="16"/>
                <w:szCs w:val="16"/>
                <w:lang w:eastAsia="nl-NL"/>
              </w:rPr>
              <w:t xml:space="preserve"> perifere zenuw, waaronder carpaal tunnel syndroom (neurochirurgie)</w:t>
            </w:r>
          </w:p>
        </w:tc>
        <w:tc>
          <w:tcPr>
            <w:tcW w:w="992" w:type="dxa"/>
            <w:noWrap/>
            <w:hideMark/>
          </w:tcPr>
          <w:p w:rsidRPr="005F055E" w:rsidR="00280175" w:rsidP="00180EEB" w:rsidRDefault="00280175" w14:paraId="21ABE1EC"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6,4</w:t>
            </w:r>
          </w:p>
        </w:tc>
        <w:tc>
          <w:tcPr>
            <w:tcW w:w="1418" w:type="dxa"/>
            <w:noWrap/>
            <w:hideMark/>
          </w:tcPr>
          <w:p w:rsidRPr="005F055E" w:rsidR="00280175" w:rsidP="00180EEB" w:rsidRDefault="00280175" w14:paraId="5A06E882"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6,4</w:t>
            </w:r>
          </w:p>
        </w:tc>
      </w:tr>
      <w:tr w:rsidRPr="005F055E" w:rsidR="00280175" w:rsidTr="00056279" w14:paraId="5802414E" w14:textId="77777777">
        <w:trPr>
          <w:trHeight w:val="300"/>
        </w:trPr>
        <w:tc>
          <w:tcPr>
            <w:tcW w:w="6516" w:type="dxa"/>
            <w:noWrap/>
            <w:hideMark/>
          </w:tcPr>
          <w:p w:rsidRPr="005F055E" w:rsidR="00280175" w:rsidP="00180EEB" w:rsidRDefault="00280175" w14:paraId="263F82E6"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Operatieve behandeling prostaatcarcinoom (urologie)</w:t>
            </w:r>
          </w:p>
        </w:tc>
        <w:tc>
          <w:tcPr>
            <w:tcW w:w="992" w:type="dxa"/>
            <w:noWrap/>
            <w:hideMark/>
          </w:tcPr>
          <w:p w:rsidRPr="005F055E" w:rsidR="00280175" w:rsidP="00180EEB" w:rsidRDefault="00280175" w14:paraId="6D8D69D3"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6,4</w:t>
            </w:r>
          </w:p>
        </w:tc>
        <w:tc>
          <w:tcPr>
            <w:tcW w:w="1418" w:type="dxa"/>
            <w:noWrap/>
            <w:hideMark/>
          </w:tcPr>
          <w:p w:rsidRPr="005F055E" w:rsidR="00280175" w:rsidP="00180EEB" w:rsidRDefault="00280175" w14:paraId="6521AD4D"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6,5</w:t>
            </w:r>
          </w:p>
        </w:tc>
      </w:tr>
      <w:tr w:rsidRPr="005F055E" w:rsidR="00280175" w:rsidTr="00056279" w14:paraId="70521EA6" w14:textId="77777777">
        <w:trPr>
          <w:trHeight w:val="300"/>
        </w:trPr>
        <w:tc>
          <w:tcPr>
            <w:tcW w:w="6516" w:type="dxa"/>
            <w:noWrap/>
            <w:hideMark/>
          </w:tcPr>
          <w:p w:rsidRPr="005F055E" w:rsidR="00280175" w:rsidP="00180EEB" w:rsidRDefault="00280175" w14:paraId="69904179"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 xml:space="preserve">Operatieve behandeling contractuur van </w:t>
            </w:r>
            <w:proofErr w:type="spellStart"/>
            <w:r w:rsidRPr="005F055E">
              <w:rPr>
                <w:rFonts w:ascii="Verdana" w:hAnsi="Verdana"/>
                <w:sz w:val="16"/>
                <w:szCs w:val="16"/>
                <w:lang w:eastAsia="nl-NL"/>
              </w:rPr>
              <w:t>Dupuytren</w:t>
            </w:r>
            <w:proofErr w:type="spellEnd"/>
            <w:r w:rsidRPr="005F055E">
              <w:rPr>
                <w:rFonts w:ascii="Verdana" w:hAnsi="Verdana"/>
                <w:sz w:val="16"/>
                <w:szCs w:val="16"/>
                <w:lang w:eastAsia="nl-NL"/>
              </w:rPr>
              <w:t xml:space="preserve"> (plastische chirurgie)</w:t>
            </w:r>
          </w:p>
        </w:tc>
        <w:tc>
          <w:tcPr>
            <w:tcW w:w="992" w:type="dxa"/>
            <w:noWrap/>
            <w:hideMark/>
          </w:tcPr>
          <w:p w:rsidRPr="005F055E" w:rsidR="00280175" w:rsidP="00180EEB" w:rsidRDefault="00280175" w14:paraId="5E2CADA0"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6,1</w:t>
            </w:r>
          </w:p>
        </w:tc>
        <w:tc>
          <w:tcPr>
            <w:tcW w:w="1418" w:type="dxa"/>
            <w:noWrap/>
            <w:hideMark/>
          </w:tcPr>
          <w:p w:rsidRPr="005F055E" w:rsidR="00280175" w:rsidP="00180EEB" w:rsidRDefault="00280175" w14:paraId="730DB7D3"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6,8</w:t>
            </w:r>
          </w:p>
        </w:tc>
      </w:tr>
      <w:tr w:rsidRPr="005F055E" w:rsidR="00280175" w:rsidTr="00056279" w14:paraId="266B1934" w14:textId="77777777">
        <w:trPr>
          <w:trHeight w:val="300"/>
        </w:trPr>
        <w:tc>
          <w:tcPr>
            <w:tcW w:w="6516" w:type="dxa"/>
            <w:noWrap/>
            <w:hideMark/>
          </w:tcPr>
          <w:p w:rsidRPr="005F055E" w:rsidR="00280175" w:rsidP="00180EEB" w:rsidRDefault="00280175" w14:paraId="196EB008" w14:textId="77777777">
            <w:pPr>
              <w:suppressAutoHyphens/>
              <w:spacing w:line="240" w:lineRule="atLeast"/>
              <w:rPr>
                <w:rFonts w:ascii="Verdana" w:hAnsi="Verdana"/>
                <w:sz w:val="16"/>
                <w:szCs w:val="16"/>
                <w:lang w:eastAsia="nl-NL"/>
              </w:rPr>
            </w:pPr>
            <w:proofErr w:type="spellStart"/>
            <w:r w:rsidRPr="005F055E">
              <w:rPr>
                <w:rFonts w:ascii="Verdana" w:hAnsi="Verdana"/>
                <w:sz w:val="16"/>
                <w:szCs w:val="16"/>
                <w:lang w:eastAsia="nl-NL"/>
              </w:rPr>
              <w:t>Mohs</w:t>
            </w:r>
            <w:proofErr w:type="spellEnd"/>
            <w:r w:rsidRPr="005F055E">
              <w:rPr>
                <w:rFonts w:ascii="Verdana" w:hAnsi="Verdana"/>
                <w:sz w:val="16"/>
                <w:szCs w:val="16"/>
                <w:lang w:eastAsia="nl-NL"/>
              </w:rPr>
              <w:t xml:space="preserve"> chirurgie (dermatologie)</w:t>
            </w:r>
          </w:p>
        </w:tc>
        <w:tc>
          <w:tcPr>
            <w:tcW w:w="992" w:type="dxa"/>
            <w:noWrap/>
            <w:hideMark/>
          </w:tcPr>
          <w:p w:rsidRPr="005F055E" w:rsidR="00280175" w:rsidP="00180EEB" w:rsidRDefault="00280175" w14:paraId="4663E1C5"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5,5</w:t>
            </w:r>
          </w:p>
        </w:tc>
        <w:tc>
          <w:tcPr>
            <w:tcW w:w="1418" w:type="dxa"/>
            <w:noWrap/>
            <w:hideMark/>
          </w:tcPr>
          <w:p w:rsidRPr="005F055E" w:rsidR="00280175" w:rsidP="00180EEB" w:rsidRDefault="00280175" w14:paraId="00D92B9F"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7,1</w:t>
            </w:r>
          </w:p>
        </w:tc>
      </w:tr>
      <w:tr w:rsidRPr="005F055E" w:rsidR="00280175" w:rsidTr="00056279" w14:paraId="563B7D51" w14:textId="77777777">
        <w:trPr>
          <w:trHeight w:val="300"/>
        </w:trPr>
        <w:tc>
          <w:tcPr>
            <w:tcW w:w="6516" w:type="dxa"/>
            <w:noWrap/>
            <w:hideMark/>
          </w:tcPr>
          <w:p w:rsidRPr="005F055E" w:rsidR="00280175" w:rsidP="00180EEB" w:rsidRDefault="00280175" w14:paraId="75B29A55"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Diagnostische en/of therapeutische kijkoperatie knie (orthopedie)</w:t>
            </w:r>
          </w:p>
        </w:tc>
        <w:tc>
          <w:tcPr>
            <w:tcW w:w="992" w:type="dxa"/>
            <w:noWrap/>
            <w:hideMark/>
          </w:tcPr>
          <w:p w:rsidRPr="005F055E" w:rsidR="00280175" w:rsidP="00180EEB" w:rsidRDefault="00280175" w14:paraId="5FD7AE4B"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5,3</w:t>
            </w:r>
          </w:p>
        </w:tc>
        <w:tc>
          <w:tcPr>
            <w:tcW w:w="1418" w:type="dxa"/>
            <w:noWrap/>
            <w:hideMark/>
          </w:tcPr>
          <w:p w:rsidRPr="005F055E" w:rsidR="00280175" w:rsidP="00180EEB" w:rsidRDefault="00280175" w14:paraId="70465BC5"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5,8</w:t>
            </w:r>
          </w:p>
        </w:tc>
      </w:tr>
      <w:tr w:rsidRPr="005F055E" w:rsidR="00280175" w:rsidTr="00056279" w14:paraId="5EE55470" w14:textId="77777777">
        <w:trPr>
          <w:trHeight w:val="300"/>
        </w:trPr>
        <w:tc>
          <w:tcPr>
            <w:tcW w:w="6516" w:type="dxa"/>
            <w:noWrap/>
            <w:hideMark/>
          </w:tcPr>
          <w:p w:rsidRPr="005F055E" w:rsidR="00280175" w:rsidP="00180EEB" w:rsidRDefault="00280175" w14:paraId="434363DE" w14:textId="77777777">
            <w:pPr>
              <w:suppressAutoHyphens/>
              <w:spacing w:line="240" w:lineRule="atLeast"/>
              <w:rPr>
                <w:rFonts w:ascii="Verdana" w:hAnsi="Verdana"/>
                <w:sz w:val="16"/>
                <w:szCs w:val="16"/>
                <w:lang w:eastAsia="nl-NL"/>
              </w:rPr>
            </w:pPr>
            <w:proofErr w:type="spellStart"/>
            <w:r w:rsidRPr="005F055E">
              <w:rPr>
                <w:rFonts w:ascii="Verdana" w:hAnsi="Verdana"/>
                <w:sz w:val="16"/>
                <w:szCs w:val="16"/>
                <w:lang w:eastAsia="nl-NL"/>
              </w:rPr>
              <w:t>Aortocoronaire</w:t>
            </w:r>
            <w:proofErr w:type="spellEnd"/>
            <w:r w:rsidRPr="005F055E">
              <w:rPr>
                <w:rFonts w:ascii="Verdana" w:hAnsi="Verdana"/>
                <w:sz w:val="16"/>
                <w:szCs w:val="16"/>
                <w:lang w:eastAsia="nl-NL"/>
              </w:rPr>
              <w:t xml:space="preserve"> </w:t>
            </w:r>
            <w:proofErr w:type="spellStart"/>
            <w:r w:rsidRPr="005F055E">
              <w:rPr>
                <w:rFonts w:ascii="Verdana" w:hAnsi="Verdana"/>
                <w:sz w:val="16"/>
                <w:szCs w:val="16"/>
                <w:lang w:eastAsia="nl-NL"/>
              </w:rPr>
              <w:t>bypass-operatie</w:t>
            </w:r>
            <w:proofErr w:type="spellEnd"/>
            <w:r w:rsidRPr="005F055E">
              <w:rPr>
                <w:rFonts w:ascii="Verdana" w:hAnsi="Verdana"/>
                <w:sz w:val="16"/>
                <w:szCs w:val="16"/>
                <w:lang w:eastAsia="nl-NL"/>
              </w:rPr>
              <w:t xml:space="preserve"> als zelfstandige verrichting (cardiopulmonale chirurgie)</w:t>
            </w:r>
          </w:p>
        </w:tc>
        <w:tc>
          <w:tcPr>
            <w:tcW w:w="992" w:type="dxa"/>
            <w:noWrap/>
            <w:hideMark/>
          </w:tcPr>
          <w:p w:rsidRPr="005F055E" w:rsidR="00280175" w:rsidP="00180EEB" w:rsidRDefault="00280175" w14:paraId="0B5B1484"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5</w:t>
            </w:r>
          </w:p>
        </w:tc>
        <w:tc>
          <w:tcPr>
            <w:tcW w:w="1418" w:type="dxa"/>
            <w:noWrap/>
            <w:hideMark/>
          </w:tcPr>
          <w:p w:rsidRPr="005F055E" w:rsidR="00280175" w:rsidP="00180EEB" w:rsidRDefault="00280175" w14:paraId="402ECFC3"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4,1</w:t>
            </w:r>
          </w:p>
        </w:tc>
      </w:tr>
      <w:tr w:rsidRPr="005F055E" w:rsidR="00280175" w:rsidTr="00056279" w14:paraId="4F10EF72" w14:textId="77777777">
        <w:trPr>
          <w:trHeight w:val="300"/>
        </w:trPr>
        <w:tc>
          <w:tcPr>
            <w:tcW w:w="6516" w:type="dxa"/>
            <w:noWrap/>
            <w:hideMark/>
          </w:tcPr>
          <w:p w:rsidRPr="005F055E" w:rsidR="00280175" w:rsidP="00180EEB" w:rsidRDefault="00280175" w14:paraId="1EE53C68"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Volumereductieoperatie maag bij overgewicht (heelkunde)</w:t>
            </w:r>
          </w:p>
        </w:tc>
        <w:tc>
          <w:tcPr>
            <w:tcW w:w="992" w:type="dxa"/>
            <w:noWrap/>
            <w:hideMark/>
          </w:tcPr>
          <w:p w:rsidRPr="005F055E" w:rsidR="00280175" w:rsidP="00180EEB" w:rsidRDefault="00280175" w14:paraId="5B4B34F3"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4,2</w:t>
            </w:r>
          </w:p>
        </w:tc>
        <w:tc>
          <w:tcPr>
            <w:tcW w:w="1418" w:type="dxa"/>
            <w:noWrap/>
            <w:hideMark/>
          </w:tcPr>
          <w:p w:rsidRPr="005F055E" w:rsidR="00280175" w:rsidP="00180EEB" w:rsidRDefault="00280175" w14:paraId="6F3B3FF1"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4</w:t>
            </w:r>
          </w:p>
        </w:tc>
      </w:tr>
      <w:tr w:rsidRPr="005F055E" w:rsidR="00280175" w:rsidTr="00056279" w14:paraId="1A013D07" w14:textId="77777777">
        <w:trPr>
          <w:trHeight w:val="300"/>
        </w:trPr>
        <w:tc>
          <w:tcPr>
            <w:tcW w:w="6516" w:type="dxa"/>
            <w:noWrap/>
            <w:hideMark/>
          </w:tcPr>
          <w:p w:rsidRPr="005F055E" w:rsidR="00280175" w:rsidP="00180EEB" w:rsidRDefault="00280175" w14:paraId="57BEBBA9"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IVF/ICSI (gynaecologie)</w:t>
            </w:r>
          </w:p>
        </w:tc>
        <w:tc>
          <w:tcPr>
            <w:tcW w:w="992" w:type="dxa"/>
            <w:noWrap/>
            <w:hideMark/>
          </w:tcPr>
          <w:p w:rsidRPr="005F055E" w:rsidR="00280175" w:rsidP="00180EEB" w:rsidRDefault="00280175" w14:paraId="4B3214AA"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4,1</w:t>
            </w:r>
          </w:p>
        </w:tc>
        <w:tc>
          <w:tcPr>
            <w:tcW w:w="1418" w:type="dxa"/>
            <w:noWrap/>
            <w:hideMark/>
          </w:tcPr>
          <w:p w:rsidRPr="005F055E" w:rsidR="00280175" w:rsidP="00180EEB" w:rsidRDefault="00280175" w14:paraId="5B4FA887"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4,4</w:t>
            </w:r>
          </w:p>
        </w:tc>
      </w:tr>
      <w:tr w:rsidRPr="005F055E" w:rsidR="00280175" w:rsidTr="00056279" w14:paraId="26A4BA82" w14:textId="77777777">
        <w:trPr>
          <w:trHeight w:val="300"/>
        </w:trPr>
        <w:tc>
          <w:tcPr>
            <w:tcW w:w="6516" w:type="dxa"/>
            <w:noWrap/>
            <w:hideMark/>
          </w:tcPr>
          <w:p w:rsidRPr="005F055E" w:rsidR="00280175" w:rsidP="00180EEB" w:rsidRDefault="00280175" w14:paraId="3C8F044B"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Initiële operatieve behandeling carpaal tunnel syndroom (heelkunde, orthopedie, plastische chirurgie)</w:t>
            </w:r>
          </w:p>
        </w:tc>
        <w:tc>
          <w:tcPr>
            <w:tcW w:w="992" w:type="dxa"/>
            <w:noWrap/>
            <w:hideMark/>
          </w:tcPr>
          <w:p w:rsidRPr="005F055E" w:rsidR="00280175" w:rsidP="00180EEB" w:rsidRDefault="00280175" w14:paraId="55A4876A"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3,9</w:t>
            </w:r>
          </w:p>
        </w:tc>
        <w:tc>
          <w:tcPr>
            <w:tcW w:w="1418" w:type="dxa"/>
            <w:noWrap/>
            <w:hideMark/>
          </w:tcPr>
          <w:p w:rsidRPr="005F055E" w:rsidR="00280175" w:rsidP="00180EEB" w:rsidRDefault="00280175" w14:paraId="23EBC301"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4,1</w:t>
            </w:r>
          </w:p>
        </w:tc>
      </w:tr>
      <w:tr w:rsidRPr="005F055E" w:rsidR="00280175" w:rsidTr="00056279" w14:paraId="755BB5E6" w14:textId="77777777">
        <w:trPr>
          <w:trHeight w:val="300"/>
        </w:trPr>
        <w:tc>
          <w:tcPr>
            <w:tcW w:w="6516" w:type="dxa"/>
            <w:noWrap/>
            <w:hideMark/>
          </w:tcPr>
          <w:p w:rsidRPr="005F055E" w:rsidR="00280175" w:rsidP="00180EEB" w:rsidRDefault="00280175" w14:paraId="1893C919" w14:textId="77777777">
            <w:pPr>
              <w:suppressAutoHyphens/>
              <w:spacing w:line="240" w:lineRule="atLeast"/>
              <w:rPr>
                <w:rFonts w:ascii="Verdana" w:hAnsi="Verdana"/>
                <w:sz w:val="16"/>
                <w:szCs w:val="16"/>
                <w:lang w:eastAsia="nl-NL"/>
              </w:rPr>
            </w:pPr>
            <w:proofErr w:type="spellStart"/>
            <w:r w:rsidRPr="005F055E">
              <w:rPr>
                <w:rFonts w:ascii="Verdana" w:hAnsi="Verdana"/>
                <w:sz w:val="16"/>
                <w:szCs w:val="16"/>
                <w:lang w:eastAsia="nl-NL"/>
              </w:rPr>
              <w:t>Triggerfingerrelease</w:t>
            </w:r>
            <w:proofErr w:type="spellEnd"/>
            <w:r w:rsidRPr="005F055E">
              <w:rPr>
                <w:rFonts w:ascii="Verdana" w:hAnsi="Verdana"/>
                <w:sz w:val="16"/>
                <w:szCs w:val="16"/>
                <w:lang w:eastAsia="nl-NL"/>
              </w:rPr>
              <w:t xml:space="preserve"> (plastische chirurgie)</w:t>
            </w:r>
          </w:p>
        </w:tc>
        <w:tc>
          <w:tcPr>
            <w:tcW w:w="992" w:type="dxa"/>
            <w:noWrap/>
            <w:hideMark/>
          </w:tcPr>
          <w:p w:rsidRPr="005F055E" w:rsidR="00280175" w:rsidP="00180EEB" w:rsidRDefault="00280175" w14:paraId="78967C93"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3,7</w:t>
            </w:r>
          </w:p>
        </w:tc>
        <w:tc>
          <w:tcPr>
            <w:tcW w:w="1418" w:type="dxa"/>
            <w:noWrap/>
            <w:hideMark/>
          </w:tcPr>
          <w:p w:rsidRPr="005F055E" w:rsidR="00280175" w:rsidP="00180EEB" w:rsidRDefault="00280175" w14:paraId="403611F5"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4,3</w:t>
            </w:r>
          </w:p>
        </w:tc>
      </w:tr>
      <w:tr w:rsidRPr="005F055E" w:rsidR="00280175" w:rsidTr="00056279" w14:paraId="020306EF" w14:textId="77777777">
        <w:trPr>
          <w:trHeight w:val="300"/>
        </w:trPr>
        <w:tc>
          <w:tcPr>
            <w:tcW w:w="6516" w:type="dxa"/>
            <w:noWrap/>
            <w:hideMark/>
          </w:tcPr>
          <w:p w:rsidRPr="005F055E" w:rsidR="00280175" w:rsidP="00180EEB" w:rsidRDefault="00280175" w14:paraId="5A5E26D9"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Vergruizing niersteen (urologie)</w:t>
            </w:r>
          </w:p>
        </w:tc>
        <w:tc>
          <w:tcPr>
            <w:tcW w:w="992" w:type="dxa"/>
            <w:noWrap/>
            <w:hideMark/>
          </w:tcPr>
          <w:p w:rsidRPr="005F055E" w:rsidR="00280175" w:rsidP="00180EEB" w:rsidRDefault="00280175" w14:paraId="69053B0E"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3,7</w:t>
            </w:r>
          </w:p>
        </w:tc>
        <w:tc>
          <w:tcPr>
            <w:tcW w:w="1418" w:type="dxa"/>
            <w:noWrap/>
            <w:hideMark/>
          </w:tcPr>
          <w:p w:rsidRPr="005F055E" w:rsidR="00280175" w:rsidP="00180EEB" w:rsidRDefault="00280175" w14:paraId="08B77B54"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3,1</w:t>
            </w:r>
          </w:p>
        </w:tc>
      </w:tr>
      <w:tr w:rsidRPr="005F055E" w:rsidR="00280175" w:rsidTr="00056279" w14:paraId="39FEBB12" w14:textId="77777777">
        <w:trPr>
          <w:trHeight w:val="300"/>
        </w:trPr>
        <w:tc>
          <w:tcPr>
            <w:tcW w:w="6516" w:type="dxa"/>
            <w:noWrap/>
            <w:hideMark/>
          </w:tcPr>
          <w:p w:rsidRPr="005F055E" w:rsidR="00280175" w:rsidP="00180EEB" w:rsidRDefault="00280175" w14:paraId="492DA1E4"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Longrevalidatie (revalidatiegeneeskunde)</w:t>
            </w:r>
          </w:p>
        </w:tc>
        <w:tc>
          <w:tcPr>
            <w:tcW w:w="992" w:type="dxa"/>
            <w:noWrap/>
            <w:hideMark/>
          </w:tcPr>
          <w:p w:rsidRPr="005F055E" w:rsidR="00280175" w:rsidP="00180EEB" w:rsidRDefault="00280175" w14:paraId="76A881F7"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3,5</w:t>
            </w:r>
          </w:p>
        </w:tc>
        <w:tc>
          <w:tcPr>
            <w:tcW w:w="1418" w:type="dxa"/>
            <w:noWrap/>
            <w:hideMark/>
          </w:tcPr>
          <w:p w:rsidRPr="005F055E" w:rsidR="00280175" w:rsidP="00180EEB" w:rsidRDefault="00280175" w14:paraId="398EE548"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4,1</w:t>
            </w:r>
          </w:p>
        </w:tc>
      </w:tr>
      <w:tr w:rsidRPr="005F055E" w:rsidR="00280175" w:rsidTr="00056279" w14:paraId="13129615" w14:textId="77777777">
        <w:trPr>
          <w:trHeight w:val="300"/>
        </w:trPr>
        <w:tc>
          <w:tcPr>
            <w:tcW w:w="6516" w:type="dxa"/>
            <w:noWrap/>
            <w:hideMark/>
          </w:tcPr>
          <w:p w:rsidRPr="005F055E" w:rsidR="00280175" w:rsidP="00180EEB" w:rsidRDefault="00280175" w14:paraId="7C5B790D"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Dotterbehandeling (cardiologie)</w:t>
            </w:r>
          </w:p>
        </w:tc>
        <w:tc>
          <w:tcPr>
            <w:tcW w:w="992" w:type="dxa"/>
            <w:noWrap/>
            <w:hideMark/>
          </w:tcPr>
          <w:p w:rsidRPr="005F055E" w:rsidR="00280175" w:rsidP="00180EEB" w:rsidRDefault="00280175" w14:paraId="5C3FEDEB"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3,2</w:t>
            </w:r>
          </w:p>
        </w:tc>
        <w:tc>
          <w:tcPr>
            <w:tcW w:w="1418" w:type="dxa"/>
            <w:noWrap/>
            <w:hideMark/>
          </w:tcPr>
          <w:p w:rsidRPr="005F055E" w:rsidR="00280175" w:rsidP="00180EEB" w:rsidRDefault="00280175" w14:paraId="1B973680"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3,1</w:t>
            </w:r>
          </w:p>
        </w:tc>
      </w:tr>
      <w:tr w:rsidRPr="005F055E" w:rsidR="00280175" w:rsidTr="00056279" w14:paraId="33848DA7" w14:textId="77777777">
        <w:trPr>
          <w:trHeight w:val="300"/>
        </w:trPr>
        <w:tc>
          <w:tcPr>
            <w:tcW w:w="6516" w:type="dxa"/>
            <w:noWrap/>
            <w:hideMark/>
          </w:tcPr>
          <w:p w:rsidRPr="005F055E" w:rsidR="00280175" w:rsidP="00180EEB" w:rsidRDefault="00280175" w14:paraId="4B146557"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Hartkatheterisatie (cardiologie)</w:t>
            </w:r>
          </w:p>
        </w:tc>
        <w:tc>
          <w:tcPr>
            <w:tcW w:w="992" w:type="dxa"/>
            <w:noWrap/>
            <w:hideMark/>
          </w:tcPr>
          <w:p w:rsidRPr="005F055E" w:rsidR="00280175" w:rsidP="00180EEB" w:rsidRDefault="00280175" w14:paraId="68809FE8"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3,1</w:t>
            </w:r>
          </w:p>
        </w:tc>
        <w:tc>
          <w:tcPr>
            <w:tcW w:w="1418" w:type="dxa"/>
            <w:noWrap/>
            <w:hideMark/>
          </w:tcPr>
          <w:p w:rsidRPr="005F055E" w:rsidR="00280175" w:rsidP="00180EEB" w:rsidRDefault="00280175" w14:paraId="2983774D"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3,5</w:t>
            </w:r>
          </w:p>
        </w:tc>
      </w:tr>
      <w:tr w:rsidRPr="005F055E" w:rsidR="00280175" w:rsidTr="00056279" w14:paraId="5F9EFF02" w14:textId="77777777">
        <w:trPr>
          <w:trHeight w:val="300"/>
        </w:trPr>
        <w:tc>
          <w:tcPr>
            <w:tcW w:w="6516" w:type="dxa"/>
            <w:noWrap/>
            <w:hideMark/>
          </w:tcPr>
          <w:p w:rsidRPr="005F055E" w:rsidR="00280175" w:rsidP="00180EEB" w:rsidRDefault="00280175" w14:paraId="7F3B20D9"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Hartrevalidatie (revalidatiegeneeskunde)</w:t>
            </w:r>
          </w:p>
        </w:tc>
        <w:tc>
          <w:tcPr>
            <w:tcW w:w="992" w:type="dxa"/>
            <w:noWrap/>
            <w:hideMark/>
          </w:tcPr>
          <w:p w:rsidRPr="005F055E" w:rsidR="00280175" w:rsidP="00180EEB" w:rsidRDefault="00280175" w14:paraId="1A68153A"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3</w:t>
            </w:r>
          </w:p>
        </w:tc>
        <w:tc>
          <w:tcPr>
            <w:tcW w:w="1418" w:type="dxa"/>
            <w:noWrap/>
            <w:hideMark/>
          </w:tcPr>
          <w:p w:rsidRPr="005F055E" w:rsidR="00280175" w:rsidP="00180EEB" w:rsidRDefault="00280175" w14:paraId="2603173B"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3</w:t>
            </w:r>
          </w:p>
        </w:tc>
      </w:tr>
      <w:tr w:rsidRPr="005F055E" w:rsidR="00280175" w:rsidTr="00056279" w14:paraId="55A89588" w14:textId="77777777">
        <w:trPr>
          <w:trHeight w:val="300"/>
        </w:trPr>
        <w:tc>
          <w:tcPr>
            <w:tcW w:w="6516" w:type="dxa"/>
            <w:noWrap/>
            <w:hideMark/>
          </w:tcPr>
          <w:p w:rsidRPr="005F055E" w:rsidR="00280175" w:rsidP="00180EEB" w:rsidRDefault="00280175" w14:paraId="71A9E1FD"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Revalidatie na beroerte (revalidatiegeneeskunde)</w:t>
            </w:r>
          </w:p>
        </w:tc>
        <w:tc>
          <w:tcPr>
            <w:tcW w:w="992" w:type="dxa"/>
            <w:noWrap/>
            <w:hideMark/>
          </w:tcPr>
          <w:p w:rsidRPr="005F055E" w:rsidR="00280175" w:rsidP="00180EEB" w:rsidRDefault="00280175" w14:paraId="1D4FA731"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2,8</w:t>
            </w:r>
          </w:p>
        </w:tc>
        <w:tc>
          <w:tcPr>
            <w:tcW w:w="1418" w:type="dxa"/>
            <w:noWrap/>
            <w:hideMark/>
          </w:tcPr>
          <w:p w:rsidRPr="005F055E" w:rsidR="00280175" w:rsidP="00180EEB" w:rsidRDefault="00280175" w14:paraId="13CDB515"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2,9</w:t>
            </w:r>
          </w:p>
        </w:tc>
      </w:tr>
      <w:tr w:rsidRPr="005F055E" w:rsidR="00280175" w:rsidTr="00056279" w14:paraId="2987AA3C" w14:textId="77777777">
        <w:trPr>
          <w:trHeight w:val="300"/>
        </w:trPr>
        <w:tc>
          <w:tcPr>
            <w:tcW w:w="6516" w:type="dxa"/>
            <w:noWrap/>
            <w:hideMark/>
          </w:tcPr>
          <w:p w:rsidRPr="005F055E" w:rsidR="00280175" w:rsidP="00180EEB" w:rsidRDefault="00280175" w14:paraId="3F7D775F"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IUI (gynaecologie)</w:t>
            </w:r>
          </w:p>
        </w:tc>
        <w:tc>
          <w:tcPr>
            <w:tcW w:w="992" w:type="dxa"/>
            <w:noWrap/>
            <w:hideMark/>
          </w:tcPr>
          <w:p w:rsidRPr="005F055E" w:rsidR="00280175" w:rsidP="00180EEB" w:rsidRDefault="00280175" w14:paraId="4B593FBE"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2,6</w:t>
            </w:r>
          </w:p>
        </w:tc>
        <w:tc>
          <w:tcPr>
            <w:tcW w:w="1418" w:type="dxa"/>
            <w:noWrap/>
            <w:hideMark/>
          </w:tcPr>
          <w:p w:rsidRPr="005F055E" w:rsidR="00280175" w:rsidP="00180EEB" w:rsidRDefault="00280175" w14:paraId="39EF39C2" w14:textId="77777777">
            <w:pPr>
              <w:suppressAutoHyphens/>
              <w:spacing w:line="240" w:lineRule="atLeast"/>
              <w:rPr>
                <w:rFonts w:ascii="Verdana" w:hAnsi="Verdana"/>
                <w:sz w:val="16"/>
                <w:szCs w:val="16"/>
                <w:lang w:eastAsia="nl-NL"/>
              </w:rPr>
            </w:pPr>
            <w:r w:rsidRPr="005F055E">
              <w:rPr>
                <w:rFonts w:ascii="Verdana" w:hAnsi="Verdana"/>
                <w:sz w:val="16"/>
                <w:szCs w:val="16"/>
                <w:lang w:eastAsia="nl-NL"/>
              </w:rPr>
              <w:t>3,1</w:t>
            </w:r>
          </w:p>
        </w:tc>
      </w:tr>
    </w:tbl>
    <w:p w:rsidRPr="005F055E" w:rsidR="000478A7" w:rsidP="00180EEB" w:rsidRDefault="000478A7" w14:paraId="1C06053F" w14:textId="77777777">
      <w:pPr>
        <w:suppressAutoHyphens/>
      </w:pPr>
    </w:p>
    <w:p w:rsidRPr="005F055E" w:rsidR="000478A7" w:rsidP="00180EEB" w:rsidRDefault="003E7003" w14:paraId="72A64E10" w14:textId="77777777">
      <w:pPr>
        <w:suppressAutoHyphens/>
      </w:pPr>
      <w:r w:rsidRPr="005F055E">
        <w:t>Vraag 26</w:t>
      </w:r>
      <w:r w:rsidRPr="005F055E">
        <w:tab/>
      </w:r>
    </w:p>
    <w:p w:rsidRPr="005F055E" w:rsidR="000478A7" w:rsidP="00180EEB" w:rsidRDefault="003E7003" w14:paraId="374EB310" w14:textId="77777777">
      <w:pPr>
        <w:suppressAutoHyphens/>
      </w:pPr>
      <w:r w:rsidRPr="005F055E">
        <w:t>Welke extra maatregelen neemt u in 2026 om wachttijden voor oncologische behandelingen terug te dringen?</w:t>
      </w:r>
      <w:r w:rsidRPr="005F055E">
        <w:tab/>
      </w:r>
    </w:p>
    <w:p w:rsidRPr="005F055E" w:rsidR="003E7003" w:rsidP="00180EEB" w:rsidRDefault="003E7003" w14:paraId="0F1743D2" w14:textId="710DBE69">
      <w:pPr>
        <w:suppressAutoHyphens/>
      </w:pPr>
      <w:r w:rsidRPr="005F055E">
        <w:t>Antwoord</w:t>
      </w:r>
    </w:p>
    <w:p w:rsidRPr="005F055E" w:rsidR="000478A7" w:rsidP="00180EEB" w:rsidRDefault="00BE5CD4" w14:paraId="0293794A" w14:textId="5E5BA0B7">
      <w:pPr>
        <w:suppressAutoHyphens/>
        <w:spacing w:line="240" w:lineRule="atLeast"/>
        <w:rPr>
          <w:szCs w:val="18"/>
          <w:lang w:eastAsia="nl-NL"/>
        </w:rPr>
      </w:pPr>
      <w:r w:rsidRPr="005F055E">
        <w:rPr>
          <w:szCs w:val="18"/>
          <w:lang w:eastAsia="nl-NL"/>
        </w:rPr>
        <w:t xml:space="preserve">Het is belangrijk dat we de wachttijden voor de toegang tot zorg voor iedereen binnen de daarvoor geschikte normen brengen. In het Aanvullend Zorg- en Welzijnsakkoord (AZWA) zijn afspraken gemaakt om de toegankelijkheid van de zorg te borgen. Deze afspraken gaan over het verbeteren van inzicht in de wachttijden, het mogelijk maken van actieve zorgbemiddeling en het verbeteren van gelijkwaardigere toegang. Om gelijkwaardige toegang te verbeteren, onderzoeken partijen waarom de toegang tot zorg voor bepaalde groepen minder goed is. Dit onderzoek richt zich onder andere op oncologische patiënten. Partijen hebben afgesproken om concrete aanbevelingen uit dit onderzoek proactief op te pakken. </w:t>
      </w:r>
    </w:p>
    <w:p w:rsidRPr="005F055E" w:rsidR="007B58FB" w:rsidP="00180EEB" w:rsidRDefault="007B58FB" w14:paraId="7955BEE5" w14:textId="77777777">
      <w:pPr>
        <w:suppressAutoHyphens/>
      </w:pPr>
    </w:p>
    <w:p w:rsidRPr="005F055E" w:rsidR="000478A7" w:rsidP="00180EEB" w:rsidRDefault="003E7003" w14:paraId="28867657" w14:textId="77777777">
      <w:pPr>
        <w:suppressAutoHyphens/>
      </w:pPr>
      <w:r w:rsidRPr="005F055E">
        <w:t>Vraag 27</w:t>
      </w:r>
      <w:r w:rsidRPr="005F055E">
        <w:tab/>
      </w:r>
    </w:p>
    <w:p w:rsidRPr="005F055E" w:rsidR="000478A7" w:rsidP="00180EEB" w:rsidRDefault="003E7003" w14:paraId="66FCFCBB" w14:textId="77777777">
      <w:pPr>
        <w:suppressAutoHyphens/>
      </w:pPr>
      <w:r w:rsidRPr="005F055E">
        <w:t>Hoeveel patiënten wachten langer dan een half jaar op een eerste afspraak bij een specialist, uitgesplitst naar zorgdomein?</w:t>
      </w:r>
      <w:r w:rsidRPr="005F055E">
        <w:tab/>
      </w:r>
    </w:p>
    <w:p w:rsidRPr="005F055E" w:rsidR="003E7003" w:rsidP="00180EEB" w:rsidRDefault="003E7003" w14:paraId="0A917EB9" w14:textId="4976A0A0">
      <w:pPr>
        <w:suppressAutoHyphens/>
      </w:pPr>
      <w:r w:rsidRPr="005F055E">
        <w:t>Antwoord</w:t>
      </w:r>
    </w:p>
    <w:p w:rsidRPr="005F055E" w:rsidR="00280175" w:rsidP="00180EEB" w:rsidRDefault="00280175" w14:paraId="513857CF" w14:textId="10FE9953">
      <w:pPr>
        <w:suppressAutoHyphens/>
        <w:spacing w:line="240" w:lineRule="atLeast"/>
        <w:rPr>
          <w:szCs w:val="18"/>
          <w:lang w:eastAsia="nl-NL"/>
        </w:rPr>
      </w:pPr>
      <w:r w:rsidRPr="005F055E">
        <w:rPr>
          <w:szCs w:val="18"/>
          <w:lang w:eastAsia="nl-NL"/>
        </w:rPr>
        <w:t>Het is niet bekend hoeveel patiënten langer dan een half jaar moeten wachten op een eerste afspraak bij een specialist in de medisch specialistische zorg of geestelijke gezondheidzorg.</w:t>
      </w:r>
    </w:p>
    <w:p w:rsidRPr="005F055E" w:rsidR="00280175" w:rsidP="00180EEB" w:rsidRDefault="00280175" w14:paraId="4219F41E" w14:textId="124CBFAD">
      <w:pPr>
        <w:suppressAutoHyphens/>
        <w:spacing w:line="240" w:lineRule="atLeast"/>
        <w:rPr>
          <w:szCs w:val="18"/>
          <w:lang w:eastAsia="nl-NL"/>
        </w:rPr>
      </w:pPr>
      <w:r w:rsidRPr="005F055E">
        <w:rPr>
          <w:szCs w:val="18"/>
          <w:lang w:eastAsia="nl-NL"/>
        </w:rPr>
        <w:t xml:space="preserve">De Nederlandse Zorgautoriteit publiceert periodiek informatie over wachttijden (Monitor Toegankelijkheid van zorg – 22 juli 2025 – De Nederlandse Zorgautoriteit) maar daaruit is niet af te leiden hoeveel mensen langer dan een half jaar wachten op een eerste afspraak. </w:t>
      </w:r>
    </w:p>
    <w:p w:rsidRPr="005F055E" w:rsidR="00280175" w:rsidP="00180EEB" w:rsidRDefault="00280175" w14:paraId="78B6FAF0" w14:textId="77777777">
      <w:pPr>
        <w:suppressAutoHyphens/>
        <w:spacing w:line="240" w:lineRule="atLeast"/>
        <w:rPr>
          <w:szCs w:val="18"/>
          <w:lang w:eastAsia="nl-NL"/>
        </w:rPr>
      </w:pPr>
      <w:r w:rsidRPr="005F055E">
        <w:rPr>
          <w:szCs w:val="18"/>
          <w:lang w:eastAsia="nl-NL"/>
        </w:rPr>
        <w:t>In het Aanvullend Zorg- en Welzijnsakkoord zijn er afspraken gemaakt voor de geestelijke gezondheidszorg en de medisch specialistische zorg om de transparantie en inzichten in wachtlijsten te verbeteren en actieve zorgbemiddeling mogelijk te maken. Het doel is om verdere stijging van de wachtlijsten te voorkomen en wachttijden binnen de daarvoor geldende normen te brengen.</w:t>
      </w:r>
    </w:p>
    <w:p w:rsidRPr="005F055E" w:rsidR="000478A7" w:rsidP="00180EEB" w:rsidRDefault="000478A7" w14:paraId="24E24A86" w14:textId="77777777">
      <w:pPr>
        <w:suppressAutoHyphens/>
      </w:pPr>
    </w:p>
    <w:p w:rsidR="009873CE" w:rsidP="00180EEB" w:rsidRDefault="009873CE" w14:paraId="1F83DB77" w14:textId="77777777">
      <w:pPr>
        <w:suppressAutoHyphens/>
      </w:pPr>
      <w:bookmarkStart w:name="_Hlk213417319" w:id="2"/>
    </w:p>
    <w:p w:rsidRPr="005F055E" w:rsidR="000478A7" w:rsidP="00180EEB" w:rsidRDefault="003E7003" w14:paraId="148E5D71" w14:textId="3C36DB32">
      <w:pPr>
        <w:suppressAutoHyphens/>
      </w:pPr>
      <w:r w:rsidRPr="00DC65AF">
        <w:t>Vraag 28</w:t>
      </w:r>
      <w:r w:rsidRPr="005F055E">
        <w:tab/>
      </w:r>
    </w:p>
    <w:p w:rsidRPr="005F055E" w:rsidR="000478A7" w:rsidP="00180EEB" w:rsidRDefault="003E7003" w14:paraId="7D4CA11B" w14:textId="77777777">
      <w:pPr>
        <w:suppressAutoHyphens/>
      </w:pPr>
      <w:r w:rsidRPr="005F055E">
        <w:t>Welke doelstellingen stelt u voor het verkorten van wachttijden per type behandeling in 2026 en 2027?</w:t>
      </w:r>
    </w:p>
    <w:p w:rsidRPr="005F055E" w:rsidR="003E7003" w:rsidP="00180EEB" w:rsidRDefault="003E7003" w14:paraId="0AB731DD" w14:textId="7FCD8FE7">
      <w:pPr>
        <w:suppressAutoHyphens/>
      </w:pPr>
      <w:r w:rsidRPr="005F055E">
        <w:t>Antwoord</w:t>
      </w:r>
    </w:p>
    <w:p w:rsidRPr="005F055E" w:rsidR="000478A7" w:rsidP="00180EEB" w:rsidRDefault="00DC65AF" w14:paraId="55EA451D" w14:textId="533EC291">
      <w:pPr>
        <w:suppressAutoHyphens/>
      </w:pPr>
      <w:r w:rsidRPr="00DC65AF">
        <w:rPr>
          <w:szCs w:val="18"/>
          <w:lang w:eastAsia="nl-NL"/>
        </w:rPr>
        <w:t>Partijen hebben in het Aanvullend Zorg en Welzijnsakkoord de volgende doelen gesteld: verdere stijging van de wachtlijsten voorkomen en de wachttijden binnen de daarvoor geldende normen (de Treeknormen) brengen. Om deze doelen te halen is afgesproken om proactieve zorgbemiddeling in de medisch specialistische zorg en geestelijke gezondheidszorg mogelijk te maken per 2026. Ook streven partijen om de beschikbare capaciteit in de geestelijke gezondheidszorg efficiënter te gebruiken per 2026 en 2027. Specifiek voor de geestelijke gezondheidszorg is tot doel gesteld dat in 2028 alle patiënten binnen de Treeknorm geestelijke gezondheidszorg ontvangen.</w:t>
      </w:r>
      <w:bookmarkEnd w:id="2"/>
    </w:p>
    <w:p w:rsidRPr="005F055E" w:rsidR="000478A7" w:rsidP="00180EEB" w:rsidRDefault="003E7003" w14:paraId="43430206" w14:textId="77777777">
      <w:pPr>
        <w:suppressAutoHyphens/>
      </w:pPr>
      <w:r w:rsidRPr="00381398">
        <w:t>Vraag 29</w:t>
      </w:r>
      <w:r w:rsidRPr="005F055E">
        <w:tab/>
      </w:r>
    </w:p>
    <w:p w:rsidRPr="005F055E" w:rsidR="000478A7" w:rsidP="00180EEB" w:rsidRDefault="003E7003" w14:paraId="407A79CA" w14:textId="77777777">
      <w:pPr>
        <w:suppressAutoHyphens/>
      </w:pPr>
      <w:r w:rsidRPr="005F055E">
        <w:t>Hoeveel middelen zijn in de VWS-begroting gereserveerd specifiek voor het terugdringen van wachtlijsten, en hoe worden deze per zorgsector ingezet?</w:t>
      </w:r>
      <w:r w:rsidRPr="005F055E">
        <w:tab/>
      </w:r>
    </w:p>
    <w:p w:rsidRPr="005F055E" w:rsidR="003E7003" w:rsidP="00180EEB" w:rsidRDefault="003E7003" w14:paraId="310096AB" w14:textId="7CB17FA3">
      <w:pPr>
        <w:suppressAutoHyphens/>
      </w:pPr>
      <w:r w:rsidRPr="005F055E">
        <w:t>Antwoord</w:t>
      </w:r>
    </w:p>
    <w:p w:rsidRPr="005F055E" w:rsidR="00280175" w:rsidP="00180EEB" w:rsidRDefault="00280175" w14:paraId="516F89CD" w14:textId="77777777">
      <w:pPr>
        <w:suppressAutoHyphens/>
        <w:spacing w:line="240" w:lineRule="atLeast"/>
        <w:rPr>
          <w:szCs w:val="18"/>
          <w:lang w:eastAsia="nl-NL"/>
        </w:rPr>
      </w:pPr>
      <w:r w:rsidRPr="005F055E">
        <w:rPr>
          <w:szCs w:val="18"/>
          <w:lang w:eastAsia="nl-NL"/>
        </w:rPr>
        <w:t xml:space="preserve">In het Aanvullend Zorg- en Welzijnsakkoord hebben partijen afspraken gemaakt om de wachttijden voor de toegang tot zorg voor iedereen binnen de daarvoor geschikte normen te brengen. Het is aan partijen om deze afspraken te realiseren. </w:t>
      </w:r>
    </w:p>
    <w:p w:rsidRPr="005F055E" w:rsidR="000478A7" w:rsidP="00180EEB" w:rsidRDefault="001352A0" w14:paraId="10ED81D3" w14:textId="77878CB6">
      <w:pPr>
        <w:suppressAutoHyphens/>
      </w:pPr>
      <w:r w:rsidRPr="005F055E">
        <w:rPr>
          <w:szCs w:val="18"/>
          <w:lang w:eastAsia="nl-NL"/>
        </w:rPr>
        <w:t xml:space="preserve">Er is in het kader van het IZA afgesproken om in 2026 € 30 miljoen aan extra middelen toe te voegen aan het macrokader </w:t>
      </w:r>
      <w:r w:rsidR="00D55762">
        <w:rPr>
          <w:szCs w:val="18"/>
          <w:lang w:eastAsia="nl-NL"/>
        </w:rPr>
        <w:t>GGZ</w:t>
      </w:r>
      <w:r w:rsidRPr="005F055E">
        <w:rPr>
          <w:szCs w:val="18"/>
          <w:lang w:eastAsia="nl-NL"/>
        </w:rPr>
        <w:t xml:space="preserve"> voor het wegwerken van wachtlijsten.</w:t>
      </w:r>
    </w:p>
    <w:p w:rsidRPr="005F055E" w:rsidR="007B58FB" w:rsidP="00180EEB" w:rsidRDefault="007B58FB" w14:paraId="4165D213" w14:textId="77777777">
      <w:pPr>
        <w:suppressAutoHyphens/>
      </w:pPr>
    </w:p>
    <w:p w:rsidRPr="005F055E" w:rsidR="000478A7" w:rsidP="00180EEB" w:rsidRDefault="003E7003" w14:paraId="6EAA66B2" w14:textId="77777777">
      <w:pPr>
        <w:suppressAutoHyphens/>
      </w:pPr>
      <w:r w:rsidRPr="005F055E">
        <w:t>Vraag 30</w:t>
      </w:r>
      <w:r w:rsidRPr="005F055E">
        <w:tab/>
      </w:r>
    </w:p>
    <w:p w:rsidRPr="005F055E" w:rsidR="000478A7" w:rsidP="00180EEB" w:rsidRDefault="003E7003" w14:paraId="233E2D1B" w14:textId="77777777">
      <w:pPr>
        <w:suppressAutoHyphens/>
      </w:pPr>
      <w:r w:rsidRPr="005F055E">
        <w:t>Hoe beoordeelt u de gevolgen van oplopende wachttijden voor de kwaliteit van zorg en gezondheid van patiënten, uitgesplitst naar behandelingstype?</w:t>
      </w:r>
      <w:r w:rsidRPr="005F055E">
        <w:tab/>
      </w:r>
    </w:p>
    <w:p w:rsidRPr="005F055E" w:rsidR="003E7003" w:rsidP="00180EEB" w:rsidRDefault="003E7003" w14:paraId="7EA0FE7A" w14:textId="1A32A059">
      <w:pPr>
        <w:suppressAutoHyphens/>
      </w:pPr>
      <w:r w:rsidRPr="005F055E">
        <w:t>Antwoord</w:t>
      </w:r>
    </w:p>
    <w:p w:rsidRPr="005F055E" w:rsidR="00280175" w:rsidP="00180EEB" w:rsidRDefault="00280175" w14:paraId="2530ABBD" w14:textId="31524009">
      <w:pPr>
        <w:suppressAutoHyphens/>
        <w:spacing w:line="240" w:lineRule="atLeast"/>
        <w:rPr>
          <w:szCs w:val="18"/>
          <w:lang w:eastAsia="nl-NL"/>
        </w:rPr>
      </w:pPr>
      <w:r w:rsidRPr="005F055E">
        <w:rPr>
          <w:szCs w:val="18"/>
          <w:lang w:eastAsia="nl-NL"/>
        </w:rPr>
        <w:t>Er is geen breed inzicht in de gevolgen van oplopende wachttijden op de kwaliteit van zorg en gezondheid van patiënten, uitgesplitst naar behandelingstypen in de geestelijke gezondheidszorg en de medisch specialistische zorg. Het is vervelend voor wachtenden als zij lang met een zorgvraag blijven zitten. Dit kan ook tot verergering van de klachten leiden. Het is de verantwoordelijkheid van zorgprofessionals en instellingen om goed zicht te houden op de patiënten op hun wachtlijst. Wanneer een wachtlijst van toepassing is, wordt door de zorgprofessionals bepaald of de patiënt al dan niet voorrang dient te krijgen en of alternatieven ingezet moeten worden. In sommige gevallen kunnen klachten ook verminderen met tijd of ondersteuning binnen het sociaal domein. Daarom wordt er door aanbieders ingezet op het verbeteren van het inzicht in hun wachtlijsten,</w:t>
      </w:r>
      <w:r w:rsidRPr="005F055E" w:rsidR="00D73F76">
        <w:rPr>
          <w:szCs w:val="18"/>
          <w:lang w:eastAsia="nl-NL"/>
        </w:rPr>
        <w:t xml:space="preserve"> </w:t>
      </w:r>
      <w:r w:rsidRPr="005F055E">
        <w:rPr>
          <w:szCs w:val="18"/>
          <w:lang w:eastAsia="nl-NL"/>
        </w:rPr>
        <w:t>het verkorten van wachttijden en versterking van de inzet op wachttijdondersteuning en andere vormen van laagdrempelige hulp, zoals e-</w:t>
      </w:r>
      <w:proofErr w:type="spellStart"/>
      <w:r w:rsidRPr="005F055E">
        <w:rPr>
          <w:szCs w:val="18"/>
          <w:lang w:eastAsia="nl-NL"/>
        </w:rPr>
        <w:t>communities</w:t>
      </w:r>
      <w:proofErr w:type="spellEnd"/>
      <w:r w:rsidRPr="005F055E">
        <w:rPr>
          <w:szCs w:val="18"/>
          <w:lang w:eastAsia="nl-NL"/>
        </w:rPr>
        <w:t>.</w:t>
      </w:r>
    </w:p>
    <w:p w:rsidRPr="005F055E" w:rsidR="000478A7" w:rsidP="00180EEB" w:rsidRDefault="00280175" w14:paraId="170C6698" w14:textId="2E04B937">
      <w:pPr>
        <w:suppressAutoHyphens/>
        <w:spacing w:line="240" w:lineRule="atLeast"/>
      </w:pPr>
      <w:r w:rsidRPr="005F055E">
        <w:rPr>
          <w:szCs w:val="18"/>
          <w:lang w:eastAsia="nl-NL"/>
        </w:rPr>
        <w:t xml:space="preserve">Als ik kijk naar de gezondheid van de patiënten is het, naast de inzet om de toegang tot zorg voor iedereen binnen de normen te brengen, belangrijk dat we bewegen van zorg naar gezondheid. Juist met oplossingen in sectoren buiten zorg, zorgen we voor een betere gezondheid en verkleinen we de druk op de zorg. Door aandacht voor preventie, een gezonde leefomgeving en met een sterk sociaal netwerk. Hierover hebben partijen afspraken gemaakt in het Aanvullend Zorg en Welzijnsakkoord. </w:t>
      </w:r>
    </w:p>
    <w:p w:rsidRPr="005F055E" w:rsidR="000478A7" w:rsidP="00180EEB" w:rsidRDefault="003E7003" w14:paraId="72F95441" w14:textId="77777777">
      <w:pPr>
        <w:suppressAutoHyphens/>
      </w:pPr>
      <w:r w:rsidRPr="00B12CDF">
        <w:t>Vraag 31</w:t>
      </w:r>
      <w:r w:rsidRPr="005F055E">
        <w:tab/>
      </w:r>
    </w:p>
    <w:p w:rsidRPr="005F055E" w:rsidR="000478A7" w:rsidP="00180EEB" w:rsidRDefault="003E7003" w14:paraId="555836B6" w14:textId="77777777">
      <w:pPr>
        <w:suppressAutoHyphens/>
      </w:pPr>
      <w:r w:rsidRPr="005F055E">
        <w:t>Waarom bevat de VWS-begroting geen structurele extra investeringen in preventie, ondanks brede steun in de Kamer en in de samenleving?</w:t>
      </w:r>
      <w:r w:rsidRPr="005F055E">
        <w:tab/>
      </w:r>
    </w:p>
    <w:p w:rsidRPr="005F055E" w:rsidR="003E7003" w:rsidP="00180EEB" w:rsidRDefault="003E7003" w14:paraId="014F7ECB" w14:textId="62223500">
      <w:pPr>
        <w:suppressAutoHyphens/>
      </w:pPr>
      <w:bookmarkStart w:name="_Hlk213357453" w:id="3"/>
      <w:r w:rsidRPr="005F055E">
        <w:t>Antwoord</w:t>
      </w:r>
    </w:p>
    <w:p w:rsidR="00056279" w:rsidP="00180EEB" w:rsidRDefault="00975FAA" w14:paraId="00EAD9A6" w14:textId="3A1D28F1">
      <w:pPr>
        <w:suppressAutoHyphens/>
      </w:pPr>
      <w:r w:rsidRPr="00975FAA">
        <w:rPr>
          <w:szCs w:val="18"/>
          <w:lang w:eastAsia="nl-NL"/>
        </w:rPr>
        <w:t xml:space="preserve">Binnen de mogelijkheden van de VWS begroting zijn er extra investeringen opgenomen in preventie, als gevolg van de afspraken van het AZWA. Dit is mede te danken aan de steun van de Kamer en van partijen die het AZWA hebben gesloten. Daarbij gaat het onder meer om structurele middelen voor medische preventie, dit zijn vaccinatie tegen gordelroos en twee verbeteringen van het bevolkingsonderzoek naar borstkanker (implementeren van AI en bieden van MRI aan vrouwen met zeer dicht borstweefsel). Op het terrein van sociaal-medisch zijn er vanaf 2026 extra middelen voor gemeenten om in te zetten op o.a. ketenaanpak GLI volwassenen, integrale gezinspoli, inloopvoorzieningen </w:t>
      </w:r>
      <w:proofErr w:type="spellStart"/>
      <w:r w:rsidRPr="00975FAA">
        <w:rPr>
          <w:szCs w:val="18"/>
          <w:lang w:eastAsia="nl-NL"/>
        </w:rPr>
        <w:t>Sociaal&amp;Gezond</w:t>
      </w:r>
      <w:proofErr w:type="spellEnd"/>
      <w:r w:rsidRPr="00975FAA">
        <w:rPr>
          <w:szCs w:val="18"/>
          <w:lang w:eastAsia="nl-NL"/>
        </w:rPr>
        <w:t xml:space="preserve"> en Mentale Gezonde School. Voor het volledige overzicht van de maatregelen</w:t>
      </w:r>
      <w:r w:rsidR="00A615DB">
        <w:rPr>
          <w:szCs w:val="18"/>
          <w:lang w:eastAsia="nl-NL"/>
        </w:rPr>
        <w:t xml:space="preserve"> verwijst Staatssecretaris Jeugd, Preventie en Sport </w:t>
      </w:r>
      <w:r w:rsidRPr="00975FAA">
        <w:rPr>
          <w:szCs w:val="18"/>
          <w:lang w:eastAsia="nl-NL"/>
        </w:rPr>
        <w:t xml:space="preserve">u naar het AZWA-akkoord. Het AZWA bevat de mogelijkheid om het gesprek te voeren over het financieren van (toekomstige medische) preventiemaatregelen middels de opbrengsten van deze maatregelen in de vorm van bespaarde zorgkosten. De VWS-begroting voor 2026 bevat enkele bezuinigingen die voor een deel betrekking hebben op preventie. Zo is er een taakstelling van € 300 miljoen op publieke gezondheid in het hoofdlijnenakkoord opgenomen, wat betekent dat de middelen rondom pandemische paraatheid worden afgebouwd tot nul in 2029. Daarnaast zijn ook subsidies op o.a. het terrein van preventie met 10% gekort en zijn de gelden voor </w:t>
      </w:r>
      <w:proofErr w:type="spellStart"/>
      <w:r w:rsidRPr="00975FAA">
        <w:rPr>
          <w:szCs w:val="18"/>
          <w:lang w:eastAsia="nl-NL"/>
        </w:rPr>
        <w:t>SPUKs</w:t>
      </w:r>
      <w:proofErr w:type="spellEnd"/>
      <w:r w:rsidRPr="00975FAA">
        <w:rPr>
          <w:szCs w:val="18"/>
          <w:lang w:eastAsia="nl-NL"/>
        </w:rPr>
        <w:t xml:space="preserve"> waaronder de Brede SPUK met preventiemiddelen met 10% gekort.</w:t>
      </w:r>
      <w:bookmarkEnd w:id="3"/>
    </w:p>
    <w:p w:rsidRPr="005F055E" w:rsidR="000478A7" w:rsidP="00180EEB" w:rsidRDefault="003E7003" w14:paraId="371690B3" w14:textId="19EF004A">
      <w:pPr>
        <w:suppressAutoHyphens/>
      </w:pPr>
      <w:r w:rsidRPr="00B12CDF">
        <w:t>Vraag 32</w:t>
      </w:r>
      <w:r w:rsidRPr="005F055E">
        <w:tab/>
      </w:r>
    </w:p>
    <w:p w:rsidRPr="005F055E" w:rsidR="000478A7" w:rsidP="00180EEB" w:rsidRDefault="003E7003" w14:paraId="35D5FA6F" w14:textId="77777777">
      <w:pPr>
        <w:suppressAutoHyphens/>
      </w:pPr>
      <w:r w:rsidRPr="005F055E">
        <w:t>Welke concrete stappen onderneemt u samen met uw ministerie om investeringen in preventie wél mogelijk te maken binnen de huidige of vernieuwde begrotingssystematiek?</w:t>
      </w:r>
      <w:r w:rsidRPr="005F055E">
        <w:tab/>
      </w:r>
    </w:p>
    <w:p w:rsidRPr="005F055E" w:rsidR="003E7003" w:rsidP="00180EEB" w:rsidRDefault="003E7003" w14:paraId="61BFD795" w14:textId="77BA016F">
      <w:pPr>
        <w:suppressAutoHyphens/>
      </w:pPr>
      <w:r w:rsidRPr="005F055E">
        <w:t>Antwoord</w:t>
      </w:r>
    </w:p>
    <w:p w:rsidRPr="005F055E" w:rsidR="000478A7" w:rsidP="00180EEB" w:rsidRDefault="00975FAA" w14:paraId="4AD217C4" w14:textId="63481E80">
      <w:pPr>
        <w:suppressAutoHyphens/>
        <w:spacing w:line="240" w:lineRule="atLeast"/>
        <w:rPr>
          <w:szCs w:val="20"/>
          <w:lang w:eastAsia="nl-NL"/>
        </w:rPr>
      </w:pPr>
      <w:r w:rsidRPr="00975FAA">
        <w:rPr>
          <w:szCs w:val="20"/>
          <w:lang w:eastAsia="nl-NL"/>
        </w:rPr>
        <w:t>Op 23 oktober 2025 is de richtlijn passend bewijs preventie aan uw Kamer aangeboden.</w:t>
      </w:r>
      <w:r>
        <w:rPr>
          <w:rStyle w:val="Voetnootmarkering"/>
          <w:szCs w:val="20"/>
          <w:lang w:eastAsia="nl-NL"/>
        </w:rPr>
        <w:footnoteReference w:id="2"/>
      </w:r>
      <w:r w:rsidRPr="00975FAA">
        <w:rPr>
          <w:szCs w:val="20"/>
          <w:lang w:eastAsia="nl-NL"/>
        </w:rPr>
        <w:t xml:space="preserve"> De richtlijn geeft de noodzakelijke methodologische handvatten om de effectiviteit van preventiemaatregelen voldoende overtuigend te onderbouwen. Deze onderbouwing is vervolgens bruikbaar om financiële reeksen op te stellen ten behoeve van besluitvorming</w:t>
      </w:r>
      <w:r>
        <w:rPr>
          <w:szCs w:val="20"/>
          <w:lang w:eastAsia="nl-NL"/>
        </w:rPr>
        <w:t xml:space="preserve">. </w:t>
      </w:r>
      <w:r w:rsidRPr="005F055E" w:rsidR="006C5882">
        <w:rPr>
          <w:szCs w:val="20"/>
          <w:lang w:eastAsia="nl-NL"/>
        </w:rPr>
        <w:t xml:space="preserve">In de brief aan uw Kamer van 17 juni 2025 over het investeringsmodel voor preventie is toegezegd in december een ambtelijk rapport aan te bieden over verkenning voor- en nadelen van verschillende financieringsopties voor preventieve maatregelen, ook ten opzichte van de huidige situatie. Vanwege de val van het kabinet is dit vertraagd. </w:t>
      </w:r>
      <w:r w:rsidR="00A615DB">
        <w:rPr>
          <w:szCs w:val="20"/>
          <w:lang w:eastAsia="nl-NL"/>
        </w:rPr>
        <w:t>De staatssecretaris Jeugd, Preventie en Sport</w:t>
      </w:r>
      <w:r w:rsidRPr="005F055E" w:rsidR="00656369">
        <w:rPr>
          <w:szCs w:val="20"/>
          <w:lang w:eastAsia="nl-NL"/>
        </w:rPr>
        <w:t xml:space="preserve"> zal uw Kamer in overleg met het ministerie van Financiën informeren zodra er meer duidelijkheid is over de</w:t>
      </w:r>
      <w:r w:rsidRPr="005F055E" w:rsidR="006C5882">
        <w:rPr>
          <w:szCs w:val="20"/>
          <w:lang w:eastAsia="nl-NL"/>
        </w:rPr>
        <w:t xml:space="preserve"> termijn waarop dit rapport gereed kan zijn.</w:t>
      </w:r>
    </w:p>
    <w:p w:rsidRPr="005F055E" w:rsidR="007B58FB" w:rsidP="00180EEB" w:rsidRDefault="007B58FB" w14:paraId="1B74D6C3" w14:textId="77777777">
      <w:pPr>
        <w:suppressAutoHyphens/>
      </w:pPr>
    </w:p>
    <w:p w:rsidRPr="005F055E" w:rsidR="000478A7" w:rsidP="00180EEB" w:rsidRDefault="003E7003" w14:paraId="3FF5853D" w14:textId="77777777">
      <w:pPr>
        <w:suppressAutoHyphens/>
      </w:pPr>
      <w:r w:rsidRPr="005F055E">
        <w:t>Vraag 33</w:t>
      </w:r>
      <w:r w:rsidRPr="005F055E">
        <w:tab/>
      </w:r>
    </w:p>
    <w:p w:rsidRPr="005F055E" w:rsidR="000478A7" w:rsidP="00180EEB" w:rsidRDefault="003E7003" w14:paraId="6B5888CF" w14:textId="77777777">
      <w:pPr>
        <w:suppressAutoHyphens/>
      </w:pPr>
      <w:r w:rsidRPr="005F055E">
        <w:t>Hoeveel middelen worden er in 2026 gereserveerd voor preventieve zorg, uitgesplitst naar programma (bijvoorbeeld vaccinatie, overgewicht, rookpreventie)?</w:t>
      </w:r>
      <w:r w:rsidRPr="005F055E">
        <w:tab/>
      </w:r>
    </w:p>
    <w:p w:rsidRPr="005F055E" w:rsidR="003E7003" w:rsidP="00180EEB" w:rsidRDefault="003E7003" w14:paraId="17BE64EC" w14:textId="49054C9A">
      <w:pPr>
        <w:suppressAutoHyphens/>
      </w:pPr>
      <w:r w:rsidRPr="005F055E">
        <w:t>Antwoord</w:t>
      </w:r>
    </w:p>
    <w:p w:rsidRPr="005F055E" w:rsidR="006C5882" w:rsidP="00180EEB" w:rsidRDefault="006C5882" w14:paraId="5D1DBC6B" w14:textId="59575123">
      <w:pPr>
        <w:suppressAutoHyphens/>
        <w:spacing w:line="240" w:lineRule="atLeast"/>
        <w:rPr>
          <w:szCs w:val="20"/>
          <w:lang w:eastAsia="nl-NL"/>
        </w:rPr>
      </w:pPr>
      <w:r w:rsidRPr="005F055E">
        <w:rPr>
          <w:szCs w:val="20"/>
          <w:lang w:eastAsia="nl-NL"/>
        </w:rPr>
        <w:t>De begroting van VWS kent niet het specifieke label ‘preventieve zorg’ of ‘preventie’ gezien de begrippen zeer breed zijn. Een exact bedrag valt dan ook niet te noemen. Wel zijn er enkele thema’s te onderscheiden in de begroting die hieronder worden opgesomd die een beeld geven bij de middelen die hiervoor beschikbaar zijn in 2026. Daarnaast zijn in het AZWA ook middelen beschikbaar gesteld naar preventieve zorg voor zowel medische preventie als het sociaal domein.</w:t>
      </w:r>
    </w:p>
    <w:tbl>
      <w:tblPr>
        <w:tblW w:w="0" w:type="auto"/>
        <w:tblCellMar>
          <w:left w:w="0" w:type="dxa"/>
          <w:right w:w="0" w:type="dxa"/>
        </w:tblCellMar>
        <w:tblLook w:val="04A0" w:firstRow="1" w:lastRow="0" w:firstColumn="1" w:lastColumn="0" w:noHBand="0" w:noVBand="1"/>
      </w:tblPr>
      <w:tblGrid>
        <w:gridCol w:w="4101"/>
        <w:gridCol w:w="3413"/>
      </w:tblGrid>
      <w:tr w:rsidRPr="005F055E" w:rsidR="006C5882" w:rsidTr="005E2643" w14:paraId="3711B7DE" w14:textId="77777777">
        <w:tc>
          <w:tcPr>
            <w:tcW w:w="41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F055E" w:rsidR="006C5882" w:rsidP="00180EEB" w:rsidRDefault="006C5882" w14:paraId="773B8989" w14:textId="77777777">
            <w:pPr>
              <w:suppressAutoHyphens/>
              <w:spacing w:after="0" w:line="240" w:lineRule="atLeast"/>
              <w:rPr>
                <w:rFonts w:eastAsia="Times New Roman" w:cs="Times New Roman"/>
                <w:szCs w:val="20"/>
                <w:lang w:eastAsia="nl-NL"/>
              </w:rPr>
            </w:pPr>
            <w:r w:rsidRPr="005F055E">
              <w:rPr>
                <w:rFonts w:eastAsia="Times New Roman" w:cs="Times New Roman"/>
                <w:szCs w:val="20"/>
                <w:lang w:eastAsia="nl-NL"/>
              </w:rPr>
              <w:t>Thema</w:t>
            </w:r>
          </w:p>
        </w:tc>
        <w:tc>
          <w:tcPr>
            <w:tcW w:w="341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F055E" w:rsidR="006C5882" w:rsidP="00180EEB" w:rsidRDefault="006C5882" w14:paraId="42183E10" w14:textId="77777777">
            <w:pPr>
              <w:suppressAutoHyphens/>
              <w:spacing w:after="0" w:line="240" w:lineRule="atLeast"/>
              <w:rPr>
                <w:rFonts w:eastAsia="Times New Roman" w:cs="Times New Roman"/>
                <w:szCs w:val="20"/>
                <w:lang w:eastAsia="nl-NL"/>
              </w:rPr>
            </w:pPr>
            <w:r w:rsidRPr="005F055E">
              <w:rPr>
                <w:rFonts w:eastAsia="Times New Roman" w:cs="Times New Roman"/>
                <w:szCs w:val="20"/>
                <w:lang w:eastAsia="nl-NL"/>
              </w:rPr>
              <w:t>Bedrag</w:t>
            </w:r>
          </w:p>
        </w:tc>
      </w:tr>
      <w:tr w:rsidRPr="005F055E" w:rsidR="006C5882" w:rsidTr="005E2643" w14:paraId="29BBEA8E" w14:textId="77777777">
        <w:tc>
          <w:tcPr>
            <w:tcW w:w="41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6C5882" w:rsidP="00180EEB" w:rsidRDefault="006C5882" w14:paraId="3DC78123" w14:textId="77777777">
            <w:pPr>
              <w:suppressAutoHyphens/>
              <w:spacing w:after="0" w:line="240" w:lineRule="atLeast"/>
              <w:rPr>
                <w:rFonts w:eastAsia="Times New Roman" w:cs="Times New Roman"/>
                <w:szCs w:val="20"/>
                <w:lang w:eastAsia="nl-NL"/>
              </w:rPr>
            </w:pPr>
            <w:r w:rsidRPr="005F055E">
              <w:rPr>
                <w:rFonts w:eastAsia="Times New Roman" w:cs="Times New Roman"/>
                <w:szCs w:val="20"/>
                <w:lang w:eastAsia="nl-NL"/>
              </w:rPr>
              <w:t>Bevolkingsonderzoeken</w:t>
            </w:r>
          </w:p>
        </w:tc>
        <w:tc>
          <w:tcPr>
            <w:tcW w:w="3413"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6C5882" w:rsidP="00180EEB" w:rsidRDefault="006C5882" w14:paraId="29B1EC1D" w14:textId="77777777">
            <w:pPr>
              <w:suppressAutoHyphens/>
              <w:spacing w:after="0" w:line="240" w:lineRule="atLeast"/>
              <w:rPr>
                <w:rFonts w:eastAsia="Times New Roman" w:cs="Times New Roman"/>
                <w:szCs w:val="20"/>
                <w:lang w:eastAsia="nl-NL"/>
              </w:rPr>
            </w:pPr>
            <w:r w:rsidRPr="005F055E">
              <w:rPr>
                <w:rFonts w:eastAsia="Times New Roman" w:cs="Times New Roman"/>
                <w:szCs w:val="20"/>
                <w:lang w:eastAsia="nl-NL"/>
              </w:rPr>
              <w:t>€ 324,1 miljoen</w:t>
            </w:r>
          </w:p>
        </w:tc>
      </w:tr>
      <w:tr w:rsidRPr="005F055E" w:rsidR="006C5882" w:rsidTr="005E2643" w14:paraId="49FFE922" w14:textId="77777777">
        <w:tc>
          <w:tcPr>
            <w:tcW w:w="41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6C5882" w:rsidP="00180EEB" w:rsidRDefault="006C5882" w14:paraId="29221125" w14:textId="77777777">
            <w:pPr>
              <w:suppressAutoHyphens/>
              <w:spacing w:after="0" w:line="240" w:lineRule="atLeast"/>
              <w:rPr>
                <w:rFonts w:eastAsia="Times New Roman" w:cs="Times New Roman"/>
                <w:szCs w:val="20"/>
                <w:lang w:eastAsia="nl-NL"/>
              </w:rPr>
            </w:pPr>
            <w:r w:rsidRPr="005F055E">
              <w:rPr>
                <w:rFonts w:eastAsia="Times New Roman" w:cs="Times New Roman"/>
                <w:szCs w:val="20"/>
                <w:lang w:eastAsia="nl-NL"/>
              </w:rPr>
              <w:t>Vaccinaties</w:t>
            </w:r>
          </w:p>
        </w:tc>
        <w:tc>
          <w:tcPr>
            <w:tcW w:w="3413"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6C5882" w:rsidP="00180EEB" w:rsidRDefault="006C5882" w14:paraId="1AF87DD4" w14:textId="77777777">
            <w:pPr>
              <w:suppressAutoHyphens/>
              <w:spacing w:after="0" w:line="240" w:lineRule="atLeast"/>
              <w:rPr>
                <w:rFonts w:eastAsia="Times New Roman" w:cs="Times New Roman"/>
                <w:szCs w:val="20"/>
                <w:lang w:eastAsia="nl-NL"/>
              </w:rPr>
            </w:pPr>
            <w:r w:rsidRPr="005F055E">
              <w:rPr>
                <w:rFonts w:eastAsia="Times New Roman" w:cs="Times New Roman"/>
                <w:szCs w:val="20"/>
                <w:lang w:eastAsia="nl-NL"/>
              </w:rPr>
              <w:t>€ 268,4 miljoen</w:t>
            </w:r>
          </w:p>
        </w:tc>
      </w:tr>
      <w:tr w:rsidRPr="005F055E" w:rsidR="006C5882" w:rsidTr="005E2643" w14:paraId="439907D1" w14:textId="77777777">
        <w:tc>
          <w:tcPr>
            <w:tcW w:w="41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6C5882" w:rsidP="00180EEB" w:rsidRDefault="006C5882" w14:paraId="799FA340" w14:textId="77777777">
            <w:pPr>
              <w:suppressAutoHyphens/>
              <w:spacing w:after="0" w:line="240" w:lineRule="atLeast"/>
              <w:rPr>
                <w:rFonts w:eastAsia="Times New Roman" w:cs="Times New Roman"/>
                <w:szCs w:val="20"/>
                <w:lang w:eastAsia="nl-NL"/>
              </w:rPr>
            </w:pPr>
            <w:r w:rsidRPr="005F055E">
              <w:rPr>
                <w:rFonts w:eastAsia="Times New Roman" w:cs="Times New Roman"/>
                <w:szCs w:val="20"/>
                <w:lang w:eastAsia="nl-NL"/>
              </w:rPr>
              <w:t>Preventie van schadelijk middelengebruik</w:t>
            </w:r>
          </w:p>
        </w:tc>
        <w:tc>
          <w:tcPr>
            <w:tcW w:w="3413"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6C5882" w:rsidP="00180EEB" w:rsidRDefault="006C5882" w14:paraId="7C46CFA6" w14:textId="73C73B10">
            <w:pPr>
              <w:suppressAutoHyphens/>
              <w:spacing w:after="0" w:line="240" w:lineRule="atLeast"/>
              <w:rPr>
                <w:rFonts w:eastAsia="Times New Roman" w:cs="Times New Roman"/>
                <w:szCs w:val="20"/>
                <w:lang w:eastAsia="nl-NL"/>
              </w:rPr>
            </w:pPr>
            <w:r w:rsidRPr="005F055E">
              <w:rPr>
                <w:rFonts w:eastAsia="Times New Roman" w:cs="Times New Roman"/>
                <w:szCs w:val="20"/>
                <w:lang w:eastAsia="nl-NL"/>
              </w:rPr>
              <w:t>€</w:t>
            </w:r>
            <w:r w:rsidR="005F055E">
              <w:rPr>
                <w:rFonts w:eastAsia="Times New Roman" w:cs="Times New Roman"/>
                <w:szCs w:val="20"/>
                <w:lang w:eastAsia="nl-NL"/>
              </w:rPr>
              <w:t xml:space="preserve"> </w:t>
            </w:r>
            <w:r w:rsidRPr="005F055E">
              <w:rPr>
                <w:rFonts w:eastAsia="Times New Roman" w:cs="Times New Roman"/>
                <w:szCs w:val="20"/>
                <w:lang w:eastAsia="nl-NL"/>
              </w:rPr>
              <w:t>15,5 miljoen</w:t>
            </w:r>
          </w:p>
        </w:tc>
      </w:tr>
      <w:tr w:rsidRPr="005F055E" w:rsidR="006C5882" w:rsidTr="005E2643" w14:paraId="5753B766" w14:textId="77777777">
        <w:tc>
          <w:tcPr>
            <w:tcW w:w="41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6C5882" w:rsidP="00180EEB" w:rsidRDefault="006C5882" w14:paraId="60CDC826" w14:textId="77777777">
            <w:pPr>
              <w:suppressAutoHyphens/>
              <w:spacing w:after="0" w:line="240" w:lineRule="atLeast"/>
              <w:rPr>
                <w:rFonts w:eastAsia="Times New Roman" w:cs="Times New Roman"/>
                <w:szCs w:val="20"/>
                <w:lang w:eastAsia="nl-NL"/>
              </w:rPr>
            </w:pPr>
            <w:r w:rsidRPr="005F055E">
              <w:rPr>
                <w:rFonts w:eastAsia="Times New Roman" w:cs="Times New Roman"/>
                <w:szCs w:val="20"/>
                <w:lang w:eastAsia="nl-NL"/>
              </w:rPr>
              <w:t>Gezonde leefstijl en gezond gewicht</w:t>
            </w:r>
          </w:p>
        </w:tc>
        <w:tc>
          <w:tcPr>
            <w:tcW w:w="3413"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6C5882" w:rsidP="00180EEB" w:rsidRDefault="006C5882" w14:paraId="518430DF" w14:textId="3D31CFB2">
            <w:pPr>
              <w:suppressAutoHyphens/>
              <w:spacing w:after="0" w:line="240" w:lineRule="atLeast"/>
              <w:rPr>
                <w:rFonts w:eastAsia="Times New Roman" w:cs="Times New Roman"/>
                <w:szCs w:val="20"/>
                <w:lang w:eastAsia="nl-NL"/>
              </w:rPr>
            </w:pPr>
            <w:r w:rsidRPr="005F055E">
              <w:rPr>
                <w:rFonts w:eastAsia="Times New Roman" w:cs="Times New Roman"/>
                <w:szCs w:val="20"/>
                <w:lang w:eastAsia="nl-NL"/>
              </w:rPr>
              <w:t>€</w:t>
            </w:r>
            <w:r w:rsidRPr="005F055E" w:rsidR="00D73F76">
              <w:rPr>
                <w:rFonts w:eastAsia="Times New Roman" w:cs="Times New Roman"/>
                <w:szCs w:val="20"/>
                <w:lang w:eastAsia="nl-NL"/>
              </w:rPr>
              <w:t xml:space="preserve"> </w:t>
            </w:r>
            <w:r w:rsidRPr="005F055E">
              <w:rPr>
                <w:rFonts w:eastAsia="Times New Roman" w:cs="Times New Roman"/>
                <w:szCs w:val="20"/>
                <w:lang w:eastAsia="nl-NL"/>
              </w:rPr>
              <w:t>18,4 miljoen</w:t>
            </w:r>
          </w:p>
        </w:tc>
      </w:tr>
    </w:tbl>
    <w:p w:rsidRPr="005F055E" w:rsidR="006C5882" w:rsidP="00180EEB" w:rsidRDefault="006C5882" w14:paraId="63681780" w14:textId="77777777">
      <w:pPr>
        <w:suppressAutoHyphens/>
      </w:pPr>
    </w:p>
    <w:p w:rsidRPr="005F055E" w:rsidR="000478A7" w:rsidP="00180EEB" w:rsidRDefault="003E7003" w14:paraId="1F6EC22F" w14:textId="77777777">
      <w:pPr>
        <w:suppressAutoHyphens/>
      </w:pPr>
      <w:r w:rsidRPr="00A41081">
        <w:t>Vraag 34</w:t>
      </w:r>
      <w:r w:rsidRPr="005F055E">
        <w:tab/>
      </w:r>
    </w:p>
    <w:p w:rsidRPr="005F055E" w:rsidR="000478A7" w:rsidP="00180EEB" w:rsidRDefault="003E7003" w14:paraId="12CBD2B7" w14:textId="77777777">
      <w:pPr>
        <w:suppressAutoHyphens/>
      </w:pPr>
      <w:r w:rsidRPr="005F055E">
        <w:t>Heeft u laten onderzoeken welke begrotingsregels belemmerend werken om structureel in preventie te investeren?</w:t>
      </w:r>
      <w:r w:rsidRPr="005F055E">
        <w:tab/>
      </w:r>
    </w:p>
    <w:p w:rsidRPr="005F055E" w:rsidR="003E7003" w:rsidP="00180EEB" w:rsidRDefault="003E7003" w14:paraId="7E325EFD" w14:textId="771C468F">
      <w:pPr>
        <w:suppressAutoHyphens/>
      </w:pPr>
      <w:r w:rsidRPr="005F055E">
        <w:t>Antwoord</w:t>
      </w:r>
    </w:p>
    <w:p w:rsidRPr="005F055E" w:rsidR="006C5882" w:rsidP="00180EEB" w:rsidRDefault="006C5882" w14:paraId="4A8FB981" w14:textId="4F592DA7">
      <w:pPr>
        <w:suppressAutoHyphens/>
        <w:rPr>
          <w:szCs w:val="20"/>
          <w:lang w:eastAsia="nl-NL"/>
        </w:rPr>
      </w:pPr>
      <w:r w:rsidRPr="005F055E">
        <w:rPr>
          <w:szCs w:val="20"/>
          <w:lang w:eastAsia="nl-NL"/>
        </w:rPr>
        <w:t xml:space="preserve">Nee, de Staatssecretaris Jeugd, Preventie en Sport heeft dit niet laten onderzoeken. </w:t>
      </w:r>
      <w:r w:rsidRPr="00975FAA" w:rsidR="00A41081">
        <w:rPr>
          <w:szCs w:val="20"/>
          <w:lang w:eastAsia="nl-NL"/>
        </w:rPr>
        <w:t>Op 23 oktober 2025 is de richtlijn passend bewijs preventie aan uw Kamer aangeboden.</w:t>
      </w:r>
      <w:r w:rsidR="00A41081">
        <w:rPr>
          <w:rStyle w:val="Voetnootmarkering"/>
          <w:szCs w:val="20"/>
          <w:lang w:eastAsia="nl-NL"/>
        </w:rPr>
        <w:footnoteReference w:id="3"/>
      </w:r>
      <w:r w:rsidRPr="00975FAA" w:rsidR="00A41081">
        <w:rPr>
          <w:szCs w:val="20"/>
          <w:lang w:eastAsia="nl-NL"/>
        </w:rPr>
        <w:t xml:space="preserve"> De richtlijn geeft de noodzakelijke methodologische handvatten om de effectiviteit van preventiemaatregelen voldoende overtuigend te onderbouwen. Deze onderbouwing is vervolgens bruikbaar om financiële reeksen op te stellen ten behoeve van besluitvorming</w:t>
      </w:r>
      <w:r w:rsidR="00A41081">
        <w:rPr>
          <w:szCs w:val="20"/>
          <w:lang w:eastAsia="nl-NL"/>
        </w:rPr>
        <w:t xml:space="preserve">. </w:t>
      </w:r>
      <w:r w:rsidRPr="005F055E">
        <w:rPr>
          <w:szCs w:val="20"/>
          <w:lang w:eastAsia="nl-NL"/>
        </w:rPr>
        <w:t xml:space="preserve">In de brief aan uw Kamer van 17 juni 2025 over het investeringsmodel voor preventie is toegezegd in december een ambtelijk rapport aan te bieden over verkenning voor- en nadelen van verschillende financieringsopties voor preventieve maatregelen, ook ten opzichte van de huidige situatie. Vanwege de val van het kabinet is dit vertraagd. </w:t>
      </w:r>
      <w:r w:rsidRPr="005F055E" w:rsidR="00656369">
        <w:rPr>
          <w:szCs w:val="20"/>
          <w:lang w:eastAsia="nl-NL"/>
        </w:rPr>
        <w:t>Ik zal uw Kamer in overleg met het ministerie van Financiën informeren zodra er meer duidelijkheid is over de</w:t>
      </w:r>
      <w:r w:rsidRPr="005F055E" w:rsidR="00D73F76">
        <w:rPr>
          <w:szCs w:val="20"/>
          <w:lang w:eastAsia="nl-NL"/>
        </w:rPr>
        <w:t xml:space="preserve"> </w:t>
      </w:r>
      <w:r w:rsidRPr="005F055E" w:rsidR="0015603A">
        <w:rPr>
          <w:szCs w:val="20"/>
          <w:lang w:eastAsia="nl-NL"/>
        </w:rPr>
        <w:t>termijn waarop dit rapport gereed kan zijn.</w:t>
      </w:r>
    </w:p>
    <w:p w:rsidRPr="005F055E" w:rsidR="00A41081" w:rsidP="00180EEB" w:rsidRDefault="00A41081" w14:paraId="5495CD37" w14:textId="77777777">
      <w:pPr>
        <w:suppressAutoHyphens/>
      </w:pPr>
    </w:p>
    <w:p w:rsidRPr="005F055E" w:rsidR="000478A7" w:rsidP="00180EEB" w:rsidRDefault="003E7003" w14:paraId="4D0DE793" w14:textId="77777777">
      <w:pPr>
        <w:suppressAutoHyphens/>
      </w:pPr>
      <w:r w:rsidRPr="00A41081">
        <w:t>Vraag 35</w:t>
      </w:r>
      <w:r w:rsidRPr="005F055E">
        <w:tab/>
      </w:r>
    </w:p>
    <w:p w:rsidRPr="005F055E" w:rsidR="000478A7" w:rsidP="00180EEB" w:rsidRDefault="003E7003" w14:paraId="402D1D3D" w14:textId="77777777">
      <w:pPr>
        <w:suppressAutoHyphens/>
      </w:pPr>
      <w:r w:rsidRPr="005F055E">
        <w:t>Op welke manier zouden alternatieve begrotingsregels, zoals een ‘preventiefonds’ of meerjarige investeringsruimte, bijdragen aan het vergroten van preventie-uitgaven?</w:t>
      </w:r>
      <w:r w:rsidRPr="005F055E">
        <w:tab/>
      </w:r>
    </w:p>
    <w:p w:rsidRPr="005F055E" w:rsidR="003E7003" w:rsidP="00180EEB" w:rsidRDefault="003E7003" w14:paraId="6D730505" w14:textId="2979C952">
      <w:pPr>
        <w:suppressAutoHyphens/>
      </w:pPr>
      <w:r w:rsidRPr="005F055E">
        <w:t>Antwoord</w:t>
      </w:r>
    </w:p>
    <w:p w:rsidRPr="005F055E" w:rsidR="000478A7" w:rsidP="00180EEB" w:rsidRDefault="007A1B64" w14:paraId="0B9870E8" w14:textId="2B394B1E">
      <w:pPr>
        <w:suppressAutoHyphens/>
      </w:pPr>
      <w:r w:rsidRPr="005F055E">
        <w:t>Preventie vergt doorgaans een lange adem (wegens (</w:t>
      </w:r>
      <w:proofErr w:type="spellStart"/>
      <w:r w:rsidRPr="005F055E">
        <w:t>gezondheids</w:t>
      </w:r>
      <w:proofErr w:type="spellEnd"/>
      <w:r w:rsidRPr="005F055E">
        <w:t>)opbrengsten die verder in de toekomst liggen), doorlopende beleidsaandacht en stabiele financiering. Het structureel apart zetten van financiële middelen voor preventiemaatregelen in een ‘preventiefonds’ of meerjarige investeringsruimte kan dit bevorderen en daarmee bijdragen aan het vergroten van de preventie-uitgaven.</w:t>
      </w:r>
      <w:r w:rsidRPr="005F055E" w:rsidR="00656369">
        <w:t xml:space="preserve"> </w:t>
      </w:r>
      <w:r w:rsidRPr="00975FAA" w:rsidR="00A41081">
        <w:rPr>
          <w:szCs w:val="20"/>
          <w:lang w:eastAsia="nl-NL"/>
        </w:rPr>
        <w:t>Op 23 oktober 2025 is de richtlijn passend bewijs preventie aan uw Kamer aangeboden.</w:t>
      </w:r>
      <w:r w:rsidR="00A41081">
        <w:rPr>
          <w:rStyle w:val="Voetnootmarkering"/>
          <w:szCs w:val="20"/>
          <w:lang w:eastAsia="nl-NL"/>
        </w:rPr>
        <w:footnoteReference w:id="4"/>
      </w:r>
      <w:r w:rsidRPr="00975FAA" w:rsidR="00A41081">
        <w:rPr>
          <w:szCs w:val="20"/>
          <w:lang w:eastAsia="nl-NL"/>
        </w:rPr>
        <w:t xml:space="preserve"> De richtlijn geeft de noodzakelijke methodologische handvatten om de effectiviteit van preventiemaatregelen voldoende overtuigend te onderbouwen. Deze onderbouwing is vervolgens bruikbaar om financiële reeksen op te stellen ten behoeve van besluitvorming</w:t>
      </w:r>
      <w:r w:rsidR="00A41081">
        <w:rPr>
          <w:szCs w:val="20"/>
          <w:lang w:eastAsia="nl-NL"/>
        </w:rPr>
        <w:t xml:space="preserve">. </w:t>
      </w:r>
      <w:r w:rsidRPr="005F055E" w:rsidR="00656369">
        <w:rPr>
          <w:szCs w:val="20"/>
          <w:lang w:eastAsia="nl-NL"/>
        </w:rPr>
        <w:t xml:space="preserve">In de brief aan uw Kamer van 17 juni 2025 over het investeringsmodel voor preventie is toegezegd in december een ambtelijk rapport aan te bieden over verkenning voor- en nadelen van verschillende financieringsopties voor preventieve maatregelen, ook ten opzichte van de huidige situatie. Vanwege de val van het kabinet is dit vertraagd. </w:t>
      </w:r>
      <w:r w:rsidR="00A615DB">
        <w:rPr>
          <w:szCs w:val="20"/>
          <w:lang w:eastAsia="nl-NL"/>
        </w:rPr>
        <w:t>De staatssecretaris Jeugd, Preventie en Sport</w:t>
      </w:r>
      <w:r w:rsidRPr="005F055E" w:rsidR="00A615DB">
        <w:rPr>
          <w:szCs w:val="20"/>
          <w:lang w:eastAsia="nl-NL"/>
        </w:rPr>
        <w:t xml:space="preserve"> </w:t>
      </w:r>
      <w:r w:rsidRPr="005F055E" w:rsidR="00656369">
        <w:rPr>
          <w:szCs w:val="20"/>
          <w:lang w:eastAsia="nl-NL"/>
        </w:rPr>
        <w:t>zal uw Kamer informeren zodra er meer duidelijkheid is over de</w:t>
      </w:r>
      <w:r w:rsidRPr="005F055E" w:rsidR="00D73F76">
        <w:rPr>
          <w:szCs w:val="20"/>
          <w:lang w:eastAsia="nl-NL"/>
        </w:rPr>
        <w:t xml:space="preserve"> </w:t>
      </w:r>
      <w:r w:rsidRPr="005F055E" w:rsidR="00656369">
        <w:rPr>
          <w:szCs w:val="20"/>
          <w:lang w:eastAsia="nl-NL"/>
        </w:rPr>
        <w:t>termijn waarop dit rapport gereed kan zijn.</w:t>
      </w:r>
    </w:p>
    <w:p w:rsidRPr="005F055E" w:rsidR="007B58FB" w:rsidP="00180EEB" w:rsidRDefault="007B58FB" w14:paraId="39527D5E" w14:textId="77777777">
      <w:pPr>
        <w:suppressAutoHyphens/>
      </w:pPr>
    </w:p>
    <w:p w:rsidRPr="005F055E" w:rsidR="000478A7" w:rsidP="00180EEB" w:rsidRDefault="003E7003" w14:paraId="7494985C" w14:textId="77777777">
      <w:pPr>
        <w:suppressAutoHyphens/>
      </w:pPr>
      <w:r w:rsidRPr="005F055E">
        <w:t>Vraag 36</w:t>
      </w:r>
      <w:r w:rsidRPr="005F055E">
        <w:tab/>
      </w:r>
    </w:p>
    <w:p w:rsidRPr="005F055E" w:rsidR="000478A7" w:rsidP="00180EEB" w:rsidRDefault="003E7003" w14:paraId="0FDBC86E" w14:textId="77777777">
      <w:pPr>
        <w:suppressAutoHyphens/>
      </w:pPr>
      <w:r w:rsidRPr="005F055E">
        <w:t>Hoeveel procent van het totale VWS-budget in 2026 gaat naar preventie?</w:t>
      </w:r>
      <w:r w:rsidRPr="005F055E">
        <w:tab/>
      </w:r>
    </w:p>
    <w:p w:rsidRPr="005F055E" w:rsidR="003E7003" w:rsidP="00180EEB" w:rsidRDefault="003E7003" w14:paraId="70948D6B" w14:textId="03A5EF58">
      <w:pPr>
        <w:suppressAutoHyphens/>
      </w:pPr>
      <w:r w:rsidRPr="005F055E">
        <w:t>Antwoord</w:t>
      </w:r>
    </w:p>
    <w:p w:rsidR="006F527D" w:rsidP="00180EEB" w:rsidRDefault="006F527D" w14:paraId="7EDAED73" w14:textId="18AD62C8">
      <w:pPr>
        <w:suppressAutoHyphens/>
      </w:pPr>
      <w:r w:rsidRPr="005F055E">
        <w:t xml:space="preserve">Een exact percentage voor het totale VWS-budget naar preventie valt niet te noemen. De begroting van VWS kent niet een specifiek label ‘preventie'. Het is een zeer breed begrip </w:t>
      </w:r>
      <w:r w:rsidRPr="005F055E" w:rsidR="005F055E">
        <w:t>dat</w:t>
      </w:r>
      <w:r w:rsidRPr="005F055E">
        <w:t xml:space="preserve"> zowel in de </w:t>
      </w:r>
      <w:proofErr w:type="spellStart"/>
      <w:r w:rsidRPr="005F055E">
        <w:t>Zvw</w:t>
      </w:r>
      <w:proofErr w:type="spellEnd"/>
      <w:r w:rsidRPr="005F055E">
        <w:t xml:space="preserve">, </w:t>
      </w:r>
      <w:proofErr w:type="spellStart"/>
      <w:r w:rsidRPr="005F055E">
        <w:t>Wlz</w:t>
      </w:r>
      <w:proofErr w:type="spellEnd"/>
      <w:r w:rsidRPr="005F055E">
        <w:t xml:space="preserve">, </w:t>
      </w:r>
      <w:proofErr w:type="spellStart"/>
      <w:r w:rsidRPr="005F055E">
        <w:t>Wmo</w:t>
      </w:r>
      <w:proofErr w:type="spellEnd"/>
      <w:r w:rsidRPr="005F055E">
        <w:t xml:space="preserve"> als de Rijksbegroting voor komt. Gezien de diversiteit is het uitsplitsen van preventie binnen de stelsels als de rijksbegroting niet mogelijk. Wel kunnen enkele thema’s worden onderscheiden op de VWS-begroting die een beeld geven bij de middelen die onder dit begrip kunnen vallen. De bedragen die voor deze thema’s beschikbaar zijn in 2026 zijn hieronder opgesomd.</w:t>
      </w:r>
    </w:p>
    <w:p w:rsidR="009873CE" w:rsidP="00180EEB" w:rsidRDefault="009873CE" w14:paraId="7E53F67E" w14:textId="77777777">
      <w:pPr>
        <w:suppressAutoHyphens/>
      </w:pPr>
    </w:p>
    <w:p w:rsidRPr="005F055E" w:rsidR="009873CE" w:rsidP="00180EEB" w:rsidRDefault="009873CE" w14:paraId="68D3BED6" w14:textId="77777777">
      <w:pPr>
        <w:suppressAutoHyphens/>
      </w:pPr>
    </w:p>
    <w:tbl>
      <w:tblPr>
        <w:tblW w:w="0" w:type="auto"/>
        <w:tblCellMar>
          <w:left w:w="0" w:type="dxa"/>
          <w:right w:w="0" w:type="dxa"/>
        </w:tblCellMar>
        <w:tblLook w:val="04A0" w:firstRow="1" w:lastRow="0" w:firstColumn="1" w:lastColumn="0" w:noHBand="0" w:noVBand="1"/>
      </w:tblPr>
      <w:tblGrid>
        <w:gridCol w:w="4243"/>
        <w:gridCol w:w="3271"/>
      </w:tblGrid>
      <w:tr w:rsidRPr="005F055E" w:rsidR="003F2B3B" w:rsidTr="003F2B3B" w14:paraId="4100DAD0" w14:textId="77777777">
        <w:tc>
          <w:tcPr>
            <w:tcW w:w="42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F055E" w:rsidR="003F2B3B" w:rsidP="00180EEB" w:rsidRDefault="003F2B3B" w14:paraId="1FFEF2E0" w14:textId="77777777">
            <w:pPr>
              <w:suppressAutoHyphens/>
              <w:spacing w:after="0"/>
            </w:pPr>
            <w:r w:rsidRPr="005F055E">
              <w:rPr>
                <w:i/>
                <w:iCs/>
              </w:rPr>
              <w:t>Thema</w:t>
            </w:r>
          </w:p>
        </w:tc>
        <w:tc>
          <w:tcPr>
            <w:tcW w:w="32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F055E" w:rsidR="003F2B3B" w:rsidP="00180EEB" w:rsidRDefault="003F2B3B" w14:paraId="12B83CCA" w14:textId="77777777">
            <w:pPr>
              <w:suppressAutoHyphens/>
              <w:spacing w:after="0"/>
            </w:pPr>
            <w:r w:rsidRPr="005F055E">
              <w:rPr>
                <w:i/>
                <w:iCs/>
              </w:rPr>
              <w:t>Bedrag</w:t>
            </w:r>
          </w:p>
        </w:tc>
      </w:tr>
      <w:tr w:rsidRPr="005F055E" w:rsidR="003F2B3B" w:rsidTr="003F2B3B" w14:paraId="0CA8BF50"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3F2B3B" w:rsidP="00180EEB" w:rsidRDefault="003F2B3B" w14:paraId="58D737B3" w14:textId="77777777">
            <w:pPr>
              <w:suppressAutoHyphens/>
              <w:spacing w:after="0"/>
            </w:pPr>
            <w:r w:rsidRPr="005F055E">
              <w:t>Bevolkingsonderzoeken</w:t>
            </w:r>
          </w:p>
        </w:tc>
        <w:tc>
          <w:tcPr>
            <w:tcW w:w="3271"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3F2B3B" w:rsidP="00180EEB" w:rsidRDefault="003F2B3B" w14:paraId="5380BB92" w14:textId="77777777">
            <w:pPr>
              <w:suppressAutoHyphens/>
              <w:spacing w:after="0"/>
            </w:pPr>
            <w:r w:rsidRPr="005F055E">
              <w:t>€ 324,1 miljoen</w:t>
            </w:r>
          </w:p>
        </w:tc>
      </w:tr>
      <w:tr w:rsidRPr="005F055E" w:rsidR="003F2B3B" w:rsidTr="003F2B3B" w14:paraId="19E4EEFD"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3F2B3B" w:rsidP="00180EEB" w:rsidRDefault="003F2B3B" w14:paraId="40C0096C" w14:textId="77777777">
            <w:pPr>
              <w:suppressAutoHyphens/>
              <w:spacing w:after="0"/>
            </w:pPr>
            <w:r w:rsidRPr="005F055E">
              <w:t>Vaccinaties</w:t>
            </w:r>
          </w:p>
        </w:tc>
        <w:tc>
          <w:tcPr>
            <w:tcW w:w="3271"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3F2B3B" w:rsidP="00180EEB" w:rsidRDefault="003F2B3B" w14:paraId="22365844" w14:textId="77777777">
            <w:pPr>
              <w:suppressAutoHyphens/>
              <w:spacing w:after="0"/>
            </w:pPr>
            <w:r w:rsidRPr="005F055E">
              <w:t>€ 268,4 miljoen</w:t>
            </w:r>
          </w:p>
        </w:tc>
      </w:tr>
      <w:tr w:rsidRPr="005F055E" w:rsidR="003F2B3B" w:rsidTr="003F2B3B" w14:paraId="01661B66"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3F2B3B" w:rsidP="00180EEB" w:rsidRDefault="003F2B3B" w14:paraId="7EB121EB" w14:textId="77777777">
            <w:pPr>
              <w:suppressAutoHyphens/>
              <w:spacing w:after="0"/>
            </w:pPr>
            <w:r w:rsidRPr="005F055E">
              <w:t>Preventie van schadelijk middelengebruik</w:t>
            </w:r>
          </w:p>
        </w:tc>
        <w:tc>
          <w:tcPr>
            <w:tcW w:w="3271"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3F2B3B" w:rsidP="00180EEB" w:rsidRDefault="003F2B3B" w14:paraId="6C6F358C" w14:textId="4EB34648">
            <w:pPr>
              <w:suppressAutoHyphens/>
              <w:spacing w:after="0"/>
            </w:pPr>
            <w:r w:rsidRPr="005F055E">
              <w:t>€</w:t>
            </w:r>
            <w:r w:rsidRPr="005F055E" w:rsidR="00D73F76">
              <w:t xml:space="preserve"> </w:t>
            </w:r>
            <w:r w:rsidRPr="005F055E">
              <w:t>15,5 miljoen</w:t>
            </w:r>
          </w:p>
        </w:tc>
      </w:tr>
      <w:tr w:rsidRPr="005F055E" w:rsidR="003F2B3B" w:rsidTr="003F2B3B" w14:paraId="4D96C4DC"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3F2B3B" w:rsidP="00180EEB" w:rsidRDefault="003F2B3B" w14:paraId="4535BBF2" w14:textId="77777777">
            <w:pPr>
              <w:suppressAutoHyphens/>
              <w:spacing w:after="0"/>
            </w:pPr>
            <w:r w:rsidRPr="005F055E">
              <w:t>Gezonde leefstijl en gezond gewicht</w:t>
            </w:r>
          </w:p>
        </w:tc>
        <w:tc>
          <w:tcPr>
            <w:tcW w:w="3271"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3F2B3B" w:rsidP="00180EEB" w:rsidRDefault="003F2B3B" w14:paraId="39780CFB" w14:textId="4E9C17C4">
            <w:pPr>
              <w:suppressAutoHyphens/>
              <w:spacing w:after="0"/>
            </w:pPr>
            <w:r w:rsidRPr="005F055E">
              <w:t>€</w:t>
            </w:r>
            <w:r w:rsidRPr="005F055E" w:rsidR="00D73F76">
              <w:t xml:space="preserve"> </w:t>
            </w:r>
            <w:r w:rsidRPr="005F055E">
              <w:t>18,4 miljoen</w:t>
            </w:r>
          </w:p>
        </w:tc>
      </w:tr>
    </w:tbl>
    <w:p w:rsidRPr="005F055E" w:rsidR="003F2B3B" w:rsidP="00180EEB" w:rsidRDefault="003F2B3B" w14:paraId="2C0B174C" w14:textId="77777777">
      <w:pPr>
        <w:suppressAutoHyphens/>
      </w:pPr>
    </w:p>
    <w:p w:rsidRPr="005F055E" w:rsidR="000478A7" w:rsidP="00180EEB" w:rsidRDefault="006F527D" w14:paraId="6728E832" w14:textId="5B16CAAB">
      <w:pPr>
        <w:suppressAutoHyphens/>
      </w:pPr>
      <w:r w:rsidRPr="005F055E">
        <w:t>Daarnaast zijn in het AZWA ook middelen beschikbaar gesteld voor preventieve zorg voor zowel medische preventie als het sociaal domein.</w:t>
      </w:r>
    </w:p>
    <w:p w:rsidRPr="005F055E" w:rsidR="007B58FB" w:rsidP="00180EEB" w:rsidRDefault="007B58FB" w14:paraId="28C01198" w14:textId="77777777">
      <w:pPr>
        <w:suppressAutoHyphens/>
      </w:pPr>
    </w:p>
    <w:p w:rsidRPr="005F055E" w:rsidR="000478A7" w:rsidP="00180EEB" w:rsidRDefault="003E7003" w14:paraId="447EEEA7" w14:textId="77777777">
      <w:pPr>
        <w:suppressAutoHyphens/>
      </w:pPr>
      <w:r w:rsidRPr="00A41081">
        <w:t>Vraag 37</w:t>
      </w:r>
      <w:r w:rsidRPr="005F055E">
        <w:tab/>
      </w:r>
    </w:p>
    <w:p w:rsidRPr="005F055E" w:rsidR="000478A7" w:rsidP="00180EEB" w:rsidRDefault="003E7003" w14:paraId="24486482" w14:textId="77777777">
      <w:pPr>
        <w:suppressAutoHyphens/>
      </w:pPr>
      <w:r w:rsidRPr="005F055E">
        <w:t>Welke voorbereidingen treffen u en uw ministerie om in toekomstige jaren structurele verschuivingen naar preventie mogelijk te maken?</w:t>
      </w:r>
      <w:r w:rsidRPr="005F055E">
        <w:tab/>
      </w:r>
    </w:p>
    <w:p w:rsidRPr="005F055E" w:rsidR="003E7003" w:rsidP="00180EEB" w:rsidRDefault="003E7003" w14:paraId="0E0244C6" w14:textId="549647AC">
      <w:pPr>
        <w:suppressAutoHyphens/>
      </w:pPr>
      <w:r w:rsidRPr="005F055E">
        <w:t>Antwoord</w:t>
      </w:r>
    </w:p>
    <w:p w:rsidRPr="005F055E" w:rsidR="007B58FB" w:rsidP="00180EEB" w:rsidRDefault="00A41081" w14:paraId="33BEF61E" w14:textId="31D8E240">
      <w:pPr>
        <w:suppressAutoHyphens/>
        <w:spacing w:line="240" w:lineRule="atLeast"/>
      </w:pPr>
      <w:r w:rsidRPr="00975FAA">
        <w:rPr>
          <w:szCs w:val="20"/>
          <w:lang w:eastAsia="nl-NL"/>
        </w:rPr>
        <w:t>Op 23 oktober 2025 is de richtlijn passend bewijs preventie aan uw Kamer aangeboden.</w:t>
      </w:r>
      <w:r>
        <w:rPr>
          <w:rStyle w:val="Voetnootmarkering"/>
          <w:szCs w:val="20"/>
          <w:lang w:eastAsia="nl-NL"/>
        </w:rPr>
        <w:footnoteReference w:id="5"/>
      </w:r>
      <w:r w:rsidRPr="00975FAA">
        <w:rPr>
          <w:szCs w:val="20"/>
          <w:lang w:eastAsia="nl-NL"/>
        </w:rPr>
        <w:t xml:space="preserve"> De richtlijn geeft de noodzakelijke methodologische handvatten om de effectiviteit van preventiemaatregelen voldoende overtuigend te onderbouwen. Deze onderbouwing is vervolgens bruikbaar om financiële reeksen op te stellen ten behoeve van besluitvorming</w:t>
      </w:r>
      <w:r>
        <w:rPr>
          <w:szCs w:val="20"/>
          <w:lang w:eastAsia="nl-NL"/>
        </w:rPr>
        <w:t xml:space="preserve">. </w:t>
      </w:r>
      <w:r w:rsidRPr="005F055E" w:rsidR="006C5882">
        <w:rPr>
          <w:szCs w:val="20"/>
          <w:lang w:eastAsia="nl-NL"/>
        </w:rPr>
        <w:t xml:space="preserve">Op 17 juni 2025 is uw Kamer geïnformeerd over de ontwikkeling van het investeringsmodel voor preventie. Het werk hieraan gaat onverminderd door. In december </w:t>
      </w:r>
      <w:r w:rsidR="00A615DB">
        <w:rPr>
          <w:szCs w:val="20"/>
          <w:lang w:eastAsia="nl-NL"/>
        </w:rPr>
        <w:t xml:space="preserve">zal de staatssecretaris Jeugd, Preventie en Sport </w:t>
      </w:r>
      <w:r w:rsidRPr="005F055E" w:rsidR="006C5882">
        <w:rPr>
          <w:szCs w:val="20"/>
          <w:lang w:eastAsia="nl-NL"/>
        </w:rPr>
        <w:t xml:space="preserve">uw Kamer een uitgebreide stand van zaken, zoals toegezegd. </w:t>
      </w:r>
    </w:p>
    <w:p w:rsidR="00056279" w:rsidP="00180EEB" w:rsidRDefault="00056279" w14:paraId="0C53BCCF" w14:textId="77777777">
      <w:pPr>
        <w:suppressAutoHyphens/>
      </w:pPr>
    </w:p>
    <w:p w:rsidRPr="005F055E" w:rsidR="000478A7" w:rsidP="00180EEB" w:rsidRDefault="003E7003" w14:paraId="33D7A54C" w14:textId="4CAC62B6">
      <w:pPr>
        <w:suppressAutoHyphens/>
      </w:pPr>
      <w:r w:rsidRPr="005F055E">
        <w:t>Vraag 38</w:t>
      </w:r>
      <w:r w:rsidRPr="005F055E">
        <w:tab/>
      </w:r>
    </w:p>
    <w:p w:rsidRPr="005F055E" w:rsidR="000478A7" w:rsidP="00180EEB" w:rsidRDefault="003E7003" w14:paraId="0DFF5BC4" w14:textId="77777777">
      <w:pPr>
        <w:suppressAutoHyphens/>
      </w:pPr>
      <w:r w:rsidRPr="005F055E">
        <w:t>Zijn er pilots of experimenten voorzien in 2026 waarin zorgverzekeraars en gemeenten meerjarig in preventie mogen investeren en welke budgetten zijn hieraan gekoppeld?</w:t>
      </w:r>
      <w:r w:rsidRPr="005F055E">
        <w:tab/>
      </w:r>
    </w:p>
    <w:p w:rsidRPr="005F055E" w:rsidR="003E7003" w:rsidP="00180EEB" w:rsidRDefault="003E7003" w14:paraId="08151FFF" w14:textId="72ED205C">
      <w:pPr>
        <w:suppressAutoHyphens/>
      </w:pPr>
      <w:r w:rsidRPr="005F055E">
        <w:t>Antwoord</w:t>
      </w:r>
    </w:p>
    <w:p w:rsidRPr="005F055E" w:rsidR="006C5882" w:rsidP="00180EEB" w:rsidRDefault="006C5882" w14:paraId="7A916464" w14:textId="77777777">
      <w:pPr>
        <w:suppressAutoHyphens/>
        <w:spacing w:line="240" w:lineRule="atLeast"/>
        <w:rPr>
          <w:szCs w:val="18"/>
          <w:lang w:eastAsia="nl-NL"/>
        </w:rPr>
      </w:pPr>
      <w:r w:rsidRPr="005F055E">
        <w:rPr>
          <w:szCs w:val="18"/>
          <w:lang w:eastAsia="nl-NL"/>
        </w:rPr>
        <w:t>In 2026 zijn er geen pilots of experimenten vanuit de Rijksmiddelen voorzien om zorgverzekeraars en gemeenten meerjarig in preventie te laten investeren. Dat laat onverlet dat gemeenten en zorgverzekeraars zelf beleidsvrijheid hebben om zelfstandig beleidskeuzes te maken. Wel is in het Aanvullend Zorg en Welzijnsakkoord - waar gemeenten, zorgverzekeraars en het Rijk onderdeel van zijn – een ontwikkelagenda opgesteld waar vanaf 2027 voor een aantal jaren middelen aan zijn verbonden. In deze ontwikkelagenda zijn aanpakken opgenomen gericht op het voorkomen of verminderen van zorg waar zorgverzekeraars en gemeenten op samenwerken. Doel van de ontwikkelagenda is te onderzoeken of dergelijke aanpakken in aanmerking kunnen komen voor structurele financiering. In de ontwikkelagenda ‘Sociaal Domein’ van het AZWA is hiervoor € 77 miljoen in 2027 oplopend naar € 153 miljoen in 2029 opgenomen. In de ontwikkelagenda ‘Medische Preventie’ van het AZWA is hiervoor € 45 miljoen in 2027 en € 45 miljoen in 2028 opgenomen.</w:t>
      </w:r>
    </w:p>
    <w:p w:rsidRPr="005F055E" w:rsidR="000478A7" w:rsidP="00180EEB" w:rsidRDefault="000478A7" w14:paraId="11B5E778" w14:textId="77777777">
      <w:pPr>
        <w:suppressAutoHyphens/>
      </w:pPr>
    </w:p>
    <w:p w:rsidRPr="005F055E" w:rsidR="000478A7" w:rsidP="00180EEB" w:rsidRDefault="003E7003" w14:paraId="0E84021D" w14:textId="77777777">
      <w:pPr>
        <w:suppressAutoHyphens/>
      </w:pPr>
      <w:r w:rsidRPr="005F055E">
        <w:t>Vraag 39</w:t>
      </w:r>
      <w:r w:rsidRPr="005F055E">
        <w:tab/>
      </w:r>
    </w:p>
    <w:p w:rsidRPr="005F055E" w:rsidR="000478A7" w:rsidP="00180EEB" w:rsidRDefault="003E7003" w14:paraId="50687B4C" w14:textId="77777777">
      <w:pPr>
        <w:suppressAutoHyphens/>
      </w:pPr>
      <w:r w:rsidRPr="005F055E">
        <w:t>Wat zijn de verwachte maatschappelijke besparingen op lange termijn als gevolg van een substantiële investering in preventie, en waarom zijn deze baten nu niet zichtbaar in de VWS-begroting?</w:t>
      </w:r>
      <w:r w:rsidRPr="005F055E">
        <w:tab/>
      </w:r>
    </w:p>
    <w:p w:rsidR="009873CE" w:rsidP="00180EEB" w:rsidRDefault="009873CE" w14:paraId="0422E837" w14:textId="77777777">
      <w:pPr>
        <w:suppressAutoHyphens/>
      </w:pPr>
    </w:p>
    <w:p w:rsidRPr="005F055E" w:rsidR="003E7003" w:rsidP="00180EEB" w:rsidRDefault="003E7003" w14:paraId="2D7938BA" w14:textId="26D99481">
      <w:pPr>
        <w:suppressAutoHyphens/>
      </w:pPr>
      <w:r w:rsidRPr="005F055E">
        <w:t>Antwoord</w:t>
      </w:r>
    </w:p>
    <w:p w:rsidRPr="005F055E" w:rsidR="000478A7" w:rsidP="00180EEB" w:rsidRDefault="006C5882" w14:paraId="1644C447" w14:textId="04FB18DC">
      <w:pPr>
        <w:suppressAutoHyphens/>
        <w:spacing w:line="240" w:lineRule="atLeast"/>
        <w:rPr>
          <w:szCs w:val="20"/>
          <w:lang w:eastAsia="nl-NL"/>
        </w:rPr>
      </w:pPr>
      <w:r w:rsidRPr="005F055E">
        <w:rPr>
          <w:szCs w:val="20"/>
          <w:lang w:eastAsia="nl-NL"/>
        </w:rPr>
        <w:t xml:space="preserve">Investeren in preventie levert gezondheid op en daarmee </w:t>
      </w:r>
      <w:r w:rsidRPr="005F055E" w:rsidR="008C475E">
        <w:rPr>
          <w:szCs w:val="20"/>
          <w:lang w:eastAsia="nl-NL"/>
        </w:rPr>
        <w:t>meestal</w:t>
      </w:r>
      <w:r w:rsidRPr="005F055E">
        <w:rPr>
          <w:szCs w:val="20"/>
          <w:lang w:eastAsia="nl-NL"/>
        </w:rPr>
        <w:t xml:space="preserve"> ook maatschappelijke en economische baten. Deze zijn in begrotingsdocumenten zoals die van VWS niet direct zichtbaar vanwege bijvoorbeeld tijdsvertragingen en complexiteit in toerekening. Bovendien kunnen preventiebaten zich voordoen in andere sectoren dan VWS (bijvoorbeeld minder</w:t>
      </w:r>
      <w:r w:rsidR="005A01FE">
        <w:rPr>
          <w:szCs w:val="20"/>
          <w:lang w:eastAsia="nl-NL"/>
        </w:rPr>
        <w:t xml:space="preserve"> </w:t>
      </w:r>
      <w:r w:rsidR="00265034">
        <w:rPr>
          <w:szCs w:val="20"/>
          <w:lang w:eastAsia="nl-NL"/>
        </w:rPr>
        <w:t>ziekteverzuim</w:t>
      </w:r>
      <w:r w:rsidR="005A01FE">
        <w:rPr>
          <w:szCs w:val="20"/>
          <w:lang w:eastAsia="nl-NL"/>
        </w:rPr>
        <w:t>,</w:t>
      </w:r>
      <w:r w:rsidRPr="005F055E">
        <w:rPr>
          <w:szCs w:val="20"/>
          <w:lang w:eastAsia="nl-NL"/>
        </w:rPr>
        <w:t xml:space="preserve"> uitkeringen of betere schoolprestaties), terwijl de investering binnen VWS plaatsvindt</w:t>
      </w:r>
      <w:r w:rsidRPr="005F055E" w:rsidR="00516558">
        <w:rPr>
          <w:szCs w:val="20"/>
          <w:lang w:eastAsia="nl-NL"/>
        </w:rPr>
        <w:t xml:space="preserve"> (of andersom)</w:t>
      </w:r>
      <w:r w:rsidRPr="005F055E">
        <w:rPr>
          <w:szCs w:val="20"/>
          <w:lang w:eastAsia="nl-NL"/>
        </w:rPr>
        <w:t>. De baten vloeien in dat geval terug via begrotingen van andere departementen naar het Rijk.</w:t>
      </w:r>
    </w:p>
    <w:p w:rsidRPr="005F055E" w:rsidR="000478A7" w:rsidP="00180EEB" w:rsidRDefault="000478A7" w14:paraId="6A2739F4" w14:textId="77777777">
      <w:pPr>
        <w:suppressAutoHyphens/>
      </w:pPr>
    </w:p>
    <w:p w:rsidRPr="005F055E" w:rsidR="000478A7" w:rsidP="00180EEB" w:rsidRDefault="003E7003" w14:paraId="2C35C3BB" w14:textId="77777777">
      <w:pPr>
        <w:suppressAutoHyphens/>
      </w:pPr>
      <w:r w:rsidRPr="005F055E">
        <w:t>Vraag 40</w:t>
      </w:r>
      <w:r w:rsidRPr="005F055E">
        <w:tab/>
      </w:r>
    </w:p>
    <w:p w:rsidRPr="005F055E" w:rsidR="000478A7" w:rsidP="00180EEB" w:rsidRDefault="003E7003" w14:paraId="6959D481" w14:textId="77777777">
      <w:pPr>
        <w:suppressAutoHyphens/>
      </w:pPr>
      <w:r w:rsidRPr="005F055E">
        <w:t>Klopt het dat er in de VWS-begroting 2026 verschillende bedragen voor de SPUK-ASG worden genoemd, waaronder €50 miljoen (pagina 51) en €45 miljoen (pagina 222)? Hoe verklaart u deze verschillen?</w:t>
      </w:r>
      <w:r w:rsidRPr="005F055E">
        <w:tab/>
      </w:r>
    </w:p>
    <w:p w:rsidRPr="005F055E" w:rsidR="003E7003" w:rsidP="00180EEB" w:rsidRDefault="003E7003" w14:paraId="1E820F2A" w14:textId="25A295CE">
      <w:pPr>
        <w:suppressAutoHyphens/>
      </w:pPr>
      <w:r w:rsidRPr="005F055E">
        <w:t>Antwoord</w:t>
      </w:r>
    </w:p>
    <w:p w:rsidRPr="005F055E" w:rsidR="000478A7" w:rsidP="00180EEB" w:rsidRDefault="006C5882" w14:paraId="732DA43F" w14:textId="08C4C001">
      <w:pPr>
        <w:suppressAutoHyphens/>
      </w:pPr>
      <w:r w:rsidRPr="005F055E">
        <w:rPr>
          <w:rFonts w:eastAsia="Aptos" w:cs="Calibri"/>
          <w:szCs w:val="20"/>
          <w:lang w:eastAsia="nl-NL"/>
        </w:rPr>
        <w:t xml:space="preserve">Alle afspraken over de extra intensiveringen binnen het AZWA zijn </w:t>
      </w:r>
      <w:r w:rsidR="005A01FE">
        <w:rPr>
          <w:rFonts w:eastAsia="Aptos" w:cs="Calibri"/>
          <w:szCs w:val="20"/>
          <w:lang w:eastAsia="nl-NL"/>
        </w:rPr>
        <w:t>verwerkt in de plannen</w:t>
      </w:r>
      <w:r w:rsidRPr="005F055E">
        <w:rPr>
          <w:rFonts w:eastAsia="Aptos" w:cs="Calibri"/>
          <w:szCs w:val="20"/>
          <w:lang w:eastAsia="nl-NL"/>
        </w:rPr>
        <w:t xml:space="preserve">. Het gaat hierbij om de gedeeltelijke reparatie van de 10% SPUK-korting voor 2026 en </w:t>
      </w:r>
      <w:r w:rsidR="005A01FE">
        <w:rPr>
          <w:rFonts w:eastAsia="Aptos" w:cs="Calibri"/>
          <w:szCs w:val="20"/>
          <w:lang w:eastAsia="nl-NL"/>
        </w:rPr>
        <w:t>maar</w:t>
      </w:r>
      <w:r w:rsidRPr="005F055E" w:rsidR="005A01FE">
        <w:rPr>
          <w:rFonts w:eastAsia="Aptos" w:cs="Calibri"/>
          <w:szCs w:val="20"/>
          <w:lang w:eastAsia="nl-NL"/>
        </w:rPr>
        <w:t xml:space="preserve"> </w:t>
      </w:r>
      <w:r w:rsidRPr="005F055E">
        <w:rPr>
          <w:rFonts w:eastAsia="Aptos" w:cs="Calibri"/>
          <w:szCs w:val="20"/>
          <w:lang w:eastAsia="nl-NL"/>
        </w:rPr>
        <w:t xml:space="preserve">de AZWA-middelen vanaf 2027: € 5 miljoen in 2027 en vanaf 2028 jaarlijks € 7 miljoen. </w:t>
      </w:r>
      <w:r w:rsidR="00365B90">
        <w:rPr>
          <w:rFonts w:eastAsia="Aptos" w:cs="Calibri"/>
          <w:szCs w:val="20"/>
          <w:lang w:eastAsia="nl-NL"/>
        </w:rPr>
        <w:t>Maar d</w:t>
      </w:r>
      <w:r w:rsidRPr="005F055E">
        <w:rPr>
          <w:rFonts w:eastAsia="Aptos" w:cs="Calibri"/>
          <w:szCs w:val="20"/>
          <w:lang w:eastAsia="nl-NL"/>
        </w:rPr>
        <w:t xml:space="preserve">eze afspraken zijn niet goed terug te vinden in de begroting, omdat de AZWA-middelen per abuis zijn geboekt onder de begrotingspost voor bevolkingsonderzoeken. Deze fout wordt in het voorjaar van 2026 gecorrigeerd. Daarnaast klopt het vermelde bedrag voor de ASG-regeling in 2025 en de jaren daarna niet. </w:t>
      </w:r>
      <w:bookmarkStart w:name="_Hlk210908621" w:id="4"/>
      <w:bookmarkStart w:name="_Hlk210908668" w:id="5"/>
      <w:r w:rsidRPr="005F055E">
        <w:rPr>
          <w:rFonts w:eastAsia="Aptos" w:cs="Calibri"/>
          <w:szCs w:val="20"/>
          <w:lang w:eastAsia="nl-NL"/>
        </w:rPr>
        <w:t>Dit komt doordat het budget voor het wietexperiment, dat onder dezelfde gemeentelijke begrotingsregel valt, onbedoeld is meegeteld onder de post seksuele gezondheid.</w:t>
      </w:r>
      <w:bookmarkEnd w:id="4"/>
      <w:r w:rsidRPr="005F055E">
        <w:rPr>
          <w:rFonts w:eastAsia="Aptos" w:cs="Calibri"/>
          <w:szCs w:val="20"/>
          <w:lang w:eastAsia="nl-NL"/>
        </w:rPr>
        <w:t xml:space="preserve"> Het gaat hier om € 0,5 miljoen vanaf 2026, wat ook de verklaring is voor het verhoogde bedrag in 2025. </w:t>
      </w:r>
      <w:bookmarkEnd w:id="5"/>
      <w:r w:rsidRPr="005F055E">
        <w:rPr>
          <w:rFonts w:eastAsia="Aptos" w:cs="Calibri"/>
          <w:szCs w:val="20"/>
          <w:lang w:eastAsia="nl-NL"/>
        </w:rPr>
        <w:t>Ook dit wordt komend voorjaar gecorrigeerd.</w:t>
      </w:r>
    </w:p>
    <w:p w:rsidR="00056279" w:rsidP="00180EEB" w:rsidRDefault="00056279" w14:paraId="3AD1F34C" w14:textId="77777777">
      <w:pPr>
        <w:suppressAutoHyphens/>
      </w:pPr>
    </w:p>
    <w:p w:rsidRPr="005F055E" w:rsidR="000478A7" w:rsidP="00180EEB" w:rsidRDefault="003E7003" w14:paraId="2B057960" w14:textId="77777777">
      <w:pPr>
        <w:suppressAutoHyphens/>
      </w:pPr>
      <w:r w:rsidRPr="005F055E">
        <w:t>Vraag 41</w:t>
      </w:r>
      <w:r w:rsidRPr="005F055E">
        <w:tab/>
      </w:r>
    </w:p>
    <w:p w:rsidRPr="005F055E" w:rsidR="000478A7" w:rsidP="00180EEB" w:rsidRDefault="003E7003" w14:paraId="14F2898C" w14:textId="77777777">
      <w:pPr>
        <w:suppressAutoHyphens/>
      </w:pPr>
      <w:r w:rsidRPr="005F055E">
        <w:t>Kunt u bevestigen dat de oorspronkelijk voorziene korting van tien procent op de SPUK-ASG in 2026 volledig is weggewerkt zoals aangeven op pagina 51?</w:t>
      </w:r>
      <w:r w:rsidRPr="005F055E">
        <w:tab/>
      </w:r>
    </w:p>
    <w:p w:rsidRPr="005F055E" w:rsidR="003E7003" w:rsidP="00180EEB" w:rsidRDefault="003E7003" w14:paraId="7E8C7EB1" w14:textId="0C0E201C">
      <w:pPr>
        <w:suppressAutoHyphens/>
      </w:pPr>
      <w:r w:rsidRPr="005F055E">
        <w:t>Antwoord</w:t>
      </w:r>
    </w:p>
    <w:p w:rsidRPr="005F055E" w:rsidR="00BE5CD4" w:rsidP="00180EEB" w:rsidRDefault="00BE5CD4" w14:paraId="5E219279" w14:textId="77777777">
      <w:pPr>
        <w:suppressAutoHyphens/>
        <w:spacing w:line="240" w:lineRule="atLeast"/>
        <w:rPr>
          <w:szCs w:val="20"/>
          <w:lang w:eastAsia="nl-NL"/>
        </w:rPr>
      </w:pPr>
      <w:r w:rsidRPr="005F055E">
        <w:rPr>
          <w:szCs w:val="20"/>
          <w:lang w:eastAsia="nl-NL"/>
        </w:rPr>
        <w:t>Voor het jaar 2026 is het gelukt om incidenteel € 3 miljoen beschikbaar te stellen om de eerder voorziene korting van 10% op de SPUK-ASG grotendeels te compenseren. Daarmee is de korting voor een groot deel, maar niet volledig, weggewerkt.</w:t>
      </w:r>
    </w:p>
    <w:p w:rsidRPr="005F055E" w:rsidR="000478A7" w:rsidP="00180EEB" w:rsidRDefault="000478A7" w14:paraId="3E84F469" w14:textId="77777777">
      <w:pPr>
        <w:suppressAutoHyphens/>
      </w:pPr>
    </w:p>
    <w:p w:rsidRPr="005F055E" w:rsidR="000478A7" w:rsidP="00180EEB" w:rsidRDefault="003E7003" w14:paraId="7B8DFD7C" w14:textId="77777777">
      <w:pPr>
        <w:suppressAutoHyphens/>
      </w:pPr>
      <w:r w:rsidRPr="005F055E">
        <w:t>Vraag 42</w:t>
      </w:r>
      <w:r w:rsidRPr="005F055E">
        <w:tab/>
      </w:r>
    </w:p>
    <w:p w:rsidRPr="005F055E" w:rsidR="000478A7" w:rsidP="00180EEB" w:rsidRDefault="003E7003" w14:paraId="3EE98F4F" w14:textId="77777777">
      <w:pPr>
        <w:suppressAutoHyphens/>
      </w:pPr>
      <w:r w:rsidRPr="005F055E">
        <w:t>Mocht de korting niet (volledig) zijn weggewerkt - zoals gesuggereerd op p. 222 – kunt u dan het juiste bedrag dat beschikbaar is voor de ASG in 2026 delen?</w:t>
      </w:r>
      <w:r w:rsidRPr="005F055E">
        <w:tab/>
      </w:r>
    </w:p>
    <w:p w:rsidRPr="005F055E" w:rsidR="003E7003" w:rsidP="00180EEB" w:rsidRDefault="003E7003" w14:paraId="6EE55498" w14:textId="11427E07">
      <w:pPr>
        <w:suppressAutoHyphens/>
      </w:pPr>
      <w:r w:rsidRPr="005F055E">
        <w:t>Antwoord</w:t>
      </w:r>
    </w:p>
    <w:p w:rsidRPr="005F055E" w:rsidR="000478A7" w:rsidP="00180EEB" w:rsidRDefault="00BE5CD4" w14:paraId="62EF0D89" w14:textId="590948D3">
      <w:pPr>
        <w:suppressAutoHyphens/>
        <w:spacing w:line="240" w:lineRule="atLeast"/>
        <w:rPr>
          <w:szCs w:val="20"/>
          <w:lang w:eastAsia="nl-NL"/>
        </w:rPr>
      </w:pPr>
      <w:r w:rsidRPr="005F055E">
        <w:rPr>
          <w:szCs w:val="20"/>
          <w:lang w:eastAsia="nl-NL"/>
        </w:rPr>
        <w:t>In 2026 is € 49,86 miljoen voor de ASG-regeling beschikbaar.</w:t>
      </w:r>
    </w:p>
    <w:p w:rsidRPr="005F055E" w:rsidR="007B58FB" w:rsidP="00180EEB" w:rsidRDefault="007B58FB" w14:paraId="2BF951D9" w14:textId="77777777">
      <w:pPr>
        <w:suppressAutoHyphens/>
      </w:pPr>
    </w:p>
    <w:p w:rsidRPr="005F055E" w:rsidR="000478A7" w:rsidP="00180EEB" w:rsidRDefault="003E7003" w14:paraId="482B41E3" w14:textId="77777777">
      <w:pPr>
        <w:suppressAutoHyphens/>
      </w:pPr>
      <w:r w:rsidRPr="005F055E">
        <w:t>Vraag 43</w:t>
      </w:r>
      <w:r w:rsidRPr="005F055E">
        <w:tab/>
      </w:r>
    </w:p>
    <w:p w:rsidRPr="005F055E" w:rsidR="000478A7" w:rsidP="00180EEB" w:rsidRDefault="003E7003" w14:paraId="07B89481" w14:textId="77777777">
      <w:pPr>
        <w:suppressAutoHyphens/>
      </w:pPr>
      <w:r w:rsidRPr="005F055E">
        <w:t>Mocht de korting niet (volledig) zijn weggewerkt, is er overwogen om de middelen uit het Aanvullend Zorg- en Welzijnsakkoord (AZWA), die volgens de afspraken pas vanaf 2027 beschikbaar komen voor de SPUK-ASG, naar voren te halen om de korting in 2026 wel volledig te repareren?</w:t>
      </w:r>
      <w:r w:rsidRPr="005F055E">
        <w:tab/>
      </w:r>
    </w:p>
    <w:p w:rsidR="009873CE" w:rsidP="00180EEB" w:rsidRDefault="009873CE" w14:paraId="2C3E1783" w14:textId="77777777">
      <w:pPr>
        <w:suppressAutoHyphens/>
      </w:pPr>
    </w:p>
    <w:p w:rsidRPr="005F055E" w:rsidR="003E7003" w:rsidP="00180EEB" w:rsidRDefault="003E7003" w14:paraId="6EEB34A4" w14:textId="4A33472B">
      <w:pPr>
        <w:suppressAutoHyphens/>
      </w:pPr>
      <w:r w:rsidRPr="005F055E">
        <w:t>Antwoord</w:t>
      </w:r>
    </w:p>
    <w:p w:rsidRPr="005F055E" w:rsidR="000478A7" w:rsidP="00180EEB" w:rsidRDefault="00BE5CD4" w14:paraId="40C9FFC0" w14:textId="3A0F4CE0">
      <w:pPr>
        <w:suppressAutoHyphens/>
        <w:spacing w:line="240" w:lineRule="atLeast"/>
        <w:rPr>
          <w:szCs w:val="18"/>
          <w:lang w:eastAsia="nl-NL"/>
        </w:rPr>
      </w:pPr>
      <w:r w:rsidRPr="005F055E">
        <w:rPr>
          <w:rFonts w:eastAsia="Aptos" w:cs="Calibri"/>
          <w:szCs w:val="20"/>
          <w:lang w:eastAsia="nl-NL"/>
        </w:rPr>
        <w:t xml:space="preserve">Dit is overwogen toen nog niet duidelijk was of een eenmalige reparatie haalbaar zou zijn. Toen duidelijk werd dat de </w:t>
      </w:r>
      <w:proofErr w:type="spellStart"/>
      <w:r w:rsidRPr="005F055E">
        <w:rPr>
          <w:rFonts w:eastAsia="Aptos" w:cs="Calibri"/>
          <w:szCs w:val="20"/>
          <w:lang w:eastAsia="nl-NL"/>
        </w:rPr>
        <w:t>GGD’en</w:t>
      </w:r>
      <w:proofErr w:type="spellEnd"/>
      <w:r w:rsidRPr="005F055E">
        <w:rPr>
          <w:rFonts w:eastAsia="Aptos" w:cs="Calibri"/>
          <w:szCs w:val="20"/>
          <w:lang w:eastAsia="nl-NL"/>
        </w:rPr>
        <w:t xml:space="preserve"> voor een deel ontlast zouden worden met de incidentele investering van € 3 miljoen, is dit scenario niet verder uitgewerkt. De Kamer heeft inmiddels de motie Krul-Dobbe aangenomen.</w:t>
      </w:r>
      <w:r w:rsidRPr="005F055E">
        <w:rPr>
          <w:rFonts w:eastAsia="Aptos" w:cs="Calibri"/>
          <w:szCs w:val="20"/>
          <w:vertAlign w:val="superscript"/>
          <w:lang w:eastAsia="nl-NL"/>
        </w:rPr>
        <w:footnoteReference w:id="6"/>
      </w:r>
      <w:r w:rsidRPr="005F055E">
        <w:rPr>
          <w:rFonts w:eastAsia="Aptos" w:cs="Calibri"/>
          <w:szCs w:val="20"/>
          <w:lang w:eastAsia="nl-NL"/>
        </w:rPr>
        <w:t xml:space="preserve"> In lijn met de motie gaat de Staatssecretaris</w:t>
      </w:r>
      <w:r w:rsidR="005A01FE">
        <w:rPr>
          <w:rFonts w:eastAsia="Aptos" w:cs="Calibri"/>
          <w:szCs w:val="20"/>
          <w:lang w:eastAsia="nl-NL"/>
        </w:rPr>
        <w:t xml:space="preserve"> </w:t>
      </w:r>
      <w:r w:rsidRPr="005F055E">
        <w:rPr>
          <w:rFonts w:eastAsia="Aptos" w:cs="Calibri"/>
          <w:szCs w:val="20"/>
          <w:lang w:eastAsia="nl-NL"/>
        </w:rPr>
        <w:t xml:space="preserve">Jeugd, Preventie en Sport met de </w:t>
      </w:r>
      <w:proofErr w:type="spellStart"/>
      <w:r w:rsidRPr="005F055E">
        <w:rPr>
          <w:rFonts w:eastAsia="Aptos" w:cs="Calibri"/>
          <w:szCs w:val="20"/>
          <w:lang w:eastAsia="nl-NL"/>
        </w:rPr>
        <w:t>GGD’en</w:t>
      </w:r>
      <w:proofErr w:type="spellEnd"/>
      <w:r w:rsidRPr="005F055E">
        <w:rPr>
          <w:rFonts w:eastAsia="Aptos" w:cs="Calibri"/>
          <w:szCs w:val="20"/>
          <w:lang w:eastAsia="nl-NL"/>
        </w:rPr>
        <w:t xml:space="preserve"> in gesprek om te verkennen of een kasschuif naar 2026 uitkomst kan bieden. </w:t>
      </w:r>
      <w:r w:rsidR="005A01FE">
        <w:rPr>
          <w:rFonts w:eastAsia="Aptos" w:cs="Calibri"/>
          <w:szCs w:val="20"/>
          <w:lang w:eastAsia="nl-NL"/>
        </w:rPr>
        <w:t xml:space="preserve">Uitkomsten van deze gesprekken, kunnen worden </w:t>
      </w:r>
      <w:r w:rsidRPr="005F055E">
        <w:rPr>
          <w:rFonts w:eastAsia="Aptos" w:cs="Calibri"/>
          <w:szCs w:val="20"/>
          <w:lang w:eastAsia="nl-NL"/>
        </w:rPr>
        <w:t>betrokken bij de gesprekken over de Voorjaarsnota 2026.</w:t>
      </w:r>
    </w:p>
    <w:p w:rsidRPr="005F055E" w:rsidR="007B58FB" w:rsidP="00180EEB" w:rsidRDefault="007B58FB" w14:paraId="7DCE605B" w14:textId="77777777">
      <w:pPr>
        <w:suppressAutoHyphens/>
      </w:pPr>
    </w:p>
    <w:p w:rsidRPr="005F055E" w:rsidR="000478A7" w:rsidP="00180EEB" w:rsidRDefault="003E7003" w14:paraId="69679920" w14:textId="77777777">
      <w:pPr>
        <w:suppressAutoHyphens/>
      </w:pPr>
      <w:r w:rsidRPr="005F055E">
        <w:t>Vraag 44</w:t>
      </w:r>
      <w:r w:rsidRPr="005F055E">
        <w:tab/>
      </w:r>
    </w:p>
    <w:p w:rsidRPr="005F055E" w:rsidR="000478A7" w:rsidP="00180EEB" w:rsidRDefault="003E7003" w14:paraId="79597EF6" w14:textId="7CB06A90">
      <w:pPr>
        <w:suppressAutoHyphens/>
      </w:pPr>
      <w:r w:rsidRPr="005F055E">
        <w:t>Waarom zijn de extra investeringen in de ASG vanaf het jaar 2027 niet zichtbaar in de begroting</w:t>
      </w:r>
      <w:r w:rsidRPr="005F055E" w:rsidR="000478A7">
        <w:t>?</w:t>
      </w:r>
    </w:p>
    <w:p w:rsidRPr="005F055E" w:rsidR="003E7003" w:rsidP="00180EEB" w:rsidRDefault="003E7003" w14:paraId="504F674C" w14:textId="466A5C08">
      <w:pPr>
        <w:suppressAutoHyphens/>
      </w:pPr>
      <w:r w:rsidRPr="005F055E">
        <w:t>Antwoord</w:t>
      </w:r>
    </w:p>
    <w:p w:rsidRPr="005F055E" w:rsidR="000478A7" w:rsidP="00180EEB" w:rsidRDefault="006C5882" w14:paraId="3D8EB2D7" w14:textId="26561886">
      <w:pPr>
        <w:suppressAutoHyphens/>
        <w:spacing w:line="240" w:lineRule="atLeast"/>
        <w:rPr>
          <w:szCs w:val="20"/>
          <w:lang w:eastAsia="nl-NL"/>
        </w:rPr>
      </w:pPr>
      <w:r w:rsidRPr="005F055E">
        <w:rPr>
          <w:szCs w:val="20"/>
          <w:lang w:eastAsia="nl-NL"/>
        </w:rPr>
        <w:t xml:space="preserve">Alle afspraken die zijn gemaakt over de extra intensiveringen binnen het AZWA zijn </w:t>
      </w:r>
      <w:r w:rsidR="005A01FE">
        <w:rPr>
          <w:szCs w:val="20"/>
          <w:lang w:eastAsia="nl-NL"/>
        </w:rPr>
        <w:t>verwerkt in de plannen</w:t>
      </w:r>
      <w:r w:rsidRPr="005F055E">
        <w:rPr>
          <w:szCs w:val="20"/>
          <w:lang w:eastAsia="nl-NL"/>
        </w:rPr>
        <w:t>. Deze afspraken zijn helaas niet goed terug te vinden in de begroting,</w:t>
      </w:r>
      <w:r w:rsidR="005A01FE">
        <w:rPr>
          <w:szCs w:val="20"/>
          <w:lang w:eastAsia="nl-NL"/>
        </w:rPr>
        <w:t xml:space="preserve"> </w:t>
      </w:r>
      <w:r w:rsidRPr="005F055E">
        <w:rPr>
          <w:szCs w:val="20"/>
          <w:lang w:eastAsia="nl-NL"/>
        </w:rPr>
        <w:t>omdat de AZWA-middelen per abuis zijn geboekt onder de begrotingspost voor bevolkingsonderzoeken. Deze fout wordt in het voorjaar van 2026 gecorrigeerd.</w:t>
      </w:r>
    </w:p>
    <w:p w:rsidRPr="005F055E" w:rsidR="007B58FB" w:rsidP="00180EEB" w:rsidRDefault="007B58FB" w14:paraId="3269E55B" w14:textId="77777777">
      <w:pPr>
        <w:suppressAutoHyphens/>
      </w:pPr>
    </w:p>
    <w:p w:rsidRPr="005F055E" w:rsidR="000478A7" w:rsidP="00180EEB" w:rsidRDefault="003E7003" w14:paraId="524E24A2" w14:textId="77777777">
      <w:pPr>
        <w:suppressAutoHyphens/>
      </w:pPr>
      <w:r w:rsidRPr="005F055E">
        <w:t>Vraag 45</w:t>
      </w:r>
      <w:r w:rsidRPr="005F055E">
        <w:tab/>
      </w:r>
    </w:p>
    <w:p w:rsidRPr="005F055E" w:rsidR="000478A7" w:rsidP="00180EEB" w:rsidRDefault="003E7003" w14:paraId="25D0E1CB" w14:textId="77777777">
      <w:pPr>
        <w:suppressAutoHyphens/>
      </w:pPr>
      <w:r w:rsidRPr="005F055E">
        <w:t xml:space="preserve">Wat zouden de gevolgen zijn van de resterende korting van €2 miljoen op de SPUK-ASG in 2026 voor de werkzaamheden van </w:t>
      </w:r>
      <w:proofErr w:type="spellStart"/>
      <w:r w:rsidRPr="005F055E">
        <w:t>GGD’en</w:t>
      </w:r>
      <w:proofErr w:type="spellEnd"/>
      <w:r w:rsidRPr="005F055E">
        <w:t xml:space="preserve"> indien deze niet gerepareerd zouden worden, bijvoorbeeld op het gebied van overhead, contracten en laboratoriumkosten?</w:t>
      </w:r>
      <w:r w:rsidRPr="005F055E">
        <w:tab/>
      </w:r>
    </w:p>
    <w:p w:rsidR="00056279" w:rsidP="00180EEB" w:rsidRDefault="00056279" w14:paraId="4992C3BA" w14:textId="77777777">
      <w:pPr>
        <w:suppressAutoHyphens/>
      </w:pPr>
    </w:p>
    <w:p w:rsidRPr="005F055E" w:rsidR="003E7003" w:rsidP="00180EEB" w:rsidRDefault="003E7003" w14:paraId="113AA1DC" w14:textId="1243AEBA">
      <w:pPr>
        <w:suppressAutoHyphens/>
      </w:pPr>
      <w:r w:rsidRPr="005F055E">
        <w:t>Antwoord</w:t>
      </w:r>
    </w:p>
    <w:p w:rsidRPr="005F055E" w:rsidR="00CF1801" w:rsidP="00180EEB" w:rsidRDefault="00BE5CD4" w14:paraId="220254DB" w14:textId="4FF7A4A5">
      <w:pPr>
        <w:suppressAutoHyphens/>
        <w:rPr>
          <w:szCs w:val="20"/>
          <w:lang w:eastAsia="nl-NL"/>
        </w:rPr>
      </w:pPr>
      <w:bookmarkStart w:name="_Hlk210984431" w:id="6"/>
      <w:r w:rsidRPr="005F055E">
        <w:rPr>
          <w:szCs w:val="20"/>
          <w:lang w:eastAsia="nl-NL"/>
        </w:rPr>
        <w:t xml:space="preserve">Voor de SPUK-ASG-regeling is in 2026 € 49,86 miljoen beschikbaar, dankzij een incidentele investering van € 3 miljoen. Het beschikbare bedrag voor 2026 is daarmee ongeveer gelijk aan het beschikbare bedrag voor 2025. </w:t>
      </w:r>
      <w:r w:rsidRPr="005F055E">
        <w:rPr>
          <w:rFonts w:cs="Calibri"/>
          <w:bCs/>
          <w:szCs w:val="20"/>
          <w:lang w:eastAsia="nl-NL"/>
        </w:rPr>
        <w:t xml:space="preserve">Hoewel het </w:t>
      </w:r>
      <w:r w:rsidRPr="005F055E">
        <w:rPr>
          <w:rFonts w:cs="Calibri"/>
          <w:bCs/>
          <w:szCs w:val="18"/>
          <w:lang w:eastAsia="nl-NL"/>
        </w:rPr>
        <w:t xml:space="preserve">beschikbare budget voor de SPUK-ASG-regeling in 2026 vrijwel gelijk is aan dat van 2025, blijven de gevolgen van de resterende korting voor de </w:t>
      </w:r>
      <w:proofErr w:type="spellStart"/>
      <w:r w:rsidRPr="005F055E">
        <w:rPr>
          <w:rFonts w:cs="Calibri"/>
          <w:bCs/>
          <w:szCs w:val="18"/>
          <w:lang w:eastAsia="nl-NL"/>
        </w:rPr>
        <w:t>GGD’en</w:t>
      </w:r>
      <w:proofErr w:type="spellEnd"/>
      <w:r w:rsidRPr="005F055E">
        <w:rPr>
          <w:rFonts w:cs="Calibri"/>
          <w:bCs/>
          <w:szCs w:val="18"/>
          <w:lang w:eastAsia="nl-NL"/>
        </w:rPr>
        <w:t xml:space="preserve"> merkbaar. Door stijgende kosten op het gebied van personeel, contracten en laboratoriumtarieven zullen </w:t>
      </w:r>
      <w:proofErr w:type="spellStart"/>
      <w:r w:rsidRPr="005F055E">
        <w:rPr>
          <w:rFonts w:cs="Calibri"/>
          <w:bCs/>
          <w:szCs w:val="18"/>
          <w:lang w:eastAsia="nl-NL"/>
        </w:rPr>
        <w:t>GGD’en</w:t>
      </w:r>
      <w:proofErr w:type="spellEnd"/>
      <w:r w:rsidRPr="005F055E">
        <w:rPr>
          <w:rFonts w:cs="Calibri"/>
          <w:bCs/>
          <w:szCs w:val="18"/>
          <w:lang w:eastAsia="nl-NL"/>
        </w:rPr>
        <w:t xml:space="preserve"> minder ruimte hebben om aanvullende soa-zorg, seksualiteitshulpverlening en </w:t>
      </w:r>
      <w:proofErr w:type="spellStart"/>
      <w:r w:rsidRPr="005F055E">
        <w:rPr>
          <w:rFonts w:cs="Calibri"/>
          <w:bCs/>
          <w:szCs w:val="18"/>
          <w:lang w:eastAsia="nl-NL"/>
        </w:rPr>
        <w:t>PrEP</w:t>
      </w:r>
      <w:proofErr w:type="spellEnd"/>
      <w:r w:rsidRPr="005F055E">
        <w:rPr>
          <w:rFonts w:cs="Calibri"/>
          <w:bCs/>
          <w:szCs w:val="18"/>
          <w:lang w:eastAsia="nl-NL"/>
        </w:rPr>
        <w:t xml:space="preserve">-zorg aan te bieden. </w:t>
      </w:r>
      <w:r w:rsidRPr="005F055E">
        <w:rPr>
          <w:rFonts w:eastAsia="Aptos" w:cstheme="minorHAnsi"/>
          <w:szCs w:val="18"/>
          <w:lang w:eastAsia="nl-NL"/>
        </w:rPr>
        <w:t>De Kamer heeft inmiddels de motie Krul-Dobbe aangenomen.</w:t>
      </w:r>
      <w:r w:rsidRPr="005F055E">
        <w:rPr>
          <w:rFonts w:eastAsia="Aptos" w:cstheme="minorHAnsi"/>
          <w:szCs w:val="18"/>
          <w:vertAlign w:val="superscript"/>
          <w:lang w:eastAsia="nl-NL"/>
        </w:rPr>
        <w:footnoteReference w:id="7"/>
      </w:r>
      <w:r w:rsidRPr="005F055E">
        <w:rPr>
          <w:rFonts w:eastAsia="Aptos" w:cstheme="minorHAnsi"/>
          <w:szCs w:val="18"/>
          <w:lang w:eastAsia="nl-NL"/>
        </w:rPr>
        <w:t xml:space="preserve"> In lijn met de motie gaat de Staatssecretaris van Jeugd, Preventie en Sport met de </w:t>
      </w:r>
      <w:proofErr w:type="spellStart"/>
      <w:r w:rsidRPr="005F055E">
        <w:rPr>
          <w:rFonts w:eastAsia="Aptos" w:cstheme="minorHAnsi"/>
          <w:szCs w:val="18"/>
          <w:lang w:eastAsia="nl-NL"/>
        </w:rPr>
        <w:t>GGD’en</w:t>
      </w:r>
      <w:proofErr w:type="spellEnd"/>
      <w:r w:rsidRPr="005F055E">
        <w:rPr>
          <w:rFonts w:eastAsia="Aptos" w:cstheme="minorHAnsi"/>
          <w:szCs w:val="18"/>
          <w:lang w:eastAsia="nl-NL"/>
        </w:rPr>
        <w:t xml:space="preserve"> in gesprek om te verkennen of een kasschuif naar 2026 uitkomst kan bieden. </w:t>
      </w:r>
      <w:r w:rsidR="005A01FE">
        <w:rPr>
          <w:rFonts w:eastAsia="Aptos" w:cstheme="minorHAnsi"/>
          <w:szCs w:val="18"/>
          <w:lang w:eastAsia="nl-NL"/>
        </w:rPr>
        <w:t xml:space="preserve">Uitkomsten van deze gesprekken kunnen worden </w:t>
      </w:r>
      <w:r w:rsidRPr="005F055E">
        <w:rPr>
          <w:rFonts w:eastAsia="Aptos" w:cstheme="minorHAnsi"/>
          <w:szCs w:val="18"/>
          <w:lang w:eastAsia="nl-NL"/>
        </w:rPr>
        <w:t xml:space="preserve">betrokken bij de gesprekken over de Voorjaarsnota 2026. </w:t>
      </w:r>
      <w:bookmarkEnd w:id="6"/>
    </w:p>
    <w:p w:rsidRPr="005F055E" w:rsidR="007B58FB" w:rsidP="00180EEB" w:rsidRDefault="007B58FB" w14:paraId="1B511C1D" w14:textId="77777777">
      <w:pPr>
        <w:suppressAutoHyphens/>
      </w:pPr>
    </w:p>
    <w:p w:rsidRPr="005F055E" w:rsidR="000478A7" w:rsidP="00180EEB" w:rsidRDefault="003E7003" w14:paraId="3E55B963" w14:textId="77777777">
      <w:pPr>
        <w:suppressAutoHyphens/>
      </w:pPr>
      <w:r w:rsidRPr="005F055E">
        <w:t>Vraag 46</w:t>
      </w:r>
      <w:r w:rsidRPr="005F055E">
        <w:tab/>
      </w:r>
    </w:p>
    <w:p w:rsidRPr="005F055E" w:rsidR="000478A7" w:rsidP="00180EEB" w:rsidRDefault="003E7003" w14:paraId="509935B5" w14:textId="77777777">
      <w:pPr>
        <w:suppressAutoHyphens/>
      </w:pPr>
      <w:r w:rsidRPr="005F055E">
        <w:t>Welke risico’s voor de continuïteit van de publieke gezondheidszorg ziet u indien de korting van €2 miljoen op de SPUK-ASG in 2026 niet wordt gerepareerd?</w:t>
      </w:r>
      <w:r w:rsidRPr="005F055E">
        <w:tab/>
      </w:r>
    </w:p>
    <w:p w:rsidRPr="005F055E" w:rsidR="003E7003" w:rsidP="00180EEB" w:rsidRDefault="003E7003" w14:paraId="116020D5" w14:textId="79B5DAD6">
      <w:pPr>
        <w:suppressAutoHyphens/>
      </w:pPr>
      <w:r w:rsidRPr="005F055E">
        <w:t>Antwoord</w:t>
      </w:r>
    </w:p>
    <w:p w:rsidRPr="005F055E" w:rsidR="000478A7" w:rsidP="00180EEB" w:rsidRDefault="006C5882" w14:paraId="58A2D886" w14:textId="7EC3A70A">
      <w:pPr>
        <w:suppressAutoHyphens/>
        <w:spacing w:line="240" w:lineRule="atLeast"/>
        <w:rPr>
          <w:szCs w:val="20"/>
          <w:lang w:eastAsia="nl-NL"/>
        </w:rPr>
      </w:pPr>
      <w:bookmarkStart w:name="_Hlk210984238" w:id="7"/>
      <w:r w:rsidRPr="005F055E">
        <w:rPr>
          <w:szCs w:val="20"/>
          <w:lang w:eastAsia="nl-NL"/>
        </w:rPr>
        <w:t xml:space="preserve">Voor de ASG-regeling is in 2026 € 49,86 miljoen beschikbaar, dankzij een incidentele extra investering van € 3 miljoen. Het beschikbare bedrag voor 2026 is daarmee ongeveer gelijk aan het beschikbare bedrag voor 2025. Maar door stijgende kosten op het gebied van personeel, contracten en laboratoriumtarieven zullen </w:t>
      </w:r>
      <w:proofErr w:type="spellStart"/>
      <w:r w:rsidRPr="005F055E">
        <w:rPr>
          <w:szCs w:val="20"/>
          <w:lang w:eastAsia="nl-NL"/>
        </w:rPr>
        <w:t>GGD’en</w:t>
      </w:r>
      <w:proofErr w:type="spellEnd"/>
      <w:r w:rsidRPr="005F055E">
        <w:rPr>
          <w:szCs w:val="20"/>
          <w:lang w:eastAsia="nl-NL"/>
        </w:rPr>
        <w:t xml:space="preserve"> minder ruimte hebben om aanvullende soa-zorg, seksualiteitshulpverlening en </w:t>
      </w:r>
      <w:proofErr w:type="spellStart"/>
      <w:r w:rsidRPr="005F055E">
        <w:rPr>
          <w:szCs w:val="20"/>
          <w:lang w:eastAsia="nl-NL"/>
        </w:rPr>
        <w:t>PrEP</w:t>
      </w:r>
      <w:proofErr w:type="spellEnd"/>
      <w:r w:rsidRPr="005F055E">
        <w:rPr>
          <w:szCs w:val="20"/>
          <w:lang w:eastAsia="nl-NL"/>
        </w:rPr>
        <w:t xml:space="preserve">-zorg aan te kunnen bieden. Om de continuïteit van de publieke gezondheidszorg zoveel mogelijk te borgen is er - dankzij de AZWA-middelen - vanaf 2027 structureel meer budget beschikbaar binnen de SPUK-ASG: € 5 miljoen in 2027 en vanaf 2028 jaarlijks € 7 miljoen. Ook </w:t>
      </w:r>
      <w:r w:rsidRPr="005F055E">
        <w:rPr>
          <w:rFonts w:eastAsia="Aptos" w:cs="Calibri"/>
          <w:szCs w:val="20"/>
          <w:lang w:eastAsia="nl-NL"/>
        </w:rPr>
        <w:t xml:space="preserve">gaat de Staatssecretaris van Jeugd, Preventie en Sport met de </w:t>
      </w:r>
      <w:proofErr w:type="spellStart"/>
      <w:r w:rsidRPr="005F055E">
        <w:rPr>
          <w:rFonts w:eastAsia="Aptos" w:cs="Calibri"/>
          <w:szCs w:val="20"/>
          <w:lang w:eastAsia="nl-NL"/>
        </w:rPr>
        <w:t>GGD’en</w:t>
      </w:r>
      <w:proofErr w:type="spellEnd"/>
      <w:r w:rsidRPr="005F055E">
        <w:rPr>
          <w:rFonts w:eastAsia="Aptos" w:cs="Calibri"/>
          <w:szCs w:val="20"/>
          <w:lang w:eastAsia="nl-NL"/>
        </w:rPr>
        <w:t xml:space="preserve"> in gesprek om te verkennen of een kasschuif naar 2026 uitkomst kan bieden om het gat in 2026 volledig te dichten. Dit is in lijn met de motie Krul-Dobbe die de Kamer inmiddels heeft aangenomen.</w:t>
      </w:r>
      <w:r w:rsidRPr="005F055E">
        <w:rPr>
          <w:rFonts w:eastAsia="Aptos" w:cs="Calibri"/>
          <w:szCs w:val="20"/>
          <w:vertAlign w:val="superscript"/>
          <w:lang w:eastAsia="nl-NL"/>
        </w:rPr>
        <w:footnoteReference w:id="8"/>
      </w:r>
      <w:r w:rsidRPr="005F055E">
        <w:rPr>
          <w:rFonts w:eastAsia="Aptos" w:cs="Calibri"/>
          <w:szCs w:val="20"/>
          <w:lang w:eastAsia="nl-NL"/>
        </w:rPr>
        <w:t xml:space="preserve"> </w:t>
      </w:r>
      <w:r w:rsidR="005A01FE">
        <w:rPr>
          <w:rFonts w:eastAsia="Aptos" w:cs="Calibri"/>
          <w:szCs w:val="20"/>
          <w:lang w:eastAsia="nl-NL"/>
        </w:rPr>
        <w:t xml:space="preserve">Uitkomsten van deze gesprekken kunnen worden </w:t>
      </w:r>
      <w:r w:rsidRPr="005F055E">
        <w:rPr>
          <w:rFonts w:eastAsia="Aptos" w:cs="Calibri"/>
          <w:szCs w:val="20"/>
          <w:lang w:eastAsia="nl-NL"/>
        </w:rPr>
        <w:t xml:space="preserve">betrokken bij de gesprekken over de Voorjaarsnota 2026. </w:t>
      </w:r>
      <w:bookmarkEnd w:id="7"/>
    </w:p>
    <w:p w:rsidRPr="005F055E" w:rsidR="007B58FB" w:rsidP="00180EEB" w:rsidRDefault="007B58FB" w14:paraId="5EACAE8B" w14:textId="77777777">
      <w:pPr>
        <w:suppressAutoHyphens/>
      </w:pPr>
    </w:p>
    <w:p w:rsidRPr="005F055E" w:rsidR="000478A7" w:rsidP="00180EEB" w:rsidRDefault="003E7003" w14:paraId="25BEB02E" w14:textId="77777777">
      <w:pPr>
        <w:suppressAutoHyphens/>
      </w:pPr>
      <w:r w:rsidRPr="00563F33">
        <w:t>Vraag 47</w:t>
      </w:r>
      <w:r w:rsidRPr="005F055E">
        <w:tab/>
      </w:r>
    </w:p>
    <w:p w:rsidRPr="005F055E" w:rsidR="000478A7" w:rsidP="00180EEB" w:rsidRDefault="003E7003" w14:paraId="19A02F1B" w14:textId="77777777">
      <w:pPr>
        <w:suppressAutoHyphens/>
      </w:pPr>
      <w:r w:rsidRPr="005F055E">
        <w:t xml:space="preserve">Hoe beoordeelt u de signalen, benoemd in het commissiedebat Publieke Gezondheidszorg, dat meerdere partijen pleiten om de ASG-middelen uit het AZWA eerder beschikbaar te stellen om een </w:t>
      </w:r>
      <w:proofErr w:type="spellStart"/>
      <w:r w:rsidRPr="005F055E">
        <w:t>budgetgat</w:t>
      </w:r>
      <w:proofErr w:type="spellEnd"/>
      <w:r w:rsidRPr="005F055E">
        <w:t xml:space="preserve"> in 2026 te voorkomen?</w:t>
      </w:r>
      <w:r w:rsidRPr="005F055E">
        <w:tab/>
      </w:r>
    </w:p>
    <w:p w:rsidRPr="005F055E" w:rsidR="003E7003" w:rsidP="00180EEB" w:rsidRDefault="003E7003" w14:paraId="2FD84FCA" w14:textId="1F79AAF5">
      <w:pPr>
        <w:suppressAutoHyphens/>
      </w:pPr>
      <w:r w:rsidRPr="005F055E">
        <w:t>Antwoord</w:t>
      </w:r>
    </w:p>
    <w:p w:rsidRPr="005F055E" w:rsidR="000478A7" w:rsidP="00180EEB" w:rsidRDefault="00BE5CD4" w14:paraId="5FD3C29F" w14:textId="536D5B46">
      <w:pPr>
        <w:suppressAutoHyphens/>
        <w:spacing w:line="240" w:lineRule="atLeast"/>
      </w:pPr>
      <w:r w:rsidRPr="005F055E">
        <w:rPr>
          <w:rFonts w:eastAsia="Aptos" w:cs="Calibri"/>
          <w:szCs w:val="20"/>
          <w:lang w:eastAsia="nl-NL"/>
        </w:rPr>
        <w:t>De Kamer heeft de motie Krul-Dobbe aangenomen.</w:t>
      </w:r>
      <w:r w:rsidRPr="005F055E">
        <w:rPr>
          <w:rFonts w:eastAsia="Aptos" w:cs="Calibri"/>
          <w:szCs w:val="20"/>
          <w:vertAlign w:val="superscript"/>
          <w:lang w:eastAsia="nl-NL"/>
        </w:rPr>
        <w:footnoteReference w:id="9"/>
      </w:r>
      <w:r w:rsidRPr="005F055E">
        <w:rPr>
          <w:rFonts w:eastAsia="Aptos" w:cs="Calibri"/>
          <w:szCs w:val="20"/>
          <w:lang w:eastAsia="nl-NL"/>
        </w:rPr>
        <w:t xml:space="preserve"> In lijn met de motie gaat de Staatssecretaris Jeugd, Preventie en Sport met de </w:t>
      </w:r>
      <w:proofErr w:type="spellStart"/>
      <w:r w:rsidRPr="005F055E">
        <w:rPr>
          <w:rFonts w:eastAsia="Aptos" w:cs="Calibri"/>
          <w:szCs w:val="20"/>
          <w:lang w:eastAsia="nl-NL"/>
        </w:rPr>
        <w:t>GGD’en</w:t>
      </w:r>
      <w:proofErr w:type="spellEnd"/>
      <w:r w:rsidRPr="005F055E">
        <w:rPr>
          <w:rFonts w:eastAsia="Aptos" w:cs="Calibri"/>
          <w:szCs w:val="20"/>
          <w:lang w:eastAsia="nl-NL"/>
        </w:rPr>
        <w:t xml:space="preserve"> in gesprek om te verkennen of een kasschuif naar 2026 uitkomst kan bieden. </w:t>
      </w:r>
      <w:r w:rsidR="00563F33">
        <w:rPr>
          <w:rFonts w:eastAsia="Aptos" w:cs="Calibri"/>
          <w:szCs w:val="20"/>
          <w:lang w:eastAsia="nl-NL"/>
        </w:rPr>
        <w:t xml:space="preserve">Uitkomsten van deze gesprekken kunnen worden </w:t>
      </w:r>
      <w:r w:rsidRPr="005F055E">
        <w:rPr>
          <w:rFonts w:eastAsia="Aptos" w:cs="Calibri"/>
          <w:szCs w:val="20"/>
          <w:lang w:eastAsia="nl-NL"/>
        </w:rPr>
        <w:t>betrokken bij de gesprekken over de Voorjaarsnota 2026.</w:t>
      </w:r>
    </w:p>
    <w:p w:rsidRPr="005F055E" w:rsidR="000478A7" w:rsidP="00180EEB" w:rsidRDefault="000478A7" w14:paraId="3ADB8E08" w14:textId="77777777">
      <w:pPr>
        <w:suppressAutoHyphens/>
      </w:pPr>
    </w:p>
    <w:p w:rsidRPr="005F055E" w:rsidR="000478A7" w:rsidP="00180EEB" w:rsidRDefault="003E7003" w14:paraId="445895AA" w14:textId="77777777">
      <w:pPr>
        <w:suppressAutoHyphens/>
      </w:pPr>
      <w:r w:rsidRPr="005F055E">
        <w:t>Vraag 48</w:t>
      </w:r>
      <w:r w:rsidRPr="005F055E">
        <w:tab/>
      </w:r>
    </w:p>
    <w:p w:rsidRPr="005F055E" w:rsidR="000478A7" w:rsidP="00180EEB" w:rsidRDefault="003E7003" w14:paraId="61C4F0B4" w14:textId="77777777">
      <w:pPr>
        <w:suppressAutoHyphens/>
      </w:pPr>
      <w:r w:rsidRPr="005F055E">
        <w:t>Bent u bereid om de VWS-begroting of een suppletoire begroting aan te passen, zodat de volledige compensatie van de korting op de SPUK-ASG in 2026 wordt geborgd?</w:t>
      </w:r>
      <w:r w:rsidRPr="005F055E">
        <w:tab/>
      </w:r>
    </w:p>
    <w:p w:rsidR="00056279" w:rsidP="00180EEB" w:rsidRDefault="00056279" w14:paraId="30F28A4C" w14:textId="77777777">
      <w:pPr>
        <w:suppressAutoHyphens/>
      </w:pPr>
    </w:p>
    <w:p w:rsidRPr="005F055E" w:rsidR="003E7003" w:rsidP="00180EEB" w:rsidRDefault="003E7003" w14:paraId="1879CC01" w14:textId="4DD64A70">
      <w:pPr>
        <w:suppressAutoHyphens/>
      </w:pPr>
      <w:r w:rsidRPr="005F055E">
        <w:t>Antwoord</w:t>
      </w:r>
    </w:p>
    <w:p w:rsidRPr="005F055E" w:rsidR="000478A7" w:rsidP="00180EEB" w:rsidRDefault="00BE5CD4" w14:paraId="1B9B7581" w14:textId="25537495">
      <w:pPr>
        <w:suppressAutoHyphens/>
        <w:spacing w:line="240" w:lineRule="atLeast"/>
        <w:rPr>
          <w:szCs w:val="18"/>
          <w:lang w:eastAsia="nl-NL"/>
        </w:rPr>
      </w:pPr>
      <w:bookmarkStart w:name="_Hlk210907790" w:id="8"/>
      <w:r w:rsidRPr="005F055E">
        <w:rPr>
          <w:rFonts w:eastAsia="Aptos" w:cs="Calibri"/>
          <w:szCs w:val="20"/>
          <w:lang w:eastAsia="nl-NL"/>
        </w:rPr>
        <w:t>Nee, hiervoor is geen financiële dekking beschikbaar. De Kamer heeft inmiddels de motie Krul-Dobbe aangenomen.</w:t>
      </w:r>
      <w:r w:rsidRPr="005F055E">
        <w:rPr>
          <w:rFonts w:eastAsia="Aptos" w:cs="Calibri"/>
          <w:szCs w:val="20"/>
          <w:vertAlign w:val="superscript"/>
          <w:lang w:eastAsia="nl-NL"/>
        </w:rPr>
        <w:footnoteReference w:id="10"/>
      </w:r>
      <w:r w:rsidRPr="005F055E" w:rsidR="00D73F76">
        <w:rPr>
          <w:rFonts w:eastAsia="Aptos" w:cs="Calibri"/>
          <w:szCs w:val="20"/>
          <w:lang w:eastAsia="nl-NL"/>
        </w:rPr>
        <w:t xml:space="preserve"> </w:t>
      </w:r>
      <w:r w:rsidRPr="005F055E">
        <w:rPr>
          <w:rFonts w:eastAsia="Aptos" w:cs="Calibri"/>
          <w:szCs w:val="20"/>
          <w:lang w:eastAsia="nl-NL"/>
        </w:rPr>
        <w:t xml:space="preserve">In lijn met de motie gaat de Staatssecretaris van Jeugd, Preventie en Sport met de </w:t>
      </w:r>
      <w:proofErr w:type="spellStart"/>
      <w:r w:rsidRPr="005F055E">
        <w:rPr>
          <w:rFonts w:eastAsia="Aptos" w:cs="Calibri"/>
          <w:szCs w:val="20"/>
          <w:lang w:eastAsia="nl-NL"/>
        </w:rPr>
        <w:t>GGD’en</w:t>
      </w:r>
      <w:proofErr w:type="spellEnd"/>
      <w:r w:rsidRPr="005F055E">
        <w:rPr>
          <w:rFonts w:eastAsia="Aptos" w:cs="Calibri"/>
          <w:szCs w:val="20"/>
          <w:lang w:eastAsia="nl-NL"/>
        </w:rPr>
        <w:t xml:space="preserve"> in gesprek om te verkennen of een kasschuif naar 2026 uitkomst kan bieden. </w:t>
      </w:r>
      <w:r w:rsidR="00563F33">
        <w:rPr>
          <w:rFonts w:eastAsia="Aptos" w:cs="Calibri"/>
          <w:szCs w:val="20"/>
          <w:lang w:eastAsia="nl-NL"/>
        </w:rPr>
        <w:t xml:space="preserve">Uitkomsten van deze gesprekken kunnen worden </w:t>
      </w:r>
      <w:r w:rsidRPr="005F055E">
        <w:rPr>
          <w:rFonts w:eastAsia="Aptos" w:cs="Calibri"/>
          <w:szCs w:val="20"/>
          <w:lang w:eastAsia="nl-NL"/>
        </w:rPr>
        <w:t>betrokken bij de gesprekken over de Voorjaarsnota 2026.</w:t>
      </w:r>
      <w:bookmarkEnd w:id="8"/>
    </w:p>
    <w:p w:rsidRPr="005F055E" w:rsidR="000478A7" w:rsidP="00180EEB" w:rsidRDefault="000478A7" w14:paraId="75651460" w14:textId="77777777">
      <w:pPr>
        <w:suppressAutoHyphens/>
      </w:pPr>
    </w:p>
    <w:p w:rsidRPr="005F055E" w:rsidR="000478A7" w:rsidP="00180EEB" w:rsidRDefault="003E7003" w14:paraId="3D70B507" w14:textId="77777777">
      <w:pPr>
        <w:suppressAutoHyphens/>
      </w:pPr>
      <w:r w:rsidRPr="005F055E">
        <w:t>Vraag 49</w:t>
      </w:r>
      <w:r w:rsidRPr="005F055E">
        <w:tab/>
      </w:r>
    </w:p>
    <w:p w:rsidRPr="005F055E" w:rsidR="000478A7" w:rsidP="00180EEB" w:rsidRDefault="003E7003" w14:paraId="7F8A73D4" w14:textId="77777777">
      <w:pPr>
        <w:suppressAutoHyphens/>
      </w:pPr>
      <w:r w:rsidRPr="005F055E">
        <w:t xml:space="preserve">Welke afspraken zijn er door u exact gemaakt met </w:t>
      </w:r>
      <w:proofErr w:type="spellStart"/>
      <w:r w:rsidRPr="005F055E">
        <w:t>GGD’en</w:t>
      </w:r>
      <w:proofErr w:type="spellEnd"/>
      <w:r w:rsidRPr="005F055E">
        <w:t xml:space="preserve"> over de hoogte van het budget voor de SPUK-ASG in 2026, en hoe zijn deze afspraken vastgelegd?</w:t>
      </w:r>
      <w:r w:rsidRPr="005F055E">
        <w:tab/>
      </w:r>
    </w:p>
    <w:p w:rsidRPr="005F055E" w:rsidR="003E7003" w:rsidP="00180EEB" w:rsidRDefault="003E7003" w14:paraId="1394111E" w14:textId="27DDB58C">
      <w:pPr>
        <w:suppressAutoHyphens/>
      </w:pPr>
      <w:r w:rsidRPr="005F055E">
        <w:t>Antwoord</w:t>
      </w:r>
    </w:p>
    <w:p w:rsidRPr="005F055E" w:rsidR="000478A7" w:rsidP="00180EEB" w:rsidRDefault="006C5882" w14:paraId="0326FBB4" w14:textId="1109D69C">
      <w:pPr>
        <w:suppressAutoHyphens/>
        <w:spacing w:after="240"/>
        <w:rPr>
          <w:szCs w:val="20"/>
          <w:lang w:eastAsia="nl-NL"/>
        </w:rPr>
      </w:pPr>
      <w:r w:rsidRPr="005F055E">
        <w:rPr>
          <w:szCs w:val="20"/>
          <w:lang w:eastAsia="nl-NL"/>
        </w:rPr>
        <w:t xml:space="preserve">De </w:t>
      </w:r>
      <w:proofErr w:type="spellStart"/>
      <w:r w:rsidRPr="005F055E">
        <w:rPr>
          <w:szCs w:val="20"/>
          <w:lang w:eastAsia="nl-NL"/>
        </w:rPr>
        <w:t>GGD’en</w:t>
      </w:r>
      <w:proofErr w:type="spellEnd"/>
      <w:r w:rsidRPr="005F055E">
        <w:rPr>
          <w:szCs w:val="20"/>
          <w:lang w:eastAsia="nl-NL"/>
        </w:rPr>
        <w:t xml:space="preserve"> weten dat er per 2026 een korting van 10% (een bedrag van € 5 miljoen) wordt doorgevoerd op de SPUK ASG, dit is vastgelegd in het hoofdlijnenakkoord. De </w:t>
      </w:r>
      <w:proofErr w:type="spellStart"/>
      <w:r w:rsidRPr="005F055E">
        <w:rPr>
          <w:szCs w:val="20"/>
          <w:lang w:eastAsia="nl-NL"/>
        </w:rPr>
        <w:t>GGD’en</w:t>
      </w:r>
      <w:proofErr w:type="spellEnd"/>
      <w:r w:rsidRPr="005F055E">
        <w:rPr>
          <w:szCs w:val="20"/>
          <w:lang w:eastAsia="nl-NL"/>
        </w:rPr>
        <w:t xml:space="preserve"> zijn door het RIVM schriftelijk op de hoogte gesteld van de (incidentele) loon- en prijsbijstelling op de SPUK-ASG voor de jaren 2025 en 2026.</w:t>
      </w:r>
      <w:r w:rsidRPr="005F055E">
        <w:rPr>
          <w:rFonts w:eastAsia="Aptos" w:cs="Calibri"/>
          <w:szCs w:val="20"/>
          <w:vertAlign w:val="superscript"/>
          <w:lang w:eastAsia="nl-NL"/>
        </w:rPr>
        <w:t xml:space="preserve"> </w:t>
      </w:r>
      <w:r w:rsidRPr="005F055E">
        <w:rPr>
          <w:rFonts w:eastAsia="Aptos" w:cs="Calibri"/>
          <w:szCs w:val="20"/>
          <w:vertAlign w:val="superscript"/>
          <w:lang w:eastAsia="nl-NL"/>
        </w:rPr>
        <w:footnoteReference w:id="11"/>
      </w:r>
      <w:r w:rsidRPr="005F055E">
        <w:rPr>
          <w:rFonts w:eastAsia="Aptos" w:cs="Calibri"/>
          <w:szCs w:val="20"/>
          <w:lang w:eastAsia="nl-NL"/>
        </w:rPr>
        <w:t xml:space="preserve"> </w:t>
      </w:r>
      <w:r w:rsidRPr="005F055E">
        <w:rPr>
          <w:szCs w:val="20"/>
          <w:lang w:eastAsia="nl-NL"/>
        </w:rPr>
        <w:t xml:space="preserve">Over de incidentele bijdrage voor het jaar 2026 van € 3 miljoen zijn de </w:t>
      </w:r>
      <w:proofErr w:type="spellStart"/>
      <w:r w:rsidRPr="005F055E">
        <w:rPr>
          <w:szCs w:val="20"/>
          <w:lang w:eastAsia="nl-NL"/>
        </w:rPr>
        <w:t>GGD’en</w:t>
      </w:r>
      <w:proofErr w:type="spellEnd"/>
      <w:r w:rsidRPr="005F055E">
        <w:rPr>
          <w:szCs w:val="20"/>
          <w:lang w:eastAsia="nl-NL"/>
        </w:rPr>
        <w:t xml:space="preserve"> tijdens een stuurgroep overleg in september 2025 mondeling ingelicht.</w:t>
      </w:r>
      <w:r w:rsidRPr="005F055E">
        <w:rPr>
          <w:rFonts w:eastAsia="Aptos" w:cs="Calibri"/>
          <w:szCs w:val="20"/>
          <w:lang w:eastAsia="nl-NL"/>
        </w:rPr>
        <w:t xml:space="preserve"> De beschikbare bedragen worden ook opgenomen in de gewijzigde ASG-regeling die eind dit jaar wordt gepubliceerd. </w:t>
      </w:r>
    </w:p>
    <w:p w:rsidRPr="005F055E" w:rsidR="007B58FB" w:rsidP="00180EEB" w:rsidRDefault="007B58FB" w14:paraId="3B558761" w14:textId="77777777">
      <w:pPr>
        <w:suppressAutoHyphens/>
      </w:pPr>
    </w:p>
    <w:p w:rsidRPr="005F055E" w:rsidR="000478A7" w:rsidP="00180EEB" w:rsidRDefault="003E7003" w14:paraId="63E6CFDA" w14:textId="77777777">
      <w:pPr>
        <w:suppressAutoHyphens/>
      </w:pPr>
      <w:r w:rsidRPr="005F055E">
        <w:t>Vraag 50</w:t>
      </w:r>
      <w:r w:rsidRPr="005F055E">
        <w:tab/>
      </w:r>
    </w:p>
    <w:p w:rsidRPr="005F055E" w:rsidR="000478A7" w:rsidP="00180EEB" w:rsidRDefault="003E7003" w14:paraId="08B914E2" w14:textId="77777777">
      <w:pPr>
        <w:suppressAutoHyphens/>
      </w:pPr>
      <w:r w:rsidRPr="005F055E">
        <w:t>Is er overleg geweest tussen VWS en gemeenten of veiligheidsregio’s over de gevolgen van de korting op de SPUK-ASG voor de uitvoering van publieke gezondheidszorg in 2026?</w:t>
      </w:r>
      <w:r w:rsidRPr="005F055E">
        <w:tab/>
      </w:r>
    </w:p>
    <w:p w:rsidRPr="005F055E" w:rsidR="003E7003" w:rsidP="00180EEB" w:rsidRDefault="003E7003" w14:paraId="32615BB4" w14:textId="28C0D506">
      <w:pPr>
        <w:suppressAutoHyphens/>
      </w:pPr>
      <w:r w:rsidRPr="005F055E">
        <w:t>Antwoord</w:t>
      </w:r>
    </w:p>
    <w:p w:rsidRPr="005F055E" w:rsidR="000478A7" w:rsidP="00180EEB" w:rsidRDefault="00BE5CD4" w14:paraId="4FBC2883" w14:textId="5E906398">
      <w:pPr>
        <w:suppressAutoHyphens/>
        <w:spacing w:line="240" w:lineRule="atLeast"/>
        <w:rPr>
          <w:szCs w:val="20"/>
          <w:lang w:eastAsia="nl-NL"/>
        </w:rPr>
      </w:pPr>
      <w:r w:rsidRPr="005F055E">
        <w:rPr>
          <w:szCs w:val="20"/>
          <w:lang w:eastAsia="nl-NL"/>
        </w:rPr>
        <w:t xml:space="preserve">Er is geen overleg geweest tussen VWS en gemeenten of veiligheidsregio’s over de gevolgen van de korting op de SPUK-ASG. Er is wel veelvuldig over dit onderwerp gesproken met de coördinerende </w:t>
      </w:r>
      <w:proofErr w:type="spellStart"/>
      <w:r w:rsidRPr="005F055E">
        <w:rPr>
          <w:szCs w:val="20"/>
          <w:lang w:eastAsia="nl-NL"/>
        </w:rPr>
        <w:t>GGD’en</w:t>
      </w:r>
      <w:proofErr w:type="spellEnd"/>
      <w:r w:rsidRPr="005F055E">
        <w:rPr>
          <w:szCs w:val="20"/>
          <w:lang w:eastAsia="nl-NL"/>
        </w:rPr>
        <w:t xml:space="preserve"> en het RIVM. Het RIVM voert regie op de uitvoering van de SPUK-ASG, de middelen voor de uitvoering van deze taken worden via het RIVM aan acht coördinerende </w:t>
      </w:r>
      <w:proofErr w:type="spellStart"/>
      <w:r w:rsidRPr="005F055E">
        <w:rPr>
          <w:szCs w:val="20"/>
          <w:lang w:eastAsia="nl-NL"/>
        </w:rPr>
        <w:t>GGD’en</w:t>
      </w:r>
      <w:proofErr w:type="spellEnd"/>
      <w:r w:rsidRPr="005F055E">
        <w:rPr>
          <w:szCs w:val="20"/>
          <w:lang w:eastAsia="nl-NL"/>
        </w:rPr>
        <w:t xml:space="preserve"> verstrekt. De gevolgen van de korting zijn in deze gesprekken duidelijk geworden. Deze hebben betrekking op het aantal consulten en activiteiten die de </w:t>
      </w:r>
      <w:proofErr w:type="spellStart"/>
      <w:r w:rsidRPr="005F055E">
        <w:rPr>
          <w:szCs w:val="20"/>
          <w:lang w:eastAsia="nl-NL"/>
        </w:rPr>
        <w:t>GGD’en</w:t>
      </w:r>
      <w:proofErr w:type="spellEnd"/>
      <w:r w:rsidRPr="005F055E">
        <w:rPr>
          <w:szCs w:val="20"/>
          <w:lang w:eastAsia="nl-NL"/>
        </w:rPr>
        <w:t xml:space="preserve"> kunnen bieden en op het aantal medewerkers van de </w:t>
      </w:r>
      <w:proofErr w:type="spellStart"/>
      <w:r w:rsidRPr="005F055E">
        <w:rPr>
          <w:szCs w:val="20"/>
          <w:lang w:eastAsia="nl-NL"/>
        </w:rPr>
        <w:t>GGD’en</w:t>
      </w:r>
      <w:proofErr w:type="spellEnd"/>
      <w:r w:rsidRPr="005F055E">
        <w:rPr>
          <w:szCs w:val="20"/>
          <w:lang w:eastAsia="nl-NL"/>
        </w:rPr>
        <w:t xml:space="preserve"> die deze belangrijk zorg leveren. De situatie voor 2026 was extra complex: door de korting zouden de </w:t>
      </w:r>
      <w:proofErr w:type="spellStart"/>
      <w:r w:rsidRPr="005F055E">
        <w:rPr>
          <w:szCs w:val="20"/>
          <w:lang w:eastAsia="nl-NL"/>
        </w:rPr>
        <w:t>GGD’en</w:t>
      </w:r>
      <w:proofErr w:type="spellEnd"/>
      <w:r w:rsidRPr="005F055E">
        <w:rPr>
          <w:szCs w:val="20"/>
          <w:lang w:eastAsia="nl-NL"/>
        </w:rPr>
        <w:t xml:space="preserve"> moeten inkrimpen, terwijl er vanaf 2027 juist extra middelen voor de ASG beschikbaar komen dankzij het AZWA. Gelukkig is het gelukt om voor het jaar 2026 incidenteel € 3 miljoen vrij te maken om dit voor een deel te repareren. De </w:t>
      </w:r>
      <w:proofErr w:type="spellStart"/>
      <w:r w:rsidRPr="005F055E">
        <w:rPr>
          <w:szCs w:val="20"/>
          <w:lang w:eastAsia="nl-NL"/>
        </w:rPr>
        <w:t>GGD’en</w:t>
      </w:r>
      <w:proofErr w:type="spellEnd"/>
      <w:r w:rsidRPr="005F055E">
        <w:rPr>
          <w:szCs w:val="20"/>
          <w:lang w:eastAsia="nl-NL"/>
        </w:rPr>
        <w:t xml:space="preserve"> zijn hierover tijdens een </w:t>
      </w:r>
      <w:r w:rsidRPr="005F055E" w:rsidR="00365B90">
        <w:rPr>
          <w:szCs w:val="20"/>
          <w:lang w:eastAsia="nl-NL"/>
        </w:rPr>
        <w:t>stuurgroep</w:t>
      </w:r>
      <w:r w:rsidR="00365B90">
        <w:rPr>
          <w:szCs w:val="20"/>
          <w:lang w:eastAsia="nl-NL"/>
        </w:rPr>
        <w:t>-</w:t>
      </w:r>
      <w:r w:rsidRPr="005F055E" w:rsidR="00365B90">
        <w:rPr>
          <w:szCs w:val="20"/>
          <w:lang w:eastAsia="nl-NL"/>
        </w:rPr>
        <w:t>bijeenkomst</w:t>
      </w:r>
      <w:r w:rsidRPr="005F055E">
        <w:rPr>
          <w:szCs w:val="20"/>
          <w:lang w:eastAsia="nl-NL"/>
        </w:rPr>
        <w:t xml:space="preserve"> in september jl. geïnformeerd.</w:t>
      </w:r>
      <w:r w:rsidRPr="005F055E" w:rsidR="00D73F76">
        <w:rPr>
          <w:szCs w:val="20"/>
          <w:lang w:eastAsia="nl-NL"/>
        </w:rPr>
        <w:t xml:space="preserve">  </w:t>
      </w:r>
    </w:p>
    <w:p w:rsidRPr="005F055E" w:rsidR="000478A7" w:rsidP="00180EEB" w:rsidRDefault="000478A7" w14:paraId="2518FD01" w14:textId="77777777">
      <w:pPr>
        <w:suppressAutoHyphens/>
      </w:pPr>
    </w:p>
    <w:p w:rsidRPr="005F055E" w:rsidR="000478A7" w:rsidP="00180EEB" w:rsidRDefault="003E7003" w14:paraId="3132C437" w14:textId="77777777">
      <w:pPr>
        <w:suppressAutoHyphens/>
      </w:pPr>
      <w:r w:rsidRPr="005F055E">
        <w:t>Vraag 51</w:t>
      </w:r>
      <w:r w:rsidRPr="005F055E">
        <w:tab/>
      </w:r>
    </w:p>
    <w:p w:rsidRPr="005F055E" w:rsidR="000478A7" w:rsidP="00180EEB" w:rsidRDefault="003E7003" w14:paraId="68824378" w14:textId="6863532B">
      <w:pPr>
        <w:suppressAutoHyphens/>
      </w:pPr>
      <w:r w:rsidRPr="005F055E">
        <w:t>Op welke manier wordt geborgd dat de financiële afspraken uit het AZWA-akkoord voor de SPUK-ASG niet onder druk komen te staan door de onzekerheid en onduidelijkheid in de begroting 2026?</w:t>
      </w:r>
    </w:p>
    <w:p w:rsidRPr="005F055E" w:rsidR="003E7003" w:rsidP="00180EEB" w:rsidRDefault="003E7003" w14:paraId="5C07DDE2" w14:textId="039E3C77">
      <w:pPr>
        <w:suppressAutoHyphens/>
      </w:pPr>
      <w:r w:rsidRPr="005F055E">
        <w:t>Antwoord</w:t>
      </w:r>
    </w:p>
    <w:p w:rsidRPr="005F055E" w:rsidR="006C5882" w:rsidP="00180EEB" w:rsidRDefault="006C5882" w14:paraId="09C494AA" w14:textId="77777777">
      <w:pPr>
        <w:suppressAutoHyphens/>
        <w:spacing w:line="240" w:lineRule="atLeast"/>
        <w:rPr>
          <w:rFonts w:eastAsia="Aptos" w:cs="Calibri"/>
          <w:szCs w:val="20"/>
          <w:lang w:eastAsia="nl-NL"/>
        </w:rPr>
      </w:pPr>
      <w:bookmarkStart w:name="_Hlk210996623" w:id="9"/>
      <w:bookmarkStart w:name="_Hlk210909755" w:id="10"/>
      <w:r w:rsidRPr="005F055E">
        <w:rPr>
          <w:rFonts w:eastAsia="Aptos" w:cs="Calibri"/>
          <w:szCs w:val="20"/>
          <w:lang w:eastAsia="nl-NL"/>
        </w:rPr>
        <w:t xml:space="preserve">Volgens de Staatssecretaris Jeugd, Preventie en Sport is er geen sprake van onzekerheid over de beschikbare middelen voor de ASG-regeling. Alle afspraken uit het AZWA zijn gerespecteerd en tevens is in de begroting 2026 een reparatie van de 10% korting verwerkt. De reparatie van de 10% korting voor 2026 komt neer op een korting van € 2 miljoen in plaats van € 5 miljoen en vanaf 2027 betreffen de extra investeringen vanuit het AZWA € 5 miljoen in 2027 en vanaf 2028 jaarlijks € 7 miljoen. </w:t>
      </w:r>
    </w:p>
    <w:bookmarkEnd w:id="9"/>
    <w:p w:rsidRPr="005F055E" w:rsidR="000478A7" w:rsidP="00180EEB" w:rsidRDefault="006C5882" w14:paraId="09853C81" w14:textId="775AB34C">
      <w:pPr>
        <w:suppressAutoHyphens/>
        <w:spacing w:line="240" w:lineRule="atLeast"/>
        <w:rPr>
          <w:rFonts w:eastAsia="Aptos" w:cs="Calibri"/>
          <w:szCs w:val="20"/>
          <w:lang w:eastAsia="nl-NL"/>
        </w:rPr>
      </w:pPr>
      <w:r w:rsidRPr="005F055E">
        <w:rPr>
          <w:rFonts w:eastAsia="Aptos" w:cs="Calibri"/>
          <w:szCs w:val="20"/>
          <w:lang w:eastAsia="nl-NL"/>
        </w:rPr>
        <w:t>Wel is er sprake van onduidelijkheid,</w:t>
      </w:r>
      <w:r w:rsidR="00365B90">
        <w:rPr>
          <w:rFonts w:eastAsia="Aptos" w:cs="Calibri"/>
          <w:szCs w:val="20"/>
          <w:lang w:eastAsia="nl-NL"/>
        </w:rPr>
        <w:t xml:space="preserve"> als het gaat om het kunnen terugvinden van de </w:t>
      </w:r>
      <w:r w:rsidRPr="005F055E">
        <w:rPr>
          <w:rFonts w:eastAsia="Aptos" w:cs="Calibri"/>
          <w:szCs w:val="20"/>
          <w:lang w:eastAsia="nl-NL"/>
        </w:rPr>
        <w:t>gemaakte afspraken en bijbehorende bedragen</w:t>
      </w:r>
      <w:r w:rsidR="00365B90">
        <w:rPr>
          <w:rFonts w:eastAsia="Aptos" w:cs="Calibri"/>
          <w:szCs w:val="20"/>
          <w:lang w:eastAsia="nl-NL"/>
        </w:rPr>
        <w:t xml:space="preserve"> </w:t>
      </w:r>
      <w:r w:rsidRPr="005F055E">
        <w:rPr>
          <w:rFonts w:eastAsia="Aptos" w:cs="Calibri"/>
          <w:szCs w:val="20"/>
          <w:lang w:eastAsia="nl-NL"/>
        </w:rPr>
        <w:t>op de begroting. De AZWA-middelen zijn per abuis geboekt onder de begrotingspost voor bevolkingsonderzoeken. Dit wordt gecorrigeerd bij de Voorjaarsnota 2026. Daarnaast klopt het vermelde bedrag voor de ASG-regeling in 2025 en de jaren daarna niet.</w:t>
      </w:r>
      <w:bookmarkStart w:name="_Hlk210908621_0" w:id="11"/>
      <w:r w:rsidRPr="005F055E">
        <w:rPr>
          <w:rFonts w:eastAsia="Aptos" w:cs="Calibri"/>
          <w:szCs w:val="20"/>
          <w:lang w:eastAsia="nl-NL"/>
        </w:rPr>
        <w:t xml:space="preserve"> Dit komt doordat het budget voor het wietexperiment, dat onder dezelfde gemeentelijke begrotingsregel valt, onbedoeld is meegeteld onder de post seksuele gezondheid.</w:t>
      </w:r>
      <w:bookmarkEnd w:id="11"/>
      <w:r w:rsidRPr="005F055E">
        <w:rPr>
          <w:rFonts w:eastAsia="Aptos" w:cs="Calibri"/>
          <w:szCs w:val="20"/>
          <w:lang w:eastAsia="nl-NL"/>
        </w:rPr>
        <w:t xml:space="preserve"> Het gaat hier om € 0,5 miljoen vanaf 2026, wat ook de verklaring is voor het verhoogde bedrag in 2025. Ook dit wordt bij de Voorjaarsnota 2026 gecorrigeerd.</w:t>
      </w:r>
      <w:r w:rsidRPr="005F055E">
        <w:rPr>
          <w:rFonts w:eastAsia="Aptos" w:cs="Calibri"/>
          <w:szCs w:val="20"/>
          <w:lang w:eastAsia="nl-NL"/>
        </w:rPr>
        <w:br/>
      </w:r>
      <w:r w:rsidRPr="005F055E">
        <w:rPr>
          <w:rFonts w:eastAsia="Aptos" w:cs="Calibri"/>
          <w:szCs w:val="20"/>
          <w:lang w:eastAsia="nl-NL"/>
        </w:rPr>
        <w:br/>
        <w:t xml:space="preserve">De </w:t>
      </w:r>
      <w:proofErr w:type="spellStart"/>
      <w:r w:rsidRPr="005F055E">
        <w:rPr>
          <w:rFonts w:eastAsia="Aptos" w:cs="Calibri"/>
          <w:szCs w:val="20"/>
          <w:lang w:eastAsia="nl-NL"/>
        </w:rPr>
        <w:t>GGD’en</w:t>
      </w:r>
      <w:proofErr w:type="spellEnd"/>
      <w:r w:rsidRPr="005F055E">
        <w:rPr>
          <w:rFonts w:eastAsia="Aptos" w:cs="Calibri"/>
          <w:szCs w:val="20"/>
          <w:lang w:eastAsia="nl-NL"/>
        </w:rPr>
        <w:t xml:space="preserve"> zijn door het RIVM</w:t>
      </w:r>
      <w:r w:rsidRPr="005F055E">
        <w:rPr>
          <w:rFonts w:eastAsia="Aptos" w:cs="Calibri"/>
          <w:szCs w:val="20"/>
          <w:vertAlign w:val="superscript"/>
          <w:lang w:eastAsia="nl-NL"/>
        </w:rPr>
        <w:footnoteReference w:id="12"/>
      </w:r>
      <w:r w:rsidRPr="005F055E">
        <w:rPr>
          <w:rFonts w:eastAsia="Aptos" w:cs="Calibri"/>
          <w:szCs w:val="20"/>
          <w:lang w:eastAsia="nl-NL"/>
        </w:rPr>
        <w:t xml:space="preserve"> geïnformeerd over de financiële consequenties van zowel de loon</w:t>
      </w:r>
      <w:r w:rsidR="00365B90">
        <w:rPr>
          <w:rFonts w:eastAsia="Aptos" w:cs="Calibri"/>
          <w:szCs w:val="20"/>
          <w:lang w:eastAsia="nl-NL"/>
        </w:rPr>
        <w:t>-</w:t>
      </w:r>
      <w:r w:rsidRPr="005F055E">
        <w:rPr>
          <w:rFonts w:eastAsia="Aptos" w:cs="Calibri"/>
          <w:szCs w:val="20"/>
          <w:lang w:eastAsia="nl-NL"/>
        </w:rPr>
        <w:t xml:space="preserve"> en prijsbijstelling, de korting van 10% op de SPUK ASG per 2026, en de incidentele extra bijdrage van € 3 miljoen. De beschikbare bedragen worden ook opgenomen in de gewijzigde ASG-regeling die eind dit jaar wordt gepubliceerd. Dat zal per 2027 ook gelden voor de extra middelen vanuit het AZWA-akkoord.</w:t>
      </w:r>
      <w:bookmarkEnd w:id="10"/>
    </w:p>
    <w:p w:rsidRPr="005F055E" w:rsidR="007B58FB" w:rsidP="00180EEB" w:rsidRDefault="007B58FB" w14:paraId="7855B2D7" w14:textId="77777777">
      <w:pPr>
        <w:suppressAutoHyphens/>
      </w:pPr>
    </w:p>
    <w:p w:rsidRPr="005F055E" w:rsidR="000478A7" w:rsidP="00180EEB" w:rsidRDefault="003E7003" w14:paraId="505F3017" w14:textId="77777777">
      <w:pPr>
        <w:suppressAutoHyphens/>
      </w:pPr>
      <w:r w:rsidRPr="005F055E">
        <w:t>Vraag 52</w:t>
      </w:r>
      <w:r w:rsidRPr="005F055E">
        <w:tab/>
      </w:r>
    </w:p>
    <w:p w:rsidRPr="005F055E" w:rsidR="000478A7" w:rsidP="00180EEB" w:rsidRDefault="003E7003" w14:paraId="0C2F9EF1" w14:textId="77777777">
      <w:pPr>
        <w:suppressAutoHyphens/>
      </w:pPr>
      <w:r w:rsidRPr="005F055E">
        <w:t xml:space="preserve">Wat is de status van de </w:t>
      </w:r>
      <w:proofErr w:type="spellStart"/>
      <w:r w:rsidRPr="005F055E">
        <w:t>Backpay</w:t>
      </w:r>
      <w:proofErr w:type="spellEnd"/>
      <w:r w:rsidRPr="005F055E">
        <w:t>-regeling? Zijn alle 'rechthebbenden' inmiddels gecompenseerd? Zo niet, waarom niet en welk plan ligt er om dit alsnog te realiseren?</w:t>
      </w:r>
      <w:r w:rsidRPr="005F055E">
        <w:tab/>
      </w:r>
    </w:p>
    <w:p w:rsidR="009873CE" w:rsidP="00180EEB" w:rsidRDefault="009873CE" w14:paraId="010D17FF" w14:textId="77777777">
      <w:pPr>
        <w:suppressAutoHyphens/>
      </w:pPr>
    </w:p>
    <w:p w:rsidRPr="005F055E" w:rsidR="003E7003" w:rsidP="00180EEB" w:rsidRDefault="003E7003" w14:paraId="34D80A9B" w14:textId="6518BCBA">
      <w:pPr>
        <w:suppressAutoHyphens/>
      </w:pPr>
      <w:r w:rsidRPr="005F055E">
        <w:t>Antwoord</w:t>
      </w:r>
    </w:p>
    <w:p w:rsidRPr="005F055E" w:rsidR="006C5882" w:rsidP="00180EEB" w:rsidRDefault="006C5882" w14:paraId="33D83E45" w14:textId="04166556">
      <w:pPr>
        <w:tabs>
          <w:tab w:val="left" w:pos="2220"/>
        </w:tabs>
        <w:suppressAutoHyphens/>
        <w:spacing w:line="240" w:lineRule="atLeast"/>
        <w:rPr>
          <w:szCs w:val="18"/>
          <w:lang w:eastAsia="nl-NL"/>
        </w:rPr>
      </w:pPr>
      <w:r w:rsidRPr="005F055E">
        <w:rPr>
          <w:szCs w:val="18"/>
          <w:lang w:eastAsia="nl-NL"/>
        </w:rPr>
        <w:t xml:space="preserve">Het kabinet heeft besloten om €50 miljoen euro te reserveren voor een </w:t>
      </w:r>
      <w:proofErr w:type="spellStart"/>
      <w:r w:rsidR="005F055E">
        <w:rPr>
          <w:szCs w:val="18"/>
          <w:lang w:eastAsia="nl-NL"/>
        </w:rPr>
        <w:t>B</w:t>
      </w:r>
      <w:r w:rsidRPr="005F055E">
        <w:rPr>
          <w:szCs w:val="18"/>
          <w:lang w:eastAsia="nl-NL"/>
        </w:rPr>
        <w:t>ackpay</w:t>
      </w:r>
      <w:proofErr w:type="spellEnd"/>
      <w:r w:rsidRPr="005F055E">
        <w:rPr>
          <w:szCs w:val="18"/>
          <w:lang w:eastAsia="nl-NL"/>
        </w:rPr>
        <w:t xml:space="preserve">-regeling voor weduwen. Het is belangrijk dat de regeling zorgvuldig wordt gemaakt, zodat deze goed uitvoerbaar is. Het opstellen van de regelgeving, consulteren van betrokken organisaties, verrichten van een uitvoeringstoets, </w:t>
      </w:r>
      <w:bookmarkStart w:name="_Hlk210666594" w:id="12"/>
      <w:r w:rsidRPr="005F055E">
        <w:rPr>
          <w:szCs w:val="18"/>
          <w:lang w:eastAsia="nl-NL"/>
        </w:rPr>
        <w:t>uitvoeren van de internetconsultatie</w:t>
      </w:r>
      <w:bookmarkEnd w:id="12"/>
      <w:r w:rsidRPr="005F055E">
        <w:rPr>
          <w:szCs w:val="18"/>
          <w:lang w:eastAsia="nl-NL"/>
        </w:rPr>
        <w:t>, inventariseren van de fiscale gevolgen van een regeling, zorgdragen voor een goed werkend ICT</w:t>
      </w:r>
      <w:r w:rsidR="00365B90">
        <w:rPr>
          <w:szCs w:val="18"/>
          <w:lang w:eastAsia="nl-NL"/>
        </w:rPr>
        <w:t>-</w:t>
      </w:r>
      <w:r w:rsidRPr="005F055E">
        <w:rPr>
          <w:szCs w:val="18"/>
          <w:lang w:eastAsia="nl-NL"/>
        </w:rPr>
        <w:t>systeem en oprichten van een team dat de regeling kan uitvoeren (inclusief de werving van gekwalificeerd personeel), kost</w:t>
      </w:r>
      <w:r w:rsidR="00365B90">
        <w:rPr>
          <w:szCs w:val="18"/>
          <w:lang w:eastAsia="nl-NL"/>
        </w:rPr>
        <w:t xml:space="preserve"> </w:t>
      </w:r>
      <w:r w:rsidRPr="005F055E">
        <w:rPr>
          <w:szCs w:val="18"/>
          <w:lang w:eastAsia="nl-NL"/>
        </w:rPr>
        <w:t xml:space="preserve">tijd. Om deze redenen is het niet haalbaar om al in 2025 te starten met de uitvoering van de </w:t>
      </w:r>
      <w:proofErr w:type="spellStart"/>
      <w:r w:rsidR="005F055E">
        <w:rPr>
          <w:szCs w:val="18"/>
          <w:lang w:eastAsia="nl-NL"/>
        </w:rPr>
        <w:t>B</w:t>
      </w:r>
      <w:r w:rsidRPr="005F055E">
        <w:rPr>
          <w:szCs w:val="18"/>
          <w:lang w:eastAsia="nl-NL"/>
        </w:rPr>
        <w:t>ackpay</w:t>
      </w:r>
      <w:proofErr w:type="spellEnd"/>
      <w:r w:rsidRPr="005F055E">
        <w:rPr>
          <w:szCs w:val="18"/>
          <w:lang w:eastAsia="nl-NL"/>
        </w:rPr>
        <w:t xml:space="preserve">-regeling. </w:t>
      </w:r>
    </w:p>
    <w:p w:rsidRPr="005F055E" w:rsidR="000478A7" w:rsidP="00180EEB" w:rsidRDefault="006C5882" w14:paraId="59203373" w14:textId="6A3A57D3">
      <w:pPr>
        <w:tabs>
          <w:tab w:val="left" w:pos="2220"/>
        </w:tabs>
        <w:suppressAutoHyphens/>
        <w:spacing w:line="240" w:lineRule="atLeast"/>
      </w:pPr>
      <w:r w:rsidRPr="005F055E">
        <w:rPr>
          <w:szCs w:val="18"/>
          <w:lang w:eastAsia="nl-NL"/>
        </w:rPr>
        <w:t>Op dit moment zijn er nog geen uitkeringen verstrekt omdat het onrechtmatig is om zonder geldige regeling uitkeringen te verstrekken en het onbekend is wie de rechthebbenden zijn. Momenteel wordt gewerkt aan het vormgeven van de regeling. Naar verwachting zal eind dit jaar gestart kunnen worden met de uitvoeringstoets. Nadat de uitvoeringstoets heeft plaatsgevonden krijgen organisaties en burgers via de internetconsultatie zes weken de tijd om commentaar te geven op de concept</w:t>
      </w:r>
      <w:r w:rsidR="00365B90">
        <w:rPr>
          <w:szCs w:val="18"/>
          <w:lang w:eastAsia="nl-NL"/>
        </w:rPr>
        <w:t>-</w:t>
      </w:r>
      <w:r w:rsidRPr="005F055E">
        <w:rPr>
          <w:szCs w:val="18"/>
          <w:lang w:eastAsia="nl-NL"/>
        </w:rPr>
        <w:t>regeling. Het is waarschijnlijk aan een nieuw kabinet, in afstemming met de nieuw gekozen Tweede Kamer, om vervolgens een besluit te nemen over de vormgeving van de definitieve regeling en de invoering daarvan.</w:t>
      </w:r>
    </w:p>
    <w:p w:rsidRPr="005F055E" w:rsidR="000478A7" w:rsidP="00180EEB" w:rsidRDefault="000478A7" w14:paraId="3CB141F2" w14:textId="77777777">
      <w:pPr>
        <w:suppressAutoHyphens/>
      </w:pPr>
    </w:p>
    <w:p w:rsidRPr="005F055E" w:rsidR="000478A7" w:rsidP="00180EEB" w:rsidRDefault="003E7003" w14:paraId="487B5B2A" w14:textId="77777777">
      <w:pPr>
        <w:suppressAutoHyphens/>
      </w:pPr>
      <w:r w:rsidRPr="005F055E">
        <w:t>Vraag 53</w:t>
      </w:r>
      <w:r w:rsidRPr="005F055E">
        <w:tab/>
      </w:r>
    </w:p>
    <w:p w:rsidRPr="005F055E" w:rsidR="000478A7" w:rsidP="00180EEB" w:rsidRDefault="003E7003" w14:paraId="2B1BD745" w14:textId="77777777">
      <w:pPr>
        <w:suppressAutoHyphens/>
      </w:pPr>
      <w:r w:rsidRPr="005F055E">
        <w:t>Kunnen patiënten er in 2026 erop rekenen dat de maximering van de eigen bijdrage voor GVS-middelen blijft gehandhaafd op €250? Wanneer wordt daar concreet meer helderheid over gegeven?</w:t>
      </w:r>
      <w:r w:rsidRPr="005F055E">
        <w:tab/>
      </w:r>
    </w:p>
    <w:p w:rsidRPr="005F055E" w:rsidR="003E7003" w:rsidP="00180EEB" w:rsidRDefault="003E7003" w14:paraId="5F1BBE8A" w14:textId="3F65452E">
      <w:pPr>
        <w:suppressAutoHyphens/>
      </w:pPr>
      <w:r w:rsidRPr="005F055E">
        <w:t>Antwoord</w:t>
      </w:r>
    </w:p>
    <w:p w:rsidRPr="005F055E" w:rsidR="000478A7" w:rsidP="00180EEB" w:rsidRDefault="006C5882" w14:paraId="306D3652" w14:textId="50232D66">
      <w:pPr>
        <w:suppressAutoHyphens/>
        <w:spacing w:line="240" w:lineRule="atLeast"/>
        <w:rPr>
          <w:szCs w:val="18"/>
          <w:lang w:eastAsia="nl-NL"/>
        </w:rPr>
      </w:pPr>
      <w:r w:rsidRPr="005F055E">
        <w:rPr>
          <w:szCs w:val="18"/>
          <w:lang w:eastAsia="nl-NL"/>
        </w:rPr>
        <w:t xml:space="preserve">De maximering van de eigen bijdrage voor geneesmiddelen is </w:t>
      </w:r>
      <w:r w:rsidRPr="005F055E" w:rsidR="001352A0">
        <w:rPr>
          <w:szCs w:val="18"/>
          <w:lang w:eastAsia="nl-NL"/>
        </w:rPr>
        <w:t xml:space="preserve">met een jaar </w:t>
      </w:r>
      <w:r w:rsidRPr="005F055E">
        <w:rPr>
          <w:szCs w:val="18"/>
          <w:lang w:eastAsia="nl-NL"/>
        </w:rPr>
        <w:t>verlengd, zodat patiënten ook in 2026 maximaal 250 euro per jaar moeten bijbetalen voor extramurale geneesmiddelen. Dit is bekend gemaakt in de beantwoording van de Kamervragen over de 1</w:t>
      </w:r>
      <w:r w:rsidRPr="005F055E">
        <w:rPr>
          <w:szCs w:val="18"/>
          <w:vertAlign w:val="superscript"/>
          <w:lang w:eastAsia="nl-NL"/>
        </w:rPr>
        <w:t>e</w:t>
      </w:r>
      <w:r w:rsidRPr="005F055E">
        <w:rPr>
          <w:szCs w:val="18"/>
          <w:lang w:eastAsia="nl-NL"/>
        </w:rPr>
        <w:t xml:space="preserve"> suppletoire begroting VWS 2025</w:t>
      </w:r>
      <w:r w:rsidRPr="005F055E">
        <w:rPr>
          <w:szCs w:val="18"/>
          <w:vertAlign w:val="superscript"/>
          <w:lang w:eastAsia="nl-NL"/>
        </w:rPr>
        <w:footnoteReference w:id="13"/>
      </w:r>
      <w:r w:rsidRPr="005F055E">
        <w:rPr>
          <w:szCs w:val="18"/>
          <w:lang w:eastAsia="nl-NL"/>
        </w:rPr>
        <w:t xml:space="preserve"> en inmiddels ook in de regelgeving verwerkt, zie de Staatscourant van 26 september 2025.</w:t>
      </w:r>
      <w:r w:rsidRPr="005F055E">
        <w:rPr>
          <w:szCs w:val="18"/>
          <w:vertAlign w:val="superscript"/>
          <w:lang w:eastAsia="nl-NL"/>
        </w:rPr>
        <w:footnoteReference w:id="14"/>
      </w:r>
    </w:p>
    <w:p w:rsidRPr="005F055E" w:rsidR="007B58FB" w:rsidP="00180EEB" w:rsidRDefault="007B58FB" w14:paraId="76F07207" w14:textId="77777777">
      <w:pPr>
        <w:suppressAutoHyphens/>
      </w:pPr>
    </w:p>
    <w:p w:rsidRPr="005F055E" w:rsidR="000478A7" w:rsidP="00180EEB" w:rsidRDefault="003E7003" w14:paraId="2FC72CED" w14:textId="77777777">
      <w:pPr>
        <w:suppressAutoHyphens/>
      </w:pPr>
      <w:r w:rsidRPr="005F055E">
        <w:t>Vraag 54</w:t>
      </w:r>
      <w:r w:rsidRPr="005F055E">
        <w:tab/>
      </w:r>
    </w:p>
    <w:p w:rsidRPr="005F055E" w:rsidR="000478A7" w:rsidP="00180EEB" w:rsidRDefault="003E7003" w14:paraId="0A0CB948" w14:textId="77777777">
      <w:pPr>
        <w:suppressAutoHyphens/>
      </w:pPr>
      <w:r w:rsidRPr="005F055E">
        <w:t>Op welke wijze vinden onderhandelingen over medicatie plaats tussen het ministerie en farmaceuten? Gebeurt dit altijd fysiek? Of gaat dit per brief/mail? En waarom gebeurt dat zo?</w:t>
      </w:r>
      <w:r w:rsidRPr="005F055E">
        <w:tab/>
      </w:r>
    </w:p>
    <w:p w:rsidRPr="005F055E" w:rsidR="003E7003" w:rsidP="00180EEB" w:rsidRDefault="003E7003" w14:paraId="466992FE" w14:textId="07134A0E">
      <w:pPr>
        <w:suppressAutoHyphens/>
      </w:pPr>
      <w:r w:rsidRPr="005F055E">
        <w:t>Antwoord</w:t>
      </w:r>
    </w:p>
    <w:p w:rsidRPr="005F055E" w:rsidR="006C5882" w:rsidP="00180EEB" w:rsidRDefault="006C5882" w14:paraId="15F4ADD9" w14:textId="77777777">
      <w:pPr>
        <w:suppressAutoHyphens/>
        <w:spacing w:after="0" w:line="240" w:lineRule="atLeast"/>
        <w:rPr>
          <w:szCs w:val="18"/>
          <w:lang w:eastAsia="nl-NL"/>
        </w:rPr>
      </w:pPr>
      <w:r w:rsidRPr="005F055E">
        <w:rPr>
          <w:szCs w:val="18"/>
          <w:lang w:eastAsia="nl-NL"/>
        </w:rPr>
        <w:t>Om binnen de kaders van geheimhouding de transparantie zoveel als mogelijk te vergroten, vinden de prijsonderhandelingen tussen het ministerie en farmaceuten plaats door middel van briefwisseling.</w:t>
      </w:r>
    </w:p>
    <w:p w:rsidRPr="005F055E" w:rsidR="006C5882" w:rsidP="00180EEB" w:rsidRDefault="006C5882" w14:paraId="789AEA82" w14:textId="77777777">
      <w:pPr>
        <w:suppressAutoHyphens/>
        <w:spacing w:after="0" w:line="240" w:lineRule="atLeast"/>
        <w:rPr>
          <w:szCs w:val="18"/>
          <w:lang w:eastAsia="nl-NL"/>
        </w:rPr>
      </w:pPr>
    </w:p>
    <w:p w:rsidRPr="005F055E" w:rsidR="000478A7" w:rsidP="00180EEB" w:rsidRDefault="006C5882" w14:paraId="3CC31007" w14:textId="200DAB48">
      <w:pPr>
        <w:suppressAutoHyphens/>
        <w:spacing w:after="0" w:line="240" w:lineRule="atLeast"/>
        <w:rPr>
          <w:szCs w:val="18"/>
          <w:lang w:eastAsia="nl-NL"/>
        </w:rPr>
      </w:pPr>
      <w:r w:rsidRPr="005F055E">
        <w:rPr>
          <w:szCs w:val="18"/>
          <w:lang w:eastAsia="nl-NL"/>
        </w:rPr>
        <w:t xml:space="preserve">Gedurende het onderhandelproces is het ook mogelijk dat er tussen het ministerie en de farmaceut een fysiek gesprek plaatsvindt. </w:t>
      </w:r>
    </w:p>
    <w:p w:rsidRPr="005F055E" w:rsidR="006C5882" w:rsidP="00180EEB" w:rsidRDefault="006C5882" w14:paraId="677818BE" w14:textId="77777777">
      <w:pPr>
        <w:suppressAutoHyphens/>
      </w:pPr>
    </w:p>
    <w:p w:rsidRPr="005F055E" w:rsidR="000478A7" w:rsidP="00180EEB" w:rsidRDefault="003E7003" w14:paraId="264C6A66" w14:textId="77777777">
      <w:pPr>
        <w:suppressAutoHyphens/>
      </w:pPr>
      <w:r w:rsidRPr="005F055E">
        <w:t>Vraag 55</w:t>
      </w:r>
      <w:r w:rsidRPr="005F055E">
        <w:tab/>
      </w:r>
    </w:p>
    <w:p w:rsidRPr="005F055E" w:rsidR="000478A7" w:rsidP="00180EEB" w:rsidRDefault="003E7003" w14:paraId="2F426A14" w14:textId="77777777">
      <w:pPr>
        <w:suppressAutoHyphens/>
      </w:pPr>
      <w:r w:rsidRPr="005F055E">
        <w:t>Wat was/is het aandeel geneesmiddelen (bruto en netto) in de totale zorguitgaven in de periode 2020-2025?</w:t>
      </w:r>
      <w:r w:rsidRPr="005F055E">
        <w:tab/>
      </w:r>
    </w:p>
    <w:p w:rsidR="009873CE" w:rsidP="00180EEB" w:rsidRDefault="009873CE" w14:paraId="3099E634" w14:textId="77777777">
      <w:pPr>
        <w:suppressAutoHyphens/>
      </w:pPr>
    </w:p>
    <w:p w:rsidRPr="005F055E" w:rsidR="003E7003" w:rsidP="00180EEB" w:rsidRDefault="003E7003" w14:paraId="5B38F276" w14:textId="6E5E3EBE">
      <w:pPr>
        <w:suppressAutoHyphens/>
      </w:pPr>
      <w:r w:rsidRPr="005F055E">
        <w:t>Antwoord</w:t>
      </w:r>
    </w:p>
    <w:p w:rsidRPr="00056279" w:rsidR="007A1B64" w:rsidP="00180EEB" w:rsidRDefault="007A1B64" w14:paraId="47C3B34A" w14:textId="63B056C1">
      <w:pPr>
        <w:suppressAutoHyphens/>
      </w:pPr>
      <w:r w:rsidRPr="005F055E">
        <w:rPr>
          <w:szCs w:val="18"/>
        </w:rPr>
        <w:t xml:space="preserve">In onderstaande tabel staan de netto-uitgaven aan geneesmiddelen, zowel verstrekt binnen de medisch specialistische zorg (intramuraal) als via de apotheek (extramuraal), ten opzichte van de totale netto-zorguitgaven. </w:t>
      </w:r>
      <w:r w:rsidRPr="005F055E">
        <w:t>VWS beschikt niet over bronnen die een volledig en representatief beeld kunnen geven van de bruto-uitgaven aan geneesmiddelen.</w:t>
      </w:r>
    </w:p>
    <w:tbl>
      <w:tblPr>
        <w:tblStyle w:val="Tabelraster"/>
        <w:tblW w:w="9209" w:type="dxa"/>
        <w:tblLook w:val="04A0" w:firstRow="1" w:lastRow="0" w:firstColumn="1" w:lastColumn="0" w:noHBand="0" w:noVBand="1"/>
      </w:tblPr>
      <w:tblGrid>
        <w:gridCol w:w="4595"/>
        <w:gridCol w:w="759"/>
        <w:gridCol w:w="759"/>
        <w:gridCol w:w="819"/>
        <w:gridCol w:w="759"/>
        <w:gridCol w:w="759"/>
        <w:gridCol w:w="759"/>
      </w:tblGrid>
      <w:tr w:rsidRPr="005F055E" w:rsidR="007A1B64" w:rsidTr="005E2643" w14:paraId="1882EBCE" w14:textId="77777777">
        <w:trPr>
          <w:trHeight w:val="315"/>
        </w:trPr>
        <w:tc>
          <w:tcPr>
            <w:tcW w:w="4917" w:type="dxa"/>
            <w:shd w:val="clear" w:color="auto" w:fill="002060"/>
            <w:hideMark/>
          </w:tcPr>
          <w:p w:rsidRPr="00056279" w:rsidR="007A1B64" w:rsidP="00180EEB" w:rsidRDefault="007A1B64" w14:paraId="39C1E8E3" w14:textId="77777777">
            <w:pPr>
              <w:suppressAutoHyphens/>
              <w:rPr>
                <w:rFonts w:ascii="Verdana" w:hAnsi="Verdana"/>
                <w:sz w:val="20"/>
                <w:szCs w:val="16"/>
              </w:rPr>
            </w:pPr>
            <w:r w:rsidRPr="00056279">
              <w:rPr>
                <w:rFonts w:ascii="Verdana" w:hAnsi="Verdana"/>
                <w:sz w:val="20"/>
                <w:szCs w:val="16"/>
              </w:rPr>
              <w:t xml:space="preserve">Uitgaven geneesmiddelen </w:t>
            </w:r>
          </w:p>
          <w:p w:rsidRPr="00056279" w:rsidR="007A1B64" w:rsidP="00180EEB" w:rsidRDefault="007A1B64" w14:paraId="5F101F7C" w14:textId="77777777">
            <w:pPr>
              <w:suppressAutoHyphens/>
              <w:rPr>
                <w:rFonts w:ascii="Verdana" w:hAnsi="Verdana"/>
                <w:sz w:val="20"/>
                <w:szCs w:val="16"/>
              </w:rPr>
            </w:pPr>
            <w:r w:rsidRPr="00056279">
              <w:rPr>
                <w:rFonts w:ascii="Verdana" w:hAnsi="Verdana"/>
                <w:sz w:val="20"/>
                <w:szCs w:val="16"/>
              </w:rPr>
              <w:t>(Bedragen in miljarden €)</w:t>
            </w:r>
          </w:p>
        </w:tc>
        <w:tc>
          <w:tcPr>
            <w:tcW w:w="705" w:type="dxa"/>
            <w:shd w:val="clear" w:color="auto" w:fill="002060"/>
            <w:noWrap/>
            <w:hideMark/>
          </w:tcPr>
          <w:p w:rsidRPr="00056279" w:rsidR="007A1B64" w:rsidP="00180EEB" w:rsidRDefault="007A1B64" w14:paraId="0894BBC8" w14:textId="77777777">
            <w:pPr>
              <w:suppressAutoHyphens/>
              <w:rPr>
                <w:rFonts w:ascii="Verdana" w:hAnsi="Verdana"/>
                <w:sz w:val="20"/>
                <w:szCs w:val="16"/>
              </w:rPr>
            </w:pPr>
            <w:r w:rsidRPr="00056279">
              <w:rPr>
                <w:rFonts w:ascii="Verdana" w:hAnsi="Verdana"/>
                <w:sz w:val="20"/>
                <w:szCs w:val="16"/>
              </w:rPr>
              <w:t>2020</w:t>
            </w:r>
          </w:p>
        </w:tc>
        <w:tc>
          <w:tcPr>
            <w:tcW w:w="705" w:type="dxa"/>
            <w:shd w:val="clear" w:color="auto" w:fill="002060"/>
            <w:noWrap/>
            <w:hideMark/>
          </w:tcPr>
          <w:p w:rsidRPr="00056279" w:rsidR="007A1B64" w:rsidP="00180EEB" w:rsidRDefault="007A1B64" w14:paraId="4CF49211" w14:textId="77777777">
            <w:pPr>
              <w:suppressAutoHyphens/>
              <w:rPr>
                <w:rFonts w:ascii="Verdana" w:hAnsi="Verdana"/>
                <w:sz w:val="20"/>
                <w:szCs w:val="16"/>
              </w:rPr>
            </w:pPr>
            <w:r w:rsidRPr="00056279">
              <w:rPr>
                <w:rFonts w:ascii="Verdana" w:hAnsi="Verdana"/>
                <w:sz w:val="20"/>
                <w:szCs w:val="16"/>
              </w:rPr>
              <w:t>2021</w:t>
            </w:r>
          </w:p>
        </w:tc>
        <w:tc>
          <w:tcPr>
            <w:tcW w:w="819" w:type="dxa"/>
            <w:shd w:val="clear" w:color="auto" w:fill="002060"/>
            <w:noWrap/>
            <w:hideMark/>
          </w:tcPr>
          <w:p w:rsidRPr="00056279" w:rsidR="007A1B64" w:rsidP="00180EEB" w:rsidRDefault="007A1B64" w14:paraId="5D9468AC" w14:textId="77777777">
            <w:pPr>
              <w:suppressAutoHyphens/>
              <w:rPr>
                <w:rFonts w:ascii="Verdana" w:hAnsi="Verdana"/>
                <w:sz w:val="20"/>
                <w:szCs w:val="16"/>
              </w:rPr>
            </w:pPr>
            <w:r w:rsidRPr="00056279">
              <w:rPr>
                <w:rFonts w:ascii="Verdana" w:hAnsi="Verdana"/>
                <w:sz w:val="20"/>
                <w:szCs w:val="16"/>
              </w:rPr>
              <w:t>2022</w:t>
            </w:r>
          </w:p>
        </w:tc>
        <w:tc>
          <w:tcPr>
            <w:tcW w:w="705" w:type="dxa"/>
            <w:shd w:val="clear" w:color="auto" w:fill="002060"/>
            <w:noWrap/>
            <w:hideMark/>
          </w:tcPr>
          <w:p w:rsidRPr="00056279" w:rsidR="007A1B64" w:rsidP="00180EEB" w:rsidRDefault="007A1B64" w14:paraId="218067CD" w14:textId="77777777">
            <w:pPr>
              <w:suppressAutoHyphens/>
              <w:rPr>
                <w:rFonts w:ascii="Verdana" w:hAnsi="Verdana"/>
                <w:sz w:val="20"/>
                <w:szCs w:val="16"/>
              </w:rPr>
            </w:pPr>
            <w:r w:rsidRPr="00056279">
              <w:rPr>
                <w:rFonts w:ascii="Verdana" w:hAnsi="Verdana"/>
                <w:sz w:val="20"/>
                <w:szCs w:val="16"/>
              </w:rPr>
              <w:t>2023</w:t>
            </w:r>
          </w:p>
        </w:tc>
        <w:tc>
          <w:tcPr>
            <w:tcW w:w="705" w:type="dxa"/>
            <w:shd w:val="clear" w:color="auto" w:fill="002060"/>
            <w:noWrap/>
            <w:hideMark/>
          </w:tcPr>
          <w:p w:rsidRPr="00056279" w:rsidR="007A1B64" w:rsidP="00180EEB" w:rsidRDefault="007A1B64" w14:paraId="561AEABA" w14:textId="77777777">
            <w:pPr>
              <w:suppressAutoHyphens/>
              <w:rPr>
                <w:rFonts w:ascii="Verdana" w:hAnsi="Verdana"/>
                <w:sz w:val="20"/>
                <w:szCs w:val="16"/>
              </w:rPr>
            </w:pPr>
            <w:r w:rsidRPr="00056279">
              <w:rPr>
                <w:rFonts w:ascii="Verdana" w:hAnsi="Verdana"/>
                <w:sz w:val="20"/>
                <w:szCs w:val="16"/>
              </w:rPr>
              <w:t>2024</w:t>
            </w:r>
          </w:p>
        </w:tc>
        <w:tc>
          <w:tcPr>
            <w:tcW w:w="653" w:type="dxa"/>
            <w:shd w:val="clear" w:color="auto" w:fill="002060"/>
            <w:noWrap/>
            <w:hideMark/>
          </w:tcPr>
          <w:p w:rsidRPr="00056279" w:rsidR="007A1B64" w:rsidP="00180EEB" w:rsidRDefault="007A1B64" w14:paraId="61ABD7CE" w14:textId="77777777">
            <w:pPr>
              <w:suppressAutoHyphens/>
              <w:rPr>
                <w:rFonts w:ascii="Verdana" w:hAnsi="Verdana"/>
                <w:sz w:val="20"/>
                <w:szCs w:val="16"/>
              </w:rPr>
            </w:pPr>
            <w:r w:rsidRPr="00056279">
              <w:rPr>
                <w:rFonts w:ascii="Verdana" w:hAnsi="Verdana"/>
                <w:sz w:val="20"/>
                <w:szCs w:val="16"/>
              </w:rPr>
              <w:t>2025</w:t>
            </w:r>
          </w:p>
        </w:tc>
      </w:tr>
      <w:tr w:rsidRPr="005F055E" w:rsidR="007A1B64" w:rsidTr="005E2643" w14:paraId="32502A09" w14:textId="77777777">
        <w:trPr>
          <w:trHeight w:val="315"/>
        </w:trPr>
        <w:tc>
          <w:tcPr>
            <w:tcW w:w="4917" w:type="dxa"/>
            <w:hideMark/>
          </w:tcPr>
          <w:p w:rsidRPr="00056279" w:rsidR="007A1B64" w:rsidP="00180EEB" w:rsidRDefault="007A1B64" w14:paraId="719CFBE0" w14:textId="77777777">
            <w:pPr>
              <w:suppressAutoHyphens/>
              <w:rPr>
                <w:rFonts w:ascii="Verdana" w:hAnsi="Verdana"/>
                <w:b/>
                <w:bCs/>
                <w:sz w:val="20"/>
                <w:szCs w:val="16"/>
              </w:rPr>
            </w:pPr>
            <w:r w:rsidRPr="00056279">
              <w:rPr>
                <w:rFonts w:ascii="Verdana" w:hAnsi="Verdana"/>
                <w:b/>
                <w:bCs/>
                <w:sz w:val="20"/>
                <w:szCs w:val="16"/>
              </w:rPr>
              <w:t>Totaal geneesmiddelen</w:t>
            </w:r>
          </w:p>
        </w:tc>
        <w:tc>
          <w:tcPr>
            <w:tcW w:w="705" w:type="dxa"/>
            <w:hideMark/>
          </w:tcPr>
          <w:p w:rsidRPr="00056279" w:rsidR="007A1B64" w:rsidP="00180EEB" w:rsidRDefault="007A1B64" w14:paraId="2E77A980" w14:textId="77777777">
            <w:pPr>
              <w:suppressAutoHyphens/>
              <w:rPr>
                <w:rFonts w:ascii="Verdana" w:hAnsi="Verdana"/>
                <w:b/>
                <w:bCs/>
                <w:sz w:val="20"/>
                <w:szCs w:val="16"/>
              </w:rPr>
            </w:pPr>
            <w:r w:rsidRPr="00056279">
              <w:rPr>
                <w:rFonts w:ascii="Verdana" w:hAnsi="Verdana"/>
                <w:b/>
                <w:bCs/>
                <w:sz w:val="20"/>
                <w:szCs w:val="16"/>
              </w:rPr>
              <w:t>7</w:t>
            </w:r>
          </w:p>
        </w:tc>
        <w:tc>
          <w:tcPr>
            <w:tcW w:w="705" w:type="dxa"/>
            <w:hideMark/>
          </w:tcPr>
          <w:p w:rsidRPr="00056279" w:rsidR="007A1B64" w:rsidP="00180EEB" w:rsidRDefault="007A1B64" w14:paraId="3FAE6758" w14:textId="77777777">
            <w:pPr>
              <w:suppressAutoHyphens/>
              <w:rPr>
                <w:rFonts w:ascii="Verdana" w:hAnsi="Verdana"/>
                <w:b/>
                <w:bCs/>
                <w:sz w:val="20"/>
                <w:szCs w:val="16"/>
              </w:rPr>
            </w:pPr>
            <w:r w:rsidRPr="00056279">
              <w:rPr>
                <w:rFonts w:ascii="Verdana" w:hAnsi="Verdana"/>
                <w:b/>
                <w:bCs/>
                <w:sz w:val="20"/>
                <w:szCs w:val="16"/>
              </w:rPr>
              <w:t>7</w:t>
            </w:r>
          </w:p>
        </w:tc>
        <w:tc>
          <w:tcPr>
            <w:tcW w:w="819" w:type="dxa"/>
            <w:hideMark/>
          </w:tcPr>
          <w:p w:rsidRPr="00056279" w:rsidR="007A1B64" w:rsidP="00180EEB" w:rsidRDefault="007A1B64" w14:paraId="20BF7EA0" w14:textId="77777777">
            <w:pPr>
              <w:suppressAutoHyphens/>
              <w:rPr>
                <w:rFonts w:ascii="Verdana" w:hAnsi="Verdana"/>
                <w:b/>
                <w:bCs/>
                <w:sz w:val="20"/>
                <w:szCs w:val="16"/>
              </w:rPr>
            </w:pPr>
            <w:r w:rsidRPr="00056279">
              <w:rPr>
                <w:rFonts w:ascii="Verdana" w:hAnsi="Verdana"/>
                <w:b/>
                <w:bCs/>
                <w:sz w:val="20"/>
                <w:szCs w:val="16"/>
              </w:rPr>
              <w:t>8</w:t>
            </w:r>
          </w:p>
        </w:tc>
        <w:tc>
          <w:tcPr>
            <w:tcW w:w="705" w:type="dxa"/>
            <w:hideMark/>
          </w:tcPr>
          <w:p w:rsidRPr="00056279" w:rsidR="007A1B64" w:rsidP="00180EEB" w:rsidRDefault="007A1B64" w14:paraId="6D6989ED" w14:textId="77777777">
            <w:pPr>
              <w:suppressAutoHyphens/>
              <w:rPr>
                <w:rFonts w:ascii="Verdana" w:hAnsi="Verdana"/>
                <w:b/>
                <w:bCs/>
                <w:sz w:val="20"/>
                <w:szCs w:val="16"/>
              </w:rPr>
            </w:pPr>
            <w:r w:rsidRPr="00056279">
              <w:rPr>
                <w:rFonts w:ascii="Verdana" w:hAnsi="Verdana"/>
                <w:b/>
                <w:bCs/>
                <w:sz w:val="20"/>
                <w:szCs w:val="16"/>
              </w:rPr>
              <w:t>8</w:t>
            </w:r>
          </w:p>
        </w:tc>
        <w:tc>
          <w:tcPr>
            <w:tcW w:w="705" w:type="dxa"/>
            <w:hideMark/>
          </w:tcPr>
          <w:p w:rsidRPr="00056279" w:rsidR="007A1B64" w:rsidP="00180EEB" w:rsidRDefault="007A1B64" w14:paraId="04DD4615" w14:textId="77777777">
            <w:pPr>
              <w:suppressAutoHyphens/>
              <w:rPr>
                <w:rFonts w:ascii="Verdana" w:hAnsi="Verdana"/>
                <w:b/>
                <w:bCs/>
                <w:sz w:val="20"/>
                <w:szCs w:val="16"/>
              </w:rPr>
            </w:pPr>
            <w:r w:rsidRPr="00056279">
              <w:rPr>
                <w:rFonts w:ascii="Verdana" w:hAnsi="Verdana"/>
                <w:b/>
                <w:bCs/>
                <w:sz w:val="20"/>
                <w:szCs w:val="16"/>
              </w:rPr>
              <w:t>8</w:t>
            </w:r>
          </w:p>
        </w:tc>
        <w:tc>
          <w:tcPr>
            <w:tcW w:w="653" w:type="dxa"/>
            <w:hideMark/>
          </w:tcPr>
          <w:p w:rsidRPr="00056279" w:rsidR="007A1B64" w:rsidP="00180EEB" w:rsidRDefault="007A1B64" w14:paraId="37D64635" w14:textId="77777777">
            <w:pPr>
              <w:suppressAutoHyphens/>
              <w:rPr>
                <w:rFonts w:ascii="Verdana" w:hAnsi="Verdana"/>
                <w:b/>
                <w:bCs/>
                <w:sz w:val="20"/>
                <w:szCs w:val="16"/>
              </w:rPr>
            </w:pPr>
            <w:r w:rsidRPr="00056279">
              <w:rPr>
                <w:rFonts w:ascii="Verdana" w:hAnsi="Verdana"/>
                <w:b/>
                <w:bCs/>
                <w:sz w:val="20"/>
                <w:szCs w:val="16"/>
              </w:rPr>
              <w:t>9</w:t>
            </w:r>
          </w:p>
        </w:tc>
      </w:tr>
      <w:tr w:rsidRPr="005F055E" w:rsidR="007A1B64" w:rsidTr="005E2643" w14:paraId="63127F27" w14:textId="77777777">
        <w:trPr>
          <w:trHeight w:val="315"/>
        </w:trPr>
        <w:tc>
          <w:tcPr>
            <w:tcW w:w="4917" w:type="dxa"/>
            <w:hideMark/>
          </w:tcPr>
          <w:p w:rsidRPr="00056279" w:rsidR="007A1B64" w:rsidP="00180EEB" w:rsidRDefault="007A1B64" w14:paraId="48695963" w14:textId="77777777">
            <w:pPr>
              <w:suppressAutoHyphens/>
              <w:rPr>
                <w:rFonts w:ascii="Verdana" w:hAnsi="Verdana"/>
                <w:b/>
                <w:bCs/>
                <w:sz w:val="20"/>
                <w:szCs w:val="16"/>
              </w:rPr>
            </w:pPr>
            <w:r w:rsidRPr="00056279">
              <w:rPr>
                <w:rFonts w:ascii="Verdana" w:hAnsi="Verdana"/>
                <w:b/>
                <w:bCs/>
                <w:sz w:val="20"/>
                <w:szCs w:val="16"/>
              </w:rPr>
              <w:t>Totale netto zorguitgaven</w:t>
            </w:r>
          </w:p>
        </w:tc>
        <w:tc>
          <w:tcPr>
            <w:tcW w:w="705" w:type="dxa"/>
            <w:hideMark/>
          </w:tcPr>
          <w:p w:rsidRPr="00056279" w:rsidR="007A1B64" w:rsidP="00180EEB" w:rsidRDefault="007A1B64" w14:paraId="0C96F4B3" w14:textId="77777777">
            <w:pPr>
              <w:suppressAutoHyphens/>
              <w:rPr>
                <w:rFonts w:ascii="Verdana" w:hAnsi="Verdana"/>
                <w:b/>
                <w:bCs/>
                <w:sz w:val="20"/>
                <w:szCs w:val="16"/>
              </w:rPr>
            </w:pPr>
            <w:r w:rsidRPr="00056279">
              <w:rPr>
                <w:rFonts w:ascii="Verdana" w:hAnsi="Verdana"/>
                <w:b/>
                <w:bCs/>
                <w:sz w:val="20"/>
                <w:szCs w:val="16"/>
              </w:rPr>
              <w:t>74</w:t>
            </w:r>
          </w:p>
        </w:tc>
        <w:tc>
          <w:tcPr>
            <w:tcW w:w="705" w:type="dxa"/>
            <w:hideMark/>
          </w:tcPr>
          <w:p w:rsidRPr="00056279" w:rsidR="007A1B64" w:rsidP="00180EEB" w:rsidRDefault="007A1B64" w14:paraId="16362051" w14:textId="77777777">
            <w:pPr>
              <w:suppressAutoHyphens/>
              <w:rPr>
                <w:rFonts w:ascii="Verdana" w:hAnsi="Verdana"/>
                <w:b/>
                <w:bCs/>
                <w:sz w:val="20"/>
                <w:szCs w:val="16"/>
              </w:rPr>
            </w:pPr>
            <w:r w:rsidRPr="00056279">
              <w:rPr>
                <w:rFonts w:ascii="Verdana" w:hAnsi="Verdana"/>
                <w:b/>
                <w:bCs/>
                <w:sz w:val="20"/>
                <w:szCs w:val="16"/>
              </w:rPr>
              <w:t>77</w:t>
            </w:r>
          </w:p>
        </w:tc>
        <w:tc>
          <w:tcPr>
            <w:tcW w:w="819" w:type="dxa"/>
            <w:hideMark/>
          </w:tcPr>
          <w:p w:rsidRPr="00056279" w:rsidR="007A1B64" w:rsidP="00180EEB" w:rsidRDefault="007A1B64" w14:paraId="35827A20" w14:textId="77777777">
            <w:pPr>
              <w:suppressAutoHyphens/>
              <w:rPr>
                <w:rFonts w:ascii="Verdana" w:hAnsi="Verdana"/>
                <w:b/>
                <w:bCs/>
                <w:sz w:val="20"/>
                <w:szCs w:val="16"/>
              </w:rPr>
            </w:pPr>
            <w:r w:rsidRPr="00056279">
              <w:rPr>
                <w:rFonts w:ascii="Verdana" w:hAnsi="Verdana"/>
                <w:b/>
                <w:bCs/>
                <w:sz w:val="20"/>
                <w:szCs w:val="16"/>
              </w:rPr>
              <w:t>81</w:t>
            </w:r>
          </w:p>
        </w:tc>
        <w:tc>
          <w:tcPr>
            <w:tcW w:w="705" w:type="dxa"/>
            <w:hideMark/>
          </w:tcPr>
          <w:p w:rsidRPr="00056279" w:rsidR="007A1B64" w:rsidP="00180EEB" w:rsidRDefault="007A1B64" w14:paraId="6993E807" w14:textId="77777777">
            <w:pPr>
              <w:suppressAutoHyphens/>
              <w:rPr>
                <w:rFonts w:ascii="Verdana" w:hAnsi="Verdana"/>
                <w:b/>
                <w:bCs/>
                <w:sz w:val="20"/>
                <w:szCs w:val="16"/>
              </w:rPr>
            </w:pPr>
            <w:r w:rsidRPr="00056279">
              <w:rPr>
                <w:rFonts w:ascii="Verdana" w:hAnsi="Verdana"/>
                <w:b/>
                <w:bCs/>
                <w:sz w:val="20"/>
                <w:szCs w:val="16"/>
              </w:rPr>
              <w:t>87</w:t>
            </w:r>
          </w:p>
        </w:tc>
        <w:tc>
          <w:tcPr>
            <w:tcW w:w="705" w:type="dxa"/>
            <w:hideMark/>
          </w:tcPr>
          <w:p w:rsidRPr="00056279" w:rsidR="007A1B64" w:rsidP="00180EEB" w:rsidRDefault="007A1B64" w14:paraId="6A393C8B" w14:textId="77777777">
            <w:pPr>
              <w:suppressAutoHyphens/>
              <w:rPr>
                <w:rFonts w:ascii="Verdana" w:hAnsi="Verdana"/>
                <w:b/>
                <w:bCs/>
                <w:sz w:val="20"/>
                <w:szCs w:val="16"/>
              </w:rPr>
            </w:pPr>
            <w:r w:rsidRPr="00056279">
              <w:rPr>
                <w:rFonts w:ascii="Verdana" w:hAnsi="Verdana"/>
                <w:b/>
                <w:bCs/>
                <w:sz w:val="20"/>
                <w:szCs w:val="16"/>
              </w:rPr>
              <w:t>95</w:t>
            </w:r>
          </w:p>
        </w:tc>
        <w:tc>
          <w:tcPr>
            <w:tcW w:w="653" w:type="dxa"/>
            <w:hideMark/>
          </w:tcPr>
          <w:p w:rsidRPr="00056279" w:rsidR="007A1B64" w:rsidP="00180EEB" w:rsidRDefault="007A1B64" w14:paraId="30D47ED5" w14:textId="77777777">
            <w:pPr>
              <w:suppressAutoHyphens/>
              <w:rPr>
                <w:rFonts w:ascii="Verdana" w:hAnsi="Verdana"/>
                <w:b/>
                <w:bCs/>
                <w:sz w:val="20"/>
                <w:szCs w:val="16"/>
              </w:rPr>
            </w:pPr>
            <w:r w:rsidRPr="00056279">
              <w:rPr>
                <w:rFonts w:ascii="Verdana" w:hAnsi="Verdana"/>
                <w:b/>
                <w:bCs/>
                <w:sz w:val="20"/>
                <w:szCs w:val="16"/>
              </w:rPr>
              <w:t>100</w:t>
            </w:r>
          </w:p>
        </w:tc>
      </w:tr>
      <w:tr w:rsidRPr="005F055E" w:rsidR="007A1B64" w:rsidTr="005E2643" w14:paraId="44D7E490" w14:textId="77777777">
        <w:trPr>
          <w:trHeight w:val="132"/>
        </w:trPr>
        <w:tc>
          <w:tcPr>
            <w:tcW w:w="4917" w:type="dxa"/>
            <w:hideMark/>
          </w:tcPr>
          <w:p w:rsidRPr="00056279" w:rsidR="007A1B64" w:rsidP="00180EEB" w:rsidRDefault="007A1B64" w14:paraId="57A4E9D6" w14:textId="77777777">
            <w:pPr>
              <w:suppressAutoHyphens/>
              <w:rPr>
                <w:rFonts w:ascii="Verdana" w:hAnsi="Verdana"/>
                <w:sz w:val="20"/>
                <w:szCs w:val="16"/>
              </w:rPr>
            </w:pPr>
            <w:r w:rsidRPr="00056279">
              <w:rPr>
                <w:rFonts w:ascii="Verdana" w:hAnsi="Verdana"/>
                <w:sz w:val="20"/>
                <w:szCs w:val="16"/>
              </w:rPr>
              <w:t>Aandeel geneesmiddelen (in % van zorguitgaven)</w:t>
            </w:r>
          </w:p>
        </w:tc>
        <w:tc>
          <w:tcPr>
            <w:tcW w:w="705" w:type="dxa"/>
            <w:noWrap/>
            <w:hideMark/>
          </w:tcPr>
          <w:p w:rsidRPr="00056279" w:rsidR="007A1B64" w:rsidP="00180EEB" w:rsidRDefault="007A1B64" w14:paraId="6CAB9B72" w14:textId="77777777">
            <w:pPr>
              <w:suppressAutoHyphens/>
              <w:rPr>
                <w:rFonts w:ascii="Verdana" w:hAnsi="Verdana"/>
                <w:sz w:val="20"/>
                <w:szCs w:val="16"/>
              </w:rPr>
            </w:pPr>
            <w:r w:rsidRPr="00056279">
              <w:rPr>
                <w:rFonts w:ascii="Verdana" w:hAnsi="Verdana"/>
                <w:sz w:val="20"/>
                <w:szCs w:val="16"/>
              </w:rPr>
              <w:t>9,9%</w:t>
            </w:r>
          </w:p>
        </w:tc>
        <w:tc>
          <w:tcPr>
            <w:tcW w:w="705" w:type="dxa"/>
            <w:noWrap/>
            <w:hideMark/>
          </w:tcPr>
          <w:p w:rsidRPr="00056279" w:rsidR="007A1B64" w:rsidP="00180EEB" w:rsidRDefault="007A1B64" w14:paraId="0E77430D" w14:textId="77777777">
            <w:pPr>
              <w:suppressAutoHyphens/>
              <w:rPr>
                <w:rFonts w:ascii="Verdana" w:hAnsi="Verdana"/>
                <w:sz w:val="20"/>
                <w:szCs w:val="16"/>
              </w:rPr>
            </w:pPr>
            <w:r w:rsidRPr="00056279">
              <w:rPr>
                <w:rFonts w:ascii="Verdana" w:hAnsi="Verdana"/>
                <w:sz w:val="20"/>
                <w:szCs w:val="16"/>
              </w:rPr>
              <w:t>9,7%</w:t>
            </w:r>
          </w:p>
        </w:tc>
        <w:tc>
          <w:tcPr>
            <w:tcW w:w="819" w:type="dxa"/>
            <w:noWrap/>
            <w:hideMark/>
          </w:tcPr>
          <w:p w:rsidRPr="00056279" w:rsidR="007A1B64" w:rsidP="00180EEB" w:rsidRDefault="007A1B64" w14:paraId="10540D16" w14:textId="77777777">
            <w:pPr>
              <w:suppressAutoHyphens/>
              <w:rPr>
                <w:rFonts w:ascii="Verdana" w:hAnsi="Verdana"/>
                <w:sz w:val="20"/>
                <w:szCs w:val="16"/>
              </w:rPr>
            </w:pPr>
            <w:r w:rsidRPr="00056279">
              <w:rPr>
                <w:rFonts w:ascii="Verdana" w:hAnsi="Verdana"/>
                <w:sz w:val="20"/>
                <w:szCs w:val="16"/>
              </w:rPr>
              <w:t>9,5%</w:t>
            </w:r>
          </w:p>
        </w:tc>
        <w:tc>
          <w:tcPr>
            <w:tcW w:w="705" w:type="dxa"/>
            <w:noWrap/>
            <w:hideMark/>
          </w:tcPr>
          <w:p w:rsidRPr="00056279" w:rsidR="007A1B64" w:rsidP="00180EEB" w:rsidRDefault="007A1B64" w14:paraId="0386C3C9" w14:textId="77777777">
            <w:pPr>
              <w:suppressAutoHyphens/>
              <w:rPr>
                <w:rFonts w:ascii="Verdana" w:hAnsi="Verdana"/>
                <w:sz w:val="20"/>
                <w:szCs w:val="16"/>
              </w:rPr>
            </w:pPr>
            <w:r w:rsidRPr="00056279">
              <w:rPr>
                <w:rFonts w:ascii="Verdana" w:hAnsi="Verdana"/>
                <w:sz w:val="20"/>
                <w:szCs w:val="16"/>
              </w:rPr>
              <w:t>9,1%</w:t>
            </w:r>
          </w:p>
        </w:tc>
        <w:tc>
          <w:tcPr>
            <w:tcW w:w="705" w:type="dxa"/>
            <w:noWrap/>
            <w:hideMark/>
          </w:tcPr>
          <w:p w:rsidRPr="00056279" w:rsidR="007A1B64" w:rsidP="00180EEB" w:rsidRDefault="007A1B64" w14:paraId="6411B1BC" w14:textId="77777777">
            <w:pPr>
              <w:suppressAutoHyphens/>
              <w:rPr>
                <w:rFonts w:ascii="Verdana" w:hAnsi="Verdana"/>
                <w:sz w:val="20"/>
                <w:szCs w:val="16"/>
              </w:rPr>
            </w:pPr>
            <w:r w:rsidRPr="00056279">
              <w:rPr>
                <w:rFonts w:ascii="Verdana" w:hAnsi="Verdana"/>
                <w:sz w:val="20"/>
                <w:szCs w:val="16"/>
              </w:rPr>
              <w:t>8,9%</w:t>
            </w:r>
          </w:p>
        </w:tc>
        <w:tc>
          <w:tcPr>
            <w:tcW w:w="653" w:type="dxa"/>
            <w:noWrap/>
            <w:hideMark/>
          </w:tcPr>
          <w:p w:rsidRPr="00056279" w:rsidR="007A1B64" w:rsidP="00180EEB" w:rsidRDefault="007A1B64" w14:paraId="15DC7096" w14:textId="77777777">
            <w:pPr>
              <w:suppressAutoHyphens/>
              <w:rPr>
                <w:rFonts w:ascii="Verdana" w:hAnsi="Verdana"/>
                <w:sz w:val="20"/>
                <w:szCs w:val="16"/>
              </w:rPr>
            </w:pPr>
            <w:r w:rsidRPr="00056279">
              <w:rPr>
                <w:rFonts w:ascii="Verdana" w:hAnsi="Verdana"/>
                <w:sz w:val="20"/>
                <w:szCs w:val="16"/>
              </w:rPr>
              <w:t>8,7%</w:t>
            </w:r>
          </w:p>
        </w:tc>
      </w:tr>
    </w:tbl>
    <w:p w:rsidRPr="005F055E" w:rsidR="007A1B64" w:rsidP="00180EEB" w:rsidRDefault="007A1B64" w14:paraId="29683963" w14:textId="77777777">
      <w:pPr>
        <w:suppressAutoHyphens/>
        <w:rPr>
          <w:szCs w:val="18"/>
        </w:rPr>
      </w:pPr>
    </w:p>
    <w:p w:rsidRPr="005F055E" w:rsidR="007A1B64" w:rsidP="00180EEB" w:rsidRDefault="007A1B64" w14:paraId="0971E34A" w14:textId="7E4B03D4">
      <w:pPr>
        <w:suppressAutoHyphens/>
        <w:rPr>
          <w:szCs w:val="18"/>
        </w:rPr>
      </w:pPr>
      <w:r w:rsidRPr="005F055E">
        <w:rPr>
          <w:szCs w:val="18"/>
        </w:rPr>
        <w:t xml:space="preserve">De uitgaven van de extramurale geneesmiddelen zijn inclusief de terhandstellingskosten en daarmee gelijk aan de uitgaven apotheekzorg in de begroting. </w:t>
      </w:r>
    </w:p>
    <w:p w:rsidRPr="005F055E" w:rsidR="007A1B64" w:rsidP="00180EEB" w:rsidRDefault="007A1B64" w14:paraId="59ED935D" w14:textId="0CD9AA7F">
      <w:pPr>
        <w:suppressAutoHyphens/>
        <w:rPr>
          <w:szCs w:val="18"/>
        </w:rPr>
      </w:pPr>
      <w:r w:rsidRPr="005F055E">
        <w:rPr>
          <w:szCs w:val="18"/>
        </w:rPr>
        <w:t xml:space="preserve">De inzet van intramurale geneesmiddelen wordt op verschillende wijzen bekostigd. De uitgaven aan relatief duurdere intramuraal verstrekte geneesmiddelen (oftewel de </w:t>
      </w:r>
      <w:proofErr w:type="spellStart"/>
      <w:r w:rsidRPr="005F055E">
        <w:rPr>
          <w:szCs w:val="18"/>
        </w:rPr>
        <w:t>add</w:t>
      </w:r>
      <w:proofErr w:type="spellEnd"/>
      <w:r w:rsidRPr="005F055E">
        <w:rPr>
          <w:szCs w:val="18"/>
        </w:rPr>
        <w:t xml:space="preserve"> on geneesmiddelen) worden apart bekostigd. Deze kosten zijn dan ook opgenomen als kosten intramurale geneesmiddelen MSZ. De uitgaven aan de inzet van minder dure geneesmiddelen in instellingen van de medisch specialistische zorg zijn onderdeel van de integrale tarieven en worden dan ook niet apart bijgehouden. Deze kosten zijn dan ook niet meegenomen in de tabel. Dit geldt ook voor de inzet van geneesmiddelen bij behandeling in geneeskundige </w:t>
      </w:r>
      <w:r w:rsidR="00D55762">
        <w:rPr>
          <w:szCs w:val="18"/>
        </w:rPr>
        <w:t>GGZ</w:t>
      </w:r>
      <w:r w:rsidRPr="005F055E">
        <w:rPr>
          <w:szCs w:val="18"/>
        </w:rPr>
        <w:t xml:space="preserve">-instellingen die ook niet apart worden bekostigd. </w:t>
      </w:r>
    </w:p>
    <w:p w:rsidRPr="005F055E" w:rsidR="007A1B64" w:rsidP="00180EEB" w:rsidRDefault="007A1B64" w14:paraId="0A3B4336" w14:textId="77777777">
      <w:pPr>
        <w:suppressAutoHyphens/>
        <w:rPr>
          <w:szCs w:val="18"/>
        </w:rPr>
      </w:pPr>
      <w:r w:rsidRPr="005F055E">
        <w:rPr>
          <w:szCs w:val="18"/>
        </w:rPr>
        <w:t xml:space="preserve">De uitgaven zijn gebaseerd op cijfers van de zorgverzekeraars waar eventuele kortingen, financiële arrangementen en btw in zijn verwerkt. </w:t>
      </w:r>
    </w:p>
    <w:p w:rsidRPr="005F055E" w:rsidR="000478A7" w:rsidP="00180EEB" w:rsidRDefault="007A1B64" w14:paraId="00B84BC8" w14:textId="68794DA8">
      <w:pPr>
        <w:suppressAutoHyphens/>
        <w:rPr>
          <w:szCs w:val="18"/>
        </w:rPr>
      </w:pPr>
      <w:r w:rsidRPr="005F055E">
        <w:rPr>
          <w:szCs w:val="18"/>
        </w:rPr>
        <w:t xml:space="preserve">De inzet van geneesmiddelen in </w:t>
      </w:r>
      <w:proofErr w:type="spellStart"/>
      <w:r w:rsidRPr="005F055E">
        <w:rPr>
          <w:szCs w:val="18"/>
        </w:rPr>
        <w:t>Wlz</w:t>
      </w:r>
      <w:proofErr w:type="spellEnd"/>
      <w:r w:rsidRPr="005F055E">
        <w:rPr>
          <w:szCs w:val="18"/>
        </w:rPr>
        <w:t xml:space="preserve">-instellingen wordt ook niet apart bekostigd. Daar waar </w:t>
      </w:r>
      <w:proofErr w:type="spellStart"/>
      <w:r w:rsidRPr="005F055E">
        <w:rPr>
          <w:szCs w:val="18"/>
        </w:rPr>
        <w:t>Wlz</w:t>
      </w:r>
      <w:proofErr w:type="spellEnd"/>
      <w:r w:rsidRPr="005F055E">
        <w:rPr>
          <w:szCs w:val="18"/>
        </w:rPr>
        <w:t xml:space="preserve">-cliënten zorg met behandeling geleverd krijgen vanuit de </w:t>
      </w:r>
      <w:proofErr w:type="spellStart"/>
      <w:r w:rsidRPr="005F055E">
        <w:rPr>
          <w:szCs w:val="18"/>
        </w:rPr>
        <w:t>Wlz</w:t>
      </w:r>
      <w:proofErr w:type="spellEnd"/>
      <w:r w:rsidRPr="005F055E">
        <w:rPr>
          <w:szCs w:val="18"/>
        </w:rPr>
        <w:t xml:space="preserve">-instelling maakt dit onderdeel uit van de integrale tarieven. Cliënten zonder verblijf krijgen geneesmiddelen vanuit de Zorgverzekeringswet vergoed. </w:t>
      </w:r>
    </w:p>
    <w:p w:rsidRPr="005F055E" w:rsidR="007B58FB" w:rsidP="00180EEB" w:rsidRDefault="007B58FB" w14:paraId="5F8066A6" w14:textId="77777777">
      <w:pPr>
        <w:suppressAutoHyphens/>
      </w:pPr>
    </w:p>
    <w:p w:rsidRPr="005F055E" w:rsidR="000478A7" w:rsidP="00180EEB" w:rsidRDefault="003E7003" w14:paraId="307AADDB" w14:textId="77777777">
      <w:pPr>
        <w:suppressAutoHyphens/>
      </w:pPr>
      <w:r w:rsidRPr="005F055E">
        <w:t>Vraag 56</w:t>
      </w:r>
      <w:r w:rsidRPr="005F055E">
        <w:tab/>
      </w:r>
    </w:p>
    <w:p w:rsidRPr="005F055E" w:rsidR="000478A7" w:rsidP="00180EEB" w:rsidRDefault="003E7003" w14:paraId="76BB7340" w14:textId="77777777">
      <w:pPr>
        <w:suppressAutoHyphens/>
      </w:pPr>
      <w:r w:rsidRPr="005F055E">
        <w:t>Wat was/is het aandeel geneesmiddelen in de totale uitgaven aan medisch-specialistische zorg in de periode 2020-2025?</w:t>
      </w:r>
      <w:r w:rsidRPr="005F055E">
        <w:tab/>
      </w:r>
    </w:p>
    <w:p w:rsidRPr="005F055E" w:rsidR="003E7003" w:rsidP="00180EEB" w:rsidRDefault="003E7003" w14:paraId="32BA910E" w14:textId="6D6C81C6">
      <w:pPr>
        <w:suppressAutoHyphens/>
      </w:pPr>
      <w:r w:rsidRPr="005F055E">
        <w:t>Antwoord</w:t>
      </w:r>
    </w:p>
    <w:p w:rsidRPr="005F055E" w:rsidR="007A1B64" w:rsidP="00180EEB" w:rsidRDefault="007A1B64" w14:paraId="04DB1738" w14:textId="6A0C969B">
      <w:pPr>
        <w:suppressAutoHyphens/>
      </w:pPr>
      <w:bookmarkStart w:name="_Hlk211349721" w:id="13"/>
      <w:r w:rsidRPr="005F055E">
        <w:t xml:space="preserve">De inzet van intramurale geneesmiddelen wordt op verschillende wijzen bekostigd. De uitgaven aan relatief duurdere intramuraal verstrekte geneesmiddelen (oftewel de </w:t>
      </w:r>
      <w:proofErr w:type="spellStart"/>
      <w:r w:rsidRPr="005F055E">
        <w:t>add</w:t>
      </w:r>
      <w:proofErr w:type="spellEnd"/>
      <w:r w:rsidRPr="005F055E">
        <w:t xml:space="preserve"> on geneesmiddelen) worden apart bekostigd. Deze kosten zijn dan ook opgenomen als kosten intramurale geneesmiddelen MSZ. De uitgaven aan de inzet van minder dure geneesmiddelen in instellingen van de medisch specialistische zorg zijn onderdeel van de integrale tarieven en worden dan ook niet apart bijgehouden. Deze kosten zijn dan ook niet meegenomen in de tabel. </w:t>
      </w:r>
      <w:bookmarkEnd w:id="13"/>
    </w:p>
    <w:p w:rsidRPr="005F055E" w:rsidR="007A1B64" w:rsidP="00180EEB" w:rsidRDefault="007A1B64" w14:paraId="4EF754AA" w14:textId="7FFAA57A">
      <w:pPr>
        <w:suppressAutoHyphens/>
      </w:pPr>
      <w:r w:rsidRPr="005F055E">
        <w:t xml:space="preserve">Onderstaande tabel geeft de uitgaven aan intramuraal verstrekte </w:t>
      </w:r>
      <w:proofErr w:type="spellStart"/>
      <w:r w:rsidRPr="005F055E">
        <w:t>add-ons</w:t>
      </w:r>
      <w:proofErr w:type="spellEnd"/>
      <w:r w:rsidRPr="005F055E">
        <w:t xml:space="preserve"> geneesmiddelen weer in de periode 2020 t/m 2025. </w:t>
      </w:r>
    </w:p>
    <w:p w:rsidR="007A1B64" w:rsidP="00180EEB" w:rsidRDefault="007A1B64" w14:paraId="6D8B5AC5" w14:textId="7EFD1F73">
      <w:pPr>
        <w:suppressAutoHyphens/>
      </w:pPr>
      <w:r w:rsidRPr="005F055E">
        <w:t xml:space="preserve">De uitgaven zijn gebaseerd op cijfers van de zorgverzekeraars waar eventuele kortingen, financiële arrangementen en btw in zijn verwerkt. </w:t>
      </w:r>
    </w:p>
    <w:p w:rsidR="009873CE" w:rsidP="00180EEB" w:rsidRDefault="009873CE" w14:paraId="605127E2" w14:textId="77777777">
      <w:pPr>
        <w:suppressAutoHyphens/>
      </w:pPr>
    </w:p>
    <w:p w:rsidR="009873CE" w:rsidP="00180EEB" w:rsidRDefault="009873CE" w14:paraId="1159953D" w14:textId="77777777">
      <w:pPr>
        <w:suppressAutoHyphens/>
      </w:pPr>
    </w:p>
    <w:p w:rsidRPr="005F055E" w:rsidR="009873CE" w:rsidP="00180EEB" w:rsidRDefault="009873CE" w14:paraId="1C35E3D2" w14:textId="77777777">
      <w:pPr>
        <w:suppressAutoHyphens/>
      </w:pPr>
    </w:p>
    <w:tbl>
      <w:tblPr>
        <w:tblStyle w:val="Tabelraster"/>
        <w:tblW w:w="0" w:type="auto"/>
        <w:tblLook w:val="04A0" w:firstRow="1" w:lastRow="0" w:firstColumn="1" w:lastColumn="0" w:noHBand="0" w:noVBand="1"/>
      </w:tblPr>
      <w:tblGrid>
        <w:gridCol w:w="4158"/>
        <w:gridCol w:w="785"/>
        <w:gridCol w:w="886"/>
        <w:gridCol w:w="785"/>
        <w:gridCol w:w="785"/>
        <w:gridCol w:w="833"/>
        <w:gridCol w:w="785"/>
      </w:tblGrid>
      <w:tr w:rsidRPr="005F055E" w:rsidR="007A1B64" w:rsidTr="005E2643" w14:paraId="6FF942A5" w14:textId="77777777">
        <w:tc>
          <w:tcPr>
            <w:tcW w:w="4472" w:type="dxa"/>
          </w:tcPr>
          <w:p w:rsidRPr="00056279" w:rsidR="007A1B64" w:rsidP="00180EEB" w:rsidRDefault="007A1B64" w14:paraId="16262172" w14:textId="77777777">
            <w:pPr>
              <w:suppressAutoHyphens/>
              <w:rPr>
                <w:rFonts w:ascii="Verdana" w:hAnsi="Verdana"/>
                <w:b/>
                <w:bCs/>
                <w:sz w:val="20"/>
                <w:szCs w:val="20"/>
              </w:rPr>
            </w:pPr>
            <w:r w:rsidRPr="00056279">
              <w:rPr>
                <w:rFonts w:ascii="Verdana" w:hAnsi="Verdana"/>
                <w:b/>
                <w:bCs/>
                <w:sz w:val="20"/>
                <w:szCs w:val="20"/>
              </w:rPr>
              <w:t xml:space="preserve">Uitgaven geneesmiddelen </w:t>
            </w:r>
          </w:p>
          <w:p w:rsidRPr="00056279" w:rsidR="007A1B64" w:rsidP="00180EEB" w:rsidRDefault="007A1B64" w14:paraId="4FDDC464" w14:textId="77777777">
            <w:pPr>
              <w:suppressAutoHyphens/>
              <w:rPr>
                <w:rFonts w:ascii="Verdana" w:hAnsi="Verdana"/>
                <w:sz w:val="20"/>
                <w:szCs w:val="20"/>
              </w:rPr>
            </w:pPr>
            <w:r w:rsidRPr="00056279">
              <w:rPr>
                <w:rFonts w:ascii="Verdana" w:hAnsi="Verdana"/>
                <w:sz w:val="20"/>
                <w:szCs w:val="20"/>
              </w:rPr>
              <w:t>(in miljarden euro)</w:t>
            </w:r>
          </w:p>
        </w:tc>
        <w:tc>
          <w:tcPr>
            <w:tcW w:w="747" w:type="dxa"/>
          </w:tcPr>
          <w:p w:rsidRPr="00056279" w:rsidR="007A1B64" w:rsidP="00180EEB" w:rsidRDefault="007A1B64" w14:paraId="09C41017" w14:textId="77777777">
            <w:pPr>
              <w:suppressAutoHyphens/>
              <w:rPr>
                <w:rFonts w:ascii="Verdana" w:hAnsi="Verdana"/>
                <w:b/>
                <w:bCs/>
                <w:sz w:val="20"/>
                <w:szCs w:val="20"/>
              </w:rPr>
            </w:pPr>
            <w:r w:rsidRPr="00056279">
              <w:rPr>
                <w:rFonts w:ascii="Verdana" w:hAnsi="Verdana"/>
                <w:b/>
                <w:bCs/>
                <w:sz w:val="20"/>
                <w:szCs w:val="20"/>
              </w:rPr>
              <w:t>2020</w:t>
            </w:r>
          </w:p>
        </w:tc>
        <w:tc>
          <w:tcPr>
            <w:tcW w:w="819" w:type="dxa"/>
          </w:tcPr>
          <w:p w:rsidRPr="00056279" w:rsidR="007A1B64" w:rsidP="00180EEB" w:rsidRDefault="007A1B64" w14:paraId="41A9FB14" w14:textId="77777777">
            <w:pPr>
              <w:suppressAutoHyphens/>
              <w:rPr>
                <w:rFonts w:ascii="Verdana" w:hAnsi="Verdana"/>
                <w:b/>
                <w:bCs/>
                <w:sz w:val="20"/>
                <w:szCs w:val="20"/>
              </w:rPr>
            </w:pPr>
            <w:r w:rsidRPr="00056279">
              <w:rPr>
                <w:rFonts w:ascii="Verdana" w:hAnsi="Verdana"/>
                <w:b/>
                <w:bCs/>
                <w:sz w:val="20"/>
                <w:szCs w:val="20"/>
              </w:rPr>
              <w:t>2021</w:t>
            </w:r>
          </w:p>
        </w:tc>
        <w:tc>
          <w:tcPr>
            <w:tcW w:w="728" w:type="dxa"/>
          </w:tcPr>
          <w:p w:rsidRPr="00056279" w:rsidR="007A1B64" w:rsidP="00180EEB" w:rsidRDefault="007A1B64" w14:paraId="3111F500" w14:textId="77777777">
            <w:pPr>
              <w:suppressAutoHyphens/>
              <w:rPr>
                <w:rFonts w:ascii="Verdana" w:hAnsi="Verdana"/>
                <w:b/>
                <w:bCs/>
                <w:sz w:val="20"/>
                <w:szCs w:val="20"/>
              </w:rPr>
            </w:pPr>
            <w:r w:rsidRPr="00056279">
              <w:rPr>
                <w:rFonts w:ascii="Verdana" w:hAnsi="Verdana"/>
                <w:b/>
                <w:bCs/>
                <w:sz w:val="20"/>
                <w:szCs w:val="20"/>
              </w:rPr>
              <w:t>2022</w:t>
            </w:r>
          </w:p>
        </w:tc>
        <w:tc>
          <w:tcPr>
            <w:tcW w:w="728" w:type="dxa"/>
          </w:tcPr>
          <w:p w:rsidRPr="00056279" w:rsidR="007A1B64" w:rsidP="00180EEB" w:rsidRDefault="007A1B64" w14:paraId="18F0C676" w14:textId="77777777">
            <w:pPr>
              <w:suppressAutoHyphens/>
              <w:rPr>
                <w:rFonts w:ascii="Verdana" w:hAnsi="Verdana"/>
                <w:b/>
                <w:bCs/>
                <w:sz w:val="20"/>
                <w:szCs w:val="20"/>
              </w:rPr>
            </w:pPr>
            <w:r w:rsidRPr="00056279">
              <w:rPr>
                <w:rFonts w:ascii="Verdana" w:hAnsi="Verdana"/>
                <w:b/>
                <w:bCs/>
                <w:sz w:val="20"/>
                <w:szCs w:val="20"/>
              </w:rPr>
              <w:t>2023</w:t>
            </w:r>
          </w:p>
        </w:tc>
        <w:tc>
          <w:tcPr>
            <w:tcW w:w="840" w:type="dxa"/>
          </w:tcPr>
          <w:p w:rsidRPr="00056279" w:rsidR="007A1B64" w:rsidP="00180EEB" w:rsidRDefault="007A1B64" w14:paraId="67FA5EF4" w14:textId="77777777">
            <w:pPr>
              <w:suppressAutoHyphens/>
              <w:rPr>
                <w:rFonts w:ascii="Verdana" w:hAnsi="Verdana"/>
                <w:b/>
                <w:bCs/>
                <w:sz w:val="20"/>
                <w:szCs w:val="20"/>
              </w:rPr>
            </w:pPr>
            <w:r w:rsidRPr="00056279">
              <w:rPr>
                <w:rFonts w:ascii="Verdana" w:hAnsi="Verdana"/>
                <w:b/>
                <w:bCs/>
                <w:sz w:val="20"/>
                <w:szCs w:val="20"/>
              </w:rPr>
              <w:t>2024</w:t>
            </w:r>
          </w:p>
        </w:tc>
        <w:tc>
          <w:tcPr>
            <w:tcW w:w="728" w:type="dxa"/>
          </w:tcPr>
          <w:p w:rsidRPr="00056279" w:rsidR="007A1B64" w:rsidP="00180EEB" w:rsidRDefault="007A1B64" w14:paraId="0B19986D" w14:textId="77777777">
            <w:pPr>
              <w:suppressAutoHyphens/>
              <w:rPr>
                <w:rFonts w:ascii="Verdana" w:hAnsi="Verdana"/>
                <w:b/>
                <w:bCs/>
                <w:sz w:val="20"/>
                <w:szCs w:val="20"/>
              </w:rPr>
            </w:pPr>
            <w:r w:rsidRPr="00056279">
              <w:rPr>
                <w:rFonts w:ascii="Verdana" w:hAnsi="Verdana"/>
                <w:b/>
                <w:bCs/>
                <w:sz w:val="20"/>
                <w:szCs w:val="20"/>
              </w:rPr>
              <w:t>2025</w:t>
            </w:r>
          </w:p>
        </w:tc>
      </w:tr>
      <w:tr w:rsidRPr="005F055E" w:rsidR="007A1B64" w:rsidTr="005E2643" w14:paraId="10035349" w14:textId="77777777">
        <w:tc>
          <w:tcPr>
            <w:tcW w:w="4472" w:type="dxa"/>
          </w:tcPr>
          <w:p w:rsidRPr="00056279" w:rsidR="007A1B64" w:rsidP="00180EEB" w:rsidRDefault="007A1B64" w14:paraId="487EA4DC" w14:textId="77777777">
            <w:pPr>
              <w:suppressAutoHyphens/>
              <w:rPr>
                <w:rFonts w:ascii="Verdana" w:hAnsi="Verdana"/>
                <w:sz w:val="20"/>
                <w:szCs w:val="20"/>
              </w:rPr>
            </w:pPr>
            <w:r w:rsidRPr="00056279">
              <w:rPr>
                <w:rFonts w:ascii="Verdana" w:hAnsi="Verdana"/>
                <w:sz w:val="20"/>
                <w:szCs w:val="20"/>
              </w:rPr>
              <w:t>Intramuraal verstrekte geneesmiddelen</w:t>
            </w:r>
          </w:p>
        </w:tc>
        <w:tc>
          <w:tcPr>
            <w:tcW w:w="747" w:type="dxa"/>
          </w:tcPr>
          <w:p w:rsidRPr="00056279" w:rsidR="007A1B64" w:rsidP="00180EEB" w:rsidRDefault="007A1B64" w14:paraId="3D875B92" w14:textId="77777777">
            <w:pPr>
              <w:suppressAutoHyphens/>
              <w:rPr>
                <w:rFonts w:ascii="Verdana" w:hAnsi="Verdana"/>
                <w:sz w:val="20"/>
                <w:szCs w:val="20"/>
              </w:rPr>
            </w:pPr>
            <w:r w:rsidRPr="00056279">
              <w:rPr>
                <w:rFonts w:ascii="Verdana" w:hAnsi="Verdana"/>
                <w:sz w:val="20"/>
                <w:szCs w:val="20"/>
              </w:rPr>
              <w:t xml:space="preserve"> 2,3 </w:t>
            </w:r>
          </w:p>
        </w:tc>
        <w:tc>
          <w:tcPr>
            <w:tcW w:w="819" w:type="dxa"/>
          </w:tcPr>
          <w:p w:rsidRPr="00056279" w:rsidR="007A1B64" w:rsidP="00180EEB" w:rsidRDefault="007A1B64" w14:paraId="0CD0CD1A" w14:textId="77777777">
            <w:pPr>
              <w:suppressAutoHyphens/>
              <w:rPr>
                <w:rFonts w:ascii="Verdana" w:hAnsi="Verdana"/>
                <w:sz w:val="20"/>
                <w:szCs w:val="20"/>
              </w:rPr>
            </w:pPr>
            <w:r w:rsidRPr="00056279">
              <w:rPr>
                <w:rFonts w:ascii="Verdana" w:hAnsi="Verdana"/>
                <w:sz w:val="20"/>
                <w:szCs w:val="20"/>
              </w:rPr>
              <w:t xml:space="preserve"> 2,6 </w:t>
            </w:r>
          </w:p>
        </w:tc>
        <w:tc>
          <w:tcPr>
            <w:tcW w:w="728" w:type="dxa"/>
          </w:tcPr>
          <w:p w:rsidRPr="00056279" w:rsidR="007A1B64" w:rsidP="00180EEB" w:rsidRDefault="007A1B64" w14:paraId="415928D9" w14:textId="77777777">
            <w:pPr>
              <w:suppressAutoHyphens/>
              <w:rPr>
                <w:rFonts w:ascii="Verdana" w:hAnsi="Verdana"/>
                <w:sz w:val="20"/>
                <w:szCs w:val="20"/>
              </w:rPr>
            </w:pPr>
            <w:r w:rsidRPr="00056279">
              <w:rPr>
                <w:rFonts w:ascii="Verdana" w:hAnsi="Verdana"/>
                <w:sz w:val="20"/>
                <w:szCs w:val="20"/>
              </w:rPr>
              <w:t xml:space="preserve"> 2,5 </w:t>
            </w:r>
          </w:p>
        </w:tc>
        <w:tc>
          <w:tcPr>
            <w:tcW w:w="728" w:type="dxa"/>
          </w:tcPr>
          <w:p w:rsidRPr="00056279" w:rsidR="007A1B64" w:rsidP="00180EEB" w:rsidRDefault="007A1B64" w14:paraId="1480F4D6" w14:textId="77777777">
            <w:pPr>
              <w:suppressAutoHyphens/>
              <w:rPr>
                <w:rFonts w:ascii="Verdana" w:hAnsi="Verdana"/>
                <w:sz w:val="20"/>
                <w:szCs w:val="20"/>
              </w:rPr>
            </w:pPr>
            <w:r w:rsidRPr="00056279">
              <w:rPr>
                <w:rFonts w:ascii="Verdana" w:hAnsi="Verdana"/>
                <w:sz w:val="20"/>
                <w:szCs w:val="20"/>
              </w:rPr>
              <w:t xml:space="preserve"> 2,6 </w:t>
            </w:r>
          </w:p>
        </w:tc>
        <w:tc>
          <w:tcPr>
            <w:tcW w:w="840" w:type="dxa"/>
          </w:tcPr>
          <w:p w:rsidRPr="00056279" w:rsidR="007A1B64" w:rsidP="00180EEB" w:rsidRDefault="007A1B64" w14:paraId="323D6DB7" w14:textId="77777777">
            <w:pPr>
              <w:suppressAutoHyphens/>
              <w:rPr>
                <w:rFonts w:ascii="Verdana" w:hAnsi="Verdana"/>
                <w:sz w:val="20"/>
                <w:szCs w:val="20"/>
              </w:rPr>
            </w:pPr>
            <w:r w:rsidRPr="00056279">
              <w:rPr>
                <w:rFonts w:ascii="Verdana" w:hAnsi="Verdana"/>
                <w:sz w:val="20"/>
                <w:szCs w:val="20"/>
              </w:rPr>
              <w:t xml:space="preserve"> 2,7 </w:t>
            </w:r>
          </w:p>
        </w:tc>
        <w:tc>
          <w:tcPr>
            <w:tcW w:w="728" w:type="dxa"/>
          </w:tcPr>
          <w:p w:rsidRPr="00056279" w:rsidR="007A1B64" w:rsidP="00180EEB" w:rsidRDefault="007A1B64" w14:paraId="79A6D341" w14:textId="77777777">
            <w:pPr>
              <w:suppressAutoHyphens/>
              <w:rPr>
                <w:rFonts w:ascii="Verdana" w:hAnsi="Verdana"/>
                <w:sz w:val="20"/>
                <w:szCs w:val="20"/>
              </w:rPr>
            </w:pPr>
            <w:r w:rsidRPr="00056279">
              <w:rPr>
                <w:rFonts w:ascii="Verdana" w:hAnsi="Verdana"/>
                <w:sz w:val="20"/>
                <w:szCs w:val="20"/>
              </w:rPr>
              <w:t xml:space="preserve"> 2,7 </w:t>
            </w:r>
          </w:p>
        </w:tc>
      </w:tr>
      <w:tr w:rsidRPr="005F055E" w:rsidR="007A1B64" w:rsidTr="005E2643" w14:paraId="3F0C2419" w14:textId="77777777">
        <w:tc>
          <w:tcPr>
            <w:tcW w:w="4472" w:type="dxa"/>
          </w:tcPr>
          <w:p w:rsidRPr="00056279" w:rsidR="007A1B64" w:rsidP="00180EEB" w:rsidRDefault="007A1B64" w14:paraId="6A9ED5EF" w14:textId="77777777">
            <w:pPr>
              <w:suppressAutoHyphens/>
              <w:rPr>
                <w:rFonts w:ascii="Verdana" w:hAnsi="Verdana"/>
                <w:sz w:val="20"/>
                <w:szCs w:val="20"/>
              </w:rPr>
            </w:pPr>
            <w:r w:rsidRPr="00056279">
              <w:rPr>
                <w:rFonts w:ascii="Verdana" w:hAnsi="Verdana"/>
                <w:sz w:val="20"/>
                <w:szCs w:val="20"/>
              </w:rPr>
              <w:t>Kosten totale MSZ</w:t>
            </w:r>
          </w:p>
        </w:tc>
        <w:tc>
          <w:tcPr>
            <w:tcW w:w="747" w:type="dxa"/>
          </w:tcPr>
          <w:p w:rsidRPr="00056279" w:rsidR="007A1B64" w:rsidP="00180EEB" w:rsidRDefault="007A1B64" w14:paraId="6A82176D" w14:textId="77777777">
            <w:pPr>
              <w:suppressAutoHyphens/>
              <w:rPr>
                <w:rFonts w:ascii="Verdana" w:hAnsi="Verdana"/>
                <w:sz w:val="20"/>
                <w:szCs w:val="20"/>
              </w:rPr>
            </w:pPr>
            <w:r w:rsidRPr="00056279">
              <w:rPr>
                <w:rFonts w:ascii="Verdana" w:hAnsi="Verdana"/>
                <w:sz w:val="20"/>
                <w:szCs w:val="20"/>
              </w:rPr>
              <w:t xml:space="preserve"> 24,7 </w:t>
            </w:r>
          </w:p>
        </w:tc>
        <w:tc>
          <w:tcPr>
            <w:tcW w:w="819" w:type="dxa"/>
          </w:tcPr>
          <w:p w:rsidRPr="00056279" w:rsidR="007A1B64" w:rsidP="00180EEB" w:rsidRDefault="007A1B64" w14:paraId="1BC99621" w14:textId="77777777">
            <w:pPr>
              <w:suppressAutoHyphens/>
              <w:rPr>
                <w:rFonts w:ascii="Verdana" w:hAnsi="Verdana"/>
                <w:sz w:val="20"/>
                <w:szCs w:val="20"/>
              </w:rPr>
            </w:pPr>
            <w:r w:rsidRPr="00056279">
              <w:rPr>
                <w:rFonts w:ascii="Verdana" w:hAnsi="Verdana"/>
                <w:sz w:val="20"/>
                <w:szCs w:val="20"/>
              </w:rPr>
              <w:t xml:space="preserve"> 25,6 </w:t>
            </w:r>
          </w:p>
        </w:tc>
        <w:tc>
          <w:tcPr>
            <w:tcW w:w="728" w:type="dxa"/>
          </w:tcPr>
          <w:p w:rsidRPr="00056279" w:rsidR="007A1B64" w:rsidP="00180EEB" w:rsidRDefault="007A1B64" w14:paraId="1F912830" w14:textId="77777777">
            <w:pPr>
              <w:suppressAutoHyphens/>
              <w:rPr>
                <w:rFonts w:ascii="Verdana" w:hAnsi="Verdana"/>
                <w:sz w:val="20"/>
                <w:szCs w:val="20"/>
              </w:rPr>
            </w:pPr>
            <w:r w:rsidRPr="00056279">
              <w:rPr>
                <w:rFonts w:ascii="Verdana" w:hAnsi="Verdana"/>
                <w:sz w:val="20"/>
                <w:szCs w:val="20"/>
              </w:rPr>
              <w:t xml:space="preserve"> 26,3 </w:t>
            </w:r>
          </w:p>
        </w:tc>
        <w:tc>
          <w:tcPr>
            <w:tcW w:w="728" w:type="dxa"/>
          </w:tcPr>
          <w:p w:rsidRPr="00056279" w:rsidR="007A1B64" w:rsidP="00180EEB" w:rsidRDefault="007A1B64" w14:paraId="1EBF75C2" w14:textId="77777777">
            <w:pPr>
              <w:suppressAutoHyphens/>
              <w:rPr>
                <w:rFonts w:ascii="Verdana" w:hAnsi="Verdana"/>
                <w:sz w:val="20"/>
                <w:szCs w:val="20"/>
              </w:rPr>
            </w:pPr>
            <w:r w:rsidRPr="00056279">
              <w:rPr>
                <w:rFonts w:ascii="Verdana" w:hAnsi="Verdana"/>
                <w:sz w:val="20"/>
                <w:szCs w:val="20"/>
              </w:rPr>
              <w:t xml:space="preserve"> 28,0 </w:t>
            </w:r>
          </w:p>
        </w:tc>
        <w:tc>
          <w:tcPr>
            <w:tcW w:w="840" w:type="dxa"/>
          </w:tcPr>
          <w:p w:rsidRPr="00056279" w:rsidR="007A1B64" w:rsidP="00180EEB" w:rsidRDefault="007A1B64" w14:paraId="32154F6C" w14:textId="77777777">
            <w:pPr>
              <w:suppressAutoHyphens/>
              <w:rPr>
                <w:rFonts w:ascii="Verdana" w:hAnsi="Verdana"/>
                <w:sz w:val="20"/>
                <w:szCs w:val="20"/>
              </w:rPr>
            </w:pPr>
            <w:r w:rsidRPr="00056279">
              <w:rPr>
                <w:rFonts w:ascii="Verdana" w:hAnsi="Verdana"/>
                <w:sz w:val="20"/>
                <w:szCs w:val="20"/>
              </w:rPr>
              <w:t xml:space="preserve"> 30,1 </w:t>
            </w:r>
          </w:p>
        </w:tc>
        <w:tc>
          <w:tcPr>
            <w:tcW w:w="728" w:type="dxa"/>
          </w:tcPr>
          <w:p w:rsidRPr="00056279" w:rsidR="007A1B64" w:rsidP="00180EEB" w:rsidRDefault="007A1B64" w14:paraId="7694A1B2" w14:textId="77777777">
            <w:pPr>
              <w:suppressAutoHyphens/>
              <w:rPr>
                <w:rFonts w:ascii="Verdana" w:hAnsi="Verdana"/>
                <w:sz w:val="20"/>
                <w:szCs w:val="20"/>
              </w:rPr>
            </w:pPr>
            <w:r w:rsidRPr="00056279">
              <w:rPr>
                <w:rFonts w:ascii="Verdana" w:hAnsi="Verdana"/>
                <w:sz w:val="20"/>
                <w:szCs w:val="20"/>
              </w:rPr>
              <w:t xml:space="preserve"> 31,7 </w:t>
            </w:r>
          </w:p>
        </w:tc>
      </w:tr>
      <w:tr w:rsidRPr="005F055E" w:rsidR="007A1B64" w:rsidTr="005E2643" w14:paraId="0C1870AC" w14:textId="77777777">
        <w:tc>
          <w:tcPr>
            <w:tcW w:w="4472" w:type="dxa"/>
          </w:tcPr>
          <w:p w:rsidRPr="00056279" w:rsidR="007A1B64" w:rsidP="00180EEB" w:rsidRDefault="007A1B64" w14:paraId="4FD1A56D" w14:textId="77777777">
            <w:pPr>
              <w:suppressAutoHyphens/>
              <w:rPr>
                <w:rFonts w:ascii="Verdana" w:hAnsi="Verdana"/>
                <w:i/>
                <w:iCs/>
                <w:sz w:val="20"/>
                <w:szCs w:val="20"/>
              </w:rPr>
            </w:pPr>
            <w:r w:rsidRPr="00056279">
              <w:rPr>
                <w:rFonts w:ascii="Verdana" w:hAnsi="Verdana"/>
                <w:i/>
                <w:iCs/>
                <w:sz w:val="20"/>
                <w:szCs w:val="20"/>
              </w:rPr>
              <w:t>Aandeel (in %)</w:t>
            </w:r>
          </w:p>
        </w:tc>
        <w:tc>
          <w:tcPr>
            <w:tcW w:w="747" w:type="dxa"/>
          </w:tcPr>
          <w:p w:rsidRPr="00056279" w:rsidR="007A1B64" w:rsidP="00180EEB" w:rsidRDefault="007A1B64" w14:paraId="38C43857" w14:textId="77777777">
            <w:pPr>
              <w:suppressAutoHyphens/>
              <w:rPr>
                <w:rFonts w:ascii="Verdana" w:hAnsi="Verdana"/>
                <w:i/>
                <w:iCs/>
                <w:sz w:val="20"/>
                <w:szCs w:val="20"/>
              </w:rPr>
            </w:pPr>
            <w:r w:rsidRPr="00056279">
              <w:rPr>
                <w:rFonts w:ascii="Verdana" w:hAnsi="Verdana"/>
                <w:i/>
                <w:iCs/>
                <w:sz w:val="20"/>
                <w:szCs w:val="20"/>
              </w:rPr>
              <w:t>9,5%</w:t>
            </w:r>
          </w:p>
        </w:tc>
        <w:tc>
          <w:tcPr>
            <w:tcW w:w="819" w:type="dxa"/>
          </w:tcPr>
          <w:p w:rsidRPr="00056279" w:rsidR="007A1B64" w:rsidP="00180EEB" w:rsidRDefault="007A1B64" w14:paraId="5AB2311A" w14:textId="77777777">
            <w:pPr>
              <w:suppressAutoHyphens/>
              <w:rPr>
                <w:rFonts w:ascii="Verdana" w:hAnsi="Verdana"/>
                <w:i/>
                <w:iCs/>
                <w:sz w:val="20"/>
                <w:szCs w:val="20"/>
              </w:rPr>
            </w:pPr>
            <w:r w:rsidRPr="00056279">
              <w:rPr>
                <w:rFonts w:ascii="Verdana" w:hAnsi="Verdana"/>
                <w:i/>
                <w:iCs/>
                <w:sz w:val="20"/>
                <w:szCs w:val="20"/>
              </w:rPr>
              <w:t>10,0%</w:t>
            </w:r>
          </w:p>
        </w:tc>
        <w:tc>
          <w:tcPr>
            <w:tcW w:w="728" w:type="dxa"/>
          </w:tcPr>
          <w:p w:rsidRPr="00056279" w:rsidR="007A1B64" w:rsidP="00180EEB" w:rsidRDefault="007A1B64" w14:paraId="0112A7F0" w14:textId="77777777">
            <w:pPr>
              <w:suppressAutoHyphens/>
              <w:rPr>
                <w:rFonts w:ascii="Verdana" w:hAnsi="Verdana"/>
                <w:i/>
                <w:iCs/>
                <w:sz w:val="20"/>
                <w:szCs w:val="20"/>
              </w:rPr>
            </w:pPr>
            <w:r w:rsidRPr="00056279">
              <w:rPr>
                <w:rFonts w:ascii="Verdana" w:hAnsi="Verdana"/>
                <w:i/>
                <w:iCs/>
                <w:sz w:val="20"/>
                <w:szCs w:val="20"/>
              </w:rPr>
              <w:t>9,7%</w:t>
            </w:r>
          </w:p>
        </w:tc>
        <w:tc>
          <w:tcPr>
            <w:tcW w:w="728" w:type="dxa"/>
          </w:tcPr>
          <w:p w:rsidRPr="00056279" w:rsidR="007A1B64" w:rsidP="00180EEB" w:rsidRDefault="007A1B64" w14:paraId="43C14E78" w14:textId="77777777">
            <w:pPr>
              <w:suppressAutoHyphens/>
              <w:rPr>
                <w:rFonts w:ascii="Verdana" w:hAnsi="Verdana"/>
                <w:i/>
                <w:iCs/>
                <w:sz w:val="20"/>
                <w:szCs w:val="20"/>
              </w:rPr>
            </w:pPr>
            <w:r w:rsidRPr="00056279">
              <w:rPr>
                <w:rFonts w:ascii="Verdana" w:hAnsi="Verdana"/>
                <w:i/>
                <w:iCs/>
                <w:sz w:val="20"/>
                <w:szCs w:val="20"/>
              </w:rPr>
              <w:t>9,2%</w:t>
            </w:r>
          </w:p>
        </w:tc>
        <w:tc>
          <w:tcPr>
            <w:tcW w:w="840" w:type="dxa"/>
          </w:tcPr>
          <w:p w:rsidRPr="00056279" w:rsidR="007A1B64" w:rsidP="00180EEB" w:rsidRDefault="007A1B64" w14:paraId="69EC38D8" w14:textId="77777777">
            <w:pPr>
              <w:suppressAutoHyphens/>
              <w:rPr>
                <w:rFonts w:ascii="Verdana" w:hAnsi="Verdana"/>
                <w:i/>
                <w:iCs/>
                <w:sz w:val="20"/>
                <w:szCs w:val="20"/>
              </w:rPr>
            </w:pPr>
            <w:r w:rsidRPr="00056279">
              <w:rPr>
                <w:rFonts w:ascii="Verdana" w:hAnsi="Verdana"/>
                <w:i/>
                <w:iCs/>
                <w:sz w:val="20"/>
                <w:szCs w:val="20"/>
              </w:rPr>
              <w:t>8,9%</w:t>
            </w:r>
          </w:p>
        </w:tc>
        <w:tc>
          <w:tcPr>
            <w:tcW w:w="728" w:type="dxa"/>
          </w:tcPr>
          <w:p w:rsidRPr="00056279" w:rsidR="007A1B64" w:rsidP="00180EEB" w:rsidRDefault="007A1B64" w14:paraId="264DA750" w14:textId="77777777">
            <w:pPr>
              <w:suppressAutoHyphens/>
              <w:rPr>
                <w:rFonts w:ascii="Verdana" w:hAnsi="Verdana"/>
                <w:i/>
                <w:iCs/>
                <w:sz w:val="20"/>
                <w:szCs w:val="20"/>
              </w:rPr>
            </w:pPr>
            <w:r w:rsidRPr="00056279">
              <w:rPr>
                <w:rFonts w:ascii="Verdana" w:hAnsi="Verdana"/>
                <w:i/>
                <w:iCs/>
                <w:sz w:val="20"/>
                <w:szCs w:val="20"/>
              </w:rPr>
              <w:t>8,6%</w:t>
            </w:r>
          </w:p>
        </w:tc>
      </w:tr>
    </w:tbl>
    <w:p w:rsidRPr="005F055E" w:rsidR="000478A7" w:rsidP="00180EEB" w:rsidRDefault="000478A7" w14:paraId="35616A71" w14:textId="3AC81280">
      <w:pPr>
        <w:suppressAutoHyphens/>
      </w:pPr>
    </w:p>
    <w:p w:rsidRPr="005F055E" w:rsidR="000478A7" w:rsidP="00180EEB" w:rsidRDefault="003E7003" w14:paraId="6597D99C" w14:textId="77777777">
      <w:pPr>
        <w:suppressAutoHyphens/>
      </w:pPr>
      <w:r w:rsidRPr="005F055E">
        <w:t>Vraag 57</w:t>
      </w:r>
      <w:r w:rsidRPr="005F055E">
        <w:tab/>
      </w:r>
    </w:p>
    <w:p w:rsidRPr="005F055E" w:rsidR="000478A7" w:rsidP="00180EEB" w:rsidRDefault="003E7003" w14:paraId="1FFD5320" w14:textId="77777777">
      <w:pPr>
        <w:suppressAutoHyphens/>
      </w:pPr>
      <w:r w:rsidRPr="005F055E">
        <w:t>Wat waren de (bruto en netto) uitgaven aan geneesmiddelen in de medisch specialistische zorg (intramuraal) en de apotheekzorg (extramuraal) het afgelopen jaar?</w:t>
      </w:r>
      <w:r w:rsidRPr="005F055E">
        <w:tab/>
      </w:r>
    </w:p>
    <w:p w:rsidRPr="005F055E" w:rsidR="003E7003" w:rsidP="00180EEB" w:rsidRDefault="003E7003" w14:paraId="3A5B870D" w14:textId="0D841A9B">
      <w:pPr>
        <w:suppressAutoHyphens/>
      </w:pPr>
      <w:r w:rsidRPr="005F055E">
        <w:t>Antwoord</w:t>
      </w:r>
    </w:p>
    <w:p w:rsidRPr="005F055E" w:rsidR="007A1B64" w:rsidP="00180EEB" w:rsidRDefault="007A1B64" w14:paraId="2CEBDFF7" w14:textId="72630679">
      <w:pPr>
        <w:suppressAutoHyphens/>
      </w:pPr>
      <w:r w:rsidRPr="005F055E">
        <w:t xml:space="preserve">In onderstaande tabel staan de netto-uitgaven aan geneesmiddelen in de medisch specialistische </w:t>
      </w:r>
      <w:bookmarkStart w:name="_Hlk211416896" w:id="14"/>
      <w:r w:rsidRPr="005F055E">
        <w:t xml:space="preserve">zorg (intramuraal) en de apotheekzorg (extramuraal) in 2024. VWS beschikt niet over bronnen die een volledig en representatief beeld kunnen geven van de bruto-uitgaven aan geneesmiddelen. </w:t>
      </w:r>
    </w:p>
    <w:p w:rsidRPr="005F055E" w:rsidR="007A1B64" w:rsidP="00180EEB" w:rsidRDefault="007A1B64" w14:paraId="27D58CE9" w14:textId="5BFC4FC9">
      <w:pPr>
        <w:suppressAutoHyphens/>
      </w:pPr>
      <w:r w:rsidRPr="005F055E">
        <w:t xml:space="preserve">De netto-uitgaven van de extramurale geneesmiddelen zijn inclusief de terhandstellingskosten en daarmee gelijk aan de uitgaven apotheekzorg in de begroting. </w:t>
      </w:r>
    </w:p>
    <w:p w:rsidRPr="005F055E" w:rsidR="007A1B64" w:rsidP="00180EEB" w:rsidRDefault="007A1B64" w14:paraId="71BBB334" w14:textId="12816204">
      <w:pPr>
        <w:suppressAutoHyphens/>
      </w:pPr>
      <w:bookmarkStart w:name="_Hlk211269805" w:id="15"/>
      <w:r w:rsidRPr="005F055E">
        <w:t xml:space="preserve">De inzet van intramurale geneesmiddelen wordt op verschillende wijzen bekostigd. De uitgaven aan relatief duurdere intramuraal verstrekte geneesmiddelen (oftewel de </w:t>
      </w:r>
      <w:proofErr w:type="spellStart"/>
      <w:r w:rsidRPr="005F055E">
        <w:t>add</w:t>
      </w:r>
      <w:proofErr w:type="spellEnd"/>
      <w:r w:rsidRPr="005F055E">
        <w:t xml:space="preserve"> on geneesmiddelen) worden apart bekostigd. Deze kosten zijn dan ook opgenomen als kosten intramurale geneesmiddelen MSZ. De uitgaven aan de inzet van minder dure geneesmiddelen in instellingen van de medisch specialistische zorg zijn onderdeel van de integrale tarieven en worden dan ook niet apart bijgehouden. Deze kosten zijn dan ook niet meegenomen in de tabel. Dit geldt ook voor de inzet van geneesmiddelen bij behandeling in geneeskundige </w:t>
      </w:r>
      <w:r w:rsidR="00D55762">
        <w:t>GGZ</w:t>
      </w:r>
      <w:r w:rsidRPr="005F055E">
        <w:t>-instellingen die ook niet apart worden bekostigd.</w:t>
      </w:r>
      <w:bookmarkEnd w:id="15"/>
    </w:p>
    <w:p w:rsidR="007A1B64" w:rsidP="00180EEB" w:rsidRDefault="007A1B64" w14:paraId="73F07858" w14:textId="6838088E">
      <w:pPr>
        <w:suppressAutoHyphens/>
      </w:pPr>
      <w:r w:rsidRPr="005F055E">
        <w:t>Zowel de uitgaven voor intramurale geneesmiddelen als voor extramurale geneesmiddelen zijn gebaseerd op cijfers van de zorgverzekeraars waar eventuele kortingen, financiële arrangementen en btw in zijn verwerkt.</w:t>
      </w:r>
      <w:r w:rsidRPr="005F055E" w:rsidR="00D73F76">
        <w:t xml:space="preserve"> </w:t>
      </w:r>
    </w:p>
    <w:p w:rsidRPr="005F055E" w:rsidR="00056279" w:rsidP="00180EEB" w:rsidRDefault="00056279" w14:paraId="24659967" w14:textId="77777777">
      <w:pPr>
        <w:suppressAutoHyphens/>
      </w:pPr>
    </w:p>
    <w:tbl>
      <w:tblPr>
        <w:tblStyle w:val="Tabelraster"/>
        <w:tblW w:w="6516" w:type="dxa"/>
        <w:tblLook w:val="04A0" w:firstRow="1" w:lastRow="0" w:firstColumn="1" w:lastColumn="0" w:noHBand="0" w:noVBand="1"/>
      </w:tblPr>
      <w:tblGrid>
        <w:gridCol w:w="5524"/>
        <w:gridCol w:w="992"/>
      </w:tblGrid>
      <w:tr w:rsidRPr="005F055E" w:rsidR="007A1B64" w:rsidTr="005E2643" w14:paraId="51B08F80" w14:textId="77777777">
        <w:tc>
          <w:tcPr>
            <w:tcW w:w="5524" w:type="dxa"/>
            <w:tcBorders>
              <w:bottom w:val="single" w:color="auto" w:sz="4" w:space="0"/>
            </w:tcBorders>
          </w:tcPr>
          <w:p w:rsidRPr="005F055E" w:rsidR="007A1B64" w:rsidP="00180EEB" w:rsidRDefault="007A1B64" w14:paraId="6B45B0DE" w14:textId="77777777">
            <w:pPr>
              <w:suppressAutoHyphens/>
              <w:rPr>
                <w:rFonts w:ascii="Verdana" w:hAnsi="Verdana"/>
                <w:b/>
                <w:bCs/>
                <w:sz w:val="20"/>
                <w:szCs w:val="20"/>
              </w:rPr>
            </w:pPr>
            <w:r w:rsidRPr="005F055E">
              <w:rPr>
                <w:rFonts w:ascii="Verdana" w:hAnsi="Verdana"/>
                <w:b/>
                <w:bCs/>
                <w:sz w:val="20"/>
                <w:szCs w:val="20"/>
              </w:rPr>
              <w:t xml:space="preserve">Uitgaven geneesmiddelen </w:t>
            </w:r>
            <w:r w:rsidRPr="005F055E">
              <w:rPr>
                <w:rFonts w:ascii="Verdana" w:hAnsi="Verdana"/>
                <w:sz w:val="20"/>
                <w:szCs w:val="20"/>
              </w:rPr>
              <w:t>(in miljarden euro)</w:t>
            </w:r>
          </w:p>
        </w:tc>
        <w:tc>
          <w:tcPr>
            <w:tcW w:w="992" w:type="dxa"/>
            <w:tcBorders>
              <w:bottom w:val="single" w:color="auto" w:sz="4" w:space="0"/>
            </w:tcBorders>
          </w:tcPr>
          <w:p w:rsidRPr="005F055E" w:rsidR="007A1B64" w:rsidP="00180EEB" w:rsidRDefault="007A1B64" w14:paraId="6B9F19E0" w14:textId="77777777">
            <w:pPr>
              <w:suppressAutoHyphens/>
              <w:rPr>
                <w:rFonts w:ascii="Verdana" w:hAnsi="Verdana"/>
                <w:b/>
                <w:bCs/>
                <w:sz w:val="20"/>
                <w:szCs w:val="20"/>
              </w:rPr>
            </w:pPr>
            <w:r w:rsidRPr="005F055E">
              <w:rPr>
                <w:rFonts w:ascii="Verdana" w:hAnsi="Verdana"/>
                <w:b/>
                <w:bCs/>
                <w:sz w:val="20"/>
                <w:szCs w:val="20"/>
              </w:rPr>
              <w:t>2024</w:t>
            </w:r>
          </w:p>
        </w:tc>
      </w:tr>
      <w:tr w:rsidRPr="005F055E" w:rsidR="007A1B64" w:rsidTr="005E2643" w14:paraId="23360815" w14:textId="77777777">
        <w:tc>
          <w:tcPr>
            <w:tcW w:w="5524" w:type="dxa"/>
            <w:tcBorders>
              <w:top w:val="single" w:color="auto" w:sz="4" w:space="0"/>
              <w:left w:val="single" w:color="auto" w:sz="4" w:space="0"/>
              <w:bottom w:val="single" w:color="auto" w:sz="4" w:space="0"/>
              <w:right w:val="single" w:color="auto" w:sz="4" w:space="0"/>
            </w:tcBorders>
          </w:tcPr>
          <w:p w:rsidRPr="005F055E" w:rsidR="007A1B64" w:rsidP="00180EEB" w:rsidRDefault="007A1B64" w14:paraId="7D7DF557" w14:textId="77777777">
            <w:pPr>
              <w:suppressAutoHyphens/>
              <w:rPr>
                <w:rFonts w:ascii="Verdana" w:hAnsi="Verdana"/>
                <w:sz w:val="20"/>
                <w:szCs w:val="20"/>
              </w:rPr>
            </w:pPr>
            <w:r w:rsidRPr="005F055E">
              <w:rPr>
                <w:rFonts w:ascii="Verdana" w:hAnsi="Verdana"/>
                <w:sz w:val="20"/>
                <w:szCs w:val="20"/>
              </w:rPr>
              <w:t>Apotheekzorg</w:t>
            </w:r>
          </w:p>
        </w:tc>
        <w:tc>
          <w:tcPr>
            <w:tcW w:w="992" w:type="dxa"/>
            <w:tcBorders>
              <w:top w:val="single" w:color="auto" w:sz="4" w:space="0"/>
              <w:left w:val="single" w:color="auto" w:sz="4" w:space="0"/>
              <w:bottom w:val="single" w:color="auto" w:sz="4" w:space="0"/>
              <w:right w:val="single" w:color="auto" w:sz="4" w:space="0"/>
            </w:tcBorders>
          </w:tcPr>
          <w:p w:rsidRPr="005F055E" w:rsidR="007A1B64" w:rsidP="00180EEB" w:rsidRDefault="007A1B64" w14:paraId="643A149F" w14:textId="77777777">
            <w:pPr>
              <w:suppressAutoHyphens/>
              <w:rPr>
                <w:rFonts w:ascii="Verdana" w:hAnsi="Verdana"/>
                <w:sz w:val="20"/>
                <w:szCs w:val="20"/>
              </w:rPr>
            </w:pPr>
            <w:r w:rsidRPr="005F055E">
              <w:rPr>
                <w:rFonts w:ascii="Verdana" w:hAnsi="Verdana"/>
                <w:sz w:val="20"/>
                <w:szCs w:val="20"/>
              </w:rPr>
              <w:t xml:space="preserve"> 5,7 </w:t>
            </w:r>
          </w:p>
        </w:tc>
      </w:tr>
      <w:tr w:rsidRPr="005F055E" w:rsidR="007A1B64" w:rsidTr="005E2643" w14:paraId="62574083" w14:textId="77777777">
        <w:tc>
          <w:tcPr>
            <w:tcW w:w="5524" w:type="dxa"/>
            <w:tcBorders>
              <w:top w:val="single" w:color="auto" w:sz="4" w:space="0"/>
            </w:tcBorders>
          </w:tcPr>
          <w:p w:rsidRPr="005F055E" w:rsidR="007A1B64" w:rsidP="00180EEB" w:rsidRDefault="007A1B64" w14:paraId="6AE0CBD1" w14:textId="77777777">
            <w:pPr>
              <w:suppressAutoHyphens/>
              <w:rPr>
                <w:rFonts w:ascii="Verdana" w:hAnsi="Verdana"/>
                <w:sz w:val="20"/>
                <w:szCs w:val="20"/>
              </w:rPr>
            </w:pPr>
            <w:r w:rsidRPr="005F055E">
              <w:rPr>
                <w:rFonts w:ascii="Verdana" w:hAnsi="Verdana"/>
                <w:sz w:val="20"/>
                <w:szCs w:val="20"/>
              </w:rPr>
              <w:t xml:space="preserve">Intramurale geneesmiddelen MSZ </w:t>
            </w:r>
          </w:p>
        </w:tc>
        <w:tc>
          <w:tcPr>
            <w:tcW w:w="992" w:type="dxa"/>
            <w:tcBorders>
              <w:top w:val="single" w:color="auto" w:sz="4" w:space="0"/>
            </w:tcBorders>
          </w:tcPr>
          <w:p w:rsidRPr="005F055E" w:rsidR="007A1B64" w:rsidP="00180EEB" w:rsidRDefault="007A1B64" w14:paraId="4CF807FD" w14:textId="77777777">
            <w:pPr>
              <w:suppressAutoHyphens/>
              <w:rPr>
                <w:rFonts w:ascii="Verdana" w:hAnsi="Verdana"/>
                <w:sz w:val="20"/>
                <w:szCs w:val="20"/>
              </w:rPr>
            </w:pPr>
            <w:r w:rsidRPr="005F055E">
              <w:rPr>
                <w:rFonts w:ascii="Verdana" w:hAnsi="Verdana"/>
                <w:sz w:val="20"/>
                <w:szCs w:val="20"/>
              </w:rPr>
              <w:t xml:space="preserve"> 2,7 </w:t>
            </w:r>
          </w:p>
        </w:tc>
      </w:tr>
      <w:tr w:rsidRPr="005F055E" w:rsidR="007A1B64" w:rsidTr="005E2643" w14:paraId="6D043ED2" w14:textId="77777777">
        <w:tc>
          <w:tcPr>
            <w:tcW w:w="5524" w:type="dxa"/>
          </w:tcPr>
          <w:p w:rsidRPr="005F055E" w:rsidR="007A1B64" w:rsidP="00180EEB" w:rsidRDefault="007A1B64" w14:paraId="4852C5FE" w14:textId="77777777">
            <w:pPr>
              <w:suppressAutoHyphens/>
              <w:rPr>
                <w:rFonts w:ascii="Verdana" w:hAnsi="Verdana"/>
                <w:sz w:val="20"/>
                <w:szCs w:val="20"/>
              </w:rPr>
            </w:pPr>
            <w:r w:rsidRPr="005F055E">
              <w:rPr>
                <w:rFonts w:ascii="Verdana" w:hAnsi="Verdana"/>
                <w:sz w:val="20"/>
                <w:szCs w:val="20"/>
              </w:rPr>
              <w:t>Totale netto-uitgaven geneesmiddelen</w:t>
            </w:r>
          </w:p>
        </w:tc>
        <w:tc>
          <w:tcPr>
            <w:tcW w:w="992" w:type="dxa"/>
          </w:tcPr>
          <w:p w:rsidRPr="005F055E" w:rsidR="007A1B64" w:rsidP="00180EEB" w:rsidRDefault="007A1B64" w14:paraId="2A828A66" w14:textId="77777777">
            <w:pPr>
              <w:suppressAutoHyphens/>
              <w:rPr>
                <w:rFonts w:ascii="Verdana" w:hAnsi="Verdana"/>
                <w:sz w:val="20"/>
                <w:szCs w:val="20"/>
              </w:rPr>
            </w:pPr>
            <w:r w:rsidRPr="005F055E">
              <w:rPr>
                <w:rFonts w:ascii="Verdana" w:hAnsi="Verdana"/>
                <w:sz w:val="20"/>
                <w:szCs w:val="20"/>
              </w:rPr>
              <w:t xml:space="preserve"> 8,4 </w:t>
            </w:r>
          </w:p>
        </w:tc>
      </w:tr>
      <w:bookmarkEnd w:id="14"/>
    </w:tbl>
    <w:p w:rsidRPr="005F055E" w:rsidR="000478A7" w:rsidP="00180EEB" w:rsidRDefault="000478A7" w14:paraId="1AF73F2C" w14:textId="77777777">
      <w:pPr>
        <w:suppressAutoHyphens/>
      </w:pPr>
    </w:p>
    <w:p w:rsidRPr="005F055E" w:rsidR="000478A7" w:rsidP="00180EEB" w:rsidRDefault="003E7003" w14:paraId="581ED8C5" w14:textId="77777777">
      <w:pPr>
        <w:suppressAutoHyphens/>
      </w:pPr>
      <w:r w:rsidRPr="005F055E">
        <w:t>Vraag 58</w:t>
      </w:r>
      <w:r w:rsidRPr="005F055E">
        <w:tab/>
      </w:r>
    </w:p>
    <w:p w:rsidRPr="005F055E" w:rsidR="000478A7" w:rsidP="00180EEB" w:rsidRDefault="003E7003" w14:paraId="63C2E600" w14:textId="77777777">
      <w:pPr>
        <w:suppressAutoHyphens/>
      </w:pPr>
      <w:r w:rsidRPr="005F055E">
        <w:t>Hoeveel subsidie is de afgelopen tien jaar aan academische geneesmiddelenontwikkeling uitgegeven en hoeveel geneesmiddelen zijn hiermee ontwikkeld?</w:t>
      </w:r>
      <w:r w:rsidRPr="005F055E">
        <w:tab/>
      </w:r>
    </w:p>
    <w:p w:rsidRPr="005F055E" w:rsidR="003E7003" w:rsidP="00180EEB" w:rsidRDefault="003E7003" w14:paraId="6458C3B4" w14:textId="326EE7E4">
      <w:pPr>
        <w:suppressAutoHyphens/>
      </w:pPr>
      <w:r w:rsidRPr="005F055E">
        <w:t>Antwoord</w:t>
      </w:r>
    </w:p>
    <w:p w:rsidRPr="005F055E" w:rsidR="000478A7" w:rsidP="00180EEB" w:rsidRDefault="00575A49" w14:paraId="7CBB3FB3" w14:textId="77CD3348">
      <w:pPr>
        <w:suppressAutoHyphens/>
        <w:spacing w:line="240" w:lineRule="atLeast"/>
        <w:rPr>
          <w:szCs w:val="18"/>
          <w:lang w:eastAsia="nl-NL"/>
        </w:rPr>
      </w:pPr>
      <w:r w:rsidRPr="005F055E">
        <w:rPr>
          <w:szCs w:val="18"/>
          <w:lang w:eastAsia="nl-NL"/>
        </w:rPr>
        <w:t xml:space="preserve">Het ministerie van VWS houdt geen overzicht bij van subsidie die aan academische geneesmiddelenontwikkeling wordt uitgegeven. In Nederland wordt academisch onderzoek door veel verschillende organisaties en vanuit verschillende geldstromen gesubsidieerd, hier bestaat geen centraal overzicht van. Dit wordt verder bemoeilijkt omdat het niet altijd duidelijk is wanneer onderzoek nog verkennend van aard is, of wanneer de meer gerichte productontwikkeling begint. Ook is niet duidelijk hoeveel geneesmiddelen met Nederlandse subsidies zijn ontwikkeld. Dit is ook moeilijk in kaart te brengen omdat geneesmiddelenontwikkeling in de regel geen lineair proces is, en ook vaak plaatsvindt in een internationaal ecosysteem. Zo kan het zijn dat Nederlands onderzoek een belangrijke bijdrage heeft geleverd aan een element van een geneesmiddel, maar dat de verdere ontwikkeling elders heeft plaatsgevonden. </w:t>
      </w:r>
    </w:p>
    <w:p w:rsidRPr="005F055E" w:rsidR="007B58FB" w:rsidP="00180EEB" w:rsidRDefault="007B58FB" w14:paraId="6CFA629B" w14:textId="77777777">
      <w:pPr>
        <w:suppressAutoHyphens/>
      </w:pPr>
    </w:p>
    <w:p w:rsidRPr="005F055E" w:rsidR="000478A7" w:rsidP="00180EEB" w:rsidRDefault="003E7003" w14:paraId="5B5E0558" w14:textId="77777777">
      <w:pPr>
        <w:suppressAutoHyphens/>
      </w:pPr>
      <w:r w:rsidRPr="005F055E">
        <w:t>Vraag 59</w:t>
      </w:r>
      <w:r w:rsidRPr="005F055E">
        <w:tab/>
      </w:r>
    </w:p>
    <w:p w:rsidRPr="005F055E" w:rsidR="000478A7" w:rsidP="00180EEB" w:rsidRDefault="003E7003" w14:paraId="322F4C3C" w14:textId="77777777">
      <w:pPr>
        <w:suppressAutoHyphens/>
      </w:pPr>
      <w:r w:rsidRPr="005F055E">
        <w:t>Welk percentage van het bruto binnenlands product (bbp) geeft Nederland uit aan geneesmiddelen?</w:t>
      </w:r>
      <w:r w:rsidRPr="005F055E">
        <w:tab/>
      </w:r>
    </w:p>
    <w:p w:rsidRPr="005F055E" w:rsidR="007A1B64" w:rsidP="00180EEB" w:rsidRDefault="003E7003" w14:paraId="4583047D" w14:textId="7079AAEE">
      <w:pPr>
        <w:suppressAutoHyphens/>
      </w:pPr>
      <w:r w:rsidRPr="005F055E">
        <w:t>Antwoord</w:t>
      </w:r>
    </w:p>
    <w:p w:rsidRPr="005F055E" w:rsidR="007A1B64" w:rsidP="00180EEB" w:rsidRDefault="007A1B64" w14:paraId="6E54BB5F" w14:textId="33EA4E44">
      <w:pPr>
        <w:suppressAutoHyphens/>
        <w:rPr>
          <w:szCs w:val="18"/>
        </w:rPr>
      </w:pPr>
      <w:r w:rsidRPr="005F055E">
        <w:rPr>
          <w:szCs w:val="18"/>
        </w:rPr>
        <w:t>Onderstaande tabel geeft de totale uitgaven aan extra en intramurale geneesmiddelen ten opzichte van het BBP.</w:t>
      </w:r>
      <w:r w:rsidRPr="005F055E" w:rsidR="00D73F76">
        <w:rPr>
          <w:szCs w:val="18"/>
        </w:rPr>
        <w:t xml:space="preserve"> </w:t>
      </w:r>
    </w:p>
    <w:tbl>
      <w:tblPr>
        <w:tblStyle w:val="Tabelraster"/>
        <w:tblW w:w="96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91"/>
        <w:gridCol w:w="759"/>
        <w:gridCol w:w="759"/>
        <w:gridCol w:w="759"/>
        <w:gridCol w:w="798"/>
        <w:gridCol w:w="798"/>
        <w:gridCol w:w="798"/>
      </w:tblGrid>
      <w:tr w:rsidRPr="005F055E" w:rsidR="007A1B64" w:rsidTr="005E2643" w14:paraId="703A87A3" w14:textId="77777777">
        <w:trPr>
          <w:trHeight w:val="315"/>
        </w:trPr>
        <w:tc>
          <w:tcPr>
            <w:tcW w:w="5432" w:type="dxa"/>
            <w:shd w:val="clear" w:color="auto" w:fill="002060"/>
            <w:hideMark/>
          </w:tcPr>
          <w:p w:rsidRPr="00056279" w:rsidR="007A1B64" w:rsidP="00180EEB" w:rsidRDefault="007A1B64" w14:paraId="43A50B7F" w14:textId="77777777">
            <w:pPr>
              <w:suppressAutoHyphens/>
              <w:rPr>
                <w:rFonts w:ascii="Verdana" w:hAnsi="Verdana"/>
                <w:sz w:val="20"/>
                <w:szCs w:val="16"/>
              </w:rPr>
            </w:pPr>
            <w:r w:rsidRPr="00056279">
              <w:rPr>
                <w:rFonts w:ascii="Verdana" w:hAnsi="Verdana"/>
                <w:sz w:val="20"/>
                <w:szCs w:val="16"/>
              </w:rPr>
              <w:t>Uitgaven geneesmiddelen (Bedragen in miljarden €)</w:t>
            </w:r>
          </w:p>
        </w:tc>
        <w:tc>
          <w:tcPr>
            <w:tcW w:w="705" w:type="dxa"/>
            <w:shd w:val="clear" w:color="auto" w:fill="002060"/>
            <w:noWrap/>
            <w:hideMark/>
          </w:tcPr>
          <w:p w:rsidRPr="00056279" w:rsidR="007A1B64" w:rsidP="00180EEB" w:rsidRDefault="007A1B64" w14:paraId="2DB6D4D7" w14:textId="77777777">
            <w:pPr>
              <w:suppressAutoHyphens/>
              <w:rPr>
                <w:rFonts w:ascii="Verdana" w:hAnsi="Verdana"/>
                <w:sz w:val="20"/>
                <w:szCs w:val="16"/>
              </w:rPr>
            </w:pPr>
            <w:r w:rsidRPr="00056279">
              <w:rPr>
                <w:rFonts w:ascii="Verdana" w:hAnsi="Verdana"/>
                <w:sz w:val="20"/>
                <w:szCs w:val="16"/>
              </w:rPr>
              <w:t>2020</w:t>
            </w:r>
          </w:p>
        </w:tc>
        <w:tc>
          <w:tcPr>
            <w:tcW w:w="705" w:type="dxa"/>
            <w:shd w:val="clear" w:color="auto" w:fill="002060"/>
            <w:noWrap/>
            <w:hideMark/>
          </w:tcPr>
          <w:p w:rsidRPr="00056279" w:rsidR="007A1B64" w:rsidP="00180EEB" w:rsidRDefault="007A1B64" w14:paraId="5A0FFD71" w14:textId="77777777">
            <w:pPr>
              <w:suppressAutoHyphens/>
              <w:rPr>
                <w:rFonts w:ascii="Verdana" w:hAnsi="Verdana"/>
                <w:sz w:val="20"/>
                <w:szCs w:val="16"/>
              </w:rPr>
            </w:pPr>
            <w:r w:rsidRPr="00056279">
              <w:rPr>
                <w:rFonts w:ascii="Verdana" w:hAnsi="Verdana"/>
                <w:sz w:val="20"/>
                <w:szCs w:val="16"/>
              </w:rPr>
              <w:t>2021</w:t>
            </w:r>
          </w:p>
        </w:tc>
        <w:tc>
          <w:tcPr>
            <w:tcW w:w="705" w:type="dxa"/>
            <w:shd w:val="clear" w:color="auto" w:fill="002060"/>
            <w:noWrap/>
            <w:hideMark/>
          </w:tcPr>
          <w:p w:rsidRPr="00056279" w:rsidR="007A1B64" w:rsidP="00180EEB" w:rsidRDefault="007A1B64" w14:paraId="327AC0E0" w14:textId="77777777">
            <w:pPr>
              <w:suppressAutoHyphens/>
              <w:rPr>
                <w:rFonts w:ascii="Verdana" w:hAnsi="Verdana"/>
                <w:sz w:val="20"/>
                <w:szCs w:val="16"/>
              </w:rPr>
            </w:pPr>
            <w:r w:rsidRPr="00056279">
              <w:rPr>
                <w:rFonts w:ascii="Verdana" w:hAnsi="Verdana"/>
                <w:sz w:val="20"/>
                <w:szCs w:val="16"/>
              </w:rPr>
              <w:t>2022</w:t>
            </w:r>
          </w:p>
        </w:tc>
        <w:tc>
          <w:tcPr>
            <w:tcW w:w="705" w:type="dxa"/>
            <w:shd w:val="clear" w:color="auto" w:fill="002060"/>
            <w:noWrap/>
            <w:hideMark/>
          </w:tcPr>
          <w:p w:rsidRPr="00056279" w:rsidR="007A1B64" w:rsidP="00180EEB" w:rsidRDefault="007A1B64" w14:paraId="2A462FA3" w14:textId="77777777">
            <w:pPr>
              <w:suppressAutoHyphens/>
              <w:rPr>
                <w:rFonts w:ascii="Verdana" w:hAnsi="Verdana"/>
                <w:sz w:val="20"/>
                <w:szCs w:val="16"/>
              </w:rPr>
            </w:pPr>
            <w:r w:rsidRPr="00056279">
              <w:rPr>
                <w:rFonts w:ascii="Verdana" w:hAnsi="Verdana"/>
                <w:sz w:val="20"/>
                <w:szCs w:val="16"/>
              </w:rPr>
              <w:t>2023</w:t>
            </w:r>
          </w:p>
        </w:tc>
        <w:tc>
          <w:tcPr>
            <w:tcW w:w="705" w:type="dxa"/>
            <w:shd w:val="clear" w:color="auto" w:fill="002060"/>
            <w:noWrap/>
            <w:hideMark/>
          </w:tcPr>
          <w:p w:rsidRPr="00056279" w:rsidR="007A1B64" w:rsidP="00180EEB" w:rsidRDefault="007A1B64" w14:paraId="619E4705" w14:textId="77777777">
            <w:pPr>
              <w:suppressAutoHyphens/>
              <w:rPr>
                <w:rFonts w:ascii="Verdana" w:hAnsi="Verdana"/>
                <w:sz w:val="20"/>
                <w:szCs w:val="16"/>
              </w:rPr>
            </w:pPr>
            <w:r w:rsidRPr="00056279">
              <w:rPr>
                <w:rFonts w:ascii="Verdana" w:hAnsi="Verdana"/>
                <w:sz w:val="20"/>
                <w:szCs w:val="16"/>
              </w:rPr>
              <w:t>2024</w:t>
            </w:r>
          </w:p>
        </w:tc>
        <w:tc>
          <w:tcPr>
            <w:tcW w:w="705" w:type="dxa"/>
            <w:shd w:val="clear" w:color="auto" w:fill="002060"/>
            <w:noWrap/>
            <w:hideMark/>
          </w:tcPr>
          <w:p w:rsidRPr="00056279" w:rsidR="007A1B64" w:rsidP="00180EEB" w:rsidRDefault="007A1B64" w14:paraId="10177D9C" w14:textId="77777777">
            <w:pPr>
              <w:suppressAutoHyphens/>
              <w:rPr>
                <w:rFonts w:ascii="Verdana" w:hAnsi="Verdana"/>
                <w:sz w:val="20"/>
                <w:szCs w:val="16"/>
              </w:rPr>
            </w:pPr>
            <w:r w:rsidRPr="00056279">
              <w:rPr>
                <w:rFonts w:ascii="Verdana" w:hAnsi="Verdana"/>
                <w:sz w:val="20"/>
                <w:szCs w:val="16"/>
              </w:rPr>
              <w:t>2025</w:t>
            </w:r>
          </w:p>
        </w:tc>
      </w:tr>
      <w:tr w:rsidRPr="005F055E" w:rsidR="007A1B64" w:rsidTr="005E2643" w14:paraId="44E50588" w14:textId="77777777">
        <w:trPr>
          <w:trHeight w:val="300"/>
        </w:trPr>
        <w:tc>
          <w:tcPr>
            <w:tcW w:w="5432" w:type="dxa"/>
            <w:vAlign w:val="center"/>
            <w:hideMark/>
          </w:tcPr>
          <w:p w:rsidRPr="00056279" w:rsidR="007A1B64" w:rsidP="00180EEB" w:rsidRDefault="007A1B64" w14:paraId="10725A60" w14:textId="77777777">
            <w:pPr>
              <w:suppressAutoHyphens/>
              <w:rPr>
                <w:rFonts w:ascii="Verdana" w:hAnsi="Verdana"/>
                <w:sz w:val="20"/>
                <w:szCs w:val="16"/>
              </w:rPr>
            </w:pPr>
            <w:r w:rsidRPr="00056279">
              <w:rPr>
                <w:rFonts w:ascii="Verdana" w:hAnsi="Verdana"/>
                <w:sz w:val="20"/>
                <w:szCs w:val="16"/>
              </w:rPr>
              <w:t>Totaal geneesmiddelen</w:t>
            </w:r>
          </w:p>
        </w:tc>
        <w:tc>
          <w:tcPr>
            <w:tcW w:w="705" w:type="dxa"/>
            <w:vAlign w:val="center"/>
            <w:hideMark/>
          </w:tcPr>
          <w:p w:rsidRPr="00056279" w:rsidR="007A1B64" w:rsidP="00180EEB" w:rsidRDefault="007A1B64" w14:paraId="0E01C68E" w14:textId="77777777">
            <w:pPr>
              <w:suppressAutoHyphens/>
              <w:rPr>
                <w:rFonts w:ascii="Verdana" w:hAnsi="Verdana"/>
                <w:sz w:val="20"/>
                <w:szCs w:val="16"/>
              </w:rPr>
            </w:pPr>
            <w:r w:rsidRPr="00056279">
              <w:rPr>
                <w:rFonts w:ascii="Verdana" w:hAnsi="Verdana"/>
                <w:sz w:val="20"/>
                <w:szCs w:val="16"/>
              </w:rPr>
              <w:t>7</w:t>
            </w:r>
          </w:p>
        </w:tc>
        <w:tc>
          <w:tcPr>
            <w:tcW w:w="705" w:type="dxa"/>
            <w:vAlign w:val="center"/>
            <w:hideMark/>
          </w:tcPr>
          <w:p w:rsidRPr="00056279" w:rsidR="007A1B64" w:rsidP="00180EEB" w:rsidRDefault="007A1B64" w14:paraId="752AF978" w14:textId="77777777">
            <w:pPr>
              <w:suppressAutoHyphens/>
              <w:rPr>
                <w:rFonts w:ascii="Verdana" w:hAnsi="Verdana"/>
                <w:sz w:val="20"/>
                <w:szCs w:val="16"/>
              </w:rPr>
            </w:pPr>
            <w:r w:rsidRPr="00056279">
              <w:rPr>
                <w:rFonts w:ascii="Verdana" w:hAnsi="Verdana"/>
                <w:sz w:val="20"/>
                <w:szCs w:val="16"/>
              </w:rPr>
              <w:t>7</w:t>
            </w:r>
          </w:p>
        </w:tc>
        <w:tc>
          <w:tcPr>
            <w:tcW w:w="705" w:type="dxa"/>
            <w:vAlign w:val="center"/>
            <w:hideMark/>
          </w:tcPr>
          <w:p w:rsidRPr="00056279" w:rsidR="007A1B64" w:rsidP="00180EEB" w:rsidRDefault="007A1B64" w14:paraId="0CB1602A" w14:textId="77777777">
            <w:pPr>
              <w:suppressAutoHyphens/>
              <w:rPr>
                <w:rFonts w:ascii="Verdana" w:hAnsi="Verdana"/>
                <w:sz w:val="20"/>
                <w:szCs w:val="16"/>
              </w:rPr>
            </w:pPr>
            <w:r w:rsidRPr="00056279">
              <w:rPr>
                <w:rFonts w:ascii="Verdana" w:hAnsi="Verdana"/>
                <w:sz w:val="20"/>
                <w:szCs w:val="16"/>
              </w:rPr>
              <w:t>8</w:t>
            </w:r>
          </w:p>
        </w:tc>
        <w:tc>
          <w:tcPr>
            <w:tcW w:w="705" w:type="dxa"/>
            <w:vAlign w:val="center"/>
            <w:hideMark/>
          </w:tcPr>
          <w:p w:rsidRPr="00056279" w:rsidR="007A1B64" w:rsidP="00180EEB" w:rsidRDefault="007A1B64" w14:paraId="0BC2F092" w14:textId="77777777">
            <w:pPr>
              <w:suppressAutoHyphens/>
              <w:rPr>
                <w:rFonts w:ascii="Verdana" w:hAnsi="Verdana"/>
                <w:sz w:val="20"/>
                <w:szCs w:val="16"/>
              </w:rPr>
            </w:pPr>
            <w:r w:rsidRPr="00056279">
              <w:rPr>
                <w:rFonts w:ascii="Verdana" w:hAnsi="Verdana"/>
                <w:sz w:val="20"/>
                <w:szCs w:val="16"/>
              </w:rPr>
              <w:t>8</w:t>
            </w:r>
          </w:p>
        </w:tc>
        <w:tc>
          <w:tcPr>
            <w:tcW w:w="705" w:type="dxa"/>
            <w:vAlign w:val="center"/>
            <w:hideMark/>
          </w:tcPr>
          <w:p w:rsidRPr="00056279" w:rsidR="007A1B64" w:rsidP="00180EEB" w:rsidRDefault="007A1B64" w14:paraId="5093C530" w14:textId="77777777">
            <w:pPr>
              <w:suppressAutoHyphens/>
              <w:rPr>
                <w:rFonts w:ascii="Verdana" w:hAnsi="Verdana"/>
                <w:sz w:val="20"/>
                <w:szCs w:val="16"/>
              </w:rPr>
            </w:pPr>
            <w:r w:rsidRPr="00056279">
              <w:rPr>
                <w:rFonts w:ascii="Verdana" w:hAnsi="Verdana"/>
                <w:sz w:val="20"/>
                <w:szCs w:val="16"/>
              </w:rPr>
              <w:t>8</w:t>
            </w:r>
          </w:p>
        </w:tc>
        <w:tc>
          <w:tcPr>
            <w:tcW w:w="705" w:type="dxa"/>
            <w:vAlign w:val="center"/>
            <w:hideMark/>
          </w:tcPr>
          <w:p w:rsidRPr="00056279" w:rsidR="007A1B64" w:rsidP="00180EEB" w:rsidRDefault="007A1B64" w14:paraId="5000AC76" w14:textId="77777777">
            <w:pPr>
              <w:suppressAutoHyphens/>
              <w:rPr>
                <w:rFonts w:ascii="Verdana" w:hAnsi="Verdana"/>
                <w:sz w:val="20"/>
                <w:szCs w:val="16"/>
              </w:rPr>
            </w:pPr>
            <w:r w:rsidRPr="00056279">
              <w:rPr>
                <w:rFonts w:ascii="Verdana" w:hAnsi="Verdana"/>
                <w:sz w:val="20"/>
                <w:szCs w:val="16"/>
              </w:rPr>
              <w:t>9</w:t>
            </w:r>
          </w:p>
        </w:tc>
      </w:tr>
      <w:tr w:rsidRPr="005F055E" w:rsidR="007A1B64" w:rsidTr="005E2643" w14:paraId="17F6521C" w14:textId="77777777">
        <w:trPr>
          <w:trHeight w:val="315"/>
        </w:trPr>
        <w:tc>
          <w:tcPr>
            <w:tcW w:w="5432" w:type="dxa"/>
            <w:vAlign w:val="center"/>
            <w:hideMark/>
          </w:tcPr>
          <w:p w:rsidRPr="00056279" w:rsidR="007A1B64" w:rsidP="00180EEB" w:rsidRDefault="007A1B64" w14:paraId="21120401" w14:textId="77777777">
            <w:pPr>
              <w:suppressAutoHyphens/>
              <w:rPr>
                <w:rFonts w:ascii="Verdana" w:hAnsi="Verdana"/>
                <w:sz w:val="20"/>
                <w:szCs w:val="16"/>
              </w:rPr>
            </w:pPr>
            <w:r w:rsidRPr="00056279">
              <w:rPr>
                <w:rFonts w:ascii="Verdana" w:hAnsi="Verdana"/>
                <w:sz w:val="20"/>
                <w:szCs w:val="16"/>
              </w:rPr>
              <w:t xml:space="preserve">Bruto binnenlands product </w:t>
            </w:r>
          </w:p>
        </w:tc>
        <w:tc>
          <w:tcPr>
            <w:tcW w:w="705" w:type="dxa"/>
            <w:vAlign w:val="center"/>
            <w:hideMark/>
          </w:tcPr>
          <w:p w:rsidRPr="00056279" w:rsidR="007A1B64" w:rsidP="00180EEB" w:rsidRDefault="007A1B64" w14:paraId="4B306CC9" w14:textId="77777777">
            <w:pPr>
              <w:suppressAutoHyphens/>
              <w:rPr>
                <w:rFonts w:ascii="Verdana" w:hAnsi="Verdana"/>
                <w:sz w:val="20"/>
                <w:szCs w:val="16"/>
              </w:rPr>
            </w:pPr>
            <w:r w:rsidRPr="00056279">
              <w:rPr>
                <w:rFonts w:ascii="Verdana" w:hAnsi="Verdana"/>
                <w:sz w:val="20"/>
                <w:szCs w:val="16"/>
              </w:rPr>
              <w:t>817</w:t>
            </w:r>
          </w:p>
        </w:tc>
        <w:tc>
          <w:tcPr>
            <w:tcW w:w="705" w:type="dxa"/>
            <w:vAlign w:val="center"/>
            <w:hideMark/>
          </w:tcPr>
          <w:p w:rsidRPr="00056279" w:rsidR="007A1B64" w:rsidP="00180EEB" w:rsidRDefault="007A1B64" w14:paraId="1BCA2D5E" w14:textId="77777777">
            <w:pPr>
              <w:suppressAutoHyphens/>
              <w:rPr>
                <w:rFonts w:ascii="Verdana" w:hAnsi="Verdana"/>
                <w:sz w:val="20"/>
                <w:szCs w:val="16"/>
              </w:rPr>
            </w:pPr>
            <w:r w:rsidRPr="00056279">
              <w:rPr>
                <w:rFonts w:ascii="Verdana" w:hAnsi="Verdana"/>
                <w:sz w:val="20"/>
                <w:szCs w:val="16"/>
              </w:rPr>
              <w:t>892</w:t>
            </w:r>
          </w:p>
        </w:tc>
        <w:tc>
          <w:tcPr>
            <w:tcW w:w="705" w:type="dxa"/>
            <w:vAlign w:val="center"/>
            <w:hideMark/>
          </w:tcPr>
          <w:p w:rsidRPr="00056279" w:rsidR="007A1B64" w:rsidP="00180EEB" w:rsidRDefault="007A1B64" w14:paraId="363B3A87" w14:textId="77777777">
            <w:pPr>
              <w:suppressAutoHyphens/>
              <w:rPr>
                <w:rFonts w:ascii="Verdana" w:hAnsi="Verdana"/>
                <w:sz w:val="20"/>
                <w:szCs w:val="16"/>
              </w:rPr>
            </w:pPr>
            <w:r w:rsidRPr="00056279">
              <w:rPr>
                <w:rFonts w:ascii="Verdana" w:hAnsi="Verdana"/>
                <w:sz w:val="20"/>
                <w:szCs w:val="16"/>
              </w:rPr>
              <w:t>994</w:t>
            </w:r>
          </w:p>
        </w:tc>
        <w:tc>
          <w:tcPr>
            <w:tcW w:w="705" w:type="dxa"/>
            <w:vAlign w:val="center"/>
            <w:hideMark/>
          </w:tcPr>
          <w:p w:rsidRPr="00056279" w:rsidR="007A1B64" w:rsidP="00180EEB" w:rsidRDefault="007A1B64" w14:paraId="19411C8B" w14:textId="77777777">
            <w:pPr>
              <w:suppressAutoHyphens/>
              <w:rPr>
                <w:rFonts w:ascii="Verdana" w:hAnsi="Verdana"/>
                <w:sz w:val="20"/>
                <w:szCs w:val="16"/>
              </w:rPr>
            </w:pPr>
            <w:r w:rsidRPr="00056279">
              <w:rPr>
                <w:rFonts w:ascii="Verdana" w:hAnsi="Verdana"/>
                <w:sz w:val="20"/>
                <w:szCs w:val="16"/>
              </w:rPr>
              <w:t>1.050</w:t>
            </w:r>
          </w:p>
        </w:tc>
        <w:tc>
          <w:tcPr>
            <w:tcW w:w="705" w:type="dxa"/>
            <w:vAlign w:val="center"/>
            <w:hideMark/>
          </w:tcPr>
          <w:p w:rsidRPr="00056279" w:rsidR="007A1B64" w:rsidP="00180EEB" w:rsidRDefault="007A1B64" w14:paraId="71F0CF9E" w14:textId="77777777">
            <w:pPr>
              <w:suppressAutoHyphens/>
              <w:rPr>
                <w:rFonts w:ascii="Verdana" w:hAnsi="Verdana"/>
                <w:sz w:val="20"/>
                <w:szCs w:val="16"/>
              </w:rPr>
            </w:pPr>
            <w:r w:rsidRPr="00056279">
              <w:rPr>
                <w:rFonts w:ascii="Verdana" w:hAnsi="Verdana"/>
                <w:sz w:val="20"/>
                <w:szCs w:val="16"/>
              </w:rPr>
              <w:t>1.122</w:t>
            </w:r>
          </w:p>
        </w:tc>
        <w:tc>
          <w:tcPr>
            <w:tcW w:w="705" w:type="dxa"/>
            <w:vAlign w:val="center"/>
            <w:hideMark/>
          </w:tcPr>
          <w:p w:rsidRPr="00056279" w:rsidR="007A1B64" w:rsidP="00180EEB" w:rsidRDefault="007A1B64" w14:paraId="3E59D968" w14:textId="77777777">
            <w:pPr>
              <w:suppressAutoHyphens/>
              <w:rPr>
                <w:rFonts w:ascii="Verdana" w:hAnsi="Verdana"/>
                <w:sz w:val="20"/>
                <w:szCs w:val="16"/>
              </w:rPr>
            </w:pPr>
            <w:r w:rsidRPr="00056279">
              <w:rPr>
                <w:rFonts w:ascii="Verdana" w:hAnsi="Verdana"/>
                <w:sz w:val="20"/>
                <w:szCs w:val="16"/>
              </w:rPr>
              <w:t>1.187</w:t>
            </w:r>
          </w:p>
        </w:tc>
      </w:tr>
      <w:tr w:rsidRPr="005F055E" w:rsidR="007A1B64" w:rsidTr="005E2643" w14:paraId="076AA809" w14:textId="77777777">
        <w:trPr>
          <w:trHeight w:val="315"/>
        </w:trPr>
        <w:tc>
          <w:tcPr>
            <w:tcW w:w="5432" w:type="dxa"/>
            <w:vAlign w:val="center"/>
            <w:hideMark/>
          </w:tcPr>
          <w:p w:rsidRPr="00056279" w:rsidR="007A1B64" w:rsidP="00180EEB" w:rsidRDefault="007A1B64" w14:paraId="5FB8C227" w14:textId="77777777">
            <w:pPr>
              <w:suppressAutoHyphens/>
              <w:rPr>
                <w:rFonts w:ascii="Verdana" w:hAnsi="Verdana"/>
                <w:sz w:val="20"/>
                <w:szCs w:val="16"/>
              </w:rPr>
            </w:pPr>
            <w:r w:rsidRPr="00056279">
              <w:rPr>
                <w:rFonts w:ascii="Verdana" w:hAnsi="Verdana"/>
                <w:sz w:val="20"/>
                <w:szCs w:val="16"/>
              </w:rPr>
              <w:t>Aandeel geneesmiddelen (in %)</w:t>
            </w:r>
          </w:p>
        </w:tc>
        <w:tc>
          <w:tcPr>
            <w:tcW w:w="705" w:type="dxa"/>
            <w:vAlign w:val="center"/>
            <w:hideMark/>
          </w:tcPr>
          <w:p w:rsidRPr="00056279" w:rsidR="007A1B64" w:rsidP="00180EEB" w:rsidRDefault="007A1B64" w14:paraId="4DFD4508" w14:textId="77777777">
            <w:pPr>
              <w:suppressAutoHyphens/>
              <w:rPr>
                <w:rFonts w:ascii="Verdana" w:hAnsi="Verdana"/>
                <w:sz w:val="20"/>
                <w:szCs w:val="16"/>
              </w:rPr>
            </w:pPr>
            <w:r w:rsidRPr="00056279">
              <w:rPr>
                <w:rFonts w:ascii="Verdana" w:hAnsi="Verdana"/>
                <w:sz w:val="20"/>
                <w:szCs w:val="16"/>
              </w:rPr>
              <w:t>0,9%</w:t>
            </w:r>
          </w:p>
        </w:tc>
        <w:tc>
          <w:tcPr>
            <w:tcW w:w="705" w:type="dxa"/>
            <w:vAlign w:val="center"/>
            <w:hideMark/>
          </w:tcPr>
          <w:p w:rsidRPr="00056279" w:rsidR="007A1B64" w:rsidP="00180EEB" w:rsidRDefault="007A1B64" w14:paraId="084E2F35" w14:textId="77777777">
            <w:pPr>
              <w:suppressAutoHyphens/>
              <w:rPr>
                <w:rFonts w:ascii="Verdana" w:hAnsi="Verdana"/>
                <w:sz w:val="20"/>
                <w:szCs w:val="16"/>
              </w:rPr>
            </w:pPr>
            <w:r w:rsidRPr="00056279">
              <w:rPr>
                <w:rFonts w:ascii="Verdana" w:hAnsi="Verdana"/>
                <w:sz w:val="20"/>
                <w:szCs w:val="16"/>
              </w:rPr>
              <w:t>0,8%</w:t>
            </w:r>
          </w:p>
        </w:tc>
        <w:tc>
          <w:tcPr>
            <w:tcW w:w="705" w:type="dxa"/>
            <w:vAlign w:val="center"/>
            <w:hideMark/>
          </w:tcPr>
          <w:p w:rsidRPr="00056279" w:rsidR="007A1B64" w:rsidP="00180EEB" w:rsidRDefault="007A1B64" w14:paraId="3A75BBED" w14:textId="77777777">
            <w:pPr>
              <w:suppressAutoHyphens/>
              <w:rPr>
                <w:rFonts w:ascii="Verdana" w:hAnsi="Verdana"/>
                <w:sz w:val="20"/>
                <w:szCs w:val="16"/>
              </w:rPr>
            </w:pPr>
            <w:r w:rsidRPr="00056279">
              <w:rPr>
                <w:rFonts w:ascii="Verdana" w:hAnsi="Verdana"/>
                <w:sz w:val="20"/>
                <w:szCs w:val="16"/>
              </w:rPr>
              <w:t>0,8%</w:t>
            </w:r>
          </w:p>
        </w:tc>
        <w:tc>
          <w:tcPr>
            <w:tcW w:w="705" w:type="dxa"/>
            <w:vAlign w:val="center"/>
            <w:hideMark/>
          </w:tcPr>
          <w:p w:rsidRPr="00056279" w:rsidR="007A1B64" w:rsidP="00180EEB" w:rsidRDefault="007A1B64" w14:paraId="51B74B5D" w14:textId="77777777">
            <w:pPr>
              <w:suppressAutoHyphens/>
              <w:rPr>
                <w:rFonts w:ascii="Verdana" w:hAnsi="Verdana"/>
                <w:sz w:val="20"/>
                <w:szCs w:val="16"/>
              </w:rPr>
            </w:pPr>
            <w:r w:rsidRPr="00056279">
              <w:rPr>
                <w:rFonts w:ascii="Verdana" w:hAnsi="Verdana"/>
                <w:sz w:val="20"/>
                <w:szCs w:val="16"/>
              </w:rPr>
              <w:t>0,8%</w:t>
            </w:r>
          </w:p>
        </w:tc>
        <w:tc>
          <w:tcPr>
            <w:tcW w:w="705" w:type="dxa"/>
            <w:vAlign w:val="center"/>
            <w:hideMark/>
          </w:tcPr>
          <w:p w:rsidRPr="00056279" w:rsidR="007A1B64" w:rsidP="00180EEB" w:rsidRDefault="007A1B64" w14:paraId="7FD30792" w14:textId="77777777">
            <w:pPr>
              <w:suppressAutoHyphens/>
              <w:rPr>
                <w:rFonts w:ascii="Verdana" w:hAnsi="Verdana"/>
                <w:sz w:val="20"/>
                <w:szCs w:val="16"/>
              </w:rPr>
            </w:pPr>
            <w:r w:rsidRPr="00056279">
              <w:rPr>
                <w:rFonts w:ascii="Verdana" w:hAnsi="Verdana"/>
                <w:sz w:val="20"/>
                <w:szCs w:val="16"/>
              </w:rPr>
              <w:t>0,7%</w:t>
            </w:r>
          </w:p>
        </w:tc>
        <w:tc>
          <w:tcPr>
            <w:tcW w:w="705" w:type="dxa"/>
            <w:vAlign w:val="center"/>
            <w:hideMark/>
          </w:tcPr>
          <w:p w:rsidRPr="00056279" w:rsidR="007A1B64" w:rsidP="00180EEB" w:rsidRDefault="007A1B64" w14:paraId="5DD6759B" w14:textId="77777777">
            <w:pPr>
              <w:suppressAutoHyphens/>
              <w:rPr>
                <w:rFonts w:ascii="Verdana" w:hAnsi="Verdana"/>
                <w:sz w:val="20"/>
                <w:szCs w:val="16"/>
              </w:rPr>
            </w:pPr>
            <w:r w:rsidRPr="00056279">
              <w:rPr>
                <w:rFonts w:ascii="Verdana" w:hAnsi="Verdana"/>
                <w:sz w:val="20"/>
                <w:szCs w:val="16"/>
              </w:rPr>
              <w:t>0,7%</w:t>
            </w:r>
          </w:p>
        </w:tc>
      </w:tr>
    </w:tbl>
    <w:p w:rsidRPr="005F055E" w:rsidR="007A1B64" w:rsidP="00180EEB" w:rsidRDefault="007A1B64" w14:paraId="21BD03E3" w14:textId="77777777">
      <w:pPr>
        <w:suppressAutoHyphens/>
        <w:rPr>
          <w:szCs w:val="18"/>
        </w:rPr>
      </w:pPr>
    </w:p>
    <w:p w:rsidRPr="005F055E" w:rsidR="007A1B64" w:rsidP="00180EEB" w:rsidRDefault="007A1B64" w14:paraId="3538C871" w14:textId="294CF338">
      <w:pPr>
        <w:suppressAutoHyphens/>
        <w:rPr>
          <w:szCs w:val="18"/>
        </w:rPr>
      </w:pPr>
      <w:r w:rsidRPr="005F055E">
        <w:rPr>
          <w:szCs w:val="18"/>
        </w:rPr>
        <w:t xml:space="preserve">De uitgaven van de extramurale geneesmiddelen zijn inclusief de terhandstellingskosten en daarmee gelijk aan de uitgaven apotheekzorg in de begroting. </w:t>
      </w:r>
    </w:p>
    <w:p w:rsidRPr="005F055E" w:rsidR="007A1B64" w:rsidP="00180EEB" w:rsidRDefault="007A1B64" w14:paraId="5E6E5DB5" w14:textId="0267D7EB">
      <w:pPr>
        <w:suppressAutoHyphens/>
        <w:rPr>
          <w:szCs w:val="18"/>
        </w:rPr>
      </w:pPr>
      <w:r w:rsidRPr="005F055E">
        <w:rPr>
          <w:szCs w:val="18"/>
        </w:rPr>
        <w:t xml:space="preserve">De inzet van intramurale geneesmiddelen wordt op verschillende wijzen bekostigd. De uitgaven aan relatief duurdere intramuraal verstrekte geneesmiddelen (oftewel de </w:t>
      </w:r>
      <w:proofErr w:type="spellStart"/>
      <w:r w:rsidRPr="005F055E">
        <w:rPr>
          <w:szCs w:val="18"/>
        </w:rPr>
        <w:t>add</w:t>
      </w:r>
      <w:proofErr w:type="spellEnd"/>
      <w:r w:rsidRPr="005F055E">
        <w:rPr>
          <w:szCs w:val="18"/>
        </w:rPr>
        <w:t xml:space="preserve"> on geneesmiddelen) worden apart bekostigd. Deze kosten zijn dan ook opgenomen als kosten intramurale geneesmiddelen MSZ. De uitgaven aan de inzet van minder dure geneesmiddelen in instellingen van de medisch specialistische zorg zijn onderdeel van de integrale tarieven en worden dan ook niet apart bijgehouden. Deze kosten zijn dan ook niet meegenomen in de tabel. Dit geldt ook voor de inzet van geneesmiddelen bij behandeling in geneeskundige </w:t>
      </w:r>
      <w:r w:rsidR="00D55762">
        <w:rPr>
          <w:szCs w:val="18"/>
        </w:rPr>
        <w:t>GGZ</w:t>
      </w:r>
      <w:r w:rsidRPr="005F055E">
        <w:rPr>
          <w:szCs w:val="18"/>
        </w:rPr>
        <w:t xml:space="preserve">-instellingen die ook niet apart worden bekostigd. </w:t>
      </w:r>
    </w:p>
    <w:p w:rsidRPr="005F055E" w:rsidR="007A1B64" w:rsidP="00180EEB" w:rsidRDefault="007A1B64" w14:paraId="6B959FE1" w14:textId="081B712E">
      <w:pPr>
        <w:suppressAutoHyphens/>
        <w:rPr>
          <w:szCs w:val="18"/>
        </w:rPr>
      </w:pPr>
      <w:r w:rsidRPr="005F055E">
        <w:rPr>
          <w:szCs w:val="18"/>
        </w:rPr>
        <w:t xml:space="preserve">De uitgaven zijn gebaseerd op cijfers van de zorgverzekeraars waar eventuele kortingen, financiële arrangementen en btw in zijn verwerkt. </w:t>
      </w:r>
    </w:p>
    <w:p w:rsidRPr="005F055E" w:rsidR="000478A7" w:rsidP="00180EEB" w:rsidRDefault="007A1B64" w14:paraId="34FB145F" w14:textId="1FD1B047">
      <w:pPr>
        <w:suppressAutoHyphens/>
        <w:rPr>
          <w:szCs w:val="18"/>
        </w:rPr>
      </w:pPr>
      <w:bookmarkStart w:name="_Hlk211350007" w:id="16"/>
      <w:r w:rsidRPr="005F055E">
        <w:rPr>
          <w:szCs w:val="18"/>
        </w:rPr>
        <w:t xml:space="preserve">De inzet van geneesmiddelen in </w:t>
      </w:r>
      <w:proofErr w:type="spellStart"/>
      <w:r w:rsidRPr="005F055E">
        <w:rPr>
          <w:szCs w:val="18"/>
        </w:rPr>
        <w:t>Wlz</w:t>
      </w:r>
      <w:proofErr w:type="spellEnd"/>
      <w:r w:rsidRPr="005F055E">
        <w:rPr>
          <w:szCs w:val="18"/>
        </w:rPr>
        <w:t xml:space="preserve">-instellingen wordt ook niet apart bekostigd. Daar waar </w:t>
      </w:r>
      <w:proofErr w:type="spellStart"/>
      <w:r w:rsidRPr="005F055E">
        <w:rPr>
          <w:szCs w:val="18"/>
        </w:rPr>
        <w:t>Wlz</w:t>
      </w:r>
      <w:proofErr w:type="spellEnd"/>
      <w:r w:rsidRPr="005F055E">
        <w:rPr>
          <w:szCs w:val="18"/>
        </w:rPr>
        <w:t xml:space="preserve">-cliënten zorg met behandeling geleverd krijgen vanuit de </w:t>
      </w:r>
      <w:proofErr w:type="spellStart"/>
      <w:r w:rsidRPr="005F055E">
        <w:rPr>
          <w:szCs w:val="18"/>
        </w:rPr>
        <w:t>Wlz</w:t>
      </w:r>
      <w:proofErr w:type="spellEnd"/>
      <w:r w:rsidRPr="005F055E">
        <w:rPr>
          <w:szCs w:val="18"/>
        </w:rPr>
        <w:t xml:space="preserve">-instelling maakt dit onderdeel uit van de integrale tarieven. Cliënten zonder verblijf krijgen geneesmiddelen vanuit de Zorgverzekeringswet vergoed. </w:t>
      </w:r>
      <w:bookmarkEnd w:id="16"/>
    </w:p>
    <w:p w:rsidRPr="005F055E" w:rsidR="007B58FB" w:rsidP="00180EEB" w:rsidRDefault="007B58FB" w14:paraId="5804D52D" w14:textId="77777777">
      <w:pPr>
        <w:suppressAutoHyphens/>
      </w:pPr>
    </w:p>
    <w:p w:rsidRPr="005F055E" w:rsidR="000478A7" w:rsidP="00180EEB" w:rsidRDefault="003E7003" w14:paraId="125B7164" w14:textId="77777777">
      <w:pPr>
        <w:suppressAutoHyphens/>
      </w:pPr>
      <w:r w:rsidRPr="005F055E">
        <w:t>Vraag 60</w:t>
      </w:r>
      <w:r w:rsidRPr="005F055E">
        <w:tab/>
      </w:r>
    </w:p>
    <w:p w:rsidRPr="005F055E" w:rsidR="000478A7" w:rsidP="00180EEB" w:rsidRDefault="003E7003" w14:paraId="49C94F64" w14:textId="77777777">
      <w:pPr>
        <w:suppressAutoHyphens/>
      </w:pPr>
      <w:r w:rsidRPr="005F055E">
        <w:t>Wat is de reden dat het budget voor een gezonde leefstijl in 2026 wordt verlaagd naar €18,39 miljoen (van €29,29 miljoen in 2025)?</w:t>
      </w:r>
      <w:r w:rsidRPr="005F055E">
        <w:tab/>
      </w:r>
    </w:p>
    <w:p w:rsidRPr="005F055E" w:rsidR="003E7003" w:rsidP="00180EEB" w:rsidRDefault="003E7003" w14:paraId="34477FE9" w14:textId="5919B1DD">
      <w:pPr>
        <w:suppressAutoHyphens/>
      </w:pPr>
      <w:r w:rsidRPr="005F055E">
        <w:t>Antwoord</w:t>
      </w:r>
    </w:p>
    <w:p w:rsidRPr="005F055E" w:rsidR="00CB0883" w:rsidP="00180EEB" w:rsidRDefault="00CB0883" w14:paraId="576C6BF4" w14:textId="5B4833B6">
      <w:pPr>
        <w:suppressAutoHyphens/>
        <w:rPr>
          <w:szCs w:val="18"/>
          <w:lang w:eastAsia="nl-NL"/>
        </w:rPr>
      </w:pPr>
      <w:r w:rsidRPr="005F055E">
        <w:rPr>
          <w:szCs w:val="18"/>
          <w:lang w:eastAsia="nl-NL"/>
        </w:rPr>
        <w:t xml:space="preserve">Het kabinet Rutte IV heeft tussen 2022-2025 extra geïnvesteerd in preventie. Deze middelen waren tijdelijk van aard en komen per 2026 te vervallen. Dit is de reden waarom het budget voor gezonde leefstijl en gezond gewicht in 2026 lager uitvalt dan in 2025. </w:t>
      </w:r>
    </w:p>
    <w:p w:rsidRPr="005F055E" w:rsidR="007B58FB" w:rsidP="00180EEB" w:rsidRDefault="007B58FB" w14:paraId="75D9498D" w14:textId="77777777">
      <w:pPr>
        <w:suppressAutoHyphens/>
      </w:pPr>
    </w:p>
    <w:p w:rsidRPr="005F055E" w:rsidR="000478A7" w:rsidP="00180EEB" w:rsidRDefault="003E7003" w14:paraId="305F9D88" w14:textId="77777777">
      <w:pPr>
        <w:suppressAutoHyphens/>
      </w:pPr>
      <w:r w:rsidRPr="005F055E">
        <w:t>Vraag 61</w:t>
      </w:r>
      <w:r w:rsidRPr="005F055E">
        <w:tab/>
      </w:r>
    </w:p>
    <w:p w:rsidRPr="005F055E" w:rsidR="000478A7" w:rsidP="00180EEB" w:rsidRDefault="003E7003" w14:paraId="19C937DB" w14:textId="77777777">
      <w:pPr>
        <w:suppressAutoHyphens/>
      </w:pPr>
      <w:r w:rsidRPr="005F055E">
        <w:t>Welke werkzaamheden van het Zorginstituut (en eventuele andere ZBO’s) worden bedoeld en gewijzigd met ‘verbreden en verbeteren’ van de toets op het basispakket?</w:t>
      </w:r>
      <w:r w:rsidRPr="005F055E">
        <w:tab/>
      </w:r>
    </w:p>
    <w:p w:rsidRPr="005F055E" w:rsidR="003E7003" w:rsidP="00180EEB" w:rsidRDefault="003E7003" w14:paraId="3602EBAE" w14:textId="5F2B437F">
      <w:pPr>
        <w:suppressAutoHyphens/>
      </w:pPr>
      <w:r w:rsidRPr="005F055E">
        <w:t>Antwoord</w:t>
      </w:r>
    </w:p>
    <w:p w:rsidRPr="005F055E" w:rsidR="007B58FB" w:rsidP="00180EEB" w:rsidRDefault="007B58FB" w14:paraId="778918C8" w14:textId="77777777">
      <w:pPr>
        <w:suppressAutoHyphens/>
        <w:spacing w:line="278" w:lineRule="auto"/>
        <w:rPr>
          <w:rFonts w:eastAsia="Aptos"/>
          <w:kern w:val="2"/>
          <w:szCs w:val="18"/>
          <w14:ligatures w14:val="standardContextual"/>
        </w:rPr>
      </w:pPr>
      <w:r w:rsidRPr="005F055E">
        <w:rPr>
          <w:rFonts w:eastAsia="Aptos"/>
          <w:kern w:val="2"/>
          <w:szCs w:val="18"/>
          <w14:ligatures w14:val="standardContextual"/>
        </w:rPr>
        <w:t xml:space="preserve">Met het verbeteren en verbreden van de toets op het basispakket is een traject in gang gezet om het pakketbeheer te verbeteren en verbreden ten behoeve van passende zorg. Het Zorginstituut voert in het kader van hun wettelijke taak een aantal activiteiten uit om partijen te ondersteunen in het uitvoeren van hun rol in het pakketbeheer en duidt daarbij gevraagd en ongevraagd de inhoud en omvang van het pakket. </w:t>
      </w:r>
    </w:p>
    <w:p w:rsidRPr="005F055E" w:rsidR="007B58FB" w:rsidP="00180EEB" w:rsidRDefault="007B58FB" w14:paraId="6188AB2A" w14:textId="77777777">
      <w:pPr>
        <w:suppressAutoHyphens/>
        <w:spacing w:line="278" w:lineRule="auto"/>
        <w:rPr>
          <w:rFonts w:eastAsia="Aptos"/>
          <w:kern w:val="2"/>
          <w:szCs w:val="18"/>
          <w14:ligatures w14:val="standardContextual"/>
        </w:rPr>
      </w:pPr>
      <w:r w:rsidRPr="005F055E">
        <w:rPr>
          <w:rFonts w:eastAsia="Aptos"/>
          <w:kern w:val="2"/>
          <w:szCs w:val="18"/>
          <w14:ligatures w14:val="standardContextual"/>
        </w:rPr>
        <w:t xml:space="preserve">Het gaat om de volgende werkzaamheden van het Zorginstituut: </w:t>
      </w:r>
    </w:p>
    <w:p w:rsidRPr="005F055E" w:rsidR="007B58FB" w:rsidP="00180EEB" w:rsidRDefault="007B58FB" w14:paraId="531B437F" w14:textId="77777777">
      <w:pPr>
        <w:numPr>
          <w:ilvl w:val="0"/>
          <w:numId w:val="11"/>
        </w:numPr>
        <w:suppressAutoHyphens/>
        <w:spacing w:line="278" w:lineRule="auto"/>
        <w:contextualSpacing/>
        <w:rPr>
          <w:rFonts w:eastAsia="Aptos"/>
          <w:kern w:val="2"/>
          <w:szCs w:val="18"/>
          <w14:ligatures w14:val="standardContextual"/>
        </w:rPr>
      </w:pPr>
      <w:r w:rsidRPr="005F055E">
        <w:rPr>
          <w:rFonts w:eastAsia="Aptos"/>
          <w:kern w:val="2"/>
          <w:szCs w:val="18"/>
          <w14:ligatures w14:val="standardContextual"/>
        </w:rPr>
        <w:t>het Zorginstituut ondersteunt veldpartijen door o.a. kaders en handleidingen te ontwikkelen die duidelijkheid geven over hoe het pakketbeheer werkt en wie daarin welke rol heeft;</w:t>
      </w:r>
    </w:p>
    <w:p w:rsidRPr="005F055E" w:rsidR="007B58FB" w:rsidP="00180EEB" w:rsidRDefault="007B58FB" w14:paraId="57F945CA" w14:textId="77777777">
      <w:pPr>
        <w:numPr>
          <w:ilvl w:val="0"/>
          <w:numId w:val="11"/>
        </w:numPr>
        <w:suppressAutoHyphens/>
        <w:spacing w:line="278" w:lineRule="auto"/>
        <w:contextualSpacing/>
        <w:rPr>
          <w:rFonts w:eastAsia="Aptos"/>
          <w:kern w:val="2"/>
          <w:szCs w:val="18"/>
          <w14:ligatures w14:val="standardContextual"/>
        </w:rPr>
      </w:pPr>
      <w:r w:rsidRPr="005F055E">
        <w:rPr>
          <w:rFonts w:eastAsia="Aptos"/>
          <w:kern w:val="2"/>
          <w:szCs w:val="18"/>
          <w14:ligatures w14:val="standardContextual"/>
        </w:rPr>
        <w:t>het Zorginstituut werkt nu uit hoe de maatschappelijke opgave op arbeidsinzet en ecologische duurzaamheid in het pakketbeheer verankerd kunnen worden</w:t>
      </w:r>
      <w:r w:rsidRPr="005F055E">
        <w:rPr>
          <w:rFonts w:eastAsia="Aptos"/>
          <w:kern w:val="2"/>
          <w:szCs w:val="18"/>
          <w:vertAlign w:val="superscript"/>
          <w14:ligatures w14:val="standardContextual"/>
        </w:rPr>
        <w:footnoteReference w:id="15"/>
      </w:r>
      <w:r w:rsidRPr="005F055E">
        <w:rPr>
          <w:rFonts w:eastAsia="Aptos"/>
          <w:kern w:val="2"/>
          <w:szCs w:val="18"/>
          <w14:ligatures w14:val="standardContextual"/>
        </w:rPr>
        <w:t xml:space="preserve">; </w:t>
      </w:r>
    </w:p>
    <w:p w:rsidRPr="005F055E" w:rsidR="007B58FB" w:rsidP="00180EEB" w:rsidRDefault="007B58FB" w14:paraId="10F72A61" w14:textId="77777777">
      <w:pPr>
        <w:numPr>
          <w:ilvl w:val="0"/>
          <w:numId w:val="11"/>
        </w:numPr>
        <w:suppressAutoHyphens/>
        <w:spacing w:line="278" w:lineRule="auto"/>
        <w:contextualSpacing/>
        <w:rPr>
          <w:rFonts w:eastAsia="Aptos"/>
          <w:kern w:val="2"/>
          <w:szCs w:val="18"/>
          <w14:ligatures w14:val="standardContextual"/>
        </w:rPr>
      </w:pPr>
      <w:r w:rsidRPr="005F055E">
        <w:rPr>
          <w:rFonts w:eastAsia="Aptos"/>
          <w:kern w:val="2"/>
          <w:szCs w:val="18"/>
          <w14:ligatures w14:val="standardContextual"/>
        </w:rPr>
        <w:t xml:space="preserve">het Zorginstituut doet op verzoek van VWS uitspraken over welke zorg wel of niet verzekerd is; </w:t>
      </w:r>
    </w:p>
    <w:p w:rsidRPr="005F055E" w:rsidR="007B58FB" w:rsidP="00180EEB" w:rsidRDefault="007B58FB" w14:paraId="75219677" w14:textId="77777777">
      <w:pPr>
        <w:numPr>
          <w:ilvl w:val="0"/>
          <w:numId w:val="11"/>
        </w:numPr>
        <w:suppressAutoHyphens/>
        <w:spacing w:line="278" w:lineRule="auto"/>
        <w:contextualSpacing/>
        <w:rPr>
          <w:rFonts w:eastAsia="Aptos"/>
          <w:kern w:val="2"/>
          <w:szCs w:val="18"/>
          <w14:ligatures w14:val="standardContextual"/>
        </w:rPr>
      </w:pPr>
      <w:r w:rsidRPr="005F055E">
        <w:rPr>
          <w:rFonts w:eastAsia="Aptos"/>
          <w:kern w:val="2"/>
          <w:szCs w:val="18"/>
          <w14:ligatures w14:val="standardContextual"/>
        </w:rPr>
        <w:t xml:space="preserve">het Zorginstituut ondersteunt partijen bij de agendering voor onderzoek naar pakketwaardigheid van zorg. </w:t>
      </w:r>
    </w:p>
    <w:p w:rsidRPr="005F055E" w:rsidR="007B58FB" w:rsidP="00180EEB" w:rsidRDefault="007B58FB" w14:paraId="24963B28" w14:textId="77777777">
      <w:pPr>
        <w:numPr>
          <w:ilvl w:val="0"/>
          <w:numId w:val="11"/>
        </w:numPr>
        <w:suppressAutoHyphens/>
        <w:spacing w:line="278" w:lineRule="auto"/>
        <w:contextualSpacing/>
        <w:rPr>
          <w:rFonts w:eastAsia="Aptos"/>
          <w:kern w:val="2"/>
          <w:szCs w:val="18"/>
          <w14:ligatures w14:val="standardContextual"/>
        </w:rPr>
      </w:pPr>
      <w:r w:rsidRPr="005F055E">
        <w:rPr>
          <w:rFonts w:eastAsia="Aptos"/>
          <w:kern w:val="2"/>
          <w:szCs w:val="18"/>
          <w14:ligatures w14:val="standardContextual"/>
        </w:rPr>
        <w:t xml:space="preserve">het Zorginstituut adviseert de minister van VWS of dit onderzoek eventueel verplicht moet gebeuren via een nieuwe regeling (Vergoeding in Onderzoek, VIO) die vanaf begin 2026 wordt ingevoerd. </w:t>
      </w:r>
    </w:p>
    <w:p w:rsidRPr="005F055E" w:rsidR="007B58FB" w:rsidP="00180EEB" w:rsidRDefault="007B58FB" w14:paraId="326844F9" w14:textId="77777777">
      <w:pPr>
        <w:numPr>
          <w:ilvl w:val="0"/>
          <w:numId w:val="11"/>
        </w:numPr>
        <w:suppressAutoHyphens/>
        <w:spacing w:line="278" w:lineRule="auto"/>
        <w:contextualSpacing/>
        <w:rPr>
          <w:rFonts w:eastAsia="Aptos"/>
          <w:kern w:val="2"/>
          <w:szCs w:val="18"/>
          <w14:ligatures w14:val="standardContextual"/>
        </w:rPr>
      </w:pPr>
      <w:r w:rsidRPr="005F055E">
        <w:rPr>
          <w:rFonts w:eastAsia="Aptos"/>
          <w:kern w:val="2"/>
          <w:szCs w:val="18"/>
          <w14:ligatures w14:val="standardContextual"/>
        </w:rPr>
        <w:t xml:space="preserve">het Zorginstituut heeft een adviserende rol in het nieuwe ‘kaderprogramma Passende zorg’ van </w:t>
      </w:r>
      <w:proofErr w:type="spellStart"/>
      <w:r w:rsidRPr="005F055E">
        <w:rPr>
          <w:rFonts w:eastAsia="Aptos"/>
          <w:kern w:val="2"/>
          <w:szCs w:val="18"/>
          <w14:ligatures w14:val="standardContextual"/>
        </w:rPr>
        <w:t>ZonMw</w:t>
      </w:r>
      <w:proofErr w:type="spellEnd"/>
      <w:r w:rsidRPr="005F055E">
        <w:rPr>
          <w:rFonts w:eastAsia="Aptos"/>
          <w:kern w:val="2"/>
          <w:szCs w:val="18"/>
          <w14:ligatures w14:val="standardContextual"/>
        </w:rPr>
        <w:t xml:space="preserve"> (KPPZ) om te borgen dat er onderzoek wordt uitgevoerd dat bruikbare uitkomsten oplevert om uitspraken te doen over pakketwaardigheid van de onderzochte zorg. </w:t>
      </w:r>
    </w:p>
    <w:p w:rsidRPr="005F055E" w:rsidR="007B58FB" w:rsidP="00180EEB" w:rsidRDefault="007B58FB" w14:paraId="652ADD52" w14:textId="77777777">
      <w:pPr>
        <w:suppressAutoHyphens/>
        <w:spacing w:line="278" w:lineRule="auto"/>
        <w:ind w:left="360"/>
        <w:contextualSpacing/>
        <w:rPr>
          <w:rFonts w:eastAsia="Aptos"/>
          <w:kern w:val="2"/>
          <w:szCs w:val="18"/>
          <w14:ligatures w14:val="standardContextual"/>
        </w:rPr>
      </w:pPr>
    </w:p>
    <w:p w:rsidRPr="005F055E" w:rsidR="000478A7" w:rsidP="00180EEB" w:rsidRDefault="007B58FB" w14:paraId="1248A6CE" w14:textId="4770A2DA">
      <w:pPr>
        <w:suppressAutoHyphens/>
        <w:spacing w:line="278" w:lineRule="auto"/>
        <w:rPr>
          <w:rFonts w:eastAsia="Aptos"/>
          <w:kern w:val="2"/>
          <w:szCs w:val="18"/>
          <w14:ligatures w14:val="standardContextual"/>
        </w:rPr>
      </w:pPr>
      <w:r w:rsidRPr="005F055E">
        <w:rPr>
          <w:rFonts w:eastAsia="Aptos"/>
          <w:kern w:val="2"/>
          <w:szCs w:val="18"/>
          <w14:ligatures w14:val="standardContextual"/>
        </w:rPr>
        <w:t xml:space="preserve">Ook de werkzaamheden van </w:t>
      </w:r>
      <w:proofErr w:type="spellStart"/>
      <w:r w:rsidRPr="005F055E">
        <w:rPr>
          <w:rFonts w:eastAsia="Aptos"/>
          <w:kern w:val="2"/>
          <w:szCs w:val="18"/>
          <w14:ligatures w14:val="standardContextual"/>
        </w:rPr>
        <w:t>ZonMw</w:t>
      </w:r>
      <w:proofErr w:type="spellEnd"/>
      <w:r w:rsidRPr="005F055E">
        <w:rPr>
          <w:rFonts w:eastAsia="Aptos"/>
          <w:kern w:val="2"/>
          <w:szCs w:val="18"/>
          <w14:ligatures w14:val="standardContextual"/>
        </w:rPr>
        <w:t xml:space="preserve"> veranderen. Als gezegd voert </w:t>
      </w:r>
      <w:proofErr w:type="spellStart"/>
      <w:r w:rsidRPr="005F055E">
        <w:rPr>
          <w:rFonts w:eastAsia="Aptos"/>
          <w:kern w:val="2"/>
          <w:szCs w:val="18"/>
          <w14:ligatures w14:val="standardContextual"/>
        </w:rPr>
        <w:t>ZonMw</w:t>
      </w:r>
      <w:proofErr w:type="spellEnd"/>
      <w:r w:rsidRPr="005F055E">
        <w:rPr>
          <w:rFonts w:eastAsia="Aptos"/>
          <w:kern w:val="2"/>
          <w:szCs w:val="18"/>
          <w14:ligatures w14:val="standardContextual"/>
        </w:rPr>
        <w:t xml:space="preserve"> het KPPZ uit. In KPPZ worden de onderzoeksprogramma’s </w:t>
      </w:r>
      <w:proofErr w:type="spellStart"/>
      <w:r w:rsidRPr="005F055E">
        <w:rPr>
          <w:rFonts w:eastAsia="Aptos"/>
          <w:kern w:val="2"/>
          <w:szCs w:val="18"/>
          <w14:ligatures w14:val="standardContextual"/>
        </w:rPr>
        <w:t>DoelmatigheidsOnderzoek</w:t>
      </w:r>
      <w:proofErr w:type="spellEnd"/>
      <w:r w:rsidRPr="005F055E">
        <w:rPr>
          <w:rFonts w:eastAsia="Aptos"/>
          <w:kern w:val="2"/>
          <w:szCs w:val="18"/>
          <w14:ligatures w14:val="standardContextual"/>
        </w:rPr>
        <w:t xml:space="preserve"> en HTA-Methodologie van </w:t>
      </w:r>
      <w:proofErr w:type="spellStart"/>
      <w:r w:rsidRPr="005F055E">
        <w:rPr>
          <w:rFonts w:eastAsia="Aptos"/>
          <w:kern w:val="2"/>
          <w:szCs w:val="18"/>
          <w14:ligatures w14:val="standardContextual"/>
        </w:rPr>
        <w:t>ZonMw</w:t>
      </w:r>
      <w:proofErr w:type="spellEnd"/>
      <w:r w:rsidRPr="005F055E">
        <w:rPr>
          <w:rFonts w:eastAsia="Aptos"/>
          <w:kern w:val="2"/>
          <w:szCs w:val="18"/>
          <w14:ligatures w14:val="standardContextual"/>
        </w:rPr>
        <w:t xml:space="preserve"> geïntegreerd. Via het KPPZ wordt onderzoek gestimuleerd naar de pakketwaardigheid van zorg zodat duidelijk wordt welke zorg wel of niet effectief is en we dus wel of niet moeten vergoeden. Het gaat daarbij nadrukkelijk om onderwerpen met maatschappelijke impact. </w:t>
      </w:r>
    </w:p>
    <w:p w:rsidRPr="005F055E" w:rsidR="000478A7" w:rsidP="00180EEB" w:rsidRDefault="000478A7" w14:paraId="4C5BCA44" w14:textId="77777777">
      <w:pPr>
        <w:suppressAutoHyphens/>
      </w:pPr>
    </w:p>
    <w:p w:rsidRPr="005F055E" w:rsidR="000478A7" w:rsidP="00180EEB" w:rsidRDefault="003E7003" w14:paraId="4A6F7658" w14:textId="77777777">
      <w:pPr>
        <w:suppressAutoHyphens/>
      </w:pPr>
      <w:r w:rsidRPr="005F055E">
        <w:t>Vraag 62</w:t>
      </w:r>
      <w:r w:rsidRPr="005F055E">
        <w:tab/>
      </w:r>
    </w:p>
    <w:p w:rsidRPr="005F055E" w:rsidR="000478A7" w:rsidP="00180EEB" w:rsidRDefault="003E7003" w14:paraId="1528D26D" w14:textId="77777777">
      <w:pPr>
        <w:suppressAutoHyphens/>
      </w:pPr>
      <w:r w:rsidRPr="005F055E">
        <w:t>Hoe en wanneer zal het programma ‘Verbeteren en Verbreden Toets op het Basispakket’ worden geeffectueerd en geëvalueerd?</w:t>
      </w:r>
      <w:r w:rsidRPr="005F055E">
        <w:tab/>
      </w:r>
    </w:p>
    <w:p w:rsidRPr="005F055E" w:rsidR="003E7003" w:rsidP="00180EEB" w:rsidRDefault="003E7003" w14:paraId="29184A7A" w14:textId="5A1D6F65">
      <w:pPr>
        <w:suppressAutoHyphens/>
      </w:pPr>
      <w:r w:rsidRPr="005F055E">
        <w:t>Antwoord</w:t>
      </w:r>
    </w:p>
    <w:p w:rsidRPr="005F055E" w:rsidR="007B58FB" w:rsidP="00180EEB" w:rsidRDefault="007B58FB" w14:paraId="3340F3C1" w14:textId="5431D719">
      <w:pPr>
        <w:suppressAutoHyphens/>
        <w:rPr>
          <w:szCs w:val="18"/>
        </w:rPr>
      </w:pPr>
      <w:r w:rsidRPr="005F055E">
        <w:rPr>
          <w:szCs w:val="18"/>
        </w:rPr>
        <w:t>Het verbeteren en verbreden van de toets op het basispakket (VVTB) heeft als doel</w:t>
      </w:r>
      <w:bookmarkStart w:name="_Hlk211326426" w:id="17"/>
      <w:r w:rsidRPr="005F055E">
        <w:rPr>
          <w:szCs w:val="18"/>
        </w:rPr>
        <w:t xml:space="preserve"> </w:t>
      </w:r>
      <w:bookmarkEnd w:id="17"/>
      <w:r w:rsidRPr="005F055E">
        <w:rPr>
          <w:szCs w:val="18"/>
        </w:rPr>
        <w:t xml:space="preserve">om via intensiever pakketbeheer bij te dragen aan beschikbare, toegankelijke en betaalbare passende zorg – nú én in de toekomst. Dit programma heeft een aantal randvoorwaarden gecreëerd om de veldpartijen in staat te stellen kritischer te kijken naar de effectiviteit en </w:t>
      </w:r>
      <w:proofErr w:type="spellStart"/>
      <w:r w:rsidRPr="005F055E">
        <w:rPr>
          <w:szCs w:val="18"/>
        </w:rPr>
        <w:t>passendheid</w:t>
      </w:r>
      <w:proofErr w:type="spellEnd"/>
      <w:r w:rsidRPr="005F055E">
        <w:rPr>
          <w:szCs w:val="18"/>
        </w:rPr>
        <w:t xml:space="preserve"> van de zorg die zij bieden. En om te handelen wanneer daar twijfel over bestaat. Het gaat bijvoorbeeld over verheldering en verbreding van de criteria die gelden voor pakketbeheer en hoe die toe te passen, uitgewerkt door Zorginstituut Nederland (hierna: het Zorginstituut). Het Zorginstituut houdt met evaluatierapporten en monitors de effecten van pakketbeoordelingen bij.</w:t>
      </w:r>
    </w:p>
    <w:p w:rsidRPr="005F055E" w:rsidR="007B58FB" w:rsidP="00180EEB" w:rsidRDefault="007B58FB" w14:paraId="28A61979" w14:textId="1715CF33">
      <w:pPr>
        <w:suppressAutoHyphens/>
        <w:rPr>
          <w:szCs w:val="18"/>
        </w:rPr>
      </w:pPr>
      <w:r w:rsidRPr="005F055E">
        <w:rPr>
          <w:szCs w:val="18"/>
        </w:rPr>
        <w:t xml:space="preserve">Ook is recent het Kaderprogramma Passende Zorg (KPPZ) van </w:t>
      </w:r>
      <w:proofErr w:type="spellStart"/>
      <w:r w:rsidRPr="005F055E">
        <w:rPr>
          <w:szCs w:val="18"/>
        </w:rPr>
        <w:t>ZonMw</w:t>
      </w:r>
      <w:proofErr w:type="spellEnd"/>
      <w:r w:rsidRPr="005F055E">
        <w:rPr>
          <w:szCs w:val="18"/>
        </w:rPr>
        <w:t xml:space="preserve"> van start gegaan. Hiermee wordt zoveel mogelijk ondersteuning geboden om te onderzoeken of zorg passend en werkzaam is. KPPZ wordt in 2027 extern geëvalueerd.</w:t>
      </w:r>
    </w:p>
    <w:p w:rsidRPr="005F055E" w:rsidR="000478A7" w:rsidP="00180EEB" w:rsidRDefault="007B58FB" w14:paraId="3CFE1F9E" w14:textId="472459CA">
      <w:pPr>
        <w:suppressAutoHyphens/>
        <w:rPr>
          <w:szCs w:val="18"/>
        </w:rPr>
      </w:pPr>
      <w:r w:rsidRPr="005F055E">
        <w:rPr>
          <w:szCs w:val="18"/>
        </w:rPr>
        <w:t>Om afspraken die de zorgpartijen maken te borgen, zijn in het Integraal Zorgakkoord (IZA)</w:t>
      </w:r>
      <w:r w:rsidRPr="005F055E">
        <w:rPr>
          <w:rStyle w:val="Voetnootmarkering"/>
          <w:szCs w:val="18"/>
        </w:rPr>
        <w:footnoteReference w:id="16"/>
      </w:r>
      <w:r w:rsidRPr="005F055E">
        <w:rPr>
          <w:szCs w:val="18"/>
        </w:rPr>
        <w:t xml:space="preserve"> door veldpartijen en overheidspartijen afspraken gemaakt om gezamenlijk stappen te zetten om passende zorg in het pakketbeheer de norm te laten zijn. Met het Aanvullend Zorg- en Welzijnsakkoord (AZWA)</w:t>
      </w:r>
      <w:r w:rsidRPr="005F055E">
        <w:rPr>
          <w:rStyle w:val="Voetnootmarkering"/>
          <w:szCs w:val="18"/>
        </w:rPr>
        <w:footnoteReference w:id="17"/>
      </w:r>
      <w:r w:rsidRPr="005F055E">
        <w:rPr>
          <w:szCs w:val="18"/>
        </w:rPr>
        <w:t xml:space="preserve"> hebben we bestendigd dat we hiermee onverminderd doorgaan. De voortgang van de akkoorden wordt gemonitord. Vooral de medisch-specialistische zorg is hier al goed bij betrokken. Voor sectoren die nog minder goed zijn betrokken is een traject gestart om met hen in gesprek te gaan over de ontwikkelde randvoorwaarden. En over wat zij verder nodig hebben om te borgen dat alleen effectieve en passende zorg wordt geleverd. De effecten van dit traject zullen worden gemonitord.</w:t>
      </w:r>
    </w:p>
    <w:p w:rsidRPr="005F055E" w:rsidR="000478A7" w:rsidP="00180EEB" w:rsidRDefault="000478A7" w14:paraId="04725BF9" w14:textId="77777777">
      <w:pPr>
        <w:suppressAutoHyphens/>
      </w:pPr>
    </w:p>
    <w:p w:rsidRPr="005F055E" w:rsidR="000478A7" w:rsidP="00180EEB" w:rsidRDefault="003E7003" w14:paraId="3B3E900C" w14:textId="77777777">
      <w:pPr>
        <w:suppressAutoHyphens/>
      </w:pPr>
      <w:r w:rsidRPr="005F055E">
        <w:t>Vraag 63</w:t>
      </w:r>
      <w:r w:rsidRPr="005F055E">
        <w:tab/>
      </w:r>
    </w:p>
    <w:p w:rsidRPr="005F055E" w:rsidR="000478A7" w:rsidP="00180EEB" w:rsidRDefault="003E7003" w14:paraId="3CC53EE1" w14:textId="77777777">
      <w:pPr>
        <w:suppressAutoHyphens/>
      </w:pPr>
      <w:r w:rsidRPr="005F055E">
        <w:t>Hoeveel geld heeft Nederland in de periode 2020 tot 2025 jaarlijks uitgegeven aan medische preventie?</w:t>
      </w:r>
      <w:r w:rsidRPr="005F055E">
        <w:tab/>
      </w:r>
    </w:p>
    <w:p w:rsidRPr="005F055E" w:rsidR="003E7003" w:rsidP="00180EEB" w:rsidRDefault="003E7003" w14:paraId="23EE031D" w14:textId="6A28DD78">
      <w:pPr>
        <w:suppressAutoHyphens/>
      </w:pPr>
      <w:r w:rsidRPr="005F055E">
        <w:t>Antwoord</w:t>
      </w:r>
    </w:p>
    <w:p w:rsidRPr="005F055E" w:rsidR="00575A49" w:rsidP="00180EEB" w:rsidRDefault="00575A49" w14:paraId="0E9D0A2E" w14:textId="2C159A8D">
      <w:pPr>
        <w:suppressAutoHyphens/>
        <w:spacing w:line="240" w:lineRule="atLeast"/>
        <w:rPr>
          <w:szCs w:val="20"/>
          <w:lang w:eastAsia="nl-NL"/>
        </w:rPr>
      </w:pPr>
      <w:r w:rsidRPr="005F055E">
        <w:rPr>
          <w:szCs w:val="20"/>
          <w:lang w:eastAsia="nl-NL"/>
        </w:rPr>
        <w:t xml:space="preserve">Medische preventie is een zeer breed begrip waar diverse vormen van preventie onder gerekend kunnen worden. Vormen van medische preventie maken veelal ook deel uit van reguliere curatieve en langdurige zorg. Voor de beantwoording van deze vraag is gekeken naar de belangrijke preventieve instrumenten op de VWS-begroting: bevolkingsonderzoeken en het Rijksvaccinatieprogramma. In de onderstaande tabel zijn de middelen hiervoor opgenomen voor de jaren 2020-2025. Voor 2020-2024 betreft dit de realisatiecijfers die meerjarig zijn opgenomen in het VWS-jaarverslag 2024. De cijfers van 2025 zijn de meest recente cijfers die in de VWS-begroting 2026 zijn opgenomen. </w:t>
      </w:r>
    </w:p>
    <w:p w:rsidRPr="005F055E" w:rsidR="00575A49" w:rsidP="00180EEB" w:rsidRDefault="00575A49" w14:paraId="3B00AEA3" w14:textId="53D6E724">
      <w:pPr>
        <w:suppressAutoHyphens/>
        <w:spacing w:line="240" w:lineRule="atLeast"/>
        <w:rPr>
          <w:szCs w:val="20"/>
          <w:lang w:eastAsia="nl-NL"/>
        </w:rPr>
      </w:pPr>
      <w:r w:rsidRPr="005F055E">
        <w:rPr>
          <w:noProof/>
        </w:rPr>
        <w:drawing>
          <wp:inline distT="0" distB="0" distL="0" distR="0" wp14:anchorId="22E958E0" wp14:editId="6D035C3E">
            <wp:extent cx="5760720" cy="888365"/>
            <wp:effectExtent l="0" t="0" r="0" b="6985"/>
            <wp:docPr id="4636111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1111"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60720" cy="888365"/>
                    </a:xfrm>
                    <a:prstGeom prst="rect">
                      <a:avLst/>
                    </a:prstGeom>
                    <a:noFill/>
                    <a:ln>
                      <a:noFill/>
                    </a:ln>
                  </pic:spPr>
                </pic:pic>
              </a:graphicData>
            </a:graphic>
          </wp:inline>
        </w:drawing>
      </w:r>
    </w:p>
    <w:p w:rsidRPr="005F055E" w:rsidR="00575A49" w:rsidP="00180EEB" w:rsidRDefault="00575A49" w14:paraId="2438678D" w14:textId="77777777">
      <w:pPr>
        <w:suppressAutoHyphens/>
        <w:spacing w:line="240" w:lineRule="atLeast"/>
        <w:rPr>
          <w:szCs w:val="20"/>
          <w:lang w:eastAsia="nl-NL"/>
        </w:rPr>
      </w:pPr>
      <w:r w:rsidRPr="005F055E">
        <w:rPr>
          <w:szCs w:val="20"/>
          <w:lang w:eastAsia="nl-NL"/>
        </w:rPr>
        <w:t xml:space="preserve">De bedragen onder bevolkingsonderzoeken (SUB) betreffen de uitgaven voor de uitvoering van de bevolkingsonderzoeken naar kanker door de stichting Bevolkingsonderzoek Nederland, en de afgelopen jaren ook de prenatale screening door de regionale centra prenatale screening. Deze laatste programma’s kennen geen preventiedoelstelling maar vallen wel onder dit begrotingsartikel. Onder RIVM bevolkingsonderzoeken valt de uitvoering van de hielprikscreening en het bloedonderzoek bij zwangere vrouwen. Het RIVM is daarnaast belast met de regievoering op deze programma’s, dit is onderdeel van de bredere RIVM programmering en staat niet in bovenstaand overzicht. De begrotingspost Vaccinatie (SUB) betreft de uitvoering van de griep- en pneumokokkenvaccinatie door de Stichting Nationaal Programma Grieppreventie. Onder RIVM vaccinaties vallen de kosten van het RIVM voor het Rijksvaccinatieprogramma en de griep- en pneumokokkenvaccinatie. Daarnaast zijn hieronder uitvoeringskosten opgenomen van vaccinaties die (nog) niet in het RVP zijn opgenomen zoals RSV-immunisatie waarmee dit najaar is gestart. </w:t>
      </w:r>
    </w:p>
    <w:p w:rsidRPr="005F055E" w:rsidR="00605490" w:rsidP="00180EEB" w:rsidRDefault="00605490" w14:paraId="44E7A05E" w14:textId="77777777">
      <w:pPr>
        <w:suppressAutoHyphens/>
      </w:pPr>
    </w:p>
    <w:p w:rsidRPr="005F055E" w:rsidR="000478A7" w:rsidP="00180EEB" w:rsidRDefault="003E7003" w14:paraId="2A703E43" w14:textId="77777777">
      <w:pPr>
        <w:suppressAutoHyphens/>
      </w:pPr>
      <w:r w:rsidRPr="005F055E">
        <w:t>Vraag 64</w:t>
      </w:r>
      <w:r w:rsidRPr="005F055E">
        <w:tab/>
      </w:r>
    </w:p>
    <w:p w:rsidRPr="005F055E" w:rsidR="000478A7" w:rsidP="00180EEB" w:rsidRDefault="003E7003" w14:paraId="49D59BE0" w14:textId="77777777">
      <w:pPr>
        <w:suppressAutoHyphens/>
      </w:pPr>
      <w:r w:rsidRPr="005F055E">
        <w:t>Hoelang gaat het volgens u en de minister van Financiën duren om het investeringsmodel voor preventie volledig te verwerken in de Nederlandse begrotingssystematiek?</w:t>
      </w:r>
      <w:r w:rsidRPr="005F055E">
        <w:tab/>
      </w:r>
    </w:p>
    <w:p w:rsidRPr="005F055E" w:rsidR="003E7003" w:rsidP="00180EEB" w:rsidRDefault="003E7003" w14:paraId="7CFA2C60" w14:textId="2F116828">
      <w:pPr>
        <w:suppressAutoHyphens/>
      </w:pPr>
      <w:r w:rsidRPr="005F055E">
        <w:t>Antwoord</w:t>
      </w:r>
    </w:p>
    <w:p w:rsidRPr="005F055E" w:rsidR="000478A7" w:rsidP="00180EEB" w:rsidRDefault="006C5882" w14:paraId="70EFFB1D" w14:textId="4E7E2189">
      <w:pPr>
        <w:suppressAutoHyphens/>
        <w:spacing w:line="240" w:lineRule="atLeast"/>
        <w:rPr>
          <w:szCs w:val="20"/>
          <w:lang w:eastAsia="nl-NL"/>
        </w:rPr>
      </w:pPr>
      <w:r w:rsidRPr="005F055E">
        <w:rPr>
          <w:szCs w:val="20"/>
          <w:lang w:eastAsia="nl-NL"/>
        </w:rPr>
        <w:t>Het ontwikkelen van het investeringsmodel voor preventie is een omvangrijke en meerjarige opgave. De voorbereidende werkzaamheden, waaronder die in pijler 3 van het investeringsmodel met betrekking tot financiële besluitvorming, worden uitgevoerd in 2025 en 2026.</w:t>
      </w:r>
    </w:p>
    <w:p w:rsidRPr="005F055E" w:rsidR="007B58FB" w:rsidP="00180EEB" w:rsidRDefault="007B58FB" w14:paraId="25FB9BDA" w14:textId="77777777">
      <w:pPr>
        <w:suppressAutoHyphens/>
      </w:pPr>
      <w:bookmarkStart w:name="_Hlk213334197" w:id="18"/>
    </w:p>
    <w:p w:rsidRPr="005F055E" w:rsidR="000478A7" w:rsidP="00180EEB" w:rsidRDefault="003E7003" w14:paraId="207AD868" w14:textId="77777777">
      <w:pPr>
        <w:suppressAutoHyphens/>
      </w:pPr>
      <w:r w:rsidRPr="00381398">
        <w:t>Vraag 65</w:t>
      </w:r>
      <w:r w:rsidRPr="005F055E">
        <w:tab/>
      </w:r>
    </w:p>
    <w:p w:rsidRPr="005F055E" w:rsidR="000478A7" w:rsidP="00180EEB" w:rsidRDefault="003E7003" w14:paraId="0582C016" w14:textId="77777777">
      <w:pPr>
        <w:suppressAutoHyphens/>
      </w:pPr>
      <w:r w:rsidRPr="005F055E">
        <w:t>Welke stappen zijn voorzien in 2026 voor de verdere ontwikkeling en invoering van het investeringsmodel voor preventie?</w:t>
      </w:r>
      <w:r w:rsidRPr="005F055E">
        <w:tab/>
      </w:r>
    </w:p>
    <w:p w:rsidRPr="005F055E" w:rsidR="003E7003" w:rsidP="00180EEB" w:rsidRDefault="003E7003" w14:paraId="24854B99" w14:textId="23CCDE8E">
      <w:pPr>
        <w:suppressAutoHyphens/>
      </w:pPr>
      <w:r w:rsidRPr="005F055E">
        <w:t>Antwoord</w:t>
      </w:r>
    </w:p>
    <w:p w:rsidRPr="005F055E" w:rsidR="000478A7" w:rsidP="00180EEB" w:rsidRDefault="00381398" w14:paraId="6B1D112B" w14:textId="4A796662">
      <w:pPr>
        <w:suppressAutoHyphens/>
        <w:spacing w:line="240" w:lineRule="atLeast"/>
        <w:rPr>
          <w:szCs w:val="20"/>
          <w:lang w:eastAsia="nl-NL"/>
        </w:rPr>
      </w:pPr>
      <w:r w:rsidRPr="00381398">
        <w:rPr>
          <w:szCs w:val="20"/>
          <w:lang w:eastAsia="nl-NL"/>
        </w:rPr>
        <w:t>Op 23 oktober 2025 is de richtlijn passend bewijs preventie aan uw Kamer aangeboden</w:t>
      </w:r>
      <w:r>
        <w:rPr>
          <w:szCs w:val="20"/>
          <w:lang w:eastAsia="nl-NL"/>
        </w:rPr>
        <w:t xml:space="preserve">. </w:t>
      </w:r>
      <w:r w:rsidRPr="00381398">
        <w:rPr>
          <w:szCs w:val="20"/>
          <w:lang w:eastAsia="nl-NL"/>
        </w:rPr>
        <w:t>De richtlijn geeft de noodzakelijke methodologische handvatten om de effectiviteit van preventiemaatregelen voldoende overtuigend te onderbouwen. Deze onderbouwing is vervolgens bruikbaar om financiële reeksen op te stellen ten behoeve van besluitvorming.</w:t>
      </w:r>
      <w:r>
        <w:rPr>
          <w:rStyle w:val="Voetnootmarkering"/>
          <w:szCs w:val="20"/>
          <w:lang w:eastAsia="nl-NL"/>
        </w:rPr>
        <w:footnoteReference w:id="18"/>
      </w:r>
      <w:r w:rsidRPr="00381398">
        <w:rPr>
          <w:szCs w:val="20"/>
          <w:lang w:eastAsia="nl-NL"/>
        </w:rPr>
        <w:t xml:space="preserve"> </w:t>
      </w:r>
      <w:r w:rsidRPr="005F055E" w:rsidR="006C5882">
        <w:rPr>
          <w:szCs w:val="20"/>
          <w:lang w:eastAsia="nl-NL"/>
        </w:rPr>
        <w:t>Voor het kerstreces stuur</w:t>
      </w:r>
      <w:r w:rsidRPr="005F055E" w:rsidR="008C475E">
        <w:rPr>
          <w:szCs w:val="20"/>
          <w:lang w:eastAsia="nl-NL"/>
        </w:rPr>
        <w:t>t</w:t>
      </w:r>
      <w:r w:rsidRPr="005F055E" w:rsidR="006C5882">
        <w:rPr>
          <w:szCs w:val="20"/>
          <w:lang w:eastAsia="nl-NL"/>
        </w:rPr>
        <w:t xml:space="preserve"> </w:t>
      </w:r>
      <w:r w:rsidRPr="005F055E" w:rsidR="008C475E">
        <w:rPr>
          <w:szCs w:val="20"/>
          <w:lang w:eastAsia="nl-NL"/>
        </w:rPr>
        <w:t xml:space="preserve">de Staatssecretaris Jeugd, Preventie en Sport </w:t>
      </w:r>
      <w:r w:rsidRPr="005F055E" w:rsidR="006C5882">
        <w:rPr>
          <w:szCs w:val="20"/>
          <w:lang w:eastAsia="nl-NL"/>
        </w:rPr>
        <w:t>uw Kamer een vervolg op de brief van 17 juni 2025 met een stand van zaken over de ontwikkeling van het investeringsmodel voor preventie. Hierin gee</w:t>
      </w:r>
      <w:r w:rsidRPr="005F055E" w:rsidR="008C475E">
        <w:rPr>
          <w:szCs w:val="20"/>
          <w:lang w:eastAsia="nl-NL"/>
        </w:rPr>
        <w:t>ft de Staat</w:t>
      </w:r>
      <w:r w:rsidR="00A615DB">
        <w:rPr>
          <w:szCs w:val="20"/>
          <w:lang w:eastAsia="nl-NL"/>
        </w:rPr>
        <w:t>s</w:t>
      </w:r>
      <w:r w:rsidRPr="005F055E" w:rsidR="008C475E">
        <w:rPr>
          <w:szCs w:val="20"/>
          <w:lang w:eastAsia="nl-NL"/>
        </w:rPr>
        <w:t>secretaris Jeugd Preventie en Sport</w:t>
      </w:r>
      <w:r w:rsidRPr="005F055E" w:rsidR="006C5882">
        <w:rPr>
          <w:szCs w:val="20"/>
          <w:lang w:eastAsia="nl-NL"/>
        </w:rPr>
        <w:t xml:space="preserve"> weer welke stappen in 2025 zijn gezet en op welke manier de ontwikkeling vorm krijgt in 2026 en verder. </w:t>
      </w:r>
    </w:p>
    <w:bookmarkEnd w:id="18"/>
    <w:p w:rsidRPr="005F055E" w:rsidR="007B58FB" w:rsidP="00180EEB" w:rsidRDefault="007B58FB" w14:paraId="7B6325E4" w14:textId="77777777">
      <w:pPr>
        <w:suppressAutoHyphens/>
      </w:pPr>
    </w:p>
    <w:p w:rsidRPr="005F055E" w:rsidR="000478A7" w:rsidP="00180EEB" w:rsidRDefault="003E7003" w14:paraId="2DDD5689" w14:textId="77777777">
      <w:pPr>
        <w:suppressAutoHyphens/>
      </w:pPr>
      <w:r w:rsidRPr="005F055E">
        <w:t>Vraag 66</w:t>
      </w:r>
      <w:r w:rsidRPr="005F055E">
        <w:tab/>
      </w:r>
    </w:p>
    <w:p w:rsidRPr="005F055E" w:rsidR="000478A7" w:rsidP="00180EEB" w:rsidRDefault="003E7003" w14:paraId="7F24DE86" w14:textId="77777777">
      <w:pPr>
        <w:suppressAutoHyphens/>
      </w:pPr>
      <w:r w:rsidRPr="005F055E">
        <w:t>Welke mogelijkheden zijn er om investeringen in preventie buiten het EMU-saldo te houden? Welke landen in Europa treffen soortgelijke maatregelen?</w:t>
      </w:r>
      <w:r w:rsidRPr="005F055E">
        <w:tab/>
      </w:r>
    </w:p>
    <w:p w:rsidRPr="005F055E" w:rsidR="003E7003" w:rsidP="00180EEB" w:rsidRDefault="003E7003" w14:paraId="28B1F5A4" w14:textId="1F4D9A4A">
      <w:pPr>
        <w:suppressAutoHyphens/>
      </w:pPr>
      <w:r w:rsidRPr="005F055E">
        <w:t>Antwoord</w:t>
      </w:r>
    </w:p>
    <w:p w:rsidRPr="005F055E" w:rsidR="000478A7" w:rsidP="00180EEB" w:rsidRDefault="006C5882" w14:paraId="39A78DDA" w14:textId="050000B5">
      <w:pPr>
        <w:suppressAutoHyphens/>
        <w:spacing w:line="240" w:lineRule="atLeast"/>
        <w:rPr>
          <w:szCs w:val="18"/>
          <w:lang w:eastAsia="nl-NL"/>
        </w:rPr>
      </w:pPr>
      <w:r w:rsidRPr="005F055E">
        <w:rPr>
          <w:szCs w:val="18"/>
          <w:lang w:eastAsia="nl-NL"/>
        </w:rPr>
        <w:t xml:space="preserve">De definitie van het EMU-saldo wordt bepaald door het Europees statistiekbureau </w:t>
      </w:r>
      <w:proofErr w:type="spellStart"/>
      <w:r w:rsidRPr="005F055E">
        <w:rPr>
          <w:szCs w:val="18"/>
          <w:lang w:eastAsia="nl-NL"/>
        </w:rPr>
        <w:t>Eurostat</w:t>
      </w:r>
      <w:proofErr w:type="spellEnd"/>
      <w:r w:rsidRPr="005F055E">
        <w:rPr>
          <w:szCs w:val="18"/>
          <w:lang w:eastAsia="nl-NL"/>
        </w:rPr>
        <w:t xml:space="preserve"> en de regels daarover zijn vastgelegd in de The European System of Accounts (ESA2010). Er is binnen de regels van </w:t>
      </w:r>
      <w:proofErr w:type="spellStart"/>
      <w:r w:rsidRPr="005F055E">
        <w:rPr>
          <w:szCs w:val="18"/>
          <w:lang w:eastAsia="nl-NL"/>
        </w:rPr>
        <w:t>Eurostat</w:t>
      </w:r>
      <w:proofErr w:type="spellEnd"/>
      <w:r w:rsidRPr="005F055E">
        <w:rPr>
          <w:szCs w:val="18"/>
          <w:lang w:eastAsia="nl-NL"/>
        </w:rPr>
        <w:t xml:space="preserve"> geen mogelijkheid om bepaalde inhoudelijke thema’s buiten het saldo te plaatsen. Hier is bewust voor gekozen zodat het EMU-saldo een getrouwe en uniforme weerspiegeling is van het saldo van landen in de Europese Unie.</w:t>
      </w:r>
    </w:p>
    <w:p w:rsidRPr="005F055E" w:rsidR="007B58FB" w:rsidP="00180EEB" w:rsidRDefault="007B58FB" w14:paraId="155D05B1" w14:textId="77777777">
      <w:pPr>
        <w:suppressAutoHyphens/>
      </w:pPr>
    </w:p>
    <w:p w:rsidRPr="005F055E" w:rsidR="000478A7" w:rsidP="00180EEB" w:rsidRDefault="003E7003" w14:paraId="657B0245" w14:textId="77777777">
      <w:pPr>
        <w:suppressAutoHyphens/>
      </w:pPr>
      <w:r w:rsidRPr="005F055E">
        <w:t>Vraag 67</w:t>
      </w:r>
      <w:r w:rsidRPr="005F055E">
        <w:tab/>
      </w:r>
    </w:p>
    <w:p w:rsidRPr="005F055E" w:rsidR="000478A7" w:rsidP="00180EEB" w:rsidRDefault="003E7003" w14:paraId="61FDFE9A" w14:textId="77777777">
      <w:pPr>
        <w:suppressAutoHyphens/>
      </w:pPr>
      <w:r w:rsidRPr="005F055E">
        <w:t>Hoeveel middelen uit de beschikbare vaccinatiebudgetten zijn in 2026 gealloceerd voor volwassenenvaccinaties?</w:t>
      </w:r>
      <w:r w:rsidRPr="005F055E">
        <w:tab/>
      </w:r>
    </w:p>
    <w:p w:rsidRPr="005F055E" w:rsidR="003E7003" w:rsidP="00180EEB" w:rsidRDefault="003E7003" w14:paraId="4E294BE0" w14:textId="3B12F998">
      <w:pPr>
        <w:suppressAutoHyphens/>
      </w:pPr>
      <w:r w:rsidRPr="005F055E">
        <w:t>Antwoord</w:t>
      </w:r>
    </w:p>
    <w:p w:rsidRPr="005F055E" w:rsidR="00605490" w:rsidP="00180EEB" w:rsidRDefault="007B58FB" w14:paraId="4D5581D3" w14:textId="0E5AEFB5">
      <w:pPr>
        <w:suppressAutoHyphens/>
      </w:pPr>
      <w:r w:rsidRPr="005F055E">
        <w:t xml:space="preserve">De vaccinaties voor volwassenen voorzien in het vaccineren van bepaalde risicogroepen. In 2026 gaat het om vaccinaties van risicogroepen voor griep en pneumokokken, covid, </w:t>
      </w:r>
      <w:proofErr w:type="spellStart"/>
      <w:r w:rsidRPr="005F055E">
        <w:t>monkeypox</w:t>
      </w:r>
      <w:proofErr w:type="spellEnd"/>
      <w:r w:rsidRPr="005F055E">
        <w:t xml:space="preserve"> en hepatitis A en B. Het totale budget dat hiervoor beschikbaar is in 2026 bedraagt circa € 330 </w:t>
      </w:r>
      <w:r w:rsidRPr="005F055E" w:rsidR="001352A0">
        <w:t>miljoen</w:t>
      </w:r>
      <w:r w:rsidRPr="005F055E">
        <w:t>.</w:t>
      </w:r>
    </w:p>
    <w:p w:rsidRPr="005F055E" w:rsidR="000478A7" w:rsidP="00180EEB" w:rsidRDefault="003E7003" w14:paraId="1CFB6F71" w14:textId="77777777">
      <w:pPr>
        <w:suppressAutoHyphens/>
      </w:pPr>
      <w:r w:rsidRPr="005F055E">
        <w:t>Vraag 68</w:t>
      </w:r>
      <w:r w:rsidRPr="005F055E">
        <w:tab/>
      </w:r>
    </w:p>
    <w:p w:rsidRPr="005F055E" w:rsidR="000478A7" w:rsidP="00180EEB" w:rsidRDefault="003E7003" w14:paraId="125E9EE7" w14:textId="77777777">
      <w:pPr>
        <w:suppressAutoHyphens/>
      </w:pPr>
      <w:r w:rsidRPr="005F055E">
        <w:t>Welke structurele middelen zijn in de VWS-begroting vrijgemaakt voor de vergoeding (gedeeltelijk of volledig) van behandelingen voor obesitas?</w:t>
      </w:r>
      <w:r w:rsidRPr="005F055E">
        <w:tab/>
      </w:r>
    </w:p>
    <w:p w:rsidRPr="005F055E" w:rsidR="003E7003" w:rsidP="00180EEB" w:rsidRDefault="003E7003" w14:paraId="2150AC2A" w14:textId="74EF10A6">
      <w:pPr>
        <w:suppressAutoHyphens/>
      </w:pPr>
      <w:r w:rsidRPr="005F055E">
        <w:t>Antwoord</w:t>
      </w:r>
    </w:p>
    <w:p w:rsidRPr="005F055E" w:rsidR="003F2B3B" w:rsidP="00180EEB" w:rsidRDefault="003F2B3B" w14:paraId="441C1527" w14:textId="4EEB41C5">
      <w:pPr>
        <w:suppressAutoHyphens/>
      </w:pPr>
      <w:r w:rsidRPr="005F055E">
        <w:t xml:space="preserve">Als het gaat om de vergoeding van behandelingen voor obesitas, zijn we in het beantwoorden van de vraag ervan uitgegaan dat hiermee de vergoeding vanuit de </w:t>
      </w:r>
      <w:proofErr w:type="spellStart"/>
      <w:r w:rsidRPr="005F055E">
        <w:t>Zvw</w:t>
      </w:r>
      <w:proofErr w:type="spellEnd"/>
      <w:r w:rsidRPr="005F055E">
        <w:t xml:space="preserve"> bedoeld wordt. Voor de vergoeding vanuit de </w:t>
      </w:r>
      <w:proofErr w:type="spellStart"/>
      <w:r w:rsidRPr="005F055E">
        <w:t>Zvw</w:t>
      </w:r>
      <w:proofErr w:type="spellEnd"/>
      <w:r w:rsidRPr="005F055E">
        <w:t xml:space="preserve"> is het zo dat er niet vooraf ‘structurele middelen’ worden begroot. Verzekerden die aanspraak kunnen maken op deze zorg, hebben immers recht op de zorg als deze er op zijn aangewezen. Dit wordt bepaald door zorgverlener en zorgverzekeraar. Daarom zijn de uiteindelijke bedragen vooral het gevolg van de vraag naar deze behandelingen.</w:t>
      </w:r>
      <w:r w:rsidRPr="005F055E" w:rsidR="00D73F76">
        <w:t xml:space="preserve"> </w:t>
      </w:r>
    </w:p>
    <w:p w:rsidRPr="005F055E" w:rsidR="003F2B3B" w:rsidP="00180EEB" w:rsidRDefault="003F2B3B" w14:paraId="046462BF" w14:textId="77777777">
      <w:pPr>
        <w:suppressAutoHyphens/>
        <w:rPr>
          <w:b/>
          <w:bCs/>
        </w:rPr>
      </w:pPr>
      <w:r w:rsidRPr="005F055E">
        <w:t xml:space="preserve">Om een indicatie te geven van de orde van grootte van de bedragen is hieronder meer toelichting gegeven over de middelen die afgelopen jaren vanuit de </w:t>
      </w:r>
      <w:proofErr w:type="spellStart"/>
      <w:r w:rsidRPr="005F055E">
        <w:t>Zvw</w:t>
      </w:r>
      <w:proofErr w:type="spellEnd"/>
      <w:r w:rsidRPr="005F055E">
        <w:t xml:space="preserve"> vergoed zijn voor behandelingen van obesitas.</w:t>
      </w:r>
    </w:p>
    <w:p w:rsidRPr="005F055E" w:rsidR="003F2B3B" w:rsidP="00180EEB" w:rsidRDefault="003F2B3B" w14:paraId="58728AB1" w14:textId="68BAC9A6">
      <w:pPr>
        <w:suppressAutoHyphens/>
      </w:pPr>
      <w:r w:rsidRPr="005F055E">
        <w:t>De behandeling van obesitas volgt het ‘</w:t>
      </w:r>
      <w:proofErr w:type="spellStart"/>
      <w:r w:rsidRPr="005F055E">
        <w:t>stepped</w:t>
      </w:r>
      <w:proofErr w:type="spellEnd"/>
      <w:r w:rsidRPr="005F055E">
        <w:t xml:space="preserve"> care’- en ‘</w:t>
      </w:r>
      <w:proofErr w:type="spellStart"/>
      <w:r w:rsidRPr="005F055E">
        <w:t>matched</w:t>
      </w:r>
      <w:proofErr w:type="spellEnd"/>
      <w:r w:rsidRPr="005F055E">
        <w:t xml:space="preserve"> care’-principe. De keuze voor een behandelmodaliteit vindt plaats op geleide van o.a. het </w:t>
      </w:r>
      <w:proofErr w:type="spellStart"/>
      <w:r w:rsidRPr="005F055E">
        <w:t>gewichtsgerelateerd</w:t>
      </w:r>
      <w:proofErr w:type="spellEnd"/>
      <w:r w:rsidRPr="005F055E">
        <w:t xml:space="preserve"> gezondheidsrisico (GGR). Een gecombineerde leefstijlinterventie (GLI) is in principe eerste keus. Hieronder een overzicht van vier veel voorkomende behandelopties van overgewicht en obesitas, zijnde dieetadvisering (</w:t>
      </w:r>
      <w:proofErr w:type="spellStart"/>
      <w:r w:rsidRPr="005F055E">
        <w:t>Zvw</w:t>
      </w:r>
      <w:proofErr w:type="spellEnd"/>
      <w:r w:rsidRPr="005F055E">
        <w:t>), Gecombineerde Leefstijlinterventie (GLI), de inzet van (obesitas)medicatie en chirurgische behandeling. Omdat we op dit moment nog niet beschikken over de data over 2025, betreft de data in onderstaand overzicht de periode 2020 t/m 2024.</w:t>
      </w:r>
    </w:p>
    <w:tbl>
      <w:tblPr>
        <w:tblStyle w:val="Tabelraster"/>
        <w:tblW w:w="9836" w:type="dxa"/>
        <w:tblLook w:val="04A0" w:firstRow="1" w:lastRow="0" w:firstColumn="1" w:lastColumn="0" w:noHBand="0" w:noVBand="1"/>
      </w:tblPr>
      <w:tblGrid>
        <w:gridCol w:w="782"/>
        <w:gridCol w:w="1193"/>
        <w:gridCol w:w="1321"/>
        <w:gridCol w:w="2716"/>
        <w:gridCol w:w="1615"/>
        <w:gridCol w:w="2209"/>
      </w:tblGrid>
      <w:tr w:rsidRPr="00680E2F" w:rsidR="0086514F" w:rsidTr="0086514F" w14:paraId="5293CC06" w14:textId="77777777">
        <w:trPr>
          <w:trHeight w:val="1927"/>
        </w:trPr>
        <w:tc>
          <w:tcPr>
            <w:tcW w:w="782" w:type="dxa"/>
          </w:tcPr>
          <w:p w:rsidRPr="005F055E" w:rsidR="0086514F" w:rsidP="00180EEB" w:rsidRDefault="0086514F" w14:paraId="288BEA6C" w14:textId="031F550C">
            <w:pPr>
              <w:suppressAutoHyphens/>
              <w:rPr>
                <w:rFonts w:ascii="Verdana" w:hAnsi="Verdana"/>
                <w:sz w:val="18"/>
                <w:szCs w:val="18"/>
              </w:rPr>
            </w:pPr>
            <w:r w:rsidRPr="005F055E">
              <w:rPr>
                <w:rFonts w:ascii="Verdana" w:hAnsi="Verdana"/>
                <w:b/>
                <w:bCs/>
                <w:sz w:val="18"/>
                <w:szCs w:val="18"/>
                <w:lang w:eastAsia="nl-NL"/>
              </w:rPr>
              <w:t>Jaar</w:t>
            </w:r>
          </w:p>
        </w:tc>
        <w:tc>
          <w:tcPr>
            <w:tcW w:w="1193" w:type="dxa"/>
          </w:tcPr>
          <w:p w:rsidRPr="005F055E" w:rsidR="0086514F" w:rsidP="00180EEB" w:rsidRDefault="0086514F" w14:paraId="640E4E7A" w14:textId="77777777">
            <w:pPr>
              <w:suppressAutoHyphens/>
              <w:spacing w:line="240" w:lineRule="atLeast"/>
              <w:rPr>
                <w:rFonts w:ascii="Verdana" w:hAnsi="Verdana"/>
                <w:b/>
                <w:bCs/>
                <w:sz w:val="18"/>
                <w:szCs w:val="18"/>
                <w:lang w:eastAsia="nl-NL"/>
              </w:rPr>
            </w:pPr>
            <w:r w:rsidRPr="005F055E">
              <w:rPr>
                <w:rFonts w:ascii="Verdana" w:hAnsi="Verdana"/>
                <w:b/>
                <w:bCs/>
                <w:sz w:val="18"/>
                <w:szCs w:val="18"/>
                <w:lang w:eastAsia="nl-NL"/>
              </w:rPr>
              <w:t>Uitgaven GLI</w:t>
            </w:r>
          </w:p>
          <w:p w:rsidRPr="005F055E" w:rsidR="0086514F" w:rsidP="00180EEB" w:rsidRDefault="0086514F" w14:paraId="13E5831B" w14:textId="77777777">
            <w:pPr>
              <w:suppressAutoHyphens/>
              <w:spacing w:line="240" w:lineRule="atLeast"/>
              <w:rPr>
                <w:rFonts w:ascii="Verdana" w:hAnsi="Verdana"/>
                <w:b/>
                <w:bCs/>
                <w:sz w:val="18"/>
                <w:szCs w:val="18"/>
                <w:lang w:eastAsia="nl-NL"/>
              </w:rPr>
            </w:pPr>
          </w:p>
          <w:p w:rsidRPr="005F055E" w:rsidR="0086514F" w:rsidP="00180EEB" w:rsidRDefault="0086514F" w14:paraId="66E352B0" w14:textId="77777777">
            <w:pPr>
              <w:suppressAutoHyphens/>
              <w:spacing w:line="240" w:lineRule="atLeast"/>
              <w:rPr>
                <w:rFonts w:ascii="Verdana" w:hAnsi="Verdana"/>
                <w:b/>
                <w:bCs/>
                <w:sz w:val="18"/>
                <w:szCs w:val="18"/>
                <w:lang w:eastAsia="nl-NL"/>
              </w:rPr>
            </w:pPr>
          </w:p>
          <w:p w:rsidRPr="005F055E" w:rsidR="0086514F" w:rsidP="00180EEB" w:rsidRDefault="0086514F" w14:paraId="1AAD0827" w14:textId="39E80666">
            <w:pPr>
              <w:suppressAutoHyphens/>
              <w:rPr>
                <w:rFonts w:ascii="Verdana" w:hAnsi="Verdana"/>
                <w:sz w:val="18"/>
                <w:szCs w:val="18"/>
              </w:rPr>
            </w:pPr>
            <w:r w:rsidRPr="005F055E">
              <w:rPr>
                <w:rFonts w:ascii="Verdana" w:hAnsi="Verdana"/>
                <w:sz w:val="18"/>
                <w:szCs w:val="18"/>
                <w:lang w:eastAsia="nl-NL"/>
              </w:rPr>
              <w:t xml:space="preserve">(in € </w:t>
            </w:r>
            <w:proofErr w:type="spellStart"/>
            <w:r w:rsidRPr="005F055E">
              <w:rPr>
                <w:rFonts w:ascii="Verdana" w:hAnsi="Verdana"/>
                <w:sz w:val="18"/>
                <w:szCs w:val="18"/>
                <w:lang w:eastAsia="nl-NL"/>
              </w:rPr>
              <w:t>mln</w:t>
            </w:r>
            <w:proofErr w:type="spellEnd"/>
            <w:r w:rsidRPr="005F055E">
              <w:rPr>
                <w:rFonts w:ascii="Verdana" w:hAnsi="Verdana"/>
                <w:sz w:val="18"/>
                <w:szCs w:val="18"/>
                <w:lang w:eastAsia="nl-NL"/>
              </w:rPr>
              <w:t>)</w:t>
            </w:r>
          </w:p>
        </w:tc>
        <w:tc>
          <w:tcPr>
            <w:tcW w:w="1321" w:type="dxa"/>
          </w:tcPr>
          <w:p w:rsidRPr="005F055E" w:rsidR="0086514F" w:rsidP="00180EEB" w:rsidRDefault="0086514F" w14:paraId="154A5671" w14:textId="6A3C5D35">
            <w:pPr>
              <w:suppressAutoHyphens/>
              <w:spacing w:line="240" w:lineRule="atLeast"/>
              <w:rPr>
                <w:rFonts w:ascii="Verdana" w:hAnsi="Verdana"/>
                <w:b/>
                <w:bCs/>
                <w:sz w:val="18"/>
                <w:szCs w:val="18"/>
                <w:lang w:eastAsia="nl-NL"/>
              </w:rPr>
            </w:pPr>
            <w:r w:rsidRPr="005F055E">
              <w:rPr>
                <w:rFonts w:ascii="Verdana" w:hAnsi="Verdana"/>
                <w:b/>
                <w:bCs/>
                <w:sz w:val="18"/>
                <w:szCs w:val="18"/>
                <w:lang w:eastAsia="nl-NL"/>
              </w:rPr>
              <w:t>Uitgaven diëtetiek*</w:t>
            </w:r>
            <w:r w:rsidRPr="005F055E" w:rsidR="00D73F76">
              <w:rPr>
                <w:rFonts w:ascii="Verdana" w:hAnsi="Verdana"/>
                <w:b/>
                <w:bCs/>
                <w:sz w:val="18"/>
                <w:szCs w:val="18"/>
                <w:lang w:eastAsia="nl-NL"/>
              </w:rPr>
              <w:t xml:space="preserve"> </w:t>
            </w:r>
            <w:r w:rsidRPr="005F055E">
              <w:rPr>
                <w:rFonts w:ascii="Verdana" w:hAnsi="Verdana"/>
                <w:b/>
                <w:bCs/>
                <w:sz w:val="18"/>
                <w:szCs w:val="18"/>
                <w:lang w:eastAsia="nl-NL"/>
              </w:rPr>
              <w:t xml:space="preserve"> </w:t>
            </w:r>
          </w:p>
          <w:p w:rsidRPr="005F055E" w:rsidR="0086514F" w:rsidP="00180EEB" w:rsidRDefault="0086514F" w14:paraId="5FE2E94B" w14:textId="77777777">
            <w:pPr>
              <w:suppressAutoHyphens/>
              <w:spacing w:line="240" w:lineRule="atLeast"/>
              <w:rPr>
                <w:rFonts w:ascii="Verdana" w:hAnsi="Verdana"/>
                <w:b/>
                <w:bCs/>
                <w:sz w:val="18"/>
                <w:szCs w:val="18"/>
                <w:lang w:eastAsia="nl-NL"/>
              </w:rPr>
            </w:pPr>
          </w:p>
          <w:p w:rsidRPr="005F055E" w:rsidR="0086514F" w:rsidP="00180EEB" w:rsidRDefault="0086514F" w14:paraId="7B1E8E9D" w14:textId="1F1CBD96">
            <w:pPr>
              <w:suppressAutoHyphens/>
              <w:rPr>
                <w:rFonts w:ascii="Verdana" w:hAnsi="Verdana"/>
                <w:sz w:val="18"/>
                <w:szCs w:val="18"/>
              </w:rPr>
            </w:pPr>
            <w:r w:rsidRPr="005F055E">
              <w:rPr>
                <w:rFonts w:ascii="Verdana" w:hAnsi="Verdana"/>
                <w:sz w:val="18"/>
                <w:szCs w:val="18"/>
                <w:lang w:eastAsia="nl-NL"/>
              </w:rPr>
              <w:t xml:space="preserve">(in € </w:t>
            </w:r>
            <w:proofErr w:type="spellStart"/>
            <w:r w:rsidRPr="005F055E">
              <w:rPr>
                <w:rFonts w:ascii="Verdana" w:hAnsi="Verdana"/>
                <w:sz w:val="18"/>
                <w:szCs w:val="18"/>
                <w:lang w:eastAsia="nl-NL"/>
              </w:rPr>
              <w:t>mln</w:t>
            </w:r>
            <w:proofErr w:type="spellEnd"/>
            <w:r w:rsidRPr="005F055E">
              <w:rPr>
                <w:rFonts w:ascii="Verdana" w:hAnsi="Verdana"/>
                <w:sz w:val="18"/>
                <w:szCs w:val="18"/>
                <w:lang w:eastAsia="nl-NL"/>
              </w:rPr>
              <w:t>)</w:t>
            </w:r>
          </w:p>
        </w:tc>
        <w:tc>
          <w:tcPr>
            <w:tcW w:w="2716" w:type="dxa"/>
          </w:tcPr>
          <w:p w:rsidRPr="005F055E" w:rsidR="0086514F" w:rsidP="00180EEB" w:rsidRDefault="0086514F" w14:paraId="5E52240E" w14:textId="2CA1E714">
            <w:pPr>
              <w:suppressAutoHyphens/>
              <w:rPr>
                <w:rFonts w:ascii="Verdana" w:hAnsi="Verdana"/>
                <w:sz w:val="18"/>
                <w:szCs w:val="18"/>
              </w:rPr>
            </w:pPr>
            <w:proofErr w:type="spellStart"/>
            <w:r w:rsidRPr="005F055E">
              <w:rPr>
                <w:rFonts w:ascii="Verdana" w:hAnsi="Verdana"/>
                <w:b/>
                <w:bCs/>
                <w:sz w:val="18"/>
                <w:szCs w:val="18"/>
                <w:lang w:eastAsia="nl-NL"/>
              </w:rPr>
              <w:t>Zvw</w:t>
            </w:r>
            <w:proofErr w:type="spellEnd"/>
            <w:r w:rsidRPr="005F055E">
              <w:rPr>
                <w:rFonts w:ascii="Verdana" w:hAnsi="Verdana"/>
                <w:b/>
                <w:bCs/>
                <w:sz w:val="18"/>
                <w:szCs w:val="18"/>
                <w:lang w:eastAsia="nl-NL"/>
              </w:rPr>
              <w:t xml:space="preserve"> uitgaven** Centraal werkende vermageringsmiddelen</w:t>
            </w:r>
          </w:p>
        </w:tc>
        <w:tc>
          <w:tcPr>
            <w:tcW w:w="1615" w:type="dxa"/>
          </w:tcPr>
          <w:p w:rsidRPr="005F055E" w:rsidR="0086514F" w:rsidP="00180EEB" w:rsidRDefault="0086514F" w14:paraId="5A2ABDF6" w14:textId="77777777">
            <w:pPr>
              <w:suppressAutoHyphens/>
              <w:spacing w:line="240" w:lineRule="atLeast"/>
              <w:rPr>
                <w:rFonts w:ascii="Verdana" w:hAnsi="Verdana"/>
                <w:b/>
                <w:bCs/>
                <w:sz w:val="18"/>
                <w:szCs w:val="18"/>
                <w:lang w:eastAsia="nl-NL"/>
              </w:rPr>
            </w:pPr>
            <w:proofErr w:type="spellStart"/>
            <w:r w:rsidRPr="005F055E">
              <w:rPr>
                <w:rFonts w:ascii="Verdana" w:hAnsi="Verdana"/>
                <w:b/>
                <w:bCs/>
                <w:sz w:val="18"/>
                <w:szCs w:val="18"/>
                <w:lang w:eastAsia="nl-NL"/>
              </w:rPr>
              <w:t>Zvw</w:t>
            </w:r>
            <w:proofErr w:type="spellEnd"/>
            <w:r w:rsidRPr="005F055E">
              <w:rPr>
                <w:rFonts w:ascii="Verdana" w:hAnsi="Verdana"/>
                <w:b/>
                <w:bCs/>
                <w:sz w:val="18"/>
                <w:szCs w:val="18"/>
                <w:lang w:eastAsia="nl-NL"/>
              </w:rPr>
              <w:t xml:space="preserve"> uitgaven ** </w:t>
            </w:r>
            <w:proofErr w:type="spellStart"/>
            <w:r w:rsidRPr="005F055E">
              <w:rPr>
                <w:rFonts w:ascii="Verdana" w:hAnsi="Verdana"/>
                <w:b/>
                <w:bCs/>
                <w:sz w:val="18"/>
                <w:szCs w:val="18"/>
                <w:lang w:eastAsia="nl-NL"/>
              </w:rPr>
              <w:t>Saxenda</w:t>
            </w:r>
            <w:proofErr w:type="spellEnd"/>
            <w:r w:rsidRPr="005F055E">
              <w:rPr>
                <w:rFonts w:ascii="Verdana" w:hAnsi="Verdana"/>
                <w:b/>
                <w:bCs/>
                <w:sz w:val="18"/>
                <w:szCs w:val="18"/>
                <w:lang w:eastAsia="nl-NL"/>
              </w:rPr>
              <w:t xml:space="preserve"> (</w:t>
            </w:r>
            <w:proofErr w:type="spellStart"/>
            <w:r w:rsidRPr="005F055E">
              <w:rPr>
                <w:rFonts w:ascii="Verdana" w:hAnsi="Verdana"/>
                <w:b/>
                <w:bCs/>
                <w:sz w:val="18"/>
                <w:szCs w:val="18"/>
                <w:lang w:eastAsia="nl-NL"/>
              </w:rPr>
              <w:t>Liraglutide</w:t>
            </w:r>
            <w:proofErr w:type="spellEnd"/>
            <w:r w:rsidRPr="005F055E">
              <w:rPr>
                <w:rFonts w:ascii="Verdana" w:hAnsi="Verdana"/>
                <w:b/>
                <w:bCs/>
                <w:sz w:val="18"/>
                <w:szCs w:val="18"/>
                <w:lang w:eastAsia="nl-NL"/>
              </w:rPr>
              <w:t>) voor indicatie obesitas</w:t>
            </w:r>
          </w:p>
          <w:p w:rsidRPr="005F055E" w:rsidR="0086514F" w:rsidP="00180EEB" w:rsidRDefault="0086514F" w14:paraId="103E1337" w14:textId="34C65C16">
            <w:pPr>
              <w:suppressAutoHyphens/>
              <w:rPr>
                <w:rFonts w:ascii="Verdana" w:hAnsi="Verdana"/>
                <w:sz w:val="18"/>
                <w:szCs w:val="18"/>
              </w:rPr>
            </w:pPr>
            <w:r w:rsidRPr="005F055E">
              <w:rPr>
                <w:rFonts w:ascii="Verdana" w:hAnsi="Verdana"/>
                <w:sz w:val="18"/>
                <w:szCs w:val="18"/>
                <w:lang w:eastAsia="nl-NL"/>
              </w:rPr>
              <w:t xml:space="preserve">(in € </w:t>
            </w:r>
            <w:proofErr w:type="spellStart"/>
            <w:r w:rsidRPr="005F055E">
              <w:rPr>
                <w:rFonts w:ascii="Verdana" w:hAnsi="Verdana"/>
                <w:sz w:val="18"/>
                <w:szCs w:val="18"/>
                <w:lang w:eastAsia="nl-NL"/>
              </w:rPr>
              <w:t>mln</w:t>
            </w:r>
            <w:proofErr w:type="spellEnd"/>
            <w:r w:rsidRPr="005F055E">
              <w:rPr>
                <w:rFonts w:ascii="Verdana" w:hAnsi="Verdana"/>
                <w:sz w:val="18"/>
                <w:szCs w:val="18"/>
                <w:lang w:eastAsia="nl-NL"/>
              </w:rPr>
              <w:t>)</w:t>
            </w:r>
          </w:p>
        </w:tc>
        <w:tc>
          <w:tcPr>
            <w:tcW w:w="2209" w:type="dxa"/>
          </w:tcPr>
          <w:p w:rsidRPr="00056279" w:rsidR="0086514F" w:rsidP="00180EEB" w:rsidRDefault="0086514F" w14:paraId="38C78A0A" w14:textId="77777777">
            <w:pPr>
              <w:suppressAutoHyphens/>
              <w:spacing w:line="240" w:lineRule="atLeast"/>
              <w:rPr>
                <w:rFonts w:ascii="Verdana" w:hAnsi="Verdana"/>
                <w:b/>
                <w:bCs/>
                <w:sz w:val="18"/>
                <w:szCs w:val="18"/>
                <w:lang w:val="de-DE" w:eastAsia="nl-NL"/>
              </w:rPr>
            </w:pPr>
            <w:proofErr w:type="spellStart"/>
            <w:r w:rsidRPr="00056279">
              <w:rPr>
                <w:rFonts w:ascii="Verdana" w:hAnsi="Verdana"/>
                <w:b/>
                <w:bCs/>
                <w:sz w:val="18"/>
                <w:szCs w:val="18"/>
                <w:lang w:val="de-DE" w:eastAsia="nl-NL"/>
              </w:rPr>
              <w:t>Inschatting</w:t>
            </w:r>
            <w:proofErr w:type="spellEnd"/>
            <w:r w:rsidRPr="00056279">
              <w:rPr>
                <w:rFonts w:ascii="Verdana" w:hAnsi="Verdana"/>
                <w:b/>
                <w:bCs/>
                <w:sz w:val="18"/>
                <w:szCs w:val="18"/>
                <w:lang w:val="de-DE" w:eastAsia="nl-NL"/>
              </w:rPr>
              <w:t xml:space="preserve">*** kosten chirurgische </w:t>
            </w:r>
            <w:proofErr w:type="spellStart"/>
            <w:r w:rsidRPr="00056279">
              <w:rPr>
                <w:rFonts w:ascii="Verdana" w:hAnsi="Verdana"/>
                <w:b/>
                <w:bCs/>
                <w:sz w:val="18"/>
                <w:szCs w:val="18"/>
                <w:lang w:val="de-DE" w:eastAsia="nl-NL"/>
              </w:rPr>
              <w:t>behandeltrajecten</w:t>
            </w:r>
            <w:proofErr w:type="spellEnd"/>
          </w:p>
          <w:p w:rsidRPr="00056279" w:rsidR="0086514F" w:rsidP="00180EEB" w:rsidRDefault="0086514F" w14:paraId="3873EE90" w14:textId="5A077780">
            <w:pPr>
              <w:suppressAutoHyphens/>
              <w:rPr>
                <w:rFonts w:ascii="Verdana" w:hAnsi="Verdana"/>
                <w:sz w:val="18"/>
                <w:szCs w:val="18"/>
                <w:lang w:val="de-DE"/>
              </w:rPr>
            </w:pPr>
            <w:r w:rsidRPr="00056279">
              <w:rPr>
                <w:rFonts w:ascii="Verdana" w:hAnsi="Verdana"/>
                <w:sz w:val="18"/>
                <w:szCs w:val="18"/>
                <w:lang w:val="de-DE" w:eastAsia="nl-NL"/>
              </w:rPr>
              <w:t xml:space="preserve">(in € </w:t>
            </w:r>
            <w:proofErr w:type="spellStart"/>
            <w:r w:rsidRPr="00056279">
              <w:rPr>
                <w:rFonts w:ascii="Verdana" w:hAnsi="Verdana"/>
                <w:sz w:val="18"/>
                <w:szCs w:val="18"/>
                <w:lang w:val="de-DE" w:eastAsia="nl-NL"/>
              </w:rPr>
              <w:t>mln</w:t>
            </w:r>
            <w:proofErr w:type="spellEnd"/>
            <w:r w:rsidRPr="00056279">
              <w:rPr>
                <w:rFonts w:ascii="Verdana" w:hAnsi="Verdana"/>
                <w:sz w:val="18"/>
                <w:szCs w:val="18"/>
                <w:lang w:val="de-DE" w:eastAsia="nl-NL"/>
              </w:rPr>
              <w:t>)</w:t>
            </w:r>
          </w:p>
        </w:tc>
      </w:tr>
      <w:tr w:rsidRPr="005F055E" w:rsidR="0086514F" w:rsidTr="0086514F" w14:paraId="2C426C5E" w14:textId="77777777">
        <w:trPr>
          <w:trHeight w:val="229"/>
        </w:trPr>
        <w:tc>
          <w:tcPr>
            <w:tcW w:w="782" w:type="dxa"/>
          </w:tcPr>
          <w:p w:rsidRPr="005F055E" w:rsidR="0086514F" w:rsidP="00180EEB" w:rsidRDefault="0086514F" w14:paraId="0B06E77C" w14:textId="6B80497B">
            <w:pPr>
              <w:suppressAutoHyphens/>
              <w:rPr>
                <w:rFonts w:ascii="Verdana" w:hAnsi="Verdana"/>
                <w:sz w:val="18"/>
                <w:szCs w:val="18"/>
              </w:rPr>
            </w:pPr>
            <w:r w:rsidRPr="005F055E">
              <w:rPr>
                <w:rFonts w:ascii="Verdana" w:hAnsi="Verdana"/>
                <w:b/>
                <w:bCs/>
                <w:sz w:val="18"/>
                <w:szCs w:val="18"/>
                <w:lang w:eastAsia="nl-NL"/>
              </w:rPr>
              <w:t>2020</w:t>
            </w:r>
          </w:p>
        </w:tc>
        <w:tc>
          <w:tcPr>
            <w:tcW w:w="1193" w:type="dxa"/>
          </w:tcPr>
          <w:p w:rsidRPr="005F055E" w:rsidR="0086514F" w:rsidP="00180EEB" w:rsidRDefault="0086514F" w14:paraId="22EB49B4" w14:textId="338FE7AC">
            <w:pPr>
              <w:suppressAutoHyphens/>
              <w:rPr>
                <w:rFonts w:ascii="Verdana" w:hAnsi="Verdana"/>
                <w:sz w:val="18"/>
                <w:szCs w:val="18"/>
              </w:rPr>
            </w:pPr>
            <w:r w:rsidRPr="005F055E">
              <w:rPr>
                <w:rFonts w:ascii="Verdana" w:hAnsi="Verdana"/>
                <w:sz w:val="18"/>
                <w:szCs w:val="18"/>
                <w:lang w:eastAsia="nl-NL"/>
              </w:rPr>
              <w:t>5,9</w:t>
            </w:r>
          </w:p>
        </w:tc>
        <w:tc>
          <w:tcPr>
            <w:tcW w:w="1321" w:type="dxa"/>
          </w:tcPr>
          <w:p w:rsidRPr="005F055E" w:rsidR="0086514F" w:rsidP="00180EEB" w:rsidRDefault="0086514F" w14:paraId="37774712" w14:textId="32B79238">
            <w:pPr>
              <w:suppressAutoHyphens/>
              <w:rPr>
                <w:rFonts w:ascii="Verdana" w:hAnsi="Verdana"/>
                <w:sz w:val="18"/>
                <w:szCs w:val="18"/>
              </w:rPr>
            </w:pPr>
            <w:r w:rsidRPr="005F055E">
              <w:rPr>
                <w:rFonts w:ascii="Verdana" w:hAnsi="Verdana"/>
                <w:sz w:val="18"/>
                <w:szCs w:val="18"/>
                <w:lang w:eastAsia="nl-NL"/>
              </w:rPr>
              <w:t>44,5</w:t>
            </w:r>
          </w:p>
        </w:tc>
        <w:tc>
          <w:tcPr>
            <w:tcW w:w="2716" w:type="dxa"/>
          </w:tcPr>
          <w:p w:rsidRPr="005F055E" w:rsidR="0086514F" w:rsidP="00180EEB" w:rsidRDefault="0086514F" w14:paraId="75EE5EB8" w14:textId="477134ED">
            <w:pPr>
              <w:suppressAutoHyphens/>
              <w:rPr>
                <w:rFonts w:ascii="Verdana" w:hAnsi="Verdana"/>
                <w:sz w:val="18"/>
                <w:szCs w:val="18"/>
              </w:rPr>
            </w:pPr>
            <w:r w:rsidRPr="005F055E">
              <w:rPr>
                <w:rFonts w:ascii="Verdana" w:hAnsi="Verdana"/>
                <w:sz w:val="18"/>
                <w:szCs w:val="18"/>
                <w:lang w:eastAsia="nl-NL"/>
              </w:rPr>
              <w:t>-</w:t>
            </w:r>
          </w:p>
        </w:tc>
        <w:tc>
          <w:tcPr>
            <w:tcW w:w="1615" w:type="dxa"/>
          </w:tcPr>
          <w:p w:rsidRPr="005F055E" w:rsidR="0086514F" w:rsidP="00180EEB" w:rsidRDefault="0086514F" w14:paraId="54B4A93C" w14:textId="5D0845FB">
            <w:pPr>
              <w:suppressAutoHyphens/>
              <w:rPr>
                <w:rFonts w:ascii="Verdana" w:hAnsi="Verdana"/>
                <w:sz w:val="18"/>
                <w:szCs w:val="18"/>
              </w:rPr>
            </w:pPr>
            <w:r w:rsidRPr="005F055E">
              <w:rPr>
                <w:rFonts w:ascii="Verdana" w:hAnsi="Verdana"/>
                <w:color w:val="7F7F7F" w:themeColor="text1" w:themeTint="80"/>
                <w:sz w:val="18"/>
                <w:szCs w:val="18"/>
                <w:lang w:eastAsia="nl-NL"/>
              </w:rPr>
              <w:t>-</w:t>
            </w:r>
          </w:p>
        </w:tc>
        <w:tc>
          <w:tcPr>
            <w:tcW w:w="2209" w:type="dxa"/>
          </w:tcPr>
          <w:p w:rsidRPr="005F055E" w:rsidR="0086514F" w:rsidP="00180EEB" w:rsidRDefault="0086514F" w14:paraId="31CD4E52" w14:textId="21719EE1">
            <w:pPr>
              <w:suppressAutoHyphens/>
              <w:rPr>
                <w:rFonts w:ascii="Verdana" w:hAnsi="Verdana"/>
                <w:sz w:val="18"/>
                <w:szCs w:val="18"/>
              </w:rPr>
            </w:pPr>
            <w:r w:rsid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
        </w:trPr>
        <w:tc>
          <w:tcPr>
            <w:tcW w:w="782" w:type="dxa"/>
          </w:tcPr>
          <w:p w:rsidRPr="005F055E" w:rsidR="0086514F" w:rsidP="00180EEB" w:rsidRDefault="0086514F" w14:paraId="0B441E0E" w14:textId="1EE8D869">
            <w:pPr>
              <w:suppressAutoHyphens/>
              <w:rPr>
                <w:rFonts w:ascii="Verdana" w:hAnsi="Verdana"/>
                <w:sz w:val="18"/>
                <w:szCs w:val="18"/>
              </w:rPr>
            </w:pPr>
            <w:r w:rsidRPr="005F055E">
              <w:rPr>
                <w:rFonts w:ascii="Verdana" w:hAnsi="Verdana"/>
                <w:b/>
                <w:bCs/>
                <w:sz w:val="18"/>
                <w:szCs w:val="18"/>
                <w:lang w:eastAsia="nl-NL"/>
              </w:rPr>
              <w:t>2021</w:t>
            </w:r>
          </w:p>
        </w:tc>
        <w:tc>
          <w:tcPr>
            <w:tcW w:w="1193" w:type="dxa"/>
          </w:tcPr>
          <w:p w:rsidRPr="005F055E" w:rsidR="0086514F" w:rsidP="00180EEB" w:rsidRDefault="0086514F" w14:paraId="4F41B2A3" w14:textId="65C2F03C">
            <w:pPr>
              <w:suppressAutoHyphens/>
              <w:rPr>
                <w:rFonts w:ascii="Verdana" w:hAnsi="Verdana"/>
                <w:sz w:val="18"/>
                <w:szCs w:val="18"/>
              </w:rPr>
            </w:pPr>
            <w:r w:rsidRPr="005F055E">
              <w:rPr>
                <w:rFonts w:ascii="Verdana" w:hAnsi="Verdana"/>
                <w:sz w:val="18"/>
                <w:szCs w:val="18"/>
                <w:lang w:eastAsia="nl-NL"/>
              </w:rPr>
              <w:t>11,9</w:t>
            </w:r>
          </w:p>
        </w:tc>
        <w:tc>
          <w:tcPr>
            <w:tcW w:w="1321" w:type="dxa"/>
          </w:tcPr>
          <w:p w:rsidRPr="005F055E" w:rsidR="0086514F" w:rsidP="00180EEB" w:rsidRDefault="0086514F" w14:paraId="266EEFDB" w14:textId="02872191">
            <w:pPr>
              <w:suppressAutoHyphens/>
              <w:rPr>
                <w:rFonts w:ascii="Verdana" w:hAnsi="Verdana"/>
                <w:sz w:val="18"/>
                <w:szCs w:val="18"/>
              </w:rPr>
            </w:pPr>
            <w:r w:rsidRPr="005F055E">
              <w:rPr>
                <w:rFonts w:ascii="Verdana" w:hAnsi="Verdana"/>
                <w:sz w:val="18"/>
                <w:szCs w:val="18"/>
                <w:lang w:eastAsia="nl-NL"/>
              </w:rPr>
              <w:t>52,8</w:t>
            </w:r>
          </w:p>
        </w:tc>
        <w:tc>
          <w:tcPr>
            <w:tcW w:w="2716" w:type="dxa"/>
          </w:tcPr>
          <w:p w:rsidRPr="005F055E" w:rsidR="0086514F" w:rsidP="00180EEB" w:rsidRDefault="0086514F" w14:paraId="08F479D5" w14:textId="151F5D25">
            <w:pPr>
              <w:suppressAutoHyphens/>
              <w:rPr>
                <w:rFonts w:ascii="Verdana" w:hAnsi="Verdana"/>
                <w:sz w:val="18"/>
                <w:szCs w:val="18"/>
              </w:rPr>
            </w:pPr>
            <w:r w:rsidRPr="005F055E">
              <w:rPr>
                <w:rFonts w:ascii="Verdana" w:hAnsi="Verdana"/>
                <w:sz w:val="18"/>
                <w:szCs w:val="18"/>
                <w:lang w:eastAsia="nl-NL"/>
              </w:rPr>
              <w:t xml:space="preserve">- </w:t>
            </w:r>
          </w:p>
        </w:tc>
        <w:tc>
          <w:tcPr>
            <w:tcW w:w="1615" w:type="dxa"/>
          </w:tcPr>
          <w:p w:rsidRPr="005F055E" w:rsidR="0086514F" w:rsidP="00180EEB" w:rsidRDefault="0086514F" w14:paraId="25F2889E" w14:textId="6F450106">
            <w:pPr>
              <w:suppressAutoHyphens/>
              <w:rPr>
                <w:rFonts w:ascii="Verdana" w:hAnsi="Verdana"/>
                <w:sz w:val="18"/>
                <w:szCs w:val="18"/>
              </w:rPr>
            </w:pPr>
            <w:r w:rsidRPr="005F055E">
              <w:rPr>
                <w:rFonts w:ascii="Verdana" w:hAnsi="Verdana"/>
                <w:color w:val="7F7F7F" w:themeColor="text1" w:themeTint="80"/>
                <w:sz w:val="18"/>
                <w:szCs w:val="18"/>
                <w:lang w:eastAsia="nl-NL"/>
              </w:rPr>
              <w:t>-</w:t>
            </w:r>
          </w:p>
        </w:tc>
        <w:tc>
          <w:tcPr>
            <w:tcW w:w="2209" w:type="dxa"/>
          </w:tcPr>
          <w:p w:rsidRPr="005F055E" w:rsidR="0086514F" w:rsidP="00180EEB" w:rsidRDefault="0086514F" w14:paraId="646FDDA1" w14:textId="454536F2">
            <w:pPr>
              <w:suppressAutoHyphens/>
              <w:rPr>
                <w:rFonts w:ascii="Verdana" w:hAnsi="Verdana"/>
                <w:sz w:val="18"/>
                <w:szCs w:val="18"/>
              </w:rPr>
            </w:pPr>
            <w:r w:rsidRPr="005F055E">
              <w:rPr>
                <w:rFonts w:ascii="Verdana" w:hAnsi="Verdana"/>
                <w:color w:val="7F7F7F" w:themeColor="text1" w:themeTint="80"/>
                <w:sz w:val="18"/>
                <w:szCs w:val="18"/>
                <w:lang w:eastAsia="nl-NL"/>
              </w:rPr>
              <w:t>-</w:t>
            </w:r>
          </w:p>
        </w:tc>
      </w:tr>
      <w:tr w:rsidRPr="005F055E" w:rsidR="0086514F" w:rsidTr="0086514F" w14:paraId="3C39BF4C" w14:textId="77777777">
        <w:trPr>
          <w:trHeight w:val="214"/>
        </w:trPr>
        <w:tc>
          <w:tcPr>
            <w:tcW w:w="782" w:type="dxa"/>
          </w:tcPr>
          <w:p w:rsidRPr="005F055E" w:rsidR="0086514F" w:rsidP="00180EEB" w:rsidRDefault="0086514F" w14:paraId="4A373876" w14:textId="0B59ADD2">
            <w:pPr>
              <w:suppressAutoHyphens/>
              <w:rPr>
                <w:rFonts w:ascii="Verdana" w:hAnsi="Verdana"/>
                <w:sz w:val="18"/>
                <w:szCs w:val="18"/>
              </w:rPr>
            </w:pPr>
            <w:r w:rsidRPr="005F055E">
              <w:rPr>
                <w:rFonts w:ascii="Verdana" w:hAnsi="Verdana"/>
                <w:b/>
                <w:bCs/>
                <w:sz w:val="18"/>
                <w:szCs w:val="18"/>
                <w:lang w:eastAsia="nl-NL"/>
              </w:rPr>
              <w:t>2022</w:t>
            </w:r>
          </w:p>
        </w:tc>
        <w:tc>
          <w:tcPr>
            <w:tcW w:w="1193" w:type="dxa"/>
          </w:tcPr>
          <w:p w:rsidRPr="005F055E" w:rsidR="0086514F" w:rsidP="00180EEB" w:rsidRDefault="0086514F" w14:paraId="437DF024" w14:textId="0A6E04D8">
            <w:pPr>
              <w:suppressAutoHyphens/>
              <w:rPr>
                <w:rFonts w:ascii="Verdana" w:hAnsi="Verdana"/>
                <w:sz w:val="18"/>
                <w:szCs w:val="18"/>
              </w:rPr>
            </w:pPr>
            <w:r w:rsidRPr="005F055E">
              <w:rPr>
                <w:rFonts w:ascii="Verdana" w:hAnsi="Verdana"/>
                <w:sz w:val="18"/>
                <w:szCs w:val="18"/>
                <w:lang w:eastAsia="nl-NL"/>
              </w:rPr>
              <w:t>21,8</w:t>
            </w:r>
          </w:p>
        </w:tc>
        <w:tc>
          <w:tcPr>
            <w:tcW w:w="1321" w:type="dxa"/>
          </w:tcPr>
          <w:p w:rsidRPr="005F055E" w:rsidR="0086514F" w:rsidP="00180EEB" w:rsidRDefault="0086514F" w14:paraId="517276C9" w14:textId="39BC84BF">
            <w:pPr>
              <w:suppressAutoHyphens/>
              <w:rPr>
                <w:rFonts w:ascii="Verdana" w:hAnsi="Verdana"/>
                <w:sz w:val="18"/>
                <w:szCs w:val="18"/>
              </w:rPr>
            </w:pPr>
            <w:r w:rsidRPr="005F055E">
              <w:rPr>
                <w:rFonts w:ascii="Verdana" w:hAnsi="Verdana"/>
                <w:sz w:val="18"/>
                <w:szCs w:val="18"/>
                <w:lang w:eastAsia="nl-NL"/>
              </w:rPr>
              <w:t>54,9</w:t>
            </w:r>
          </w:p>
        </w:tc>
        <w:tc>
          <w:tcPr>
            <w:tcW w:w="2716" w:type="dxa"/>
          </w:tcPr>
          <w:p w:rsidRPr="005F055E" w:rsidR="0086514F" w:rsidP="00180EEB" w:rsidRDefault="0086514F" w14:paraId="2F43D177" w14:textId="103D68A9">
            <w:pPr>
              <w:suppressAutoHyphens/>
              <w:rPr>
                <w:rFonts w:ascii="Verdana" w:hAnsi="Verdana"/>
                <w:sz w:val="18"/>
                <w:szCs w:val="18"/>
              </w:rPr>
            </w:pPr>
            <w:r w:rsidRPr="005F055E">
              <w:rPr>
                <w:rFonts w:ascii="Verdana" w:hAnsi="Verdana"/>
                <w:sz w:val="18"/>
                <w:szCs w:val="18"/>
                <w:lang w:eastAsia="nl-NL"/>
              </w:rPr>
              <w:t>105.602</w:t>
            </w:r>
          </w:p>
        </w:tc>
        <w:tc>
          <w:tcPr>
            <w:tcW w:w="1615" w:type="dxa"/>
          </w:tcPr>
          <w:p w:rsidRPr="005F055E" w:rsidR="0086514F" w:rsidP="00180EEB" w:rsidRDefault="0086514F" w14:paraId="57C790E7" w14:textId="1EE4C3A2">
            <w:pPr>
              <w:suppressAutoHyphens/>
              <w:rPr>
                <w:rFonts w:ascii="Verdana" w:hAnsi="Verdana"/>
                <w:sz w:val="18"/>
                <w:szCs w:val="18"/>
              </w:rPr>
            </w:pPr>
            <w:r w:rsidRPr="005F055E">
              <w:rPr>
                <w:rFonts w:ascii="Verdana" w:hAnsi="Verdana"/>
                <w:sz w:val="18"/>
                <w:szCs w:val="18"/>
                <w:lang w:eastAsia="nl-NL"/>
              </w:rPr>
              <w:t>8,5</w:t>
            </w:r>
          </w:p>
        </w:tc>
        <w:tc>
          <w:tcPr>
            <w:tcW w:w="2209" w:type="dxa"/>
          </w:tcPr>
          <w:p w:rsidRPr="005F055E" w:rsidR="0086514F" w:rsidP="00180EEB" w:rsidRDefault="0086514F" w14:paraId="1E0EE37C" w14:textId="4931E615">
            <w:pPr>
              <w:suppressAutoHyphens/>
              <w:rPr>
                <w:rFonts w:ascii="Verdana" w:hAnsi="Verdana"/>
                <w:sz w:val="18"/>
                <w:szCs w:val="18"/>
              </w:rPr>
            </w:pPr>
            <w:r w:rsidRPr="005F055E">
              <w:rPr>
                <w:rFonts w:ascii="Verdana" w:hAnsi="Verdana"/>
                <w:sz w:val="18"/>
                <w:szCs w:val="18"/>
                <w:lang w:eastAsia="nl-NL"/>
              </w:rPr>
              <w:t>-</w:t>
            </w:r>
          </w:p>
        </w:tc>
      </w:tr>
      <w:tr w:rsidRPr="005F055E" w:rsidR="0086514F" w:rsidTr="0086514F" w14:paraId="77E486D4" w14:textId="77777777">
        <w:trPr>
          <w:trHeight w:val="214"/>
        </w:trPr>
        <w:tc>
          <w:tcPr>
            <w:tcW w:w="782" w:type="dxa"/>
          </w:tcPr>
          <w:p w:rsidRPr="005F055E" w:rsidR="0086514F" w:rsidP="00180EEB" w:rsidRDefault="0086514F" w14:paraId="0E6CA9BE" w14:textId="1A54915E">
            <w:pPr>
              <w:suppressAutoHyphens/>
              <w:rPr>
                <w:rFonts w:ascii="Verdana" w:hAnsi="Verdana"/>
                <w:sz w:val="18"/>
                <w:szCs w:val="18"/>
              </w:rPr>
            </w:pPr>
            <w:r w:rsidRPr="005F055E">
              <w:rPr>
                <w:rFonts w:ascii="Verdana" w:hAnsi="Verdana"/>
                <w:b/>
                <w:bCs/>
                <w:sz w:val="18"/>
                <w:szCs w:val="18"/>
                <w:lang w:eastAsia="nl-NL"/>
              </w:rPr>
              <w:t>2023</w:t>
            </w:r>
          </w:p>
        </w:tc>
        <w:tc>
          <w:tcPr>
            <w:tcW w:w="1193" w:type="dxa"/>
          </w:tcPr>
          <w:p w:rsidRPr="005F055E" w:rsidR="0086514F" w:rsidP="00180EEB" w:rsidRDefault="0086514F" w14:paraId="79B89D69" w14:textId="39597F8B">
            <w:pPr>
              <w:suppressAutoHyphens/>
              <w:rPr>
                <w:rFonts w:ascii="Verdana" w:hAnsi="Verdana"/>
                <w:sz w:val="18"/>
                <w:szCs w:val="18"/>
              </w:rPr>
            </w:pPr>
            <w:r w:rsidRPr="005F055E">
              <w:rPr>
                <w:rFonts w:ascii="Verdana" w:hAnsi="Verdana"/>
                <w:sz w:val="18"/>
                <w:szCs w:val="18"/>
                <w:lang w:eastAsia="nl-NL"/>
              </w:rPr>
              <w:t>42,4</w:t>
            </w:r>
          </w:p>
        </w:tc>
        <w:tc>
          <w:tcPr>
            <w:tcW w:w="1321" w:type="dxa"/>
          </w:tcPr>
          <w:p w:rsidRPr="005F055E" w:rsidR="0086514F" w:rsidP="00180EEB" w:rsidRDefault="0086514F" w14:paraId="3A7BB89C" w14:textId="397EBA68">
            <w:pPr>
              <w:suppressAutoHyphens/>
              <w:rPr>
                <w:rFonts w:ascii="Verdana" w:hAnsi="Verdana"/>
                <w:sz w:val="18"/>
                <w:szCs w:val="18"/>
              </w:rPr>
            </w:pPr>
            <w:r w:rsidRPr="005F055E">
              <w:rPr>
                <w:rFonts w:ascii="Verdana" w:hAnsi="Verdana"/>
                <w:sz w:val="18"/>
                <w:szCs w:val="18"/>
                <w:lang w:eastAsia="nl-NL"/>
              </w:rPr>
              <w:t>58</w:t>
            </w:r>
          </w:p>
        </w:tc>
        <w:tc>
          <w:tcPr>
            <w:tcW w:w="2716" w:type="dxa"/>
          </w:tcPr>
          <w:p w:rsidRPr="005F055E" w:rsidR="0086514F" w:rsidP="00180EEB" w:rsidRDefault="0086514F" w14:paraId="37660F11" w14:textId="4DC2097D">
            <w:pPr>
              <w:suppressAutoHyphens/>
              <w:rPr>
                <w:rFonts w:ascii="Verdana" w:hAnsi="Verdana"/>
                <w:sz w:val="18"/>
                <w:szCs w:val="18"/>
              </w:rPr>
            </w:pPr>
            <w:r w:rsidRPr="005F055E">
              <w:rPr>
                <w:rFonts w:ascii="Verdana" w:hAnsi="Verdana"/>
                <w:sz w:val="18"/>
                <w:szCs w:val="18"/>
                <w:lang w:eastAsia="nl-NL"/>
              </w:rPr>
              <w:t>1.913.250</w:t>
            </w:r>
          </w:p>
        </w:tc>
        <w:tc>
          <w:tcPr>
            <w:tcW w:w="1615" w:type="dxa"/>
          </w:tcPr>
          <w:p w:rsidRPr="005F055E" w:rsidR="0086514F" w:rsidP="00180EEB" w:rsidRDefault="0086514F" w14:paraId="615CC335" w14:textId="27F2D4DB">
            <w:pPr>
              <w:suppressAutoHyphens/>
              <w:rPr>
                <w:rFonts w:ascii="Verdana" w:hAnsi="Verdana"/>
                <w:sz w:val="18"/>
                <w:szCs w:val="18"/>
              </w:rPr>
            </w:pPr>
            <w:r w:rsidRPr="005F055E">
              <w:rPr>
                <w:rFonts w:ascii="Verdana" w:hAnsi="Verdana"/>
                <w:sz w:val="18"/>
                <w:szCs w:val="18"/>
                <w:lang w:eastAsia="nl-NL"/>
              </w:rPr>
              <w:t>15,8</w:t>
            </w:r>
          </w:p>
        </w:tc>
        <w:tc>
          <w:tcPr>
            <w:tcW w:w="2209" w:type="dxa"/>
          </w:tcPr>
          <w:p w:rsidRPr="005F055E" w:rsidR="0086514F" w:rsidP="00180EEB" w:rsidRDefault="0086514F" w14:paraId="3EB9C5C2" w14:textId="29DCA43C">
            <w:pPr>
              <w:suppressAutoHyphens/>
              <w:rPr>
                <w:rFonts w:ascii="Verdana" w:hAnsi="Verdana"/>
                <w:sz w:val="18"/>
                <w:szCs w:val="18"/>
              </w:rPr>
            </w:pPr>
            <w:r w:rsidRPr="005F055E">
              <w:rPr>
                <w:rFonts w:ascii="Verdana" w:hAnsi="Verdana"/>
                <w:sz w:val="18"/>
                <w:szCs w:val="18"/>
                <w:lang w:eastAsia="nl-NL"/>
              </w:rPr>
              <w:t>125</w:t>
            </w:r>
          </w:p>
        </w:tc>
      </w:tr>
      <w:tr w:rsidRPr="005F055E" w:rsidR="0086514F" w:rsidTr="0086514F" w14:paraId="59078031" w14:textId="77777777">
        <w:trPr>
          <w:trHeight w:val="214"/>
        </w:trPr>
        <w:tc>
          <w:tcPr>
            <w:tcW w:w="782" w:type="dxa"/>
          </w:tcPr>
          <w:p w:rsidRPr="005F055E" w:rsidR="0086514F" w:rsidP="00180EEB" w:rsidRDefault="0086514F" w14:paraId="15156DAD" w14:textId="10956100">
            <w:pPr>
              <w:suppressAutoHyphens/>
              <w:rPr>
                <w:rFonts w:ascii="Verdana" w:hAnsi="Verdana"/>
                <w:sz w:val="18"/>
                <w:szCs w:val="18"/>
              </w:rPr>
            </w:pPr>
            <w:r w:rsidRPr="005F055E">
              <w:rPr>
                <w:rFonts w:ascii="Verdana" w:hAnsi="Verdana"/>
                <w:b/>
                <w:bCs/>
                <w:sz w:val="18"/>
                <w:szCs w:val="18"/>
                <w:lang w:eastAsia="nl-NL"/>
              </w:rPr>
              <w:t>2024</w:t>
            </w:r>
          </w:p>
        </w:tc>
        <w:tc>
          <w:tcPr>
            <w:tcW w:w="1193" w:type="dxa"/>
          </w:tcPr>
          <w:p w:rsidRPr="005F055E" w:rsidR="0086514F" w:rsidP="00180EEB" w:rsidRDefault="0086514F" w14:paraId="721D46A8" w14:textId="4DB6F040">
            <w:pPr>
              <w:suppressAutoHyphens/>
              <w:rPr>
                <w:rFonts w:ascii="Verdana" w:hAnsi="Verdana"/>
                <w:sz w:val="18"/>
                <w:szCs w:val="18"/>
              </w:rPr>
            </w:pPr>
            <w:r w:rsidRPr="005F055E">
              <w:rPr>
                <w:rFonts w:ascii="Verdana" w:hAnsi="Verdana"/>
                <w:sz w:val="18"/>
                <w:szCs w:val="18"/>
                <w:lang w:eastAsia="nl-NL"/>
              </w:rPr>
              <w:t>51,0</w:t>
            </w:r>
          </w:p>
        </w:tc>
        <w:tc>
          <w:tcPr>
            <w:tcW w:w="1321" w:type="dxa"/>
          </w:tcPr>
          <w:p w:rsidRPr="005F055E" w:rsidR="0086514F" w:rsidP="00180EEB" w:rsidRDefault="0086514F" w14:paraId="682C9FCD" w14:textId="7E2BAA60">
            <w:pPr>
              <w:suppressAutoHyphens/>
              <w:rPr>
                <w:rFonts w:ascii="Verdana" w:hAnsi="Verdana"/>
                <w:sz w:val="18"/>
                <w:szCs w:val="18"/>
              </w:rPr>
            </w:pPr>
            <w:r w:rsidRPr="005F055E">
              <w:rPr>
                <w:rFonts w:ascii="Verdana" w:hAnsi="Verdana"/>
                <w:sz w:val="18"/>
                <w:szCs w:val="18"/>
                <w:lang w:eastAsia="nl-NL"/>
              </w:rPr>
              <w:t>64,6</w:t>
            </w:r>
          </w:p>
        </w:tc>
        <w:tc>
          <w:tcPr>
            <w:tcW w:w="2716" w:type="dxa"/>
          </w:tcPr>
          <w:p w:rsidRPr="005F055E" w:rsidR="0086514F" w:rsidP="00180EEB" w:rsidRDefault="0086514F" w14:paraId="12FB7695" w14:textId="6C3430FD">
            <w:pPr>
              <w:suppressAutoHyphens/>
              <w:rPr>
                <w:rFonts w:ascii="Verdana" w:hAnsi="Verdana"/>
                <w:sz w:val="18"/>
                <w:szCs w:val="18"/>
              </w:rPr>
            </w:pPr>
            <w:r w:rsidRPr="005F055E">
              <w:rPr>
                <w:rFonts w:ascii="Verdana" w:hAnsi="Verdana"/>
                <w:sz w:val="18"/>
                <w:szCs w:val="18"/>
                <w:lang w:eastAsia="nl-NL"/>
              </w:rPr>
              <w:t>3.413.800</w:t>
            </w:r>
          </w:p>
        </w:tc>
        <w:tc>
          <w:tcPr>
            <w:tcW w:w="1615" w:type="dxa"/>
          </w:tcPr>
          <w:p w:rsidRPr="005F055E" w:rsidR="0086514F" w:rsidP="00180EEB" w:rsidRDefault="0086514F" w14:paraId="5400F650" w14:textId="29484D87">
            <w:pPr>
              <w:suppressAutoHyphens/>
              <w:rPr>
                <w:rFonts w:ascii="Verdana" w:hAnsi="Verdana"/>
                <w:sz w:val="18"/>
                <w:szCs w:val="18"/>
              </w:rPr>
            </w:pPr>
            <w:r w:rsidRPr="005F055E">
              <w:rPr>
                <w:rFonts w:ascii="Verdana" w:hAnsi="Verdana"/>
                <w:sz w:val="18"/>
                <w:szCs w:val="18"/>
                <w:lang w:eastAsia="nl-NL"/>
              </w:rPr>
              <w:t>27,0</w:t>
            </w:r>
          </w:p>
        </w:tc>
        <w:tc>
          <w:tcPr>
            <w:tcW w:w="2209" w:type="dxa"/>
          </w:tcPr>
          <w:p w:rsidRPr="005F055E" w:rsidR="0086514F" w:rsidP="00180EEB" w:rsidRDefault="0086514F" w14:paraId="43F64024" w14:textId="55D2F202">
            <w:pPr>
              <w:suppressAutoHyphens/>
              <w:rPr>
                <w:rFonts w:ascii="Verdana" w:hAnsi="Verdana"/>
                <w:sz w:val="18"/>
                <w:szCs w:val="18"/>
              </w:rPr>
            </w:pPr>
            <w:r w:rsidRPr="005F055E">
              <w:rPr>
                <w:rFonts w:ascii="Verdana" w:hAnsi="Verdana"/>
                <w:sz w:val="18"/>
                <w:szCs w:val="18"/>
                <w:lang w:eastAsia="nl-NL"/>
              </w:rPr>
              <w:t>128,5</w:t>
            </w:r>
          </w:p>
        </w:tc>
      </w:tr>
    </w:tbl>
    <w:p w:rsidRPr="005F055E" w:rsidR="003F2B3B" w:rsidP="00180EEB" w:rsidRDefault="00B90292" w14:paraId="24480ED2" w14:textId="57D965A7">
      <w:pPr>
        <w:suppressAutoHyphens/>
        <w:spacing w:line="240" w:lineRule="atLeast"/>
      </w:pPr>
      <w:r w:rsidRPr="005F055E">
        <w:rPr>
          <w:sz w:val="16"/>
          <w:szCs w:val="16"/>
          <w:lang w:eastAsia="nl-NL"/>
        </w:rPr>
        <w:t xml:space="preserve">(*) deze bedragen betreffen de totale landelijke kosten voor diëtetiek voor uiteenlopende indicaties, waaronder bijvoorbeeld overgewicht/obesitas. We beschikken niet over data over dieetadvisering alleen voor de behandeling van overgewicht/ obesitas. </w:t>
      </w:r>
      <w:r w:rsidRPr="005F055E">
        <w:rPr>
          <w:sz w:val="16"/>
          <w:szCs w:val="16"/>
          <w:lang w:eastAsia="nl-NL"/>
        </w:rPr>
        <w:br/>
        <w:t>(**) deze bedragen zijn ex btw en dienstverlening apotheek.</w:t>
      </w:r>
      <w:r w:rsidRPr="005F055E">
        <w:rPr>
          <w:sz w:val="16"/>
          <w:szCs w:val="16"/>
          <w:lang w:eastAsia="nl-NL"/>
        </w:rPr>
        <w:br/>
        <w:t>(***) deze inschatting kosten is gebaseerd op het totaal aantal chirurgische ingrepen per jaar</w:t>
      </w:r>
      <w:r w:rsidRPr="005F055E">
        <w:rPr>
          <w:sz w:val="16"/>
          <w:szCs w:val="16"/>
          <w:vertAlign w:val="superscript"/>
          <w:lang w:eastAsia="nl-NL"/>
        </w:rPr>
        <w:footnoteReference w:id="19"/>
      </w:r>
      <w:r w:rsidRPr="005F055E">
        <w:rPr>
          <w:sz w:val="16"/>
          <w:szCs w:val="16"/>
          <w:lang w:eastAsia="nl-NL"/>
        </w:rPr>
        <w:t>. De kosten voor een volledig chirurgisch behandeltraject voor de behandeling van obesitas bedragen ca. 10.000 euro. Als gevolg van Covid-19 is de data over de jaren 2020 t/m 2022 onvoldoende representatief en daarom niet opgenomen in bijgevoegd overzicht.</w:t>
      </w:r>
    </w:p>
    <w:p w:rsidRPr="005F055E" w:rsidR="007B58FB" w:rsidP="00180EEB" w:rsidRDefault="007B58FB" w14:paraId="4FE36197" w14:textId="77777777">
      <w:pPr>
        <w:suppressAutoHyphens/>
      </w:pPr>
    </w:p>
    <w:p w:rsidRPr="005F055E" w:rsidR="000478A7" w:rsidP="00180EEB" w:rsidRDefault="003E7003" w14:paraId="35F980A5" w14:textId="77777777">
      <w:pPr>
        <w:suppressAutoHyphens/>
      </w:pPr>
      <w:r w:rsidRPr="005F055E">
        <w:t>Vraag 69</w:t>
      </w:r>
      <w:r w:rsidRPr="005F055E">
        <w:tab/>
      </w:r>
    </w:p>
    <w:p w:rsidRPr="005F055E" w:rsidR="000478A7" w:rsidP="00180EEB" w:rsidRDefault="003E7003" w14:paraId="1E764370" w14:textId="77777777">
      <w:pPr>
        <w:suppressAutoHyphens/>
      </w:pPr>
      <w:r w:rsidRPr="005F055E">
        <w:t>Welke structurele middelen zijn in de VWS-begroting vrijgemaakt voor de vergoeding (gedeeltelijk of volledig) van behandelingen voor oncologie?</w:t>
      </w:r>
    </w:p>
    <w:p w:rsidRPr="005F055E" w:rsidR="003E7003" w:rsidP="00180EEB" w:rsidRDefault="003E7003" w14:paraId="2EE98E4B" w14:textId="3A05D437">
      <w:pPr>
        <w:suppressAutoHyphens/>
      </w:pPr>
      <w:r w:rsidRPr="005F055E">
        <w:t>Antwoord</w:t>
      </w:r>
    </w:p>
    <w:p w:rsidRPr="005F055E" w:rsidR="000478A7" w:rsidP="00180EEB" w:rsidRDefault="000478A7" w14:paraId="177D2553" w14:textId="18DA11FC">
      <w:pPr>
        <w:suppressAutoHyphens/>
        <w:spacing w:line="240" w:lineRule="atLeast"/>
        <w:rPr>
          <w:szCs w:val="20"/>
          <w:lang w:eastAsia="nl-NL"/>
        </w:rPr>
      </w:pPr>
      <w:r w:rsidRPr="005F055E">
        <w:rPr>
          <w:szCs w:val="20"/>
          <w:lang w:eastAsia="nl-NL"/>
        </w:rPr>
        <w:t>Het kader m</w:t>
      </w:r>
      <w:r w:rsidR="00E043BF">
        <w:rPr>
          <w:szCs w:val="20"/>
          <w:lang w:eastAsia="nl-NL"/>
        </w:rPr>
        <w:t xml:space="preserve">edisch </w:t>
      </w:r>
      <w:r w:rsidRPr="005F055E">
        <w:rPr>
          <w:szCs w:val="20"/>
          <w:lang w:eastAsia="nl-NL"/>
        </w:rPr>
        <w:t>s</w:t>
      </w:r>
      <w:r w:rsidR="00E043BF">
        <w:rPr>
          <w:szCs w:val="20"/>
          <w:lang w:eastAsia="nl-NL"/>
        </w:rPr>
        <w:t>pecialistische zorg</w:t>
      </w:r>
      <w:r w:rsidRPr="005F055E">
        <w:rPr>
          <w:szCs w:val="20"/>
          <w:lang w:eastAsia="nl-NL"/>
        </w:rPr>
        <w:t xml:space="preserve"> in de VWS-begroting is het beschikbare bedrag voor alle zorguitgaven in de medisch-specialistische zorg. Dit is een totaalkader waarbij in de VWS-begroting geen uitsplitsing wordt gemaakt naar subonderdelen. De uitgaven die betrekking hebben op behandelingen voor oncologie vallen onder het totale kader m</w:t>
      </w:r>
      <w:r w:rsidR="00E043BF">
        <w:rPr>
          <w:szCs w:val="20"/>
          <w:lang w:eastAsia="nl-NL"/>
        </w:rPr>
        <w:t xml:space="preserve">edisch </w:t>
      </w:r>
      <w:r w:rsidRPr="005F055E">
        <w:rPr>
          <w:szCs w:val="20"/>
          <w:lang w:eastAsia="nl-NL"/>
        </w:rPr>
        <w:t>s</w:t>
      </w:r>
      <w:r w:rsidR="00E043BF">
        <w:rPr>
          <w:szCs w:val="20"/>
          <w:lang w:eastAsia="nl-NL"/>
        </w:rPr>
        <w:t xml:space="preserve">pecialistische </w:t>
      </w:r>
      <w:r w:rsidRPr="005F055E">
        <w:rPr>
          <w:szCs w:val="20"/>
          <w:lang w:eastAsia="nl-NL"/>
        </w:rPr>
        <w:t>z</w:t>
      </w:r>
      <w:r w:rsidR="00E043BF">
        <w:rPr>
          <w:szCs w:val="20"/>
          <w:lang w:eastAsia="nl-NL"/>
        </w:rPr>
        <w:t>org</w:t>
      </w:r>
      <w:r w:rsidRPr="005F055E">
        <w:rPr>
          <w:szCs w:val="20"/>
          <w:lang w:eastAsia="nl-NL"/>
        </w:rPr>
        <w:t>.</w:t>
      </w:r>
    </w:p>
    <w:p w:rsidRPr="005F055E" w:rsidR="007B58FB" w:rsidP="00180EEB" w:rsidRDefault="007B58FB" w14:paraId="6AF90A07" w14:textId="77777777">
      <w:pPr>
        <w:suppressAutoHyphens/>
      </w:pPr>
    </w:p>
    <w:p w:rsidRPr="005F055E" w:rsidR="000478A7" w:rsidP="00180EEB" w:rsidRDefault="003E7003" w14:paraId="2A8EAA16" w14:textId="77777777">
      <w:pPr>
        <w:suppressAutoHyphens/>
      </w:pPr>
      <w:r w:rsidRPr="005F055E">
        <w:t>Vraag 70</w:t>
      </w:r>
      <w:r w:rsidRPr="005F055E">
        <w:tab/>
      </w:r>
    </w:p>
    <w:p w:rsidRPr="005F055E" w:rsidR="000478A7" w:rsidP="00180EEB" w:rsidRDefault="003E7003" w14:paraId="68EE0979" w14:textId="77777777">
      <w:pPr>
        <w:suppressAutoHyphens/>
      </w:pPr>
      <w:r w:rsidRPr="005F055E">
        <w:t>Welke structurele middelen zijn in de VWS-begroting vrijgemaakt voor de vergoeding (gedeeltelijk of volledig) van behandelingen voor hart- en vaatziekten?</w:t>
      </w:r>
      <w:r w:rsidRPr="005F055E">
        <w:tab/>
      </w:r>
    </w:p>
    <w:p w:rsidRPr="005F055E" w:rsidR="003E7003" w:rsidP="00180EEB" w:rsidRDefault="003E7003" w14:paraId="51048E37" w14:textId="3E1FE702">
      <w:pPr>
        <w:suppressAutoHyphens/>
      </w:pPr>
      <w:r w:rsidRPr="005F055E">
        <w:t>Antwoord</w:t>
      </w:r>
    </w:p>
    <w:p w:rsidRPr="005F055E" w:rsidR="000478A7" w:rsidP="00180EEB" w:rsidRDefault="000478A7" w14:paraId="18EC7EBA" w14:textId="2C07BDE3">
      <w:pPr>
        <w:suppressAutoHyphens/>
        <w:spacing w:line="240" w:lineRule="atLeast"/>
        <w:rPr>
          <w:szCs w:val="20"/>
          <w:lang w:eastAsia="nl-NL"/>
        </w:rPr>
      </w:pPr>
      <w:r w:rsidRPr="005F055E">
        <w:rPr>
          <w:szCs w:val="20"/>
          <w:lang w:eastAsia="nl-NL"/>
        </w:rPr>
        <w:t xml:space="preserve">Het kader </w:t>
      </w:r>
      <w:r w:rsidRPr="005F055E" w:rsidR="00E043BF">
        <w:rPr>
          <w:szCs w:val="20"/>
          <w:lang w:eastAsia="nl-NL"/>
        </w:rPr>
        <w:t>m</w:t>
      </w:r>
      <w:r w:rsidR="00E043BF">
        <w:rPr>
          <w:szCs w:val="20"/>
          <w:lang w:eastAsia="nl-NL"/>
        </w:rPr>
        <w:t xml:space="preserve">edisch </w:t>
      </w:r>
      <w:r w:rsidRPr="005F055E" w:rsidR="00E043BF">
        <w:rPr>
          <w:szCs w:val="20"/>
          <w:lang w:eastAsia="nl-NL"/>
        </w:rPr>
        <w:t>s</w:t>
      </w:r>
      <w:r w:rsidR="00E043BF">
        <w:rPr>
          <w:szCs w:val="20"/>
          <w:lang w:eastAsia="nl-NL"/>
        </w:rPr>
        <w:t>pecialistische zorg</w:t>
      </w:r>
      <w:r w:rsidRPr="005F055E">
        <w:rPr>
          <w:szCs w:val="20"/>
          <w:lang w:eastAsia="nl-NL"/>
        </w:rPr>
        <w:t xml:space="preserve"> in de VWS-begroting is het beschikbare bedrag voor alle zorguitgaven in de medisch-specialistische zorg. Dit is een totaal kader waarbij in de VWS-begroting geen uitsplitsing wordt gemaakt naar subonderdelen. De uitgaven die betrekking hebben op behandelingen voor hart- en vaatziekten vallen onder het totale kader </w:t>
      </w:r>
      <w:r w:rsidRPr="005F055E" w:rsidR="00E043BF">
        <w:rPr>
          <w:szCs w:val="20"/>
          <w:lang w:eastAsia="nl-NL"/>
        </w:rPr>
        <w:t>m</w:t>
      </w:r>
      <w:r w:rsidR="00E043BF">
        <w:rPr>
          <w:szCs w:val="20"/>
          <w:lang w:eastAsia="nl-NL"/>
        </w:rPr>
        <w:t xml:space="preserve">edisch </w:t>
      </w:r>
      <w:r w:rsidRPr="005F055E" w:rsidR="00E043BF">
        <w:rPr>
          <w:szCs w:val="20"/>
          <w:lang w:eastAsia="nl-NL"/>
        </w:rPr>
        <w:t>s</w:t>
      </w:r>
      <w:r w:rsidR="00E043BF">
        <w:rPr>
          <w:szCs w:val="20"/>
          <w:lang w:eastAsia="nl-NL"/>
        </w:rPr>
        <w:t>pecialistische zorg</w:t>
      </w:r>
      <w:r w:rsidRPr="005F055E">
        <w:rPr>
          <w:szCs w:val="20"/>
          <w:lang w:eastAsia="nl-NL"/>
        </w:rPr>
        <w:t>.</w:t>
      </w:r>
    </w:p>
    <w:p w:rsidRPr="005F055E" w:rsidR="000478A7" w:rsidP="00180EEB" w:rsidRDefault="000478A7" w14:paraId="5A872139" w14:textId="77777777">
      <w:pPr>
        <w:suppressAutoHyphens/>
      </w:pPr>
    </w:p>
    <w:p w:rsidRPr="005F055E" w:rsidR="000478A7" w:rsidP="00180EEB" w:rsidRDefault="003E7003" w14:paraId="6C6395A5" w14:textId="77777777">
      <w:pPr>
        <w:suppressAutoHyphens/>
      </w:pPr>
      <w:r w:rsidRPr="005F055E">
        <w:t>Vraag 71</w:t>
      </w:r>
      <w:r w:rsidRPr="005F055E">
        <w:tab/>
      </w:r>
    </w:p>
    <w:p w:rsidRPr="005F055E" w:rsidR="000478A7" w:rsidP="00180EEB" w:rsidRDefault="003E7003" w14:paraId="57D0F770" w14:textId="77777777">
      <w:pPr>
        <w:suppressAutoHyphens/>
      </w:pPr>
      <w:r w:rsidRPr="005F055E">
        <w:t>Welke middelen en concrete maatregelen zijn in de begroting toegekend aan de Nationale Dementiestrategie (NDS)?</w:t>
      </w:r>
      <w:r w:rsidRPr="005F055E">
        <w:tab/>
      </w:r>
    </w:p>
    <w:p w:rsidR="009873CE" w:rsidP="00180EEB" w:rsidRDefault="009873CE" w14:paraId="58B11A82" w14:textId="77777777">
      <w:pPr>
        <w:suppressAutoHyphens/>
      </w:pPr>
    </w:p>
    <w:p w:rsidR="009873CE" w:rsidP="00180EEB" w:rsidRDefault="009873CE" w14:paraId="0A97B544" w14:textId="77777777">
      <w:pPr>
        <w:suppressAutoHyphens/>
      </w:pPr>
    </w:p>
    <w:p w:rsidRPr="005F055E" w:rsidR="003E7003" w:rsidP="00180EEB" w:rsidRDefault="003E7003" w14:paraId="36D0ABF2" w14:textId="1D52BFE0">
      <w:pPr>
        <w:suppressAutoHyphens/>
      </w:pPr>
      <w:r w:rsidRPr="005F055E">
        <w:t>Antwoord</w:t>
      </w:r>
    </w:p>
    <w:p w:rsidRPr="005F055E" w:rsidR="000478A7" w:rsidP="00180EEB" w:rsidRDefault="007E044A" w14:paraId="5D387765" w14:textId="16497267">
      <w:pPr>
        <w:suppressAutoHyphens/>
        <w:spacing w:line="240" w:lineRule="atLeast"/>
        <w:rPr>
          <w:szCs w:val="18"/>
          <w:lang w:eastAsia="nl-NL"/>
        </w:rPr>
      </w:pPr>
      <w:r w:rsidRPr="005F055E">
        <w:rPr>
          <w:szCs w:val="18"/>
          <w:lang w:eastAsia="nl-NL"/>
        </w:rPr>
        <w:t xml:space="preserve">In totaal is er € 23 miljoen per jaar beschikbaar voor de NDS tot en met 2030. Hiervoor is € 16 miljoen beschikbaar voor het Onderzoeksprogramma Dementie, dat loopt via </w:t>
      </w:r>
      <w:proofErr w:type="spellStart"/>
      <w:r w:rsidRPr="005F055E">
        <w:rPr>
          <w:szCs w:val="18"/>
          <w:lang w:eastAsia="nl-NL"/>
        </w:rPr>
        <w:t>ZonMw</w:t>
      </w:r>
      <w:proofErr w:type="spellEnd"/>
      <w:r w:rsidRPr="005F055E">
        <w:rPr>
          <w:szCs w:val="18"/>
          <w:lang w:eastAsia="nl-NL"/>
        </w:rPr>
        <w:t>. Voor de overige € 7 miljoen die beschikbaar is, geldt dat een deel van de activiteiten worden doorgezet, zoals het Programma Samen Dementievriendelijk. Op dit moment zijn we bezig met de actualisatie van de NDS samen met verschillende veldpartijen. Op basis van deze actualisatie worden activiteiten binnen de NDS definitief gemaakt</w:t>
      </w:r>
      <w:r w:rsidRPr="005F055E">
        <w:rPr>
          <w:rFonts w:cs="Calibri"/>
          <w:szCs w:val="18"/>
        </w:rPr>
        <w:t xml:space="preserve">. Daarbij </w:t>
      </w:r>
      <w:r w:rsidRPr="005F055E">
        <w:rPr>
          <w:szCs w:val="18"/>
          <w:lang w:eastAsia="nl-NL"/>
        </w:rPr>
        <w:t>nemen we mee hoe de NDS aansluit bij andere beleidsinitiatieven rond dementie zoals binnen het AZWA en HLO. De actualisatie is naar verwachting gereed in het eerste kwartaal van 2026.</w:t>
      </w:r>
    </w:p>
    <w:p w:rsidR="00056279" w:rsidP="00180EEB" w:rsidRDefault="00056279" w14:paraId="2E3E08C3" w14:textId="77777777">
      <w:pPr>
        <w:suppressAutoHyphens/>
      </w:pPr>
    </w:p>
    <w:p w:rsidRPr="005F055E" w:rsidR="000478A7" w:rsidP="00180EEB" w:rsidRDefault="003E7003" w14:paraId="7BCF4933" w14:textId="60D6DF36">
      <w:pPr>
        <w:suppressAutoHyphens/>
      </w:pPr>
      <w:r w:rsidRPr="005F055E">
        <w:t>Vraag 72</w:t>
      </w:r>
      <w:r w:rsidRPr="005F055E">
        <w:tab/>
      </w:r>
    </w:p>
    <w:p w:rsidRPr="005F055E" w:rsidR="000478A7" w:rsidP="00180EEB" w:rsidRDefault="003E7003" w14:paraId="350DBA7B" w14:textId="77777777">
      <w:pPr>
        <w:suppressAutoHyphens/>
      </w:pPr>
      <w:r w:rsidRPr="005F055E">
        <w:t>Hoeveel duurder is het Pallas project uitgevallen dan vooraf begroot?</w:t>
      </w:r>
      <w:r w:rsidRPr="005F055E">
        <w:tab/>
      </w:r>
    </w:p>
    <w:p w:rsidRPr="005F055E" w:rsidR="003E7003" w:rsidP="00180EEB" w:rsidRDefault="003E7003" w14:paraId="7E614631" w14:textId="5A38186C">
      <w:pPr>
        <w:suppressAutoHyphens/>
      </w:pPr>
      <w:r w:rsidRPr="005F055E">
        <w:t>Antwoord</w:t>
      </w:r>
    </w:p>
    <w:p w:rsidRPr="005F055E" w:rsidR="000478A7" w:rsidP="00180EEB" w:rsidRDefault="007B58FB" w14:paraId="2924C56A" w14:textId="736EDFF8">
      <w:pPr>
        <w:suppressAutoHyphens/>
        <w:rPr>
          <w:szCs w:val="18"/>
        </w:rPr>
      </w:pPr>
      <w:r w:rsidRPr="005F055E">
        <w:rPr>
          <w:szCs w:val="18"/>
        </w:rPr>
        <w:t xml:space="preserve">In de brief van de toenmalige minister van VWS van 20 september 2022 (Kamerstuk 33626, nr. 16) staat dat de totale investeringskosten van het nieuwbouwprogramma door NRG PALLAS in het basisscenario worden geschat op € 1,84 </w:t>
      </w:r>
      <w:r w:rsidRPr="005F055E" w:rsidR="001352A0">
        <w:rPr>
          <w:szCs w:val="18"/>
        </w:rPr>
        <w:t xml:space="preserve">miljard </w:t>
      </w:r>
      <w:r w:rsidRPr="005F055E">
        <w:rPr>
          <w:szCs w:val="18"/>
        </w:rPr>
        <w:t xml:space="preserve">(prijspeil 2022). Momenteel bedragen de totale kosten van het basisscenario € 2,53 </w:t>
      </w:r>
      <w:r w:rsidRPr="005F055E" w:rsidR="001352A0">
        <w:rPr>
          <w:szCs w:val="18"/>
        </w:rPr>
        <w:t>miljard</w:t>
      </w:r>
      <w:r w:rsidRPr="005F055E">
        <w:rPr>
          <w:szCs w:val="18"/>
        </w:rPr>
        <w:t xml:space="preserve"> (prijspeil 2025). Dit is een stijging van € 0,69 </w:t>
      </w:r>
      <w:r w:rsidRPr="005F055E" w:rsidR="001352A0">
        <w:rPr>
          <w:szCs w:val="18"/>
        </w:rPr>
        <w:t>miljard</w:t>
      </w:r>
      <w:r w:rsidRPr="005F055E">
        <w:rPr>
          <w:szCs w:val="18"/>
        </w:rPr>
        <w:t xml:space="preserve"> die voor € 0,24 </w:t>
      </w:r>
      <w:r w:rsidRPr="005F055E" w:rsidR="001352A0">
        <w:rPr>
          <w:szCs w:val="18"/>
        </w:rPr>
        <w:t>miljard</w:t>
      </w:r>
      <w:r w:rsidRPr="005F055E">
        <w:rPr>
          <w:szCs w:val="18"/>
        </w:rPr>
        <w:t xml:space="preserve"> betrekking heeft op indexatie en voor € 0,45 </w:t>
      </w:r>
      <w:r w:rsidRPr="005F055E" w:rsidR="001352A0">
        <w:rPr>
          <w:szCs w:val="18"/>
        </w:rPr>
        <w:t>miljard</w:t>
      </w:r>
      <w:r w:rsidRPr="005F055E">
        <w:rPr>
          <w:szCs w:val="18"/>
        </w:rPr>
        <w:t xml:space="preserve"> op meerkosten, waarover de Kamer eerder is geïnformeerd in de voortgangsrapportage over het Pallas-nieuwbouwprogramma uit mei 2025 (Kamerstuk 33626, nr. 30).</w:t>
      </w:r>
    </w:p>
    <w:p w:rsidR="00056279" w:rsidP="00180EEB" w:rsidRDefault="00056279" w14:paraId="4AC8F61B" w14:textId="77777777">
      <w:pPr>
        <w:suppressAutoHyphens/>
      </w:pPr>
    </w:p>
    <w:p w:rsidRPr="005F055E" w:rsidR="000478A7" w:rsidP="00180EEB" w:rsidRDefault="003E7003" w14:paraId="2AC75C83" w14:textId="1CE2FB22">
      <w:pPr>
        <w:suppressAutoHyphens/>
      </w:pPr>
      <w:r w:rsidRPr="005F055E">
        <w:t>Vraag 73</w:t>
      </w:r>
      <w:r w:rsidRPr="005F055E">
        <w:tab/>
      </w:r>
    </w:p>
    <w:p w:rsidRPr="005F055E" w:rsidR="000478A7" w:rsidP="00180EEB" w:rsidRDefault="003E7003" w14:paraId="31B63799" w14:textId="77777777">
      <w:pPr>
        <w:suppressAutoHyphens/>
      </w:pPr>
      <w:r w:rsidRPr="005F055E">
        <w:t>Kunt u een totaaloverzicht geven van alle bezuinigingen en besparingen op het terrein van VWS die sinds 2021 zijn doorgevoerd?</w:t>
      </w:r>
      <w:r w:rsidRPr="005F055E">
        <w:tab/>
      </w:r>
    </w:p>
    <w:p w:rsidRPr="005F055E" w:rsidR="003E7003" w:rsidP="00180EEB" w:rsidRDefault="003E7003" w14:paraId="74CEB97D" w14:textId="3D34E807">
      <w:pPr>
        <w:suppressAutoHyphens/>
      </w:pPr>
      <w:r w:rsidRPr="005F055E">
        <w:t>Antwoord</w:t>
      </w:r>
    </w:p>
    <w:p w:rsidRPr="005F055E" w:rsidR="00E24EC6" w:rsidP="00180EEB" w:rsidRDefault="00E24EC6" w14:paraId="6F79FE15" w14:textId="77777777">
      <w:pPr>
        <w:suppressAutoHyphens/>
        <w:rPr>
          <w:szCs w:val="18"/>
        </w:rPr>
      </w:pPr>
      <w:r w:rsidRPr="005F055E">
        <w:rPr>
          <w:szCs w:val="18"/>
        </w:rPr>
        <w:t xml:space="preserve">Om een antwoord te kunnen schetsen op deze vraag is het belangrijk om te melden dat op het totaal sprake is van stijgende zorguitgaven. Dit komt grotendeels door de autonome groei van de zorg door onder andere </w:t>
      </w:r>
      <w:proofErr w:type="spellStart"/>
      <w:r w:rsidRPr="005F055E">
        <w:rPr>
          <w:szCs w:val="18"/>
        </w:rPr>
        <w:t>vergrĳzing</w:t>
      </w:r>
      <w:proofErr w:type="spellEnd"/>
      <w:r w:rsidRPr="005F055E">
        <w:rPr>
          <w:szCs w:val="18"/>
        </w:rPr>
        <w:t xml:space="preserve">, kwaliteitsverbetering, hoger zorggebruik door hogere inkomens, sociaal-culturele trends en </w:t>
      </w:r>
      <w:proofErr w:type="spellStart"/>
      <w:r w:rsidRPr="005F055E">
        <w:rPr>
          <w:szCs w:val="18"/>
        </w:rPr>
        <w:t>achterblĳvende</w:t>
      </w:r>
      <w:proofErr w:type="spellEnd"/>
      <w:r w:rsidRPr="005F055E">
        <w:rPr>
          <w:szCs w:val="18"/>
        </w:rPr>
        <w:t xml:space="preserve"> arbeidsproductiviteit in de zorg. Beleidsmatig zijn zowel ombuigingen ingezet om deze stijging in de zorguitgaven af te remmen, als intensiveringen om beleidsdoelen te bereiken. Dit resulteert ten tijde van de Miljoenennota in de onderstaande verwachte ontwikkeling van de zorguitgaven in de periode 2025-2030. Hierin zijn de intensiveringen en onderstaande ombuigingen reeds verwerkt en is de volumegroei meegenomen. Exclusief loon- en prijsontwikkeling is er sprake van een stijging van de zorguitgaven van € 14 miljard.</w:t>
      </w:r>
    </w:p>
    <w:tbl>
      <w:tblPr>
        <w:tblW w:w="9072" w:type="dxa"/>
        <w:tblLayout w:type="fixed"/>
        <w:tblCellMar>
          <w:left w:w="0" w:type="dxa"/>
          <w:right w:w="0" w:type="dxa"/>
        </w:tblCellMar>
        <w:tblLook w:val="04A0" w:firstRow="1" w:lastRow="0" w:firstColumn="1" w:lastColumn="0" w:noHBand="0" w:noVBand="1"/>
      </w:tblPr>
      <w:tblGrid>
        <w:gridCol w:w="1418"/>
        <w:gridCol w:w="945"/>
        <w:gridCol w:w="945"/>
        <w:gridCol w:w="945"/>
        <w:gridCol w:w="945"/>
        <w:gridCol w:w="945"/>
        <w:gridCol w:w="945"/>
        <w:gridCol w:w="1984"/>
      </w:tblGrid>
      <w:tr w:rsidRPr="005F055E" w:rsidR="00E24EC6" w:rsidTr="00AB78FE" w14:paraId="0E462653" w14:textId="77777777">
        <w:trPr>
          <w:trHeight w:val="300"/>
        </w:trPr>
        <w:tc>
          <w:tcPr>
            <w:tcW w:w="1418" w:type="dxa"/>
            <w:tcBorders>
              <w:top w:val="nil"/>
              <w:left w:val="nil"/>
              <w:bottom w:val="nil"/>
              <w:right w:val="nil"/>
            </w:tcBorders>
            <w:shd w:val="clear" w:color="000000" w:fill="DAE9F7"/>
            <w:noWrap/>
            <w:tcMar>
              <w:top w:w="15" w:type="dxa"/>
              <w:left w:w="15" w:type="dxa"/>
              <w:bottom w:w="0" w:type="dxa"/>
              <w:right w:w="15" w:type="dxa"/>
            </w:tcMar>
            <w:vAlign w:val="center"/>
            <w:hideMark/>
          </w:tcPr>
          <w:p w:rsidRPr="005F055E" w:rsidR="00E24EC6" w:rsidP="00180EEB" w:rsidRDefault="00E24EC6" w14:paraId="36155FFE" w14:textId="77777777">
            <w:pPr>
              <w:suppressAutoHyphens/>
              <w:rPr>
                <w:color w:val="000000"/>
                <w:szCs w:val="18"/>
              </w:rPr>
            </w:pPr>
            <w:r w:rsidRPr="005F055E">
              <w:rPr>
                <w:color w:val="000000"/>
                <w:szCs w:val="18"/>
              </w:rPr>
              <w:t>In miljarden</w:t>
            </w:r>
          </w:p>
        </w:tc>
        <w:tc>
          <w:tcPr>
            <w:tcW w:w="945" w:type="dxa"/>
            <w:tcBorders>
              <w:top w:val="nil"/>
              <w:left w:val="nil"/>
              <w:bottom w:val="nil"/>
              <w:right w:val="nil"/>
            </w:tcBorders>
            <w:shd w:val="clear" w:color="000000" w:fill="DAE9F7"/>
            <w:noWrap/>
            <w:tcMar>
              <w:top w:w="15" w:type="dxa"/>
              <w:left w:w="15" w:type="dxa"/>
              <w:bottom w:w="0" w:type="dxa"/>
              <w:right w:w="15" w:type="dxa"/>
            </w:tcMar>
            <w:vAlign w:val="center"/>
            <w:hideMark/>
          </w:tcPr>
          <w:p w:rsidRPr="005F055E" w:rsidR="00E24EC6" w:rsidP="00180EEB" w:rsidRDefault="00E24EC6" w14:paraId="6D10708F" w14:textId="77777777">
            <w:pPr>
              <w:suppressAutoHyphens/>
              <w:rPr>
                <w:color w:val="000000"/>
                <w:szCs w:val="18"/>
              </w:rPr>
            </w:pPr>
            <w:r w:rsidRPr="005F055E">
              <w:rPr>
                <w:color w:val="000000"/>
                <w:szCs w:val="18"/>
              </w:rPr>
              <w:t>2025</w:t>
            </w:r>
          </w:p>
        </w:tc>
        <w:tc>
          <w:tcPr>
            <w:tcW w:w="945" w:type="dxa"/>
            <w:tcBorders>
              <w:top w:val="nil"/>
              <w:left w:val="nil"/>
              <w:bottom w:val="nil"/>
              <w:right w:val="nil"/>
            </w:tcBorders>
            <w:shd w:val="clear" w:color="000000" w:fill="DAE9F7"/>
            <w:noWrap/>
            <w:tcMar>
              <w:top w:w="15" w:type="dxa"/>
              <w:left w:w="15" w:type="dxa"/>
              <w:bottom w:w="0" w:type="dxa"/>
              <w:right w:w="15" w:type="dxa"/>
            </w:tcMar>
            <w:vAlign w:val="center"/>
            <w:hideMark/>
          </w:tcPr>
          <w:p w:rsidRPr="005F055E" w:rsidR="00E24EC6" w:rsidP="00180EEB" w:rsidRDefault="00E24EC6" w14:paraId="2ABAFD42" w14:textId="77777777">
            <w:pPr>
              <w:suppressAutoHyphens/>
              <w:rPr>
                <w:color w:val="000000"/>
                <w:szCs w:val="18"/>
              </w:rPr>
            </w:pPr>
            <w:r w:rsidRPr="005F055E">
              <w:rPr>
                <w:color w:val="000000"/>
                <w:szCs w:val="18"/>
              </w:rPr>
              <w:t>2026</w:t>
            </w:r>
          </w:p>
        </w:tc>
        <w:tc>
          <w:tcPr>
            <w:tcW w:w="945" w:type="dxa"/>
            <w:tcBorders>
              <w:top w:val="nil"/>
              <w:left w:val="nil"/>
              <w:bottom w:val="nil"/>
              <w:right w:val="nil"/>
            </w:tcBorders>
            <w:shd w:val="clear" w:color="000000" w:fill="DAE9F7"/>
            <w:noWrap/>
            <w:tcMar>
              <w:top w:w="15" w:type="dxa"/>
              <w:left w:w="15" w:type="dxa"/>
              <w:bottom w:w="0" w:type="dxa"/>
              <w:right w:w="15" w:type="dxa"/>
            </w:tcMar>
            <w:vAlign w:val="center"/>
            <w:hideMark/>
          </w:tcPr>
          <w:p w:rsidRPr="005F055E" w:rsidR="00E24EC6" w:rsidP="00180EEB" w:rsidRDefault="00E24EC6" w14:paraId="6292A89D" w14:textId="77777777">
            <w:pPr>
              <w:suppressAutoHyphens/>
              <w:rPr>
                <w:color w:val="000000"/>
                <w:szCs w:val="18"/>
              </w:rPr>
            </w:pPr>
            <w:r w:rsidRPr="005F055E">
              <w:rPr>
                <w:color w:val="000000"/>
                <w:szCs w:val="18"/>
              </w:rPr>
              <w:t>2027</w:t>
            </w:r>
          </w:p>
        </w:tc>
        <w:tc>
          <w:tcPr>
            <w:tcW w:w="945" w:type="dxa"/>
            <w:tcBorders>
              <w:top w:val="nil"/>
              <w:left w:val="nil"/>
              <w:bottom w:val="nil"/>
              <w:right w:val="nil"/>
            </w:tcBorders>
            <w:shd w:val="clear" w:color="000000" w:fill="DAE9F7"/>
            <w:noWrap/>
            <w:tcMar>
              <w:top w:w="15" w:type="dxa"/>
              <w:left w:w="15" w:type="dxa"/>
              <w:bottom w:w="0" w:type="dxa"/>
              <w:right w:w="15" w:type="dxa"/>
            </w:tcMar>
            <w:vAlign w:val="center"/>
            <w:hideMark/>
          </w:tcPr>
          <w:p w:rsidRPr="005F055E" w:rsidR="00E24EC6" w:rsidP="00180EEB" w:rsidRDefault="00E24EC6" w14:paraId="2F5B6E7F" w14:textId="77777777">
            <w:pPr>
              <w:suppressAutoHyphens/>
              <w:rPr>
                <w:color w:val="000000"/>
                <w:szCs w:val="18"/>
              </w:rPr>
            </w:pPr>
            <w:r w:rsidRPr="005F055E">
              <w:rPr>
                <w:color w:val="000000"/>
                <w:szCs w:val="18"/>
              </w:rPr>
              <w:t>2028</w:t>
            </w:r>
          </w:p>
        </w:tc>
        <w:tc>
          <w:tcPr>
            <w:tcW w:w="945" w:type="dxa"/>
            <w:tcBorders>
              <w:top w:val="nil"/>
              <w:left w:val="nil"/>
              <w:bottom w:val="nil"/>
              <w:right w:val="nil"/>
            </w:tcBorders>
            <w:shd w:val="clear" w:color="000000" w:fill="DAE9F7"/>
            <w:noWrap/>
            <w:tcMar>
              <w:top w:w="15" w:type="dxa"/>
              <w:left w:w="15" w:type="dxa"/>
              <w:bottom w:w="0" w:type="dxa"/>
              <w:right w:w="15" w:type="dxa"/>
            </w:tcMar>
            <w:vAlign w:val="center"/>
            <w:hideMark/>
          </w:tcPr>
          <w:p w:rsidRPr="005F055E" w:rsidR="00E24EC6" w:rsidP="00180EEB" w:rsidRDefault="00E24EC6" w14:paraId="61AAC158" w14:textId="77777777">
            <w:pPr>
              <w:suppressAutoHyphens/>
              <w:rPr>
                <w:color w:val="000000"/>
                <w:szCs w:val="18"/>
              </w:rPr>
            </w:pPr>
            <w:r w:rsidRPr="005F055E">
              <w:rPr>
                <w:color w:val="000000"/>
                <w:szCs w:val="18"/>
              </w:rPr>
              <w:t>2029</w:t>
            </w:r>
          </w:p>
        </w:tc>
        <w:tc>
          <w:tcPr>
            <w:tcW w:w="945" w:type="dxa"/>
            <w:tcBorders>
              <w:top w:val="nil"/>
              <w:left w:val="nil"/>
              <w:bottom w:val="nil"/>
              <w:right w:val="nil"/>
            </w:tcBorders>
            <w:shd w:val="clear" w:color="000000" w:fill="DAE9F7"/>
            <w:noWrap/>
            <w:tcMar>
              <w:top w:w="15" w:type="dxa"/>
              <w:left w:w="15" w:type="dxa"/>
              <w:bottom w:w="0" w:type="dxa"/>
              <w:right w:w="15" w:type="dxa"/>
            </w:tcMar>
            <w:vAlign w:val="center"/>
            <w:hideMark/>
          </w:tcPr>
          <w:p w:rsidRPr="005F055E" w:rsidR="00E24EC6" w:rsidP="00180EEB" w:rsidRDefault="00E24EC6" w14:paraId="6EC84A8C" w14:textId="77777777">
            <w:pPr>
              <w:suppressAutoHyphens/>
              <w:rPr>
                <w:color w:val="000000"/>
                <w:szCs w:val="18"/>
              </w:rPr>
            </w:pPr>
            <w:r w:rsidRPr="005F055E">
              <w:rPr>
                <w:color w:val="000000"/>
                <w:szCs w:val="18"/>
              </w:rPr>
              <w:t>2030</w:t>
            </w:r>
          </w:p>
        </w:tc>
        <w:tc>
          <w:tcPr>
            <w:tcW w:w="1984" w:type="dxa"/>
            <w:tcBorders>
              <w:top w:val="nil"/>
              <w:left w:val="nil"/>
              <w:bottom w:val="nil"/>
              <w:right w:val="nil"/>
            </w:tcBorders>
            <w:shd w:val="clear" w:color="000000" w:fill="DAE9F7"/>
            <w:tcMar>
              <w:top w:w="15" w:type="dxa"/>
              <w:left w:w="15" w:type="dxa"/>
              <w:bottom w:w="0" w:type="dxa"/>
              <w:right w:w="15" w:type="dxa"/>
            </w:tcMar>
            <w:vAlign w:val="center"/>
            <w:hideMark/>
          </w:tcPr>
          <w:p w:rsidRPr="005F055E" w:rsidR="00E24EC6" w:rsidP="00180EEB" w:rsidRDefault="00E24EC6" w14:paraId="14E0C730" w14:textId="77777777">
            <w:pPr>
              <w:suppressAutoHyphens/>
              <w:rPr>
                <w:color w:val="000000"/>
                <w:szCs w:val="18"/>
              </w:rPr>
            </w:pPr>
            <w:r w:rsidRPr="005F055E">
              <w:rPr>
                <w:color w:val="000000"/>
                <w:szCs w:val="18"/>
              </w:rPr>
              <w:t>Verschil 2030-2025</w:t>
            </w:r>
          </w:p>
        </w:tc>
      </w:tr>
      <w:tr w:rsidRPr="005F055E" w:rsidR="00E24EC6" w:rsidTr="00AB78FE" w14:paraId="7D7E6D14" w14:textId="77777777">
        <w:trPr>
          <w:trHeight w:val="300"/>
        </w:trPr>
        <w:tc>
          <w:tcPr>
            <w:tcW w:w="1418" w:type="dxa"/>
            <w:tcBorders>
              <w:top w:val="nil"/>
              <w:left w:val="nil"/>
              <w:bottom w:val="nil"/>
              <w:right w:val="nil"/>
            </w:tcBorders>
            <w:shd w:val="clear" w:color="auto" w:fill="auto"/>
            <w:noWrap/>
            <w:tcMar>
              <w:top w:w="15" w:type="dxa"/>
              <w:left w:w="15" w:type="dxa"/>
              <w:bottom w:w="0" w:type="dxa"/>
              <w:right w:w="15" w:type="dxa"/>
            </w:tcMar>
            <w:vAlign w:val="center"/>
            <w:hideMark/>
          </w:tcPr>
          <w:p w:rsidRPr="005F055E" w:rsidR="00E24EC6" w:rsidP="00180EEB" w:rsidRDefault="00E24EC6" w14:paraId="3439063C" w14:textId="77777777">
            <w:pPr>
              <w:suppressAutoHyphens/>
              <w:rPr>
                <w:color w:val="000000"/>
                <w:szCs w:val="18"/>
              </w:rPr>
            </w:pPr>
            <w:r w:rsidRPr="005F055E">
              <w:rPr>
                <w:color w:val="000000"/>
                <w:szCs w:val="18"/>
              </w:rPr>
              <w:footnoteReference w:customMarkFollows="1" w:id="20"/>
              <w:t>Zorg</w:t>
            </w:r>
            <w:r w:rsidRPr="005F055E">
              <w:rPr>
                <w:rStyle w:val="Voetnootmarkering"/>
                <w:color w:val="000000"/>
                <w:szCs w:val="18"/>
              </w:rPr>
              <w:footnoteReference w:id="21"/>
            </w:r>
          </w:p>
        </w:tc>
        <w:tc>
          <w:tcPr>
            <w:tcW w:w="945" w:type="dxa"/>
            <w:tcBorders>
              <w:top w:val="nil"/>
              <w:left w:val="nil"/>
              <w:bottom w:val="nil"/>
              <w:right w:val="nil"/>
            </w:tcBorders>
            <w:shd w:val="clear" w:color="auto" w:fill="auto"/>
            <w:noWrap/>
            <w:tcMar>
              <w:top w:w="15" w:type="dxa"/>
              <w:left w:w="15" w:type="dxa"/>
              <w:bottom w:w="0" w:type="dxa"/>
              <w:right w:w="15" w:type="dxa"/>
            </w:tcMar>
            <w:vAlign w:val="center"/>
            <w:hideMark/>
          </w:tcPr>
          <w:p w:rsidRPr="005F055E" w:rsidR="00E24EC6" w:rsidP="00180EEB" w:rsidRDefault="00E24EC6" w14:paraId="0AB0FB99" w14:textId="77777777">
            <w:pPr>
              <w:suppressAutoHyphens/>
              <w:rPr>
                <w:color w:val="000000"/>
                <w:szCs w:val="18"/>
              </w:rPr>
            </w:pPr>
            <w:r w:rsidRPr="005F055E">
              <w:rPr>
                <w:color w:val="000000"/>
                <w:szCs w:val="18"/>
              </w:rPr>
              <w:t>112</w:t>
            </w:r>
          </w:p>
        </w:tc>
        <w:tc>
          <w:tcPr>
            <w:tcW w:w="945" w:type="dxa"/>
            <w:tcBorders>
              <w:top w:val="nil"/>
              <w:left w:val="nil"/>
              <w:bottom w:val="nil"/>
              <w:right w:val="nil"/>
            </w:tcBorders>
            <w:shd w:val="clear" w:color="auto" w:fill="auto"/>
            <w:noWrap/>
            <w:tcMar>
              <w:top w:w="15" w:type="dxa"/>
              <w:left w:w="15" w:type="dxa"/>
              <w:bottom w:w="0" w:type="dxa"/>
              <w:right w:w="15" w:type="dxa"/>
            </w:tcMar>
            <w:vAlign w:val="center"/>
            <w:hideMark/>
          </w:tcPr>
          <w:p w:rsidRPr="005F055E" w:rsidR="00E24EC6" w:rsidP="00180EEB" w:rsidRDefault="00E24EC6" w14:paraId="42B0E137" w14:textId="77777777">
            <w:pPr>
              <w:suppressAutoHyphens/>
              <w:rPr>
                <w:color w:val="000000"/>
                <w:szCs w:val="18"/>
              </w:rPr>
            </w:pPr>
            <w:r w:rsidRPr="005F055E">
              <w:rPr>
                <w:color w:val="000000"/>
                <w:szCs w:val="18"/>
              </w:rPr>
              <w:t>115</w:t>
            </w:r>
          </w:p>
        </w:tc>
        <w:tc>
          <w:tcPr>
            <w:tcW w:w="945" w:type="dxa"/>
            <w:tcBorders>
              <w:top w:val="nil"/>
              <w:left w:val="nil"/>
              <w:bottom w:val="nil"/>
              <w:right w:val="nil"/>
            </w:tcBorders>
            <w:shd w:val="clear" w:color="auto" w:fill="auto"/>
            <w:noWrap/>
            <w:tcMar>
              <w:top w:w="15" w:type="dxa"/>
              <w:left w:w="15" w:type="dxa"/>
              <w:bottom w:w="0" w:type="dxa"/>
              <w:right w:w="15" w:type="dxa"/>
            </w:tcMar>
            <w:vAlign w:val="center"/>
            <w:hideMark/>
          </w:tcPr>
          <w:p w:rsidRPr="005F055E" w:rsidR="00E24EC6" w:rsidP="00180EEB" w:rsidRDefault="00E24EC6" w14:paraId="16BCE382" w14:textId="77777777">
            <w:pPr>
              <w:suppressAutoHyphens/>
              <w:rPr>
                <w:color w:val="000000"/>
                <w:szCs w:val="18"/>
              </w:rPr>
            </w:pPr>
            <w:r w:rsidRPr="005F055E">
              <w:rPr>
                <w:color w:val="000000"/>
                <w:szCs w:val="18"/>
              </w:rPr>
              <w:t>121</w:t>
            </w:r>
          </w:p>
        </w:tc>
        <w:tc>
          <w:tcPr>
            <w:tcW w:w="945" w:type="dxa"/>
            <w:tcBorders>
              <w:top w:val="nil"/>
              <w:left w:val="nil"/>
              <w:bottom w:val="nil"/>
              <w:right w:val="nil"/>
            </w:tcBorders>
            <w:shd w:val="clear" w:color="auto" w:fill="auto"/>
            <w:noWrap/>
            <w:tcMar>
              <w:top w:w="15" w:type="dxa"/>
              <w:left w:w="15" w:type="dxa"/>
              <w:bottom w:w="0" w:type="dxa"/>
              <w:right w:w="15" w:type="dxa"/>
            </w:tcMar>
            <w:vAlign w:val="center"/>
            <w:hideMark/>
          </w:tcPr>
          <w:p w:rsidRPr="005F055E" w:rsidR="00E24EC6" w:rsidP="00180EEB" w:rsidRDefault="00E24EC6" w14:paraId="6770B49C" w14:textId="77777777">
            <w:pPr>
              <w:suppressAutoHyphens/>
              <w:rPr>
                <w:color w:val="000000"/>
                <w:szCs w:val="18"/>
              </w:rPr>
            </w:pPr>
            <w:r w:rsidRPr="005F055E">
              <w:rPr>
                <w:color w:val="000000"/>
                <w:szCs w:val="18"/>
              </w:rPr>
              <w:t>123</w:t>
            </w:r>
          </w:p>
        </w:tc>
        <w:tc>
          <w:tcPr>
            <w:tcW w:w="945" w:type="dxa"/>
            <w:tcBorders>
              <w:top w:val="nil"/>
              <w:left w:val="nil"/>
              <w:bottom w:val="nil"/>
              <w:right w:val="nil"/>
            </w:tcBorders>
            <w:shd w:val="clear" w:color="auto" w:fill="auto"/>
            <w:noWrap/>
            <w:tcMar>
              <w:top w:w="15" w:type="dxa"/>
              <w:left w:w="15" w:type="dxa"/>
              <w:bottom w:w="0" w:type="dxa"/>
              <w:right w:w="15" w:type="dxa"/>
            </w:tcMar>
            <w:vAlign w:val="center"/>
            <w:hideMark/>
          </w:tcPr>
          <w:p w:rsidRPr="005F055E" w:rsidR="00E24EC6" w:rsidP="00180EEB" w:rsidRDefault="00E24EC6" w14:paraId="69CDC253" w14:textId="77777777">
            <w:pPr>
              <w:suppressAutoHyphens/>
              <w:rPr>
                <w:color w:val="000000"/>
                <w:szCs w:val="18"/>
              </w:rPr>
            </w:pPr>
            <w:r w:rsidRPr="005F055E">
              <w:rPr>
                <w:color w:val="000000"/>
                <w:szCs w:val="18"/>
              </w:rPr>
              <w:t>124</w:t>
            </w:r>
          </w:p>
        </w:tc>
        <w:tc>
          <w:tcPr>
            <w:tcW w:w="945" w:type="dxa"/>
            <w:tcBorders>
              <w:top w:val="nil"/>
              <w:left w:val="nil"/>
              <w:bottom w:val="nil"/>
              <w:right w:val="nil"/>
            </w:tcBorders>
            <w:shd w:val="clear" w:color="auto" w:fill="auto"/>
            <w:noWrap/>
            <w:tcMar>
              <w:top w:w="15" w:type="dxa"/>
              <w:left w:w="15" w:type="dxa"/>
              <w:bottom w:w="0" w:type="dxa"/>
              <w:right w:w="15" w:type="dxa"/>
            </w:tcMar>
            <w:vAlign w:val="center"/>
            <w:hideMark/>
          </w:tcPr>
          <w:p w:rsidRPr="005F055E" w:rsidR="00E24EC6" w:rsidP="00180EEB" w:rsidRDefault="00E24EC6" w14:paraId="15A4DB72" w14:textId="77777777">
            <w:pPr>
              <w:suppressAutoHyphens/>
              <w:rPr>
                <w:color w:val="000000"/>
                <w:szCs w:val="18"/>
              </w:rPr>
            </w:pPr>
            <w:r w:rsidRPr="005F055E">
              <w:rPr>
                <w:color w:val="000000"/>
                <w:szCs w:val="18"/>
              </w:rPr>
              <w:t>126</w:t>
            </w:r>
          </w:p>
        </w:tc>
        <w:tc>
          <w:tcPr>
            <w:tcW w:w="1984" w:type="dxa"/>
            <w:tcBorders>
              <w:top w:val="nil"/>
              <w:left w:val="nil"/>
              <w:bottom w:val="nil"/>
              <w:right w:val="nil"/>
            </w:tcBorders>
            <w:shd w:val="clear" w:color="auto" w:fill="auto"/>
            <w:noWrap/>
            <w:tcMar>
              <w:top w:w="15" w:type="dxa"/>
              <w:left w:w="15" w:type="dxa"/>
              <w:bottom w:w="0" w:type="dxa"/>
              <w:right w:w="15" w:type="dxa"/>
            </w:tcMar>
            <w:vAlign w:val="bottom"/>
            <w:hideMark/>
          </w:tcPr>
          <w:p w:rsidRPr="005F055E" w:rsidR="00E24EC6" w:rsidP="00180EEB" w:rsidRDefault="00E24EC6" w14:paraId="70837077" w14:textId="77777777">
            <w:pPr>
              <w:suppressAutoHyphens/>
              <w:rPr>
                <w:color w:val="000000"/>
                <w:szCs w:val="18"/>
              </w:rPr>
            </w:pPr>
            <w:r w:rsidRPr="005F055E">
              <w:rPr>
                <w:color w:val="000000"/>
                <w:szCs w:val="18"/>
              </w:rPr>
              <w:t>+14</w:t>
            </w:r>
          </w:p>
        </w:tc>
      </w:tr>
    </w:tbl>
    <w:p w:rsidRPr="005F055E" w:rsidR="00E24EC6" w:rsidP="00180EEB" w:rsidRDefault="00E24EC6" w14:paraId="762B8F2D" w14:textId="77777777">
      <w:pPr>
        <w:suppressAutoHyphens/>
        <w:rPr>
          <w:szCs w:val="18"/>
        </w:rPr>
      </w:pPr>
    </w:p>
    <w:p w:rsidRPr="005F055E" w:rsidR="00E24EC6" w:rsidP="00180EEB" w:rsidRDefault="00E24EC6" w14:paraId="00209562" w14:textId="77777777">
      <w:pPr>
        <w:suppressAutoHyphens/>
        <w:rPr>
          <w:szCs w:val="18"/>
        </w:rPr>
      </w:pPr>
      <w:r w:rsidRPr="005F055E">
        <w:rPr>
          <w:szCs w:val="18"/>
        </w:rPr>
        <w:t>Hieronder is een overzicht van de bezuinigingen die hebben plaatsgevonden binnen VWS sinds het kabinet Rutte IV. Dit zijn alle ombuigingen uit de verticale toelichtingen (</w:t>
      </w:r>
      <w:proofErr w:type="spellStart"/>
      <w:r w:rsidRPr="005F055E">
        <w:rPr>
          <w:szCs w:val="18"/>
        </w:rPr>
        <w:t>VT’s</w:t>
      </w:r>
      <w:proofErr w:type="spellEnd"/>
      <w:r w:rsidRPr="005F055E">
        <w:rPr>
          <w:szCs w:val="18"/>
        </w:rPr>
        <w:t xml:space="preserve">) van de </w:t>
      </w:r>
      <w:proofErr w:type="spellStart"/>
      <w:r w:rsidRPr="005F055E">
        <w:rPr>
          <w:szCs w:val="18"/>
        </w:rPr>
        <w:t>premiegefinancierde</w:t>
      </w:r>
      <w:proofErr w:type="spellEnd"/>
      <w:r w:rsidRPr="005F055E">
        <w:rPr>
          <w:szCs w:val="18"/>
        </w:rPr>
        <w:t xml:space="preserve"> zorguitgaven van de Ontwerpbegrotingen vanaf 2021. In dit overzicht zijn de technische mutaties, ramingsbijstellingen en herverdelingen niet meegenomen. Verder betreft het hier alleen bezuinigingen binnen de VWS-begroting. De bezuinigingen op de jeugdzorg en de </w:t>
      </w:r>
      <w:proofErr w:type="spellStart"/>
      <w:r w:rsidRPr="005F055E">
        <w:rPr>
          <w:szCs w:val="18"/>
        </w:rPr>
        <w:t>Wmo</w:t>
      </w:r>
      <w:proofErr w:type="spellEnd"/>
      <w:r w:rsidRPr="005F055E">
        <w:rPr>
          <w:szCs w:val="18"/>
        </w:rPr>
        <w:t xml:space="preserve"> (wel onderdeel van het VWS-terrein, maar de middelen bevinden zich in het Gemeentefonds) zijn buiten beschouwing gelaten. De ombuigingen zijn opgenomen zoals ze bij de besluitvorming zijn ingeboekt. Een deel van deze ombuigingen is al gerealiseerd. De ombuigingen hangen ook deels samen met de verschillende akkoorden die in de zorg zijn afgesloten (zoals het IZA, HLO, AZWA), waarmee deze ombuigingen beleidsmatig zijn ingevuld. Zoals genoemd zijn in deze periode ook investeringen afgesproken. Deze zijn niet opgenomen in de tabel. </w:t>
      </w:r>
    </w:p>
    <w:tbl>
      <w:tblPr>
        <w:tblW w:w="9741" w:type="dxa"/>
        <w:tblCellMar>
          <w:left w:w="70" w:type="dxa"/>
          <w:right w:w="70" w:type="dxa"/>
        </w:tblCellMar>
        <w:tblLook w:val="04A0" w:firstRow="1" w:lastRow="0" w:firstColumn="1" w:lastColumn="0" w:noHBand="0" w:noVBand="1"/>
      </w:tblPr>
      <w:tblGrid>
        <w:gridCol w:w="4101"/>
        <w:gridCol w:w="940"/>
        <w:gridCol w:w="940"/>
        <w:gridCol w:w="940"/>
        <w:gridCol w:w="940"/>
        <w:gridCol w:w="940"/>
        <w:gridCol w:w="940"/>
      </w:tblGrid>
      <w:tr w:rsidRPr="005F055E" w:rsidR="00E24EC6" w:rsidTr="00AB78FE" w14:paraId="34BEBD14" w14:textId="77777777">
        <w:trPr>
          <w:trHeight w:val="290"/>
        </w:trPr>
        <w:tc>
          <w:tcPr>
            <w:tcW w:w="4101" w:type="dxa"/>
            <w:tcBorders>
              <w:top w:val="single" w:color="DAE9F8" w:sz="8" w:space="0"/>
              <w:left w:val="single" w:color="DAE9F8" w:sz="8" w:space="0"/>
              <w:bottom w:val="nil"/>
              <w:right w:val="nil"/>
            </w:tcBorders>
            <w:shd w:val="clear" w:color="000000" w:fill="002060"/>
            <w:noWrap/>
            <w:vAlign w:val="center"/>
            <w:hideMark/>
          </w:tcPr>
          <w:p w:rsidRPr="005F055E" w:rsidR="00E24EC6" w:rsidP="00180EEB" w:rsidRDefault="00E24EC6" w14:paraId="7D0F7098" w14:textId="77777777">
            <w:pPr>
              <w:suppressAutoHyphens/>
              <w:spacing w:after="0" w:line="240" w:lineRule="auto"/>
              <w:rPr>
                <w:rFonts w:eastAsia="Times New Roman" w:cs="Times New Roman"/>
                <w:b/>
                <w:bCs/>
                <w:color w:val="FFFFFF"/>
                <w:sz w:val="16"/>
                <w:szCs w:val="16"/>
                <w:lang w:eastAsia="nl-NL"/>
              </w:rPr>
            </w:pPr>
            <w:r w:rsidRPr="005F055E">
              <w:rPr>
                <w:rFonts w:eastAsia="Times New Roman" w:cs="Times New Roman"/>
                <w:b/>
                <w:bCs/>
                <w:color w:val="FFFFFF"/>
                <w:sz w:val="16"/>
                <w:szCs w:val="16"/>
                <w:lang w:eastAsia="nl-NL"/>
              </w:rPr>
              <w:t>Tabel met budgettaire opgaven VWS (bedragen in miljoenen)</w:t>
            </w:r>
          </w:p>
        </w:tc>
        <w:tc>
          <w:tcPr>
            <w:tcW w:w="940" w:type="dxa"/>
            <w:tcBorders>
              <w:top w:val="single" w:color="DAE9F8" w:sz="8" w:space="0"/>
              <w:left w:val="nil"/>
              <w:bottom w:val="nil"/>
              <w:right w:val="nil"/>
            </w:tcBorders>
            <w:shd w:val="clear" w:color="000000" w:fill="002060"/>
            <w:noWrap/>
            <w:vAlign w:val="center"/>
            <w:hideMark/>
          </w:tcPr>
          <w:p w:rsidRPr="005F055E" w:rsidR="00E24EC6" w:rsidP="00180EEB" w:rsidRDefault="00E24EC6" w14:paraId="545F6690" w14:textId="77777777">
            <w:pPr>
              <w:suppressAutoHyphens/>
              <w:spacing w:after="0" w:line="240" w:lineRule="auto"/>
              <w:rPr>
                <w:rFonts w:eastAsia="Times New Roman" w:cs="Times New Roman"/>
                <w:b/>
                <w:bCs/>
                <w:color w:val="FFFFFF"/>
                <w:sz w:val="16"/>
                <w:szCs w:val="16"/>
                <w:lang w:eastAsia="nl-NL"/>
              </w:rPr>
            </w:pPr>
            <w:r w:rsidRPr="005F055E">
              <w:rPr>
                <w:rFonts w:eastAsia="Times New Roman" w:cs="Times New Roman"/>
                <w:b/>
                <w:bCs/>
                <w:color w:val="FFFFFF"/>
                <w:sz w:val="16"/>
                <w:szCs w:val="16"/>
                <w:lang w:eastAsia="nl-NL"/>
              </w:rPr>
              <w:t> </w:t>
            </w:r>
          </w:p>
        </w:tc>
        <w:tc>
          <w:tcPr>
            <w:tcW w:w="940" w:type="dxa"/>
            <w:tcBorders>
              <w:top w:val="single" w:color="DAE9F8" w:sz="8" w:space="0"/>
              <w:left w:val="nil"/>
              <w:bottom w:val="nil"/>
              <w:right w:val="single" w:color="auto" w:sz="8" w:space="0"/>
            </w:tcBorders>
            <w:shd w:val="clear" w:color="000000" w:fill="002060"/>
            <w:noWrap/>
            <w:vAlign w:val="center"/>
            <w:hideMark/>
          </w:tcPr>
          <w:p w:rsidRPr="005F055E" w:rsidR="00E24EC6" w:rsidP="00180EEB" w:rsidRDefault="00E24EC6" w14:paraId="6AEE8763" w14:textId="77777777">
            <w:pPr>
              <w:suppressAutoHyphens/>
              <w:spacing w:after="0" w:line="240" w:lineRule="auto"/>
              <w:rPr>
                <w:rFonts w:eastAsia="Times New Roman" w:cs="Times New Roman"/>
                <w:b/>
                <w:bCs/>
                <w:color w:val="FFFFFF"/>
                <w:sz w:val="16"/>
                <w:szCs w:val="16"/>
                <w:lang w:eastAsia="nl-NL"/>
              </w:rPr>
            </w:pPr>
            <w:r w:rsidRPr="005F055E">
              <w:rPr>
                <w:rFonts w:eastAsia="Times New Roman" w:cs="Times New Roman"/>
                <w:b/>
                <w:bCs/>
                <w:color w:val="FFFFFF"/>
                <w:sz w:val="16"/>
                <w:szCs w:val="16"/>
                <w:lang w:eastAsia="nl-NL"/>
              </w:rPr>
              <w:t> </w:t>
            </w:r>
          </w:p>
        </w:tc>
        <w:tc>
          <w:tcPr>
            <w:tcW w:w="940" w:type="dxa"/>
            <w:tcBorders>
              <w:top w:val="single" w:color="DAE9F8" w:sz="8" w:space="0"/>
              <w:left w:val="nil"/>
              <w:bottom w:val="nil"/>
              <w:right w:val="nil"/>
            </w:tcBorders>
            <w:shd w:val="clear" w:color="000000" w:fill="002060"/>
            <w:noWrap/>
            <w:vAlign w:val="center"/>
            <w:hideMark/>
          </w:tcPr>
          <w:p w:rsidRPr="005F055E" w:rsidR="00E24EC6" w:rsidP="00180EEB" w:rsidRDefault="00E24EC6" w14:paraId="5BCCE271" w14:textId="77777777">
            <w:pPr>
              <w:suppressAutoHyphens/>
              <w:spacing w:after="0" w:line="240" w:lineRule="auto"/>
              <w:rPr>
                <w:rFonts w:eastAsia="Times New Roman" w:cs="Times New Roman"/>
                <w:b/>
                <w:bCs/>
                <w:color w:val="FFFFFF"/>
                <w:sz w:val="16"/>
                <w:szCs w:val="16"/>
                <w:lang w:eastAsia="nl-NL"/>
              </w:rPr>
            </w:pPr>
            <w:r w:rsidRPr="005F055E">
              <w:rPr>
                <w:rFonts w:eastAsia="Times New Roman" w:cs="Times New Roman"/>
                <w:b/>
                <w:bCs/>
                <w:color w:val="FFFFFF"/>
                <w:sz w:val="16"/>
                <w:szCs w:val="16"/>
                <w:lang w:eastAsia="nl-NL"/>
              </w:rPr>
              <w:t> </w:t>
            </w:r>
          </w:p>
        </w:tc>
        <w:tc>
          <w:tcPr>
            <w:tcW w:w="940" w:type="dxa"/>
            <w:tcBorders>
              <w:top w:val="single" w:color="DAE9F8" w:sz="8" w:space="0"/>
              <w:left w:val="nil"/>
              <w:bottom w:val="nil"/>
              <w:right w:val="nil"/>
            </w:tcBorders>
            <w:shd w:val="clear" w:color="000000" w:fill="002060"/>
            <w:noWrap/>
            <w:vAlign w:val="center"/>
            <w:hideMark/>
          </w:tcPr>
          <w:p w:rsidRPr="005F055E" w:rsidR="00E24EC6" w:rsidP="00180EEB" w:rsidRDefault="00E24EC6" w14:paraId="5E17DE18" w14:textId="77777777">
            <w:pPr>
              <w:suppressAutoHyphens/>
              <w:spacing w:after="0" w:line="240" w:lineRule="auto"/>
              <w:rPr>
                <w:rFonts w:eastAsia="Times New Roman" w:cs="Times New Roman"/>
                <w:b/>
                <w:bCs/>
                <w:color w:val="FFFFFF"/>
                <w:sz w:val="16"/>
                <w:szCs w:val="16"/>
                <w:lang w:eastAsia="nl-NL"/>
              </w:rPr>
            </w:pPr>
            <w:r w:rsidRPr="005F055E">
              <w:rPr>
                <w:rFonts w:eastAsia="Times New Roman" w:cs="Times New Roman"/>
                <w:b/>
                <w:bCs/>
                <w:color w:val="FFFFFF"/>
                <w:sz w:val="16"/>
                <w:szCs w:val="16"/>
                <w:lang w:eastAsia="nl-NL"/>
              </w:rPr>
              <w:t> </w:t>
            </w:r>
          </w:p>
        </w:tc>
        <w:tc>
          <w:tcPr>
            <w:tcW w:w="940" w:type="dxa"/>
            <w:tcBorders>
              <w:top w:val="single" w:color="DAE9F8" w:sz="8" w:space="0"/>
              <w:left w:val="nil"/>
              <w:bottom w:val="nil"/>
              <w:right w:val="nil"/>
            </w:tcBorders>
            <w:shd w:val="clear" w:color="000000" w:fill="002060"/>
            <w:noWrap/>
            <w:vAlign w:val="center"/>
            <w:hideMark/>
          </w:tcPr>
          <w:p w:rsidRPr="005F055E" w:rsidR="00E24EC6" w:rsidP="00180EEB" w:rsidRDefault="00E24EC6" w14:paraId="54B01EC7" w14:textId="77777777">
            <w:pPr>
              <w:suppressAutoHyphens/>
              <w:spacing w:after="0" w:line="240" w:lineRule="auto"/>
              <w:rPr>
                <w:rFonts w:eastAsia="Times New Roman" w:cs="Times New Roman"/>
                <w:b/>
                <w:bCs/>
                <w:color w:val="FFFFFF"/>
                <w:sz w:val="16"/>
                <w:szCs w:val="16"/>
                <w:lang w:eastAsia="nl-NL"/>
              </w:rPr>
            </w:pPr>
            <w:r w:rsidRPr="005F055E">
              <w:rPr>
                <w:rFonts w:eastAsia="Times New Roman" w:cs="Times New Roman"/>
                <w:b/>
                <w:bCs/>
                <w:color w:val="FFFFFF"/>
                <w:sz w:val="16"/>
                <w:szCs w:val="16"/>
                <w:lang w:eastAsia="nl-NL"/>
              </w:rPr>
              <w:t> </w:t>
            </w:r>
          </w:p>
        </w:tc>
        <w:tc>
          <w:tcPr>
            <w:tcW w:w="940" w:type="dxa"/>
            <w:tcBorders>
              <w:top w:val="single" w:color="DAE9F8" w:sz="8" w:space="0"/>
              <w:left w:val="nil"/>
              <w:bottom w:val="nil"/>
              <w:right w:val="single" w:color="DAE9F8" w:sz="8" w:space="0"/>
            </w:tcBorders>
            <w:shd w:val="clear" w:color="000000" w:fill="002060"/>
            <w:noWrap/>
            <w:vAlign w:val="center"/>
            <w:hideMark/>
          </w:tcPr>
          <w:p w:rsidRPr="005F055E" w:rsidR="00E24EC6" w:rsidP="00180EEB" w:rsidRDefault="00E24EC6" w14:paraId="03998CE4" w14:textId="77777777">
            <w:pPr>
              <w:suppressAutoHyphens/>
              <w:spacing w:after="0" w:line="240" w:lineRule="auto"/>
              <w:rPr>
                <w:rFonts w:eastAsia="Times New Roman" w:cs="Times New Roman"/>
                <w:b/>
                <w:bCs/>
                <w:color w:val="FFFFFF"/>
                <w:sz w:val="16"/>
                <w:szCs w:val="16"/>
                <w:lang w:eastAsia="nl-NL"/>
              </w:rPr>
            </w:pPr>
            <w:r w:rsidRPr="005F055E">
              <w:rPr>
                <w:rFonts w:eastAsia="Times New Roman" w:cs="Times New Roman"/>
                <w:b/>
                <w:bCs/>
                <w:color w:val="FFFFFF"/>
                <w:sz w:val="16"/>
                <w:szCs w:val="16"/>
                <w:lang w:eastAsia="nl-NL"/>
              </w:rPr>
              <w:t> </w:t>
            </w:r>
          </w:p>
        </w:tc>
      </w:tr>
      <w:tr w:rsidRPr="005F055E" w:rsidR="00E24EC6" w:rsidTr="00AB78FE" w14:paraId="43BAF600" w14:textId="77777777">
        <w:trPr>
          <w:trHeight w:val="290"/>
        </w:trPr>
        <w:tc>
          <w:tcPr>
            <w:tcW w:w="4101" w:type="dxa"/>
            <w:tcBorders>
              <w:top w:val="nil"/>
              <w:left w:val="single" w:color="DAE9F8" w:sz="8" w:space="0"/>
              <w:bottom w:val="nil"/>
              <w:right w:val="nil"/>
            </w:tcBorders>
            <w:shd w:val="clear" w:color="000000" w:fill="DAE9F8"/>
            <w:noWrap/>
            <w:vAlign w:val="center"/>
            <w:hideMark/>
          </w:tcPr>
          <w:p w:rsidRPr="005F055E" w:rsidR="00E24EC6" w:rsidP="00180EEB" w:rsidRDefault="00E24EC6" w14:paraId="14686F3A"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Omschrijving</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057FB813"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2025</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0FC566A1"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2026</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22FEEB08"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2027</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288B62C1"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2028</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06585F95"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2029</w:t>
            </w:r>
          </w:p>
        </w:tc>
        <w:tc>
          <w:tcPr>
            <w:tcW w:w="940" w:type="dxa"/>
            <w:tcBorders>
              <w:top w:val="nil"/>
              <w:left w:val="nil"/>
              <w:bottom w:val="nil"/>
              <w:right w:val="single" w:color="DAE9F8" w:sz="8" w:space="0"/>
            </w:tcBorders>
            <w:shd w:val="clear" w:color="000000" w:fill="DAE9F8"/>
            <w:noWrap/>
            <w:vAlign w:val="center"/>
            <w:hideMark/>
          </w:tcPr>
          <w:p w:rsidRPr="005F055E" w:rsidR="00E24EC6" w:rsidP="00180EEB" w:rsidRDefault="00E24EC6" w14:paraId="075785F6" w14:textId="77777777">
            <w:pPr>
              <w:suppressAutoHyphens/>
              <w:spacing w:after="0" w:line="240" w:lineRule="auto"/>
              <w:rPr>
                <w:rFonts w:eastAsia="Times New Roman" w:cs="Times New Roman"/>
                <w:b/>
                <w:bCs/>
                <w:color w:val="000000"/>
                <w:sz w:val="16"/>
                <w:szCs w:val="16"/>
                <w:lang w:eastAsia="nl-NL"/>
              </w:rPr>
            </w:pPr>
            <w:proofErr w:type="spellStart"/>
            <w:r w:rsidRPr="005F055E">
              <w:rPr>
                <w:rFonts w:eastAsia="Times New Roman" w:cs="Times New Roman"/>
                <w:b/>
                <w:bCs/>
                <w:color w:val="000000"/>
                <w:sz w:val="16"/>
                <w:szCs w:val="16"/>
                <w:lang w:eastAsia="nl-NL"/>
              </w:rPr>
              <w:t>Struc</w:t>
            </w:r>
            <w:proofErr w:type="spellEnd"/>
          </w:p>
        </w:tc>
      </w:tr>
      <w:tr w:rsidRPr="005F055E" w:rsidR="00E24EC6" w:rsidTr="00AB78FE" w14:paraId="79E97496" w14:textId="77777777">
        <w:trPr>
          <w:trHeight w:val="290"/>
        </w:trPr>
        <w:tc>
          <w:tcPr>
            <w:tcW w:w="4101" w:type="dxa"/>
            <w:tcBorders>
              <w:top w:val="nil"/>
              <w:left w:val="single" w:color="DAE9F8" w:sz="8" w:space="0"/>
              <w:bottom w:val="nil"/>
              <w:right w:val="nil"/>
            </w:tcBorders>
            <w:shd w:val="clear" w:color="000000" w:fill="DAE9F8"/>
            <w:noWrap/>
            <w:vAlign w:val="center"/>
            <w:hideMark/>
          </w:tcPr>
          <w:p w:rsidRPr="005F055E" w:rsidR="00E24EC6" w:rsidP="00180EEB" w:rsidRDefault="00E24EC6" w14:paraId="767C2A59"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VT OWB 2021</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14719C0F"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657CAB83"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7ACCA60A"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180ACB97"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7131205E"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single" w:color="DAE9F8" w:sz="8" w:space="0"/>
            </w:tcBorders>
            <w:shd w:val="clear" w:color="000000" w:fill="DAE9F8"/>
            <w:noWrap/>
            <w:vAlign w:val="center"/>
            <w:hideMark/>
          </w:tcPr>
          <w:p w:rsidRPr="005F055E" w:rsidR="00E24EC6" w:rsidP="00180EEB" w:rsidRDefault="00E24EC6" w14:paraId="04B39F0D"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r>
      <w:tr w:rsidRPr="005F055E" w:rsidR="00E24EC6" w:rsidTr="00AB78FE" w14:paraId="37A5E714" w14:textId="77777777">
        <w:trPr>
          <w:trHeight w:val="40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0C2A878C"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 xml:space="preserve">Standaardisatie inkoop- en verantwoordingseisen in een aantal </w:t>
            </w:r>
            <w:proofErr w:type="spellStart"/>
            <w:r w:rsidRPr="005F055E">
              <w:rPr>
                <w:rFonts w:eastAsia="Times New Roman" w:cs="Times New Roman"/>
                <w:color w:val="000000"/>
                <w:sz w:val="16"/>
                <w:szCs w:val="16"/>
                <w:lang w:eastAsia="nl-NL"/>
              </w:rPr>
              <w:t>Zvw</w:t>
            </w:r>
            <w:proofErr w:type="spellEnd"/>
            <w:r w:rsidRPr="005F055E">
              <w:rPr>
                <w:rFonts w:eastAsia="Times New Roman" w:cs="Times New Roman"/>
                <w:color w:val="000000"/>
                <w:sz w:val="16"/>
                <w:szCs w:val="16"/>
                <w:lang w:eastAsia="nl-NL"/>
              </w:rPr>
              <w:t>-sectoren</w:t>
            </w:r>
          </w:p>
        </w:tc>
        <w:tc>
          <w:tcPr>
            <w:tcW w:w="940" w:type="dxa"/>
            <w:tcBorders>
              <w:top w:val="nil"/>
              <w:left w:val="nil"/>
              <w:bottom w:val="nil"/>
              <w:right w:val="nil"/>
            </w:tcBorders>
            <w:shd w:val="clear" w:color="000000" w:fill="FFFFFF"/>
            <w:vAlign w:val="center"/>
            <w:hideMark/>
          </w:tcPr>
          <w:p w:rsidRPr="005F055E" w:rsidR="00E24EC6" w:rsidP="00180EEB" w:rsidRDefault="00E24EC6" w14:paraId="569EAC72"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-100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204A8029"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-100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65236A34"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-100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AAE2768"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-100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262A8472"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-100</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4827BDB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-100</w:t>
            </w:r>
          </w:p>
        </w:tc>
      </w:tr>
      <w:tr w:rsidRPr="005F055E" w:rsidR="00E24EC6" w:rsidTr="00AB78FE" w14:paraId="6150FC23" w14:textId="77777777">
        <w:trPr>
          <w:trHeight w:val="290"/>
        </w:trPr>
        <w:tc>
          <w:tcPr>
            <w:tcW w:w="4101" w:type="dxa"/>
            <w:tcBorders>
              <w:top w:val="nil"/>
              <w:left w:val="single" w:color="DAE9F8" w:sz="8" w:space="0"/>
              <w:bottom w:val="nil"/>
              <w:right w:val="nil"/>
            </w:tcBorders>
            <w:shd w:val="clear" w:color="000000" w:fill="DAE9F8"/>
            <w:noWrap/>
            <w:vAlign w:val="center"/>
            <w:hideMark/>
          </w:tcPr>
          <w:p w:rsidRPr="005F055E" w:rsidR="00E24EC6" w:rsidP="00180EEB" w:rsidRDefault="00E24EC6" w14:paraId="729EBCAF"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VT OWB 2023</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4EB97E48"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3D2E81F9"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3C3D03ED"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0BCC661B"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3B75C677"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single" w:color="DAE9F8" w:sz="8" w:space="0"/>
            </w:tcBorders>
            <w:shd w:val="clear" w:color="000000" w:fill="DAE9F8"/>
            <w:noWrap/>
            <w:vAlign w:val="center"/>
            <w:hideMark/>
          </w:tcPr>
          <w:p w:rsidRPr="005F055E" w:rsidR="00E24EC6" w:rsidP="00180EEB" w:rsidRDefault="00E24EC6" w14:paraId="304BA6F6"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r>
      <w:tr w:rsidRPr="005F055E" w:rsidR="00E24EC6" w:rsidTr="00AB78FE" w14:paraId="34E82538"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7AE5C392"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Valpreventie bij 65-plussers (</w:t>
            </w:r>
            <w:proofErr w:type="spellStart"/>
            <w:r w:rsidRPr="005F055E">
              <w:rPr>
                <w:rFonts w:eastAsia="Times New Roman" w:cs="Times New Roman"/>
                <w:color w:val="000000"/>
                <w:sz w:val="16"/>
                <w:szCs w:val="16"/>
                <w:lang w:eastAsia="nl-NL"/>
              </w:rPr>
              <w:t>Zvw</w:t>
            </w:r>
            <w:proofErr w:type="spellEnd"/>
            <w:r w:rsidRPr="005F055E">
              <w:rPr>
                <w:rFonts w:eastAsia="Times New Roman" w:cs="Times New Roman"/>
                <w:color w:val="000000"/>
                <w:sz w:val="16"/>
                <w:szCs w:val="16"/>
                <w:lang w:eastAsia="nl-NL"/>
              </w:rPr>
              <w:t>)</w:t>
            </w:r>
          </w:p>
        </w:tc>
        <w:tc>
          <w:tcPr>
            <w:tcW w:w="940" w:type="dxa"/>
            <w:tcBorders>
              <w:top w:val="nil"/>
              <w:left w:val="nil"/>
              <w:bottom w:val="nil"/>
              <w:right w:val="nil"/>
            </w:tcBorders>
            <w:shd w:val="clear" w:color="000000" w:fill="FFFFFF"/>
            <w:vAlign w:val="center"/>
            <w:hideMark/>
          </w:tcPr>
          <w:p w:rsidRPr="005F055E" w:rsidR="00E24EC6" w:rsidP="00180EEB" w:rsidRDefault="00E24EC6" w14:paraId="5B8CB7B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070D51A"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-38</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3AC1652"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-46</w:t>
            </w:r>
          </w:p>
        </w:tc>
        <w:tc>
          <w:tcPr>
            <w:tcW w:w="940" w:type="dxa"/>
            <w:tcBorders>
              <w:top w:val="nil"/>
              <w:left w:val="nil"/>
              <w:bottom w:val="nil"/>
              <w:right w:val="nil"/>
            </w:tcBorders>
            <w:shd w:val="clear" w:color="000000" w:fill="FFFFFF"/>
            <w:vAlign w:val="center"/>
            <w:hideMark/>
          </w:tcPr>
          <w:p w:rsidRPr="005F055E" w:rsidR="00E24EC6" w:rsidP="00180EEB" w:rsidRDefault="00E24EC6" w14:paraId="3BE11364"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-54</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4B1C7BB"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-61</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73483A0E"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-75</w:t>
            </w:r>
          </w:p>
        </w:tc>
      </w:tr>
      <w:tr w:rsidRPr="005F055E" w:rsidR="00E24EC6" w:rsidTr="00AB78FE" w14:paraId="7C09122F"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48E8B22E"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 xml:space="preserve">Passende zorg als norm (enkel bewezen effectieve zorg) in </w:t>
            </w:r>
            <w:proofErr w:type="spellStart"/>
            <w:r w:rsidRPr="005F055E">
              <w:rPr>
                <w:rFonts w:eastAsia="Times New Roman" w:cs="Times New Roman"/>
                <w:color w:val="000000"/>
                <w:sz w:val="16"/>
                <w:szCs w:val="16"/>
                <w:lang w:eastAsia="nl-NL"/>
              </w:rPr>
              <w:t>Zvw</w:t>
            </w:r>
            <w:proofErr w:type="spellEnd"/>
          </w:p>
        </w:tc>
        <w:tc>
          <w:tcPr>
            <w:tcW w:w="940" w:type="dxa"/>
            <w:tcBorders>
              <w:top w:val="nil"/>
              <w:left w:val="nil"/>
              <w:bottom w:val="nil"/>
              <w:right w:val="nil"/>
            </w:tcBorders>
            <w:shd w:val="clear" w:color="000000" w:fill="FFFFFF"/>
            <w:vAlign w:val="center"/>
            <w:hideMark/>
          </w:tcPr>
          <w:p w:rsidRPr="005F055E" w:rsidR="00E24EC6" w:rsidP="00180EEB" w:rsidRDefault="00E24EC6" w14:paraId="22086A93"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60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37ED576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273EE7A1"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-20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3348E3D4"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-77</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E591BC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-141</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0B8B5A04"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-1.140</w:t>
            </w:r>
          </w:p>
        </w:tc>
      </w:tr>
      <w:tr w:rsidRPr="005F055E" w:rsidR="00E24EC6" w:rsidTr="00AB78FE" w14:paraId="63647819"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030B80E6"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Integraal Zorgakkoord (IZA)</w:t>
            </w:r>
          </w:p>
        </w:tc>
        <w:tc>
          <w:tcPr>
            <w:tcW w:w="940" w:type="dxa"/>
            <w:tcBorders>
              <w:top w:val="nil"/>
              <w:left w:val="nil"/>
              <w:bottom w:val="nil"/>
              <w:right w:val="nil"/>
            </w:tcBorders>
            <w:shd w:val="clear" w:color="000000" w:fill="FFFFFF"/>
            <w:vAlign w:val="center"/>
            <w:hideMark/>
          </w:tcPr>
          <w:p w:rsidRPr="005F055E" w:rsidR="00E24EC6" w:rsidP="00180EEB" w:rsidRDefault="00E24EC6" w14:paraId="6B5CB9B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-1.171</w:t>
            </w:r>
          </w:p>
        </w:tc>
        <w:tc>
          <w:tcPr>
            <w:tcW w:w="940" w:type="dxa"/>
            <w:tcBorders>
              <w:top w:val="nil"/>
              <w:left w:val="nil"/>
              <w:bottom w:val="nil"/>
              <w:right w:val="nil"/>
            </w:tcBorders>
            <w:shd w:val="clear" w:color="000000" w:fill="FFFFFF"/>
            <w:vAlign w:val="center"/>
            <w:hideMark/>
          </w:tcPr>
          <w:p w:rsidRPr="005F055E" w:rsidR="00E24EC6" w:rsidP="00180EEB" w:rsidRDefault="00E24EC6" w14:paraId="5F4D8A3B"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-1.554</w:t>
            </w:r>
          </w:p>
        </w:tc>
        <w:tc>
          <w:tcPr>
            <w:tcW w:w="940" w:type="dxa"/>
            <w:tcBorders>
              <w:top w:val="nil"/>
              <w:left w:val="nil"/>
              <w:bottom w:val="nil"/>
              <w:right w:val="nil"/>
            </w:tcBorders>
            <w:shd w:val="clear" w:color="000000" w:fill="FFFFFF"/>
            <w:vAlign w:val="center"/>
            <w:hideMark/>
          </w:tcPr>
          <w:p w:rsidRPr="005F055E" w:rsidR="00E24EC6" w:rsidP="00180EEB" w:rsidRDefault="00E24EC6" w14:paraId="3CBCE7CE"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-1.554</w:t>
            </w:r>
          </w:p>
        </w:tc>
        <w:tc>
          <w:tcPr>
            <w:tcW w:w="940" w:type="dxa"/>
            <w:tcBorders>
              <w:top w:val="nil"/>
              <w:left w:val="nil"/>
              <w:bottom w:val="nil"/>
              <w:right w:val="nil"/>
            </w:tcBorders>
            <w:shd w:val="clear" w:color="000000" w:fill="FFFFFF"/>
            <w:vAlign w:val="center"/>
            <w:hideMark/>
          </w:tcPr>
          <w:p w:rsidRPr="005F055E" w:rsidR="00E24EC6" w:rsidP="00180EEB" w:rsidRDefault="00E24EC6" w14:paraId="361592AB"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-1.554</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4A872E0"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-1.554</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7D4BE386"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-1.554</w:t>
            </w:r>
          </w:p>
        </w:tc>
      </w:tr>
      <w:tr w:rsidRPr="005F055E" w:rsidR="00E24EC6" w:rsidTr="00AB78FE" w14:paraId="71221FDA"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206050FE"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Juiste zorg op de juiste plek</w:t>
            </w:r>
          </w:p>
        </w:tc>
        <w:tc>
          <w:tcPr>
            <w:tcW w:w="940" w:type="dxa"/>
            <w:tcBorders>
              <w:top w:val="nil"/>
              <w:left w:val="nil"/>
              <w:bottom w:val="nil"/>
              <w:right w:val="nil"/>
            </w:tcBorders>
            <w:shd w:val="clear" w:color="000000" w:fill="FFFFFF"/>
            <w:vAlign w:val="center"/>
            <w:hideMark/>
          </w:tcPr>
          <w:p w:rsidRPr="005F055E" w:rsidR="00E24EC6" w:rsidP="00180EEB" w:rsidRDefault="00E24EC6" w14:paraId="2A0FE80E"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-100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3F463B60"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-200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460A6FF"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-300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AF3454E"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-300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31B66B72"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-300</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3E44D16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-300</w:t>
            </w:r>
          </w:p>
        </w:tc>
      </w:tr>
      <w:tr w:rsidRPr="005F055E" w:rsidR="00E24EC6" w:rsidTr="00AB78FE" w14:paraId="53DCEE89"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452CDA51"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 xml:space="preserve">Stimuleren </w:t>
            </w:r>
            <w:proofErr w:type="spellStart"/>
            <w:r w:rsidRPr="005F055E">
              <w:rPr>
                <w:rFonts w:eastAsia="Times New Roman" w:cs="Times New Roman"/>
                <w:color w:val="000000"/>
                <w:sz w:val="16"/>
                <w:szCs w:val="16"/>
                <w:lang w:eastAsia="nl-NL"/>
              </w:rPr>
              <w:t>anderhalvelijnszorg</w:t>
            </w:r>
            <w:proofErr w:type="spellEnd"/>
          </w:p>
        </w:tc>
        <w:tc>
          <w:tcPr>
            <w:tcW w:w="940" w:type="dxa"/>
            <w:tcBorders>
              <w:top w:val="nil"/>
              <w:left w:val="nil"/>
              <w:bottom w:val="nil"/>
              <w:right w:val="nil"/>
            </w:tcBorders>
            <w:shd w:val="clear" w:color="000000" w:fill="FFFFFF"/>
            <w:vAlign w:val="center"/>
            <w:hideMark/>
          </w:tcPr>
          <w:p w:rsidRPr="005F055E" w:rsidR="00E24EC6" w:rsidP="00180EEB" w:rsidRDefault="00E24EC6" w14:paraId="64C03375"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3C830E22"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AC20725"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-70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5098D348"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-70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1EE5DE1"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-70</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009449B9"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-70</w:t>
            </w:r>
          </w:p>
        </w:tc>
      </w:tr>
      <w:tr w:rsidRPr="005F055E" w:rsidR="00E24EC6" w:rsidTr="00AB78FE" w14:paraId="68D7B72D"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5DB7DDAD"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Sturing op doelmatigheid via de tarieven</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1C02E54"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-140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4BE4FB6"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-147</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404FB6B"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-147</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E2E0CEB"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-147</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7B24D12"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-147</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2E4359C5"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-147</w:t>
            </w:r>
          </w:p>
        </w:tc>
      </w:tr>
      <w:tr w:rsidRPr="005F055E" w:rsidR="00E24EC6" w:rsidTr="00AB78FE" w14:paraId="2BB3C1D0"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369B26AB"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Doelmatige inkoop geneesmiddelen en medische technologie</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927487B"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-50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3149922"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-65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8439054"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-80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5304E4C5"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-90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DC935F3"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-100</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2B27AA0F"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-130</w:t>
            </w:r>
          </w:p>
        </w:tc>
      </w:tr>
      <w:tr w:rsidRPr="005F055E" w:rsidR="00E24EC6" w:rsidTr="00AB78FE" w14:paraId="0286EAB5"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2A1F238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Standaardisatie gegevensuitwisseling</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7A2B92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8A5CF1C"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5C0712A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-113</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6637453"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-227</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0725DF6"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-340</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3E8B569F"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-340</w:t>
            </w:r>
          </w:p>
        </w:tc>
      </w:tr>
      <w:tr w:rsidRPr="005F055E" w:rsidR="00E24EC6" w:rsidTr="00AB78FE" w14:paraId="6E4C2ADF"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0CE6D1A3"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 xml:space="preserve">Standaardisatie inkoop- en verantwoordingseisen </w:t>
            </w:r>
            <w:proofErr w:type="spellStart"/>
            <w:r w:rsidRPr="005F055E">
              <w:rPr>
                <w:rFonts w:eastAsia="Times New Roman" w:cs="Times New Roman"/>
                <w:color w:val="000000"/>
                <w:sz w:val="16"/>
                <w:szCs w:val="16"/>
                <w:lang w:eastAsia="nl-NL"/>
              </w:rPr>
              <w:t>Zvw</w:t>
            </w:r>
            <w:proofErr w:type="spellEnd"/>
          </w:p>
        </w:tc>
        <w:tc>
          <w:tcPr>
            <w:tcW w:w="940" w:type="dxa"/>
            <w:tcBorders>
              <w:top w:val="nil"/>
              <w:left w:val="nil"/>
              <w:bottom w:val="nil"/>
              <w:right w:val="nil"/>
            </w:tcBorders>
            <w:shd w:val="clear" w:color="000000" w:fill="FFFFFF"/>
            <w:vAlign w:val="center"/>
            <w:hideMark/>
          </w:tcPr>
          <w:p w:rsidRPr="005F055E" w:rsidR="00E24EC6" w:rsidP="00180EEB" w:rsidRDefault="00E24EC6" w14:paraId="0E051052"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34FC370"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5609905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7F34A5F"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5B790683"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-30</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4CFBADED"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-30</w:t>
            </w:r>
          </w:p>
        </w:tc>
      </w:tr>
      <w:tr w:rsidRPr="005F055E" w:rsidR="00E24EC6" w:rsidTr="00AB78FE" w14:paraId="2318B8DD"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7B159BAD"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Pakketmaatregel vitamine D</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70246FE"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-129</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D6A3D96"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-129</w:t>
            </w:r>
          </w:p>
        </w:tc>
        <w:tc>
          <w:tcPr>
            <w:tcW w:w="940" w:type="dxa"/>
            <w:tcBorders>
              <w:top w:val="nil"/>
              <w:left w:val="nil"/>
              <w:bottom w:val="nil"/>
              <w:right w:val="nil"/>
            </w:tcBorders>
            <w:shd w:val="clear" w:color="000000" w:fill="FFFFFF"/>
            <w:vAlign w:val="center"/>
            <w:hideMark/>
          </w:tcPr>
          <w:p w:rsidRPr="005F055E" w:rsidR="00E24EC6" w:rsidP="00180EEB" w:rsidRDefault="00E24EC6" w14:paraId="6FC98FFC"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-129</w:t>
            </w:r>
          </w:p>
        </w:tc>
        <w:tc>
          <w:tcPr>
            <w:tcW w:w="940" w:type="dxa"/>
            <w:tcBorders>
              <w:top w:val="nil"/>
              <w:left w:val="nil"/>
              <w:bottom w:val="nil"/>
              <w:right w:val="nil"/>
            </w:tcBorders>
            <w:shd w:val="clear" w:color="000000" w:fill="FFFFFF"/>
            <w:vAlign w:val="center"/>
            <w:hideMark/>
          </w:tcPr>
          <w:p w:rsidRPr="005F055E" w:rsidR="00E24EC6" w:rsidP="00180EEB" w:rsidRDefault="00E24EC6" w14:paraId="22A5B75A"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-129</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A77B476"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-129</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6D52F89E"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-129</w:t>
            </w:r>
          </w:p>
        </w:tc>
      </w:tr>
      <w:tr w:rsidRPr="005F055E" w:rsidR="00E24EC6" w:rsidTr="00AB78FE" w14:paraId="5D420D91"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0678CCAE"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Valpreventie bij 65-plussers (</w:t>
            </w:r>
            <w:proofErr w:type="spellStart"/>
            <w:r w:rsidRPr="005F055E">
              <w:rPr>
                <w:rFonts w:eastAsia="Times New Roman" w:cs="Times New Roman"/>
                <w:color w:val="000000"/>
                <w:sz w:val="16"/>
                <w:szCs w:val="16"/>
                <w:lang w:eastAsia="nl-NL"/>
              </w:rPr>
              <w:t>Wlz</w:t>
            </w:r>
            <w:proofErr w:type="spellEnd"/>
            <w:r w:rsidRPr="005F055E">
              <w:rPr>
                <w:rFonts w:eastAsia="Times New Roman" w:cs="Times New Roman"/>
                <w:color w:val="000000"/>
                <w:sz w:val="16"/>
                <w:szCs w:val="16"/>
                <w:lang w:eastAsia="nl-NL"/>
              </w:rPr>
              <w:t>)</w:t>
            </w:r>
          </w:p>
        </w:tc>
        <w:tc>
          <w:tcPr>
            <w:tcW w:w="940" w:type="dxa"/>
            <w:tcBorders>
              <w:top w:val="nil"/>
              <w:left w:val="nil"/>
              <w:bottom w:val="nil"/>
              <w:right w:val="nil"/>
            </w:tcBorders>
            <w:shd w:val="clear" w:color="000000" w:fill="FFFFFF"/>
            <w:vAlign w:val="center"/>
            <w:hideMark/>
          </w:tcPr>
          <w:p w:rsidRPr="005F055E" w:rsidR="00E24EC6" w:rsidP="00180EEB" w:rsidRDefault="00E24EC6" w14:paraId="6350F33E"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33908F08"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-38</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BCBE2E6"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-40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67CC65D9"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-43</w:t>
            </w:r>
          </w:p>
        </w:tc>
        <w:tc>
          <w:tcPr>
            <w:tcW w:w="940" w:type="dxa"/>
            <w:tcBorders>
              <w:top w:val="nil"/>
              <w:left w:val="nil"/>
              <w:bottom w:val="nil"/>
              <w:right w:val="nil"/>
            </w:tcBorders>
            <w:shd w:val="clear" w:color="000000" w:fill="FFFFFF"/>
            <w:vAlign w:val="center"/>
            <w:hideMark/>
          </w:tcPr>
          <w:p w:rsidRPr="005F055E" w:rsidR="00E24EC6" w:rsidP="00180EEB" w:rsidRDefault="00E24EC6" w14:paraId="276C1CEF"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-45</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799ED443"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-50</w:t>
            </w:r>
          </w:p>
        </w:tc>
      </w:tr>
      <w:tr w:rsidRPr="005F055E" w:rsidR="00E24EC6" w:rsidTr="00AB78FE" w14:paraId="0D95E052"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4A0F5E00"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Meerjarige contracten ouderenzorg</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A95F62C"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-135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611DD75"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-70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2669CBCA"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-70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3BBC8A5"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-70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60D27A1"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-70</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11B5FC1F"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-70</w:t>
            </w:r>
          </w:p>
        </w:tc>
      </w:tr>
      <w:tr w:rsidRPr="005F055E" w:rsidR="00E24EC6" w:rsidTr="00AB78FE" w14:paraId="3D9B2137"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49CB5FF6" w14:textId="5EA86A16">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 xml:space="preserve">Meerjarige contracten </w:t>
            </w:r>
            <w:proofErr w:type="spellStart"/>
            <w:r w:rsidRPr="005F055E">
              <w:rPr>
                <w:rFonts w:eastAsia="Times New Roman" w:cs="Times New Roman"/>
                <w:color w:val="000000"/>
                <w:sz w:val="16"/>
                <w:szCs w:val="16"/>
                <w:lang w:eastAsia="nl-NL"/>
              </w:rPr>
              <w:t>ghz</w:t>
            </w:r>
            <w:proofErr w:type="spellEnd"/>
            <w:r w:rsidRPr="005F055E">
              <w:rPr>
                <w:rFonts w:eastAsia="Times New Roman" w:cs="Times New Roman"/>
                <w:color w:val="000000"/>
                <w:sz w:val="16"/>
                <w:szCs w:val="16"/>
                <w:lang w:eastAsia="nl-NL"/>
              </w:rPr>
              <w:t xml:space="preserve"> en </w:t>
            </w:r>
            <w:r w:rsidR="00D55762">
              <w:rPr>
                <w:rFonts w:eastAsia="Times New Roman" w:cs="Times New Roman"/>
                <w:color w:val="000000"/>
                <w:sz w:val="16"/>
                <w:szCs w:val="16"/>
                <w:lang w:eastAsia="nl-NL"/>
              </w:rPr>
              <w:t>GGZ</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A2D46B9"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-110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55FEDF54"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-65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2DCA753B"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-65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B00187F"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-65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5DB8A59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-65</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0FB56973"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-65</w:t>
            </w:r>
          </w:p>
        </w:tc>
      </w:tr>
      <w:tr w:rsidRPr="005F055E" w:rsidR="00E24EC6" w:rsidTr="00AB78FE" w14:paraId="660F6411"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03561CEA"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Doorontwikkeling Kwaliteitskader verpleeghuiszorg</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99FFFFF"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-200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2A2C9BF3"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-350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C67899B"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-350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B16A7FE"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-350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2F37AD51"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-350</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0600C19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-350</w:t>
            </w:r>
          </w:p>
        </w:tc>
      </w:tr>
      <w:tr w:rsidRPr="005F055E" w:rsidR="00E24EC6" w:rsidTr="00AB78FE" w14:paraId="3D23DD1A"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777ED270"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 xml:space="preserve">Bevorderen doelmatigheid behandeling en geneesmiddelen </w:t>
            </w:r>
            <w:proofErr w:type="spellStart"/>
            <w:r w:rsidRPr="005F055E">
              <w:rPr>
                <w:rFonts w:eastAsia="Times New Roman" w:cs="Times New Roman"/>
                <w:color w:val="000000"/>
                <w:sz w:val="16"/>
                <w:szCs w:val="16"/>
                <w:lang w:eastAsia="nl-NL"/>
              </w:rPr>
              <w:t>Wlz</w:t>
            </w:r>
            <w:proofErr w:type="spellEnd"/>
          </w:p>
        </w:tc>
        <w:tc>
          <w:tcPr>
            <w:tcW w:w="940" w:type="dxa"/>
            <w:tcBorders>
              <w:top w:val="nil"/>
              <w:left w:val="nil"/>
              <w:bottom w:val="nil"/>
              <w:right w:val="nil"/>
            </w:tcBorders>
            <w:shd w:val="clear" w:color="000000" w:fill="FFFFFF"/>
            <w:vAlign w:val="center"/>
            <w:hideMark/>
          </w:tcPr>
          <w:p w:rsidRPr="005F055E" w:rsidR="00E24EC6" w:rsidP="00180EEB" w:rsidRDefault="00E24EC6" w14:paraId="575C12F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-170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2506660"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-170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61741FC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-170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3EF40A42"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-170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333A6536"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-170</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62499D49"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-170</w:t>
            </w:r>
          </w:p>
        </w:tc>
      </w:tr>
      <w:tr w:rsidRPr="005F055E" w:rsidR="00E24EC6" w:rsidTr="00AB78FE" w14:paraId="1A110301"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23E5F149"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Integraal Zorgakkoord (IZA)</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76631E5"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3694F6C2"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BCB3EC8"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F342B04"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5F63004F"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-15</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740FB7F4"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-15</w:t>
            </w:r>
          </w:p>
        </w:tc>
      </w:tr>
      <w:tr w:rsidRPr="005F055E" w:rsidR="00E24EC6" w:rsidTr="00AB78FE" w14:paraId="11AFD875"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19ACFE7B"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Scheiden wonen en zorg</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CAB623E"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-130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5E4A8C8"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-173</w:t>
            </w:r>
          </w:p>
        </w:tc>
        <w:tc>
          <w:tcPr>
            <w:tcW w:w="940" w:type="dxa"/>
            <w:tcBorders>
              <w:top w:val="nil"/>
              <w:left w:val="nil"/>
              <w:bottom w:val="nil"/>
              <w:right w:val="nil"/>
            </w:tcBorders>
            <w:shd w:val="clear" w:color="000000" w:fill="FFFFFF"/>
            <w:vAlign w:val="center"/>
            <w:hideMark/>
          </w:tcPr>
          <w:p w:rsidRPr="005F055E" w:rsidR="00E24EC6" w:rsidP="00180EEB" w:rsidRDefault="00E24EC6" w14:paraId="602BECB4"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-217</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0248C89"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-257</w:t>
            </w:r>
          </w:p>
        </w:tc>
        <w:tc>
          <w:tcPr>
            <w:tcW w:w="940" w:type="dxa"/>
            <w:tcBorders>
              <w:top w:val="nil"/>
              <w:left w:val="nil"/>
              <w:bottom w:val="nil"/>
              <w:right w:val="nil"/>
            </w:tcBorders>
            <w:shd w:val="clear" w:color="000000" w:fill="FFFFFF"/>
            <w:vAlign w:val="center"/>
            <w:hideMark/>
          </w:tcPr>
          <w:p w:rsidRPr="005F055E" w:rsidR="00E24EC6" w:rsidP="00180EEB" w:rsidRDefault="00E24EC6" w14:paraId="653020C2"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-257</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0265AD23"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-1.200</w:t>
            </w:r>
          </w:p>
        </w:tc>
      </w:tr>
      <w:tr w:rsidRPr="005F055E" w:rsidR="00E24EC6" w:rsidTr="00AB78FE" w14:paraId="663137DF" w14:textId="77777777">
        <w:trPr>
          <w:trHeight w:val="290"/>
        </w:trPr>
        <w:tc>
          <w:tcPr>
            <w:tcW w:w="4101" w:type="dxa"/>
            <w:tcBorders>
              <w:top w:val="nil"/>
              <w:left w:val="single" w:color="DAE9F8" w:sz="8" w:space="0"/>
              <w:bottom w:val="nil"/>
              <w:right w:val="nil"/>
            </w:tcBorders>
            <w:shd w:val="clear" w:color="000000" w:fill="DAE9F8"/>
            <w:noWrap/>
            <w:vAlign w:val="center"/>
            <w:hideMark/>
          </w:tcPr>
          <w:p w:rsidRPr="005F055E" w:rsidR="00E24EC6" w:rsidP="00180EEB" w:rsidRDefault="00E24EC6" w14:paraId="220FB196"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VT OWB 2024</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4F1C90FF"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15F367BF"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35DFCD73"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65D97E0E"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63C5D1A6"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single" w:color="DAE9F8" w:sz="8" w:space="0"/>
            </w:tcBorders>
            <w:shd w:val="clear" w:color="000000" w:fill="DAE9F8"/>
            <w:noWrap/>
            <w:vAlign w:val="center"/>
            <w:hideMark/>
          </w:tcPr>
          <w:p w:rsidRPr="005F055E" w:rsidR="00E24EC6" w:rsidP="00180EEB" w:rsidRDefault="00E24EC6" w14:paraId="3708C318"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r>
      <w:tr w:rsidRPr="005F055E" w:rsidR="00E24EC6" w:rsidTr="00AB78FE" w14:paraId="372DD712"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09396325"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Maatregelen buiten IZA</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99D42F4"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-65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211E738B"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-145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28435A5D"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-145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3AEE6479"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-145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669142C2"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-145</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6DBAED48"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-145</w:t>
            </w:r>
          </w:p>
        </w:tc>
      </w:tr>
      <w:tr w:rsidRPr="005F055E" w:rsidR="00E24EC6" w:rsidTr="00AB78FE" w14:paraId="49115D2D"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74A0A760"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Alternatieve vormgeving CA-maatregel eigen risico</w:t>
            </w:r>
          </w:p>
        </w:tc>
        <w:tc>
          <w:tcPr>
            <w:tcW w:w="940" w:type="dxa"/>
            <w:tcBorders>
              <w:top w:val="nil"/>
              <w:left w:val="nil"/>
              <w:bottom w:val="nil"/>
              <w:right w:val="nil"/>
            </w:tcBorders>
            <w:shd w:val="clear" w:color="000000" w:fill="FFFFFF"/>
            <w:vAlign w:val="center"/>
            <w:hideMark/>
          </w:tcPr>
          <w:p w:rsidRPr="005F055E" w:rsidR="00E24EC6" w:rsidP="00180EEB" w:rsidRDefault="00E24EC6" w14:paraId="524205E9"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-52</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9E9952F"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-52</w:t>
            </w:r>
          </w:p>
        </w:tc>
        <w:tc>
          <w:tcPr>
            <w:tcW w:w="940" w:type="dxa"/>
            <w:tcBorders>
              <w:top w:val="nil"/>
              <w:left w:val="nil"/>
              <w:bottom w:val="nil"/>
              <w:right w:val="nil"/>
            </w:tcBorders>
            <w:shd w:val="clear" w:color="000000" w:fill="FFFFFF"/>
            <w:vAlign w:val="center"/>
            <w:hideMark/>
          </w:tcPr>
          <w:p w:rsidRPr="005F055E" w:rsidR="00E24EC6" w:rsidP="00180EEB" w:rsidRDefault="00E24EC6" w14:paraId="210D083D"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-52</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C01CFAD"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-52</w:t>
            </w:r>
          </w:p>
        </w:tc>
        <w:tc>
          <w:tcPr>
            <w:tcW w:w="940" w:type="dxa"/>
            <w:tcBorders>
              <w:top w:val="nil"/>
              <w:left w:val="nil"/>
              <w:bottom w:val="nil"/>
              <w:right w:val="nil"/>
            </w:tcBorders>
            <w:shd w:val="clear" w:color="000000" w:fill="FFFFFF"/>
            <w:vAlign w:val="center"/>
            <w:hideMark/>
          </w:tcPr>
          <w:p w:rsidRPr="005F055E" w:rsidR="00E24EC6" w:rsidP="00180EEB" w:rsidRDefault="00E24EC6" w14:paraId="3C88C636"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-52</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6628DF74"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-52</w:t>
            </w:r>
          </w:p>
        </w:tc>
      </w:tr>
      <w:tr w:rsidRPr="005F055E" w:rsidR="00E24EC6" w:rsidTr="00AB78FE" w14:paraId="1A28C02D"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3A3060BD"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Maatwerk pgb</w:t>
            </w:r>
          </w:p>
        </w:tc>
        <w:tc>
          <w:tcPr>
            <w:tcW w:w="940" w:type="dxa"/>
            <w:tcBorders>
              <w:top w:val="nil"/>
              <w:left w:val="nil"/>
              <w:bottom w:val="nil"/>
              <w:right w:val="nil"/>
            </w:tcBorders>
            <w:shd w:val="clear" w:color="000000" w:fill="FFFFFF"/>
            <w:vAlign w:val="center"/>
            <w:hideMark/>
          </w:tcPr>
          <w:p w:rsidRPr="005F055E" w:rsidR="00E24EC6" w:rsidP="00180EEB" w:rsidRDefault="00E24EC6" w14:paraId="6CFC00E2"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ABAD038"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-60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BD2C066"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-110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2F2BCA8B"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-110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3E0606E5"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-110</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08435536"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-110</w:t>
            </w:r>
          </w:p>
        </w:tc>
      </w:tr>
      <w:tr w:rsidRPr="005F055E" w:rsidR="00E24EC6" w:rsidTr="00AB78FE" w14:paraId="706BD155" w14:textId="77777777">
        <w:trPr>
          <w:trHeight w:val="290"/>
        </w:trPr>
        <w:tc>
          <w:tcPr>
            <w:tcW w:w="4101" w:type="dxa"/>
            <w:tcBorders>
              <w:top w:val="nil"/>
              <w:left w:val="single" w:color="DAE9F8" w:sz="8" w:space="0"/>
              <w:bottom w:val="nil"/>
              <w:right w:val="nil"/>
            </w:tcBorders>
            <w:shd w:val="clear" w:color="000000" w:fill="DAE9F8"/>
            <w:noWrap/>
            <w:vAlign w:val="center"/>
            <w:hideMark/>
          </w:tcPr>
          <w:p w:rsidRPr="005F055E" w:rsidR="00E24EC6" w:rsidP="00180EEB" w:rsidRDefault="00E24EC6" w14:paraId="286143BC"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VT OWB 2025</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36703E6B"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0B174E6A"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1827ED2F"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4EC2F226"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27D07FFC"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single" w:color="DAE9F8" w:sz="8" w:space="0"/>
            </w:tcBorders>
            <w:shd w:val="clear" w:color="000000" w:fill="DAE9F8"/>
            <w:noWrap/>
            <w:vAlign w:val="center"/>
            <w:hideMark/>
          </w:tcPr>
          <w:p w:rsidRPr="005F055E" w:rsidR="00E24EC6" w:rsidP="00180EEB" w:rsidRDefault="00E24EC6" w14:paraId="04CABAC5"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r>
      <w:tr w:rsidRPr="005F055E" w:rsidR="00E24EC6" w:rsidTr="00AB78FE" w14:paraId="3E04E8A7"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734AABCD"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Aanpassing Wet Geneesmiddelenprijzen</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2ADD67B"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-166</w:t>
            </w:r>
          </w:p>
        </w:tc>
        <w:tc>
          <w:tcPr>
            <w:tcW w:w="940" w:type="dxa"/>
            <w:tcBorders>
              <w:top w:val="nil"/>
              <w:left w:val="nil"/>
              <w:bottom w:val="nil"/>
              <w:right w:val="nil"/>
            </w:tcBorders>
            <w:shd w:val="clear" w:color="000000" w:fill="FFFFFF"/>
            <w:vAlign w:val="center"/>
            <w:hideMark/>
          </w:tcPr>
          <w:p w:rsidRPr="005F055E" w:rsidR="00E24EC6" w:rsidP="00180EEB" w:rsidRDefault="00E24EC6" w14:paraId="3209DBAA"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-166</w:t>
            </w:r>
          </w:p>
        </w:tc>
        <w:tc>
          <w:tcPr>
            <w:tcW w:w="940" w:type="dxa"/>
            <w:tcBorders>
              <w:top w:val="nil"/>
              <w:left w:val="nil"/>
              <w:bottom w:val="nil"/>
              <w:right w:val="nil"/>
            </w:tcBorders>
            <w:shd w:val="clear" w:color="000000" w:fill="FFFFFF"/>
            <w:vAlign w:val="center"/>
            <w:hideMark/>
          </w:tcPr>
          <w:p w:rsidRPr="005F055E" w:rsidR="00E24EC6" w:rsidP="00180EEB" w:rsidRDefault="00E24EC6" w14:paraId="3F3CDE54"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-166</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D2A00A1"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-166</w:t>
            </w:r>
          </w:p>
        </w:tc>
        <w:tc>
          <w:tcPr>
            <w:tcW w:w="940" w:type="dxa"/>
            <w:tcBorders>
              <w:top w:val="nil"/>
              <w:left w:val="nil"/>
              <w:bottom w:val="nil"/>
              <w:right w:val="nil"/>
            </w:tcBorders>
            <w:shd w:val="clear" w:color="000000" w:fill="FFFFFF"/>
            <w:vAlign w:val="center"/>
            <w:hideMark/>
          </w:tcPr>
          <w:p w:rsidRPr="005F055E" w:rsidR="00E24EC6" w:rsidP="00180EEB" w:rsidRDefault="00E24EC6" w14:paraId="6F66D83B"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-166</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57825508"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-166</w:t>
            </w:r>
          </w:p>
        </w:tc>
      </w:tr>
      <w:tr w:rsidRPr="005F055E" w:rsidR="00E24EC6" w:rsidTr="00AB78FE" w14:paraId="590A2163"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5D5E12DA" w14:textId="77777777">
            <w:pPr>
              <w:suppressAutoHyphens/>
              <w:spacing w:after="0" w:line="240" w:lineRule="auto"/>
              <w:rPr>
                <w:rFonts w:eastAsia="Times New Roman" w:cs="Times New Roman"/>
                <w:color w:val="000000"/>
                <w:sz w:val="16"/>
                <w:szCs w:val="16"/>
                <w:lang w:eastAsia="nl-NL"/>
              </w:rPr>
            </w:pPr>
            <w:proofErr w:type="spellStart"/>
            <w:r w:rsidRPr="005F055E">
              <w:rPr>
                <w:rFonts w:eastAsia="Times New Roman" w:cs="Times New Roman"/>
                <w:color w:val="000000"/>
                <w:sz w:val="16"/>
                <w:szCs w:val="16"/>
                <w:lang w:eastAsia="nl-NL"/>
              </w:rPr>
              <w:t>Pakketuitname</w:t>
            </w:r>
            <w:proofErr w:type="spellEnd"/>
            <w:r w:rsidRPr="005F055E">
              <w:rPr>
                <w:rFonts w:eastAsia="Times New Roman" w:cs="Times New Roman"/>
                <w:color w:val="000000"/>
                <w:sz w:val="16"/>
                <w:szCs w:val="16"/>
                <w:lang w:eastAsia="nl-NL"/>
              </w:rPr>
              <w:t xml:space="preserve"> codeïne</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D061A45"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-13</w:t>
            </w:r>
          </w:p>
        </w:tc>
        <w:tc>
          <w:tcPr>
            <w:tcW w:w="940" w:type="dxa"/>
            <w:tcBorders>
              <w:top w:val="nil"/>
              <w:left w:val="nil"/>
              <w:bottom w:val="nil"/>
              <w:right w:val="nil"/>
            </w:tcBorders>
            <w:shd w:val="clear" w:color="000000" w:fill="FFFFFF"/>
            <w:vAlign w:val="center"/>
            <w:hideMark/>
          </w:tcPr>
          <w:p w:rsidRPr="005F055E" w:rsidR="00E24EC6" w:rsidP="00180EEB" w:rsidRDefault="00E24EC6" w14:paraId="6E2ACA8A"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-13</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AA90B89"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-13</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22C8D44"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-13</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234455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-13</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6A54FA10"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-13</w:t>
            </w:r>
          </w:p>
        </w:tc>
      </w:tr>
      <w:tr w:rsidRPr="005F055E" w:rsidR="00E24EC6" w:rsidTr="00AB78FE" w14:paraId="7B34F4CA"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74AFAA2E"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Besparing RS vaccin</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220910A"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-16</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668D686"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-16</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EFA7465"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-16</w:t>
            </w:r>
          </w:p>
        </w:tc>
        <w:tc>
          <w:tcPr>
            <w:tcW w:w="940" w:type="dxa"/>
            <w:tcBorders>
              <w:top w:val="nil"/>
              <w:left w:val="nil"/>
              <w:bottom w:val="nil"/>
              <w:right w:val="nil"/>
            </w:tcBorders>
            <w:shd w:val="clear" w:color="000000" w:fill="FFFFFF"/>
            <w:vAlign w:val="center"/>
            <w:hideMark/>
          </w:tcPr>
          <w:p w:rsidRPr="005F055E" w:rsidR="00E24EC6" w:rsidP="00180EEB" w:rsidRDefault="00E24EC6" w14:paraId="69503CDA"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-16</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63B6245"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-16</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6F35BA32"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-16</w:t>
            </w:r>
          </w:p>
        </w:tc>
      </w:tr>
      <w:tr w:rsidRPr="005F055E" w:rsidR="00E24EC6" w:rsidTr="00AB78FE" w14:paraId="03817706"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399FE77D"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HLA: Voortbouwen HLA curatieve zorg</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68074DC"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90FFC94"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5599FBF"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-250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5A521E0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-590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B56E2DD"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-590</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6F49F679"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-590</w:t>
            </w:r>
          </w:p>
        </w:tc>
      </w:tr>
      <w:tr w:rsidRPr="005F055E" w:rsidR="00E24EC6" w:rsidTr="00AB78FE" w14:paraId="2142C035"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18BFC66C"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 xml:space="preserve">HLA: Onafhankelijke indicatiestelling </w:t>
            </w:r>
            <w:proofErr w:type="spellStart"/>
            <w:r w:rsidRPr="005F055E">
              <w:rPr>
                <w:rFonts w:eastAsia="Times New Roman" w:cs="Times New Roman"/>
                <w:color w:val="000000"/>
                <w:sz w:val="16"/>
                <w:szCs w:val="16"/>
                <w:lang w:eastAsia="nl-NL"/>
              </w:rPr>
              <w:t>ongecontracteerde</w:t>
            </w:r>
            <w:proofErr w:type="spellEnd"/>
            <w:r w:rsidRPr="005F055E">
              <w:rPr>
                <w:rFonts w:eastAsia="Times New Roman" w:cs="Times New Roman"/>
                <w:color w:val="000000"/>
                <w:sz w:val="16"/>
                <w:szCs w:val="16"/>
                <w:lang w:eastAsia="nl-NL"/>
              </w:rPr>
              <w:t xml:space="preserve"> wijkverpleging</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02BDB4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D87F58D"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63E41C5B"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-85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120ABE5"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-85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D6F4C0E"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-85</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51C58316"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-85</w:t>
            </w:r>
          </w:p>
        </w:tc>
      </w:tr>
      <w:tr w:rsidRPr="005F055E" w:rsidR="00E24EC6" w:rsidTr="00AB78FE" w14:paraId="61B8A348"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18D4633C"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HLA: Versnelling opschaling digitale zorg wijkverpleging</w:t>
            </w:r>
          </w:p>
        </w:tc>
        <w:tc>
          <w:tcPr>
            <w:tcW w:w="940" w:type="dxa"/>
            <w:tcBorders>
              <w:top w:val="nil"/>
              <w:left w:val="nil"/>
              <w:bottom w:val="nil"/>
              <w:right w:val="nil"/>
            </w:tcBorders>
            <w:shd w:val="clear" w:color="000000" w:fill="FFFFFF"/>
            <w:vAlign w:val="center"/>
            <w:hideMark/>
          </w:tcPr>
          <w:p w:rsidRPr="005F055E" w:rsidR="00E24EC6" w:rsidP="00180EEB" w:rsidRDefault="00E24EC6" w14:paraId="26EFAE32"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53FA6CE2"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9300732"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5290F4FC"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-85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E135000"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-142</w:t>
            </w:r>
            <w:r w:rsidRPr="005F055E">
              <w:rPr>
                <w:rFonts w:eastAsia="Times New Roman" w:cs="Calibri"/>
                <w:color w:val="000000"/>
                <w:sz w:val="16"/>
                <w:szCs w:val="16"/>
                <w:lang w:eastAsia="nl-NL"/>
              </w:rPr>
              <w:t> </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65F0CB6B"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-210</w:t>
            </w:r>
          </w:p>
        </w:tc>
      </w:tr>
      <w:tr w:rsidRPr="005F055E" w:rsidR="00E24EC6" w:rsidTr="00AB78FE" w14:paraId="6D84A161"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035CF214"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HLA: Verwerking taakstelling publieke gezondheid</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FBF927A"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363286A"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-9</w:t>
            </w:r>
          </w:p>
        </w:tc>
        <w:tc>
          <w:tcPr>
            <w:tcW w:w="940" w:type="dxa"/>
            <w:tcBorders>
              <w:top w:val="nil"/>
              <w:left w:val="nil"/>
              <w:bottom w:val="nil"/>
              <w:right w:val="nil"/>
            </w:tcBorders>
            <w:shd w:val="clear" w:color="000000" w:fill="FFFFFF"/>
            <w:vAlign w:val="center"/>
            <w:hideMark/>
          </w:tcPr>
          <w:p w:rsidRPr="005F055E" w:rsidR="00E24EC6" w:rsidP="00180EEB" w:rsidRDefault="00E24EC6" w14:paraId="5E123908"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-18</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C22CF8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-25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5E807643"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-38</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0145CAE0"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-38</w:t>
            </w:r>
          </w:p>
        </w:tc>
      </w:tr>
      <w:tr w:rsidRPr="005F055E" w:rsidR="00E24EC6" w:rsidTr="00AB78FE" w14:paraId="3CDB3CE0" w14:textId="77777777">
        <w:trPr>
          <w:trHeight w:val="40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142FF450"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HLA: Versnellen opschaling digitale zorg in verpleeg- en gehandicaptenzorg</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EBC59A3"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6AC77B02"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1C6EFCB"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-45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7EA0029"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-110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714EE53"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-183</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7907D74A"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-270</w:t>
            </w:r>
          </w:p>
        </w:tc>
      </w:tr>
      <w:tr w:rsidRPr="005F055E" w:rsidR="00E24EC6" w:rsidTr="00AB78FE" w14:paraId="391EC412"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41BB351E"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Domein overstijgend samenwerken</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5F18E46"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-27</w:t>
            </w:r>
          </w:p>
        </w:tc>
        <w:tc>
          <w:tcPr>
            <w:tcW w:w="940" w:type="dxa"/>
            <w:tcBorders>
              <w:top w:val="nil"/>
              <w:left w:val="nil"/>
              <w:bottom w:val="nil"/>
              <w:right w:val="nil"/>
            </w:tcBorders>
            <w:shd w:val="clear" w:color="000000" w:fill="FFFFFF"/>
            <w:vAlign w:val="center"/>
            <w:hideMark/>
          </w:tcPr>
          <w:p w:rsidRPr="005F055E" w:rsidR="00E24EC6" w:rsidP="00180EEB" w:rsidRDefault="00E24EC6" w14:paraId="5EEBED1E"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BF48200"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E2BF546"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76D258B"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4146184B"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r>
      <w:tr w:rsidRPr="005F055E" w:rsidR="00E24EC6" w:rsidTr="00AB78FE" w14:paraId="154022CC" w14:textId="77777777">
        <w:trPr>
          <w:trHeight w:val="290"/>
        </w:trPr>
        <w:tc>
          <w:tcPr>
            <w:tcW w:w="4101" w:type="dxa"/>
            <w:tcBorders>
              <w:top w:val="nil"/>
              <w:left w:val="single" w:color="DAE9F8" w:sz="8" w:space="0"/>
              <w:bottom w:val="nil"/>
              <w:right w:val="nil"/>
            </w:tcBorders>
            <w:shd w:val="clear" w:color="000000" w:fill="DAE9F8"/>
            <w:noWrap/>
            <w:vAlign w:val="center"/>
            <w:hideMark/>
          </w:tcPr>
          <w:p w:rsidRPr="005F055E" w:rsidR="00E24EC6" w:rsidP="00180EEB" w:rsidRDefault="00E24EC6" w14:paraId="6C54C3AC"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VT OWB 2026</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0AE39539"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57E0695F"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57374E28"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7FBE3CE7"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nil"/>
            </w:tcBorders>
            <w:shd w:val="clear" w:color="000000" w:fill="DAE9F8"/>
            <w:noWrap/>
            <w:vAlign w:val="center"/>
            <w:hideMark/>
          </w:tcPr>
          <w:p w:rsidRPr="005F055E" w:rsidR="00E24EC6" w:rsidP="00180EEB" w:rsidRDefault="00E24EC6" w14:paraId="40336B18"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c>
          <w:tcPr>
            <w:tcW w:w="940" w:type="dxa"/>
            <w:tcBorders>
              <w:top w:val="nil"/>
              <w:left w:val="nil"/>
              <w:bottom w:val="nil"/>
              <w:right w:val="single" w:color="DAE9F8" w:sz="8" w:space="0"/>
            </w:tcBorders>
            <w:shd w:val="clear" w:color="000000" w:fill="DAE9F8"/>
            <w:noWrap/>
            <w:vAlign w:val="center"/>
            <w:hideMark/>
          </w:tcPr>
          <w:p w:rsidRPr="005F055E" w:rsidR="00E24EC6" w:rsidP="00180EEB" w:rsidRDefault="00E24EC6" w14:paraId="0FA05741" w14:textId="77777777">
            <w:pPr>
              <w:suppressAutoHyphens/>
              <w:spacing w:after="0" w:line="240" w:lineRule="auto"/>
              <w:rPr>
                <w:rFonts w:eastAsia="Times New Roman" w:cs="Times New Roman"/>
                <w:b/>
                <w:bCs/>
                <w:color w:val="000000"/>
                <w:sz w:val="16"/>
                <w:szCs w:val="16"/>
                <w:lang w:eastAsia="nl-NL"/>
              </w:rPr>
            </w:pPr>
            <w:r w:rsidRPr="005F055E">
              <w:rPr>
                <w:rFonts w:eastAsia="Times New Roman" w:cs="Times New Roman"/>
                <w:b/>
                <w:bCs/>
                <w:color w:val="000000"/>
                <w:sz w:val="16"/>
                <w:szCs w:val="16"/>
                <w:lang w:eastAsia="nl-NL"/>
              </w:rPr>
              <w:t> </w:t>
            </w:r>
          </w:p>
        </w:tc>
      </w:tr>
      <w:tr w:rsidRPr="005F055E" w:rsidR="00E24EC6" w:rsidTr="00AB78FE" w14:paraId="2878C3A2"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588398D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Dekking amendement t.b.v. OCW-begroting</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B8B5ACE"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3C275D7D"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4D3A5748"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-315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52333AF3"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-315</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269554C"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-315</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6DF9EFFE"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-315</w:t>
            </w:r>
          </w:p>
        </w:tc>
      </w:tr>
      <w:tr w:rsidRPr="005F055E" w:rsidR="00E24EC6" w:rsidTr="00AB78FE" w14:paraId="4F9707F6"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3BF5E81B"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Meer tijd voor de huisartsen</w:t>
            </w:r>
          </w:p>
        </w:tc>
        <w:tc>
          <w:tcPr>
            <w:tcW w:w="940" w:type="dxa"/>
            <w:tcBorders>
              <w:top w:val="nil"/>
              <w:left w:val="nil"/>
              <w:bottom w:val="nil"/>
              <w:right w:val="nil"/>
            </w:tcBorders>
            <w:shd w:val="clear" w:color="000000" w:fill="FFFFFF"/>
            <w:vAlign w:val="center"/>
            <w:hideMark/>
          </w:tcPr>
          <w:p w:rsidRPr="005F055E" w:rsidR="00E24EC6" w:rsidP="00180EEB" w:rsidRDefault="00E24EC6" w14:paraId="63D62DDF"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2AAAAA9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05F2FE1"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-20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EBCC074"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A2FE366"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-43</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1A33C847"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-41</w:t>
            </w:r>
          </w:p>
        </w:tc>
      </w:tr>
      <w:tr w:rsidRPr="005F055E" w:rsidR="00E24EC6" w:rsidTr="00AB78FE" w14:paraId="4FDEEA46" w14:textId="77777777">
        <w:trPr>
          <w:trHeight w:val="290"/>
        </w:trPr>
        <w:tc>
          <w:tcPr>
            <w:tcW w:w="4101" w:type="dxa"/>
            <w:tcBorders>
              <w:top w:val="nil"/>
              <w:left w:val="single" w:color="DAE9F8" w:sz="8" w:space="0"/>
              <w:bottom w:val="nil"/>
              <w:right w:val="nil"/>
            </w:tcBorders>
            <w:shd w:val="clear" w:color="000000" w:fill="FFFFFF"/>
            <w:vAlign w:val="center"/>
            <w:hideMark/>
          </w:tcPr>
          <w:p w:rsidRPr="005F055E" w:rsidR="00E24EC6" w:rsidP="00180EEB" w:rsidRDefault="00E24EC6" w14:paraId="70193CBC"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Pakketmaatregel geneesmiddelen</w:t>
            </w:r>
          </w:p>
        </w:tc>
        <w:tc>
          <w:tcPr>
            <w:tcW w:w="940" w:type="dxa"/>
            <w:tcBorders>
              <w:top w:val="nil"/>
              <w:left w:val="nil"/>
              <w:bottom w:val="nil"/>
              <w:right w:val="nil"/>
            </w:tcBorders>
            <w:shd w:val="clear" w:color="000000" w:fill="FFFFFF"/>
            <w:vAlign w:val="center"/>
            <w:hideMark/>
          </w:tcPr>
          <w:p w:rsidRPr="005F055E" w:rsidR="00E24EC6" w:rsidP="00180EEB" w:rsidRDefault="00E24EC6" w14:paraId="133BE65F"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7C01778A"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5F53EFB4"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-70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321FAEEC"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-70</w:t>
            </w:r>
          </w:p>
        </w:tc>
        <w:tc>
          <w:tcPr>
            <w:tcW w:w="940" w:type="dxa"/>
            <w:tcBorders>
              <w:top w:val="nil"/>
              <w:left w:val="nil"/>
              <w:bottom w:val="nil"/>
              <w:right w:val="nil"/>
            </w:tcBorders>
            <w:shd w:val="clear" w:color="000000" w:fill="FFFFFF"/>
            <w:vAlign w:val="center"/>
            <w:hideMark/>
          </w:tcPr>
          <w:p w:rsidRPr="005F055E" w:rsidR="00E24EC6" w:rsidP="00180EEB" w:rsidRDefault="00E24EC6" w14:paraId="0486681C"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-70</w:t>
            </w:r>
          </w:p>
        </w:tc>
        <w:tc>
          <w:tcPr>
            <w:tcW w:w="940" w:type="dxa"/>
            <w:tcBorders>
              <w:top w:val="nil"/>
              <w:left w:val="nil"/>
              <w:bottom w:val="nil"/>
              <w:right w:val="single" w:color="DAE9F8" w:sz="8" w:space="0"/>
            </w:tcBorders>
            <w:shd w:val="clear" w:color="000000" w:fill="FFFFFF"/>
            <w:vAlign w:val="center"/>
            <w:hideMark/>
          </w:tcPr>
          <w:p w:rsidRPr="005F055E" w:rsidR="00E24EC6" w:rsidP="00180EEB" w:rsidRDefault="00E24EC6" w14:paraId="33549B84"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-70</w:t>
            </w:r>
          </w:p>
        </w:tc>
      </w:tr>
      <w:tr w:rsidRPr="005F055E" w:rsidR="00E24EC6" w:rsidTr="00AB78FE" w14:paraId="486C63AE" w14:textId="77777777">
        <w:trPr>
          <w:trHeight w:val="300"/>
        </w:trPr>
        <w:tc>
          <w:tcPr>
            <w:tcW w:w="4101" w:type="dxa"/>
            <w:tcBorders>
              <w:top w:val="nil"/>
              <w:left w:val="single" w:color="DAE9F8" w:sz="8" w:space="0"/>
              <w:bottom w:val="single" w:color="DAE9F8" w:sz="8" w:space="0"/>
              <w:right w:val="nil"/>
            </w:tcBorders>
            <w:shd w:val="clear" w:color="000000" w:fill="FFFFFF"/>
            <w:vAlign w:val="center"/>
            <w:hideMark/>
          </w:tcPr>
          <w:p w:rsidRPr="005F055E" w:rsidR="00E24EC6" w:rsidP="00180EEB" w:rsidRDefault="00E24EC6" w14:paraId="35CE58AC" w14:textId="77777777">
            <w:pPr>
              <w:suppressAutoHyphens/>
              <w:spacing w:after="0" w:line="240" w:lineRule="auto"/>
              <w:rPr>
                <w:rFonts w:eastAsia="Times New Roman" w:cs="Times New Roman"/>
                <w:color w:val="000000"/>
                <w:sz w:val="16"/>
                <w:szCs w:val="16"/>
                <w:lang w:eastAsia="nl-NL"/>
              </w:rPr>
            </w:pPr>
            <w:proofErr w:type="spellStart"/>
            <w:r w:rsidRPr="005F055E">
              <w:rPr>
                <w:rFonts w:eastAsia="Times New Roman" w:cs="Times New Roman"/>
                <w:color w:val="000000"/>
                <w:sz w:val="16"/>
                <w:szCs w:val="16"/>
                <w:lang w:eastAsia="nl-NL"/>
              </w:rPr>
              <w:t>Wlz</w:t>
            </w:r>
            <w:proofErr w:type="spellEnd"/>
            <w:r w:rsidRPr="005F055E">
              <w:rPr>
                <w:rFonts w:eastAsia="Times New Roman" w:cs="Times New Roman"/>
                <w:color w:val="000000"/>
                <w:sz w:val="16"/>
                <w:szCs w:val="16"/>
                <w:lang w:eastAsia="nl-NL"/>
              </w:rPr>
              <w:t>-zorg zonder verblijf</w:t>
            </w:r>
          </w:p>
        </w:tc>
        <w:tc>
          <w:tcPr>
            <w:tcW w:w="940" w:type="dxa"/>
            <w:tcBorders>
              <w:top w:val="nil"/>
              <w:left w:val="nil"/>
              <w:bottom w:val="single" w:color="DAE9F8" w:sz="8" w:space="0"/>
              <w:right w:val="nil"/>
            </w:tcBorders>
            <w:shd w:val="clear" w:color="000000" w:fill="FFFFFF"/>
            <w:vAlign w:val="center"/>
            <w:hideMark/>
          </w:tcPr>
          <w:p w:rsidRPr="005F055E" w:rsidR="00E24EC6" w:rsidP="00180EEB" w:rsidRDefault="00E24EC6" w14:paraId="482C7EC6"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single" w:color="DAE9F8" w:sz="8" w:space="0"/>
              <w:right w:val="nil"/>
            </w:tcBorders>
            <w:shd w:val="clear" w:color="000000" w:fill="FFFFFF"/>
            <w:vAlign w:val="center"/>
            <w:hideMark/>
          </w:tcPr>
          <w:p w:rsidRPr="005F055E" w:rsidR="00E24EC6" w:rsidP="00180EEB" w:rsidRDefault="00E24EC6" w14:paraId="6E0845EC"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0</w:t>
            </w:r>
          </w:p>
        </w:tc>
        <w:tc>
          <w:tcPr>
            <w:tcW w:w="940" w:type="dxa"/>
            <w:tcBorders>
              <w:top w:val="nil"/>
              <w:left w:val="nil"/>
              <w:bottom w:val="single" w:color="DAE9F8" w:sz="8" w:space="0"/>
              <w:right w:val="nil"/>
            </w:tcBorders>
            <w:shd w:val="clear" w:color="000000" w:fill="FFFFFF"/>
            <w:vAlign w:val="center"/>
            <w:hideMark/>
          </w:tcPr>
          <w:p w:rsidRPr="005F055E" w:rsidR="00E24EC6" w:rsidP="00180EEB" w:rsidRDefault="00E24EC6" w14:paraId="4E6F6053"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-129</w:t>
            </w:r>
          </w:p>
        </w:tc>
        <w:tc>
          <w:tcPr>
            <w:tcW w:w="940" w:type="dxa"/>
            <w:tcBorders>
              <w:top w:val="nil"/>
              <w:left w:val="nil"/>
              <w:bottom w:val="single" w:color="DAE9F8" w:sz="8" w:space="0"/>
              <w:right w:val="nil"/>
            </w:tcBorders>
            <w:shd w:val="clear" w:color="000000" w:fill="FFFFFF"/>
            <w:vAlign w:val="center"/>
            <w:hideMark/>
          </w:tcPr>
          <w:p w:rsidRPr="005F055E" w:rsidR="00E24EC6" w:rsidP="00180EEB" w:rsidRDefault="00E24EC6" w14:paraId="21CF3814"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-216</w:t>
            </w:r>
          </w:p>
        </w:tc>
        <w:tc>
          <w:tcPr>
            <w:tcW w:w="940" w:type="dxa"/>
            <w:tcBorders>
              <w:top w:val="nil"/>
              <w:left w:val="nil"/>
              <w:bottom w:val="single" w:color="DAE9F8" w:sz="8" w:space="0"/>
              <w:right w:val="nil"/>
            </w:tcBorders>
            <w:shd w:val="clear" w:color="000000" w:fill="FFFFFF"/>
            <w:vAlign w:val="center"/>
            <w:hideMark/>
          </w:tcPr>
          <w:p w:rsidRPr="005F055E" w:rsidR="00E24EC6" w:rsidP="00180EEB" w:rsidRDefault="00E24EC6" w14:paraId="25A72EA2"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-334</w:t>
            </w:r>
          </w:p>
        </w:tc>
        <w:tc>
          <w:tcPr>
            <w:tcW w:w="940" w:type="dxa"/>
            <w:tcBorders>
              <w:top w:val="nil"/>
              <w:left w:val="nil"/>
              <w:bottom w:val="single" w:color="DAE9F8" w:sz="8" w:space="0"/>
              <w:right w:val="single" w:color="DAE9F8" w:sz="8" w:space="0"/>
            </w:tcBorders>
            <w:shd w:val="clear" w:color="000000" w:fill="FFFFFF"/>
            <w:vAlign w:val="center"/>
            <w:hideMark/>
          </w:tcPr>
          <w:p w:rsidRPr="005F055E" w:rsidR="00E24EC6" w:rsidP="00180EEB" w:rsidRDefault="00E24EC6" w14:paraId="19B4CEC0" w14:textId="77777777">
            <w:pPr>
              <w:suppressAutoHyphens/>
              <w:spacing w:after="0" w:line="240" w:lineRule="auto"/>
              <w:rPr>
                <w:rFonts w:eastAsia="Times New Roman" w:cs="Times New Roman"/>
                <w:color w:val="000000"/>
                <w:sz w:val="16"/>
                <w:szCs w:val="16"/>
                <w:lang w:eastAsia="nl-NL"/>
              </w:rPr>
            </w:pPr>
            <w:r w:rsidRPr="005F055E">
              <w:rPr>
                <w:rFonts w:eastAsia="Times New Roman" w:cs="Times New Roman"/>
                <w:color w:val="000000"/>
                <w:sz w:val="16"/>
                <w:szCs w:val="16"/>
                <w:lang w:eastAsia="nl-NL"/>
              </w:rPr>
              <w:t>-388</w:t>
            </w:r>
          </w:p>
        </w:tc>
      </w:tr>
    </w:tbl>
    <w:p w:rsidRPr="005F055E" w:rsidR="000478A7" w:rsidP="00180EEB" w:rsidRDefault="000478A7" w14:paraId="5F10325E" w14:textId="77777777">
      <w:pPr>
        <w:suppressAutoHyphens/>
      </w:pPr>
    </w:p>
    <w:p w:rsidRPr="005F055E" w:rsidR="000478A7" w:rsidP="00180EEB" w:rsidRDefault="000478A7" w14:paraId="5F411517" w14:textId="77777777">
      <w:pPr>
        <w:suppressAutoHyphens/>
      </w:pPr>
    </w:p>
    <w:p w:rsidRPr="005F055E" w:rsidR="000478A7" w:rsidP="00180EEB" w:rsidRDefault="003E7003" w14:paraId="602F82D0" w14:textId="77777777">
      <w:pPr>
        <w:suppressAutoHyphens/>
      </w:pPr>
      <w:r w:rsidRPr="005F055E">
        <w:t>Vraag 74</w:t>
      </w:r>
      <w:r w:rsidRPr="005F055E">
        <w:tab/>
      </w:r>
    </w:p>
    <w:p w:rsidRPr="005F055E" w:rsidR="000478A7" w:rsidP="00180EEB" w:rsidRDefault="003E7003" w14:paraId="1B750931" w14:textId="77777777">
      <w:pPr>
        <w:suppressAutoHyphens/>
      </w:pPr>
      <w:r w:rsidRPr="005F055E">
        <w:t>Kunt u een totaaloverzicht geven van alle bezuinigingen en besparingen op het terrein van VWS die momenteel zijn ingepland, maar nog niet zijn doorgevoerd?</w:t>
      </w:r>
    </w:p>
    <w:p w:rsidRPr="005F055E" w:rsidR="003E7003" w:rsidP="00180EEB" w:rsidRDefault="003E7003" w14:paraId="39AEDBA2" w14:textId="73EE6900">
      <w:pPr>
        <w:suppressAutoHyphens/>
      </w:pPr>
      <w:r w:rsidRPr="005F055E">
        <w:t>Antwoord</w:t>
      </w:r>
    </w:p>
    <w:p w:rsidRPr="005F055E" w:rsidR="000478A7" w:rsidP="00180EEB" w:rsidRDefault="007B58FB" w14:paraId="07E6096F" w14:textId="07176B35">
      <w:pPr>
        <w:suppressAutoHyphens/>
      </w:pPr>
      <w:r w:rsidRPr="005F055E">
        <w:rPr>
          <w:szCs w:val="18"/>
        </w:rPr>
        <w:t xml:space="preserve">Omdat het tijd kost om besparingen in de zorg te realiseren, kennen </w:t>
      </w:r>
      <w:r w:rsidRPr="005F055E" w:rsidR="00E24EC6">
        <w:rPr>
          <w:szCs w:val="18"/>
        </w:rPr>
        <w:t xml:space="preserve">ombuigingen op VWS-terrein veelal een meerjarige oploop in de begroting en/of een startpunt in latere jaren. De huidige stand van zaken van alle bezuinigingen en besparingen is terug te vinden in het antwoord op vraag 79 en vraag 80. </w:t>
      </w:r>
    </w:p>
    <w:p w:rsidR="00056279" w:rsidP="00180EEB" w:rsidRDefault="00056279" w14:paraId="13A7F238" w14:textId="77777777">
      <w:pPr>
        <w:suppressAutoHyphens/>
      </w:pPr>
    </w:p>
    <w:p w:rsidRPr="005F055E" w:rsidR="000478A7" w:rsidP="00180EEB" w:rsidRDefault="003E7003" w14:paraId="10F54227" w14:textId="1A9650D6">
      <w:pPr>
        <w:suppressAutoHyphens/>
      </w:pPr>
      <w:r w:rsidRPr="005F055E">
        <w:t>Vraag 75</w:t>
      </w:r>
      <w:r w:rsidRPr="005F055E">
        <w:tab/>
      </w:r>
    </w:p>
    <w:p w:rsidRPr="005F055E" w:rsidR="000478A7" w:rsidP="00180EEB" w:rsidRDefault="003E7003" w14:paraId="5416625C" w14:textId="79C8443A">
      <w:pPr>
        <w:suppressAutoHyphens/>
      </w:pPr>
      <w:r w:rsidRPr="005F055E">
        <w:t>Kunt u een totaaloverzicht geven van alle bezuinigingen en besparingen die sinds 2021 op het terrein van VWS zijn ingepland, maar die vervolgens zijn geschrapt, verzacht en/of zijn uitgesteld?</w:t>
      </w:r>
    </w:p>
    <w:p w:rsidRPr="005F055E" w:rsidR="003E7003" w:rsidP="00180EEB" w:rsidRDefault="003E7003" w14:paraId="042CACFF" w14:textId="2BF794DB">
      <w:pPr>
        <w:suppressAutoHyphens/>
      </w:pPr>
      <w:r w:rsidRPr="005F055E">
        <w:t>Antwoord</w:t>
      </w:r>
    </w:p>
    <w:p w:rsidRPr="005F055E" w:rsidR="00E24EC6" w:rsidP="00180EEB" w:rsidRDefault="00E24EC6" w14:paraId="3340EF2A" w14:textId="77777777">
      <w:pPr>
        <w:suppressAutoHyphens/>
        <w:rPr>
          <w:szCs w:val="18"/>
        </w:rPr>
      </w:pPr>
      <w:r w:rsidRPr="005F055E">
        <w:rPr>
          <w:szCs w:val="18"/>
        </w:rPr>
        <w:t>Het realiseren van de bezuinigingen in de zorg kan onder meer vertraging oplopen door het controversieel verklaren door de Kamer. Ook is het voorgekomen dat de demissionaire status van een kabinet heeft geleid tot een vertraging in de doorvoering van bezuinigingen.</w:t>
      </w:r>
    </w:p>
    <w:p w:rsidRPr="005F055E" w:rsidR="00E24EC6" w:rsidP="00180EEB" w:rsidRDefault="00E24EC6" w14:paraId="5D23F912" w14:textId="77777777">
      <w:pPr>
        <w:suppressAutoHyphens/>
        <w:rPr>
          <w:szCs w:val="18"/>
        </w:rPr>
      </w:pPr>
      <w:r w:rsidRPr="005F055E">
        <w:rPr>
          <w:szCs w:val="18"/>
        </w:rPr>
        <w:t>Geschrapt:</w:t>
      </w:r>
    </w:p>
    <w:p w:rsidRPr="005F055E" w:rsidR="00E24EC6" w:rsidP="00180EEB" w:rsidRDefault="00E24EC6" w14:paraId="48170713" w14:textId="77777777">
      <w:pPr>
        <w:pStyle w:val="Lijstalinea"/>
        <w:numPr>
          <w:ilvl w:val="0"/>
          <w:numId w:val="12"/>
        </w:numPr>
        <w:suppressAutoHyphens/>
        <w:rPr>
          <w:szCs w:val="18"/>
        </w:rPr>
      </w:pPr>
      <w:r w:rsidRPr="005F055E">
        <w:rPr>
          <w:szCs w:val="18"/>
        </w:rPr>
        <w:t xml:space="preserve">Doelmatigheid via tarieven: In 2024 is besloten de maatregel sturing doelmatigheid via tarieven niet uit te voeren naar aanleiding van het </w:t>
      </w:r>
      <w:proofErr w:type="spellStart"/>
      <w:r w:rsidRPr="005F055E">
        <w:rPr>
          <w:szCs w:val="18"/>
        </w:rPr>
        <w:t>NZa</w:t>
      </w:r>
      <w:proofErr w:type="spellEnd"/>
      <w:r w:rsidRPr="005F055E">
        <w:rPr>
          <w:szCs w:val="18"/>
        </w:rPr>
        <w:t xml:space="preserve">-advies hieromtrent. Dit heeft geleid tot een besparingsverlies van € 73,5 miljoen. </w:t>
      </w:r>
    </w:p>
    <w:p w:rsidRPr="005F055E" w:rsidR="00E24EC6" w:rsidP="00180EEB" w:rsidRDefault="00E24EC6" w14:paraId="36772E15" w14:textId="77777777">
      <w:pPr>
        <w:pStyle w:val="Lijstalinea"/>
        <w:numPr>
          <w:ilvl w:val="0"/>
          <w:numId w:val="12"/>
        </w:numPr>
        <w:suppressAutoHyphens/>
        <w:rPr>
          <w:szCs w:val="18"/>
        </w:rPr>
      </w:pPr>
      <w:r w:rsidRPr="005F055E">
        <w:rPr>
          <w:szCs w:val="18"/>
        </w:rPr>
        <w:t xml:space="preserve">GVS: Ook is in 2024 besloten de maatregel modernisering Geneesmiddelenvergoedingssysteem (GVS) niet door te voeren (€ 140 miljoen). </w:t>
      </w:r>
    </w:p>
    <w:p w:rsidRPr="005F055E" w:rsidR="00E24EC6" w:rsidP="00180EEB" w:rsidRDefault="00E24EC6" w14:paraId="152FAEBA" w14:textId="77777777">
      <w:pPr>
        <w:pStyle w:val="Lijstalinea"/>
        <w:numPr>
          <w:ilvl w:val="0"/>
          <w:numId w:val="12"/>
        </w:numPr>
        <w:suppressAutoHyphens/>
        <w:rPr>
          <w:szCs w:val="18"/>
        </w:rPr>
      </w:pPr>
      <w:r w:rsidRPr="005F055E">
        <w:rPr>
          <w:szCs w:val="18"/>
        </w:rPr>
        <w:t>Korten subsidies bij- en nascholing medisch specialistische zorg (dekking OCW begroting) (€ 165 miljoen)</w:t>
      </w:r>
    </w:p>
    <w:p w:rsidRPr="005F055E" w:rsidR="00E24EC6" w:rsidP="00180EEB" w:rsidRDefault="00E24EC6" w14:paraId="614ED9E7" w14:textId="77777777">
      <w:pPr>
        <w:suppressAutoHyphens/>
        <w:rPr>
          <w:szCs w:val="18"/>
        </w:rPr>
      </w:pPr>
      <w:r w:rsidRPr="005F055E">
        <w:rPr>
          <w:szCs w:val="18"/>
        </w:rPr>
        <w:t>Uitgesteld:</w:t>
      </w:r>
    </w:p>
    <w:p w:rsidRPr="005F055E" w:rsidR="00E24EC6" w:rsidP="00180EEB" w:rsidRDefault="00E24EC6" w14:paraId="290A65EF" w14:textId="77777777">
      <w:pPr>
        <w:pStyle w:val="Lijstalinea"/>
        <w:numPr>
          <w:ilvl w:val="0"/>
          <w:numId w:val="12"/>
        </w:numPr>
        <w:suppressAutoHyphens/>
        <w:rPr>
          <w:szCs w:val="18"/>
        </w:rPr>
      </w:pPr>
      <w:r w:rsidRPr="005F055E">
        <w:rPr>
          <w:szCs w:val="18"/>
        </w:rPr>
        <w:t xml:space="preserve">Tranchering ER: In 2024 is de voorgenomen tranchering van het eigen risico controversieel verklaard in verband met de demissionaire status van Rutte IV. In 2025 heeft het kabinet besloten af te zien van de naar 2026 uitgestelde tranchering van het eigen risico. Dit besparingsverlies bedroeg € 200 miljoen in zowel 2025 en 2026. </w:t>
      </w:r>
    </w:p>
    <w:p w:rsidRPr="005F055E" w:rsidR="00E24EC6" w:rsidP="00180EEB" w:rsidRDefault="00E24EC6" w14:paraId="0EF554B3" w14:textId="77777777">
      <w:pPr>
        <w:pStyle w:val="Lijstalinea"/>
        <w:numPr>
          <w:ilvl w:val="0"/>
          <w:numId w:val="12"/>
        </w:numPr>
        <w:suppressAutoHyphens/>
        <w:rPr>
          <w:szCs w:val="18"/>
        </w:rPr>
      </w:pPr>
      <w:r w:rsidRPr="005F055E">
        <w:rPr>
          <w:szCs w:val="18"/>
        </w:rPr>
        <w:t xml:space="preserve">Vervanging abonnementstarief </w:t>
      </w:r>
      <w:proofErr w:type="spellStart"/>
      <w:r w:rsidRPr="005F055E">
        <w:rPr>
          <w:szCs w:val="18"/>
        </w:rPr>
        <w:t>Wmo</w:t>
      </w:r>
      <w:proofErr w:type="spellEnd"/>
      <w:r w:rsidRPr="005F055E">
        <w:rPr>
          <w:szCs w:val="18"/>
        </w:rPr>
        <w:t xml:space="preserve"> 2015: Door een vertraging van deze wet, kan de invoering van de inkomens- en vermogensafhankelijk eigen bijdrage </w:t>
      </w:r>
      <w:proofErr w:type="spellStart"/>
      <w:r w:rsidRPr="005F055E">
        <w:rPr>
          <w:szCs w:val="18"/>
        </w:rPr>
        <w:t>Wmo</w:t>
      </w:r>
      <w:proofErr w:type="spellEnd"/>
      <w:r w:rsidRPr="005F055E">
        <w:rPr>
          <w:szCs w:val="18"/>
        </w:rPr>
        <w:t xml:space="preserve"> 2015 niet eerder dan per 1 januari 2027 plaatsvinden. Dit heeft geleid tot een besparingsverlies van € 225 miljoen. </w:t>
      </w:r>
    </w:p>
    <w:p w:rsidRPr="005F055E" w:rsidR="00E24EC6" w:rsidP="00180EEB" w:rsidRDefault="00E24EC6" w14:paraId="74BF0674" w14:textId="77777777">
      <w:pPr>
        <w:pStyle w:val="Lijstalinea"/>
        <w:numPr>
          <w:ilvl w:val="0"/>
          <w:numId w:val="12"/>
        </w:numPr>
        <w:suppressAutoHyphens/>
        <w:rPr>
          <w:szCs w:val="18"/>
        </w:rPr>
      </w:pPr>
      <w:r w:rsidRPr="005F055E">
        <w:rPr>
          <w:szCs w:val="18"/>
        </w:rPr>
        <w:t>Doorontwikkeling kwaliteitskader verpleeghuiszorg: Deze maatregel is in 2025 niet gerealiseerd, hetgeen heeft geleid tot een besparingsverlies van € 200 miljoen.</w:t>
      </w:r>
    </w:p>
    <w:p w:rsidRPr="005F055E" w:rsidR="00E24EC6" w:rsidP="00180EEB" w:rsidRDefault="00E24EC6" w14:paraId="5F678F84" w14:textId="77777777">
      <w:pPr>
        <w:pStyle w:val="Lijstalinea"/>
        <w:numPr>
          <w:ilvl w:val="0"/>
          <w:numId w:val="12"/>
        </w:numPr>
        <w:suppressAutoHyphens/>
        <w:rPr>
          <w:szCs w:val="18"/>
        </w:rPr>
      </w:pPr>
      <w:r w:rsidRPr="005F055E">
        <w:rPr>
          <w:szCs w:val="18"/>
        </w:rPr>
        <w:t xml:space="preserve">Behandeling </w:t>
      </w:r>
      <w:proofErr w:type="spellStart"/>
      <w:r w:rsidRPr="005F055E">
        <w:rPr>
          <w:szCs w:val="18"/>
        </w:rPr>
        <w:t>Wlz</w:t>
      </w:r>
      <w:proofErr w:type="spellEnd"/>
      <w:r w:rsidRPr="005F055E">
        <w:rPr>
          <w:szCs w:val="18"/>
        </w:rPr>
        <w:t>: Deze maatregel is in 2025 niet gerealiseerd, hetgeen heeft geleid tot een besparingsverlies van € 170 miljoen.</w:t>
      </w:r>
      <w:r w:rsidRPr="005F055E">
        <w:t xml:space="preserve"> </w:t>
      </w:r>
      <w:r w:rsidRPr="005F055E">
        <w:rPr>
          <w:szCs w:val="18"/>
        </w:rPr>
        <w:t>gerealiseerd, hetgeen heeft geleid tot een besparingsverlies van € 170 miljoen. Door het controversieel verklaren van deze maatregel kan de voorgestelde verlaging van de tarieven ook in 2026 geen doorgang kan vinden. Dit leidt eveneens tot een besparingsverlies van € 88 miljoen in 2026.</w:t>
      </w:r>
    </w:p>
    <w:p w:rsidR="00E24EC6" w:rsidP="00180EEB" w:rsidRDefault="00E24EC6" w14:paraId="22F9B311" w14:textId="77777777">
      <w:pPr>
        <w:pStyle w:val="Lijstalinea"/>
        <w:numPr>
          <w:ilvl w:val="0"/>
          <w:numId w:val="12"/>
        </w:numPr>
        <w:suppressAutoHyphens/>
        <w:rPr>
          <w:szCs w:val="18"/>
        </w:rPr>
      </w:pPr>
      <w:r w:rsidRPr="005F055E">
        <w:rPr>
          <w:szCs w:val="18"/>
        </w:rPr>
        <w:t>Meerjarig contracteren: Op verzoek van de Kamer is deze maatregel in 2026 niet doorgegaan, hetgeen leidt tot hogere uitgaven van € 65 miljoen. Ook heeft deze maatregel in 2024 en 2025 tot een besparingsverlies geleid.</w:t>
      </w:r>
    </w:p>
    <w:p w:rsidRPr="009873CE" w:rsidR="009873CE" w:rsidP="00180EEB" w:rsidRDefault="009873CE" w14:paraId="4EDE3FA6" w14:textId="77777777">
      <w:pPr>
        <w:suppressAutoHyphens/>
        <w:rPr>
          <w:szCs w:val="18"/>
        </w:rPr>
      </w:pPr>
    </w:p>
    <w:p w:rsidRPr="005F055E" w:rsidR="00E24EC6" w:rsidP="00180EEB" w:rsidRDefault="00E24EC6" w14:paraId="60574D2B" w14:textId="77777777">
      <w:pPr>
        <w:suppressAutoHyphens/>
        <w:rPr>
          <w:szCs w:val="18"/>
        </w:rPr>
      </w:pPr>
      <w:r w:rsidRPr="005F055E">
        <w:rPr>
          <w:szCs w:val="18"/>
        </w:rPr>
        <w:t>Verzachting:</w:t>
      </w:r>
    </w:p>
    <w:p w:rsidRPr="005F055E" w:rsidR="00E24EC6" w:rsidP="00180EEB" w:rsidRDefault="00E24EC6" w14:paraId="10385B17" w14:textId="77777777">
      <w:pPr>
        <w:pStyle w:val="Lijstalinea"/>
        <w:numPr>
          <w:ilvl w:val="0"/>
          <w:numId w:val="12"/>
        </w:numPr>
        <w:suppressAutoHyphens/>
        <w:rPr>
          <w:szCs w:val="18"/>
        </w:rPr>
      </w:pPr>
      <w:r w:rsidRPr="005F055E">
        <w:rPr>
          <w:szCs w:val="18"/>
        </w:rPr>
        <w:t xml:space="preserve">Ook is in het Hoofdlijnenakkoord Ouderenzorg een verzachting van alle tariefmaatregelen binnen de </w:t>
      </w:r>
      <w:proofErr w:type="spellStart"/>
      <w:r w:rsidRPr="005F055E">
        <w:rPr>
          <w:szCs w:val="18"/>
        </w:rPr>
        <w:t>Wlz</w:t>
      </w:r>
      <w:proofErr w:type="spellEnd"/>
      <w:r w:rsidRPr="005F055E">
        <w:rPr>
          <w:szCs w:val="18"/>
        </w:rPr>
        <w:t xml:space="preserve"> ouderenzorg doorgevoerd (Doorontwikkeling kwaliteitskader, Meerjarig contracteren, Behandeling </w:t>
      </w:r>
      <w:proofErr w:type="spellStart"/>
      <w:r w:rsidRPr="005F055E">
        <w:rPr>
          <w:szCs w:val="18"/>
        </w:rPr>
        <w:t>Wlz</w:t>
      </w:r>
      <w:proofErr w:type="spellEnd"/>
      <w:r w:rsidRPr="005F055E">
        <w:rPr>
          <w:szCs w:val="18"/>
        </w:rPr>
        <w:t xml:space="preserve">, en Versnelling opschaling digitale zorg in de </w:t>
      </w:r>
      <w:proofErr w:type="spellStart"/>
      <w:r w:rsidRPr="005F055E">
        <w:rPr>
          <w:szCs w:val="18"/>
        </w:rPr>
        <w:t>Wlz</w:t>
      </w:r>
      <w:proofErr w:type="spellEnd"/>
      <w:r w:rsidRPr="005F055E">
        <w:rPr>
          <w:szCs w:val="18"/>
        </w:rPr>
        <w:t xml:space="preserve"> (Schoof)). De verzachting bedraagt tussen € 242 miljoen en € 264 miljoen in de periode 2026-2030 en € 250 miljoen structureel vanaf 2031. </w:t>
      </w:r>
    </w:p>
    <w:p w:rsidRPr="005F055E" w:rsidR="007B58FB" w:rsidP="00180EEB" w:rsidRDefault="007B58FB" w14:paraId="655F6C44" w14:textId="77777777">
      <w:pPr>
        <w:suppressAutoHyphens/>
      </w:pPr>
    </w:p>
    <w:p w:rsidRPr="005F055E" w:rsidR="000478A7" w:rsidP="00180EEB" w:rsidRDefault="003E7003" w14:paraId="3723F965" w14:textId="77777777">
      <w:pPr>
        <w:suppressAutoHyphens/>
      </w:pPr>
      <w:r w:rsidRPr="005F055E">
        <w:t>Vraag 76</w:t>
      </w:r>
      <w:r w:rsidRPr="005F055E">
        <w:tab/>
      </w:r>
    </w:p>
    <w:p w:rsidRPr="005F055E" w:rsidR="000478A7" w:rsidP="00180EEB" w:rsidRDefault="003E7003" w14:paraId="3A155F1E" w14:textId="77777777">
      <w:pPr>
        <w:suppressAutoHyphens/>
      </w:pPr>
      <w:r w:rsidRPr="005F055E">
        <w:t>In hoeverre is de besparing die is ingepland in verband met de maatregel ‘Scheiden wonen en zorg’ inmiddels doorgevoerd? Klopt het dat deze nog steeds moet oplopen tot een besparing van €1.200 in 2052?</w:t>
      </w:r>
      <w:r w:rsidRPr="005F055E">
        <w:tab/>
      </w:r>
    </w:p>
    <w:p w:rsidRPr="005F055E" w:rsidR="003E7003" w:rsidP="00180EEB" w:rsidRDefault="003E7003" w14:paraId="40F56FA1" w14:textId="7A235F8B">
      <w:pPr>
        <w:suppressAutoHyphens/>
      </w:pPr>
      <w:r w:rsidRPr="005F055E">
        <w:t>Antwoord</w:t>
      </w:r>
    </w:p>
    <w:p w:rsidRPr="005F055E" w:rsidR="000478A7" w:rsidP="00180EEB" w:rsidRDefault="004D1243" w14:paraId="50B5D6C5" w14:textId="29C767D9">
      <w:pPr>
        <w:suppressAutoHyphens/>
        <w:spacing w:line="240" w:lineRule="atLeast"/>
        <w:rPr>
          <w:szCs w:val="20"/>
          <w:lang w:eastAsia="nl-NL"/>
        </w:rPr>
      </w:pPr>
      <w:r w:rsidRPr="005F055E">
        <w:rPr>
          <w:szCs w:val="20"/>
          <w:lang w:eastAsia="nl-NL"/>
        </w:rPr>
        <w:t xml:space="preserve">De besparing op grond van de maatregel ‘Scheiden wonen en zorg’ is ingevoerd met ingang van 2023. Deze besparing sluit aan bij het beleid van langer thuis wonen. Daarbij is het uitgangspunt dat het aantal verpleegzorgplekken met verblijf stabiel blijft op een structureel niveau van 125 duizend. De verwachte groei van het beroep op verpleegzorg wordt opgevangen op basis van pakketten die aansluiten op de thuissituatie, zoals het </w:t>
      </w:r>
      <w:proofErr w:type="spellStart"/>
      <w:r w:rsidRPr="005F055E">
        <w:rPr>
          <w:szCs w:val="20"/>
          <w:lang w:eastAsia="nl-NL"/>
        </w:rPr>
        <w:t>vpt</w:t>
      </w:r>
      <w:proofErr w:type="spellEnd"/>
      <w:r w:rsidRPr="005F055E">
        <w:rPr>
          <w:szCs w:val="20"/>
          <w:lang w:eastAsia="nl-NL"/>
        </w:rPr>
        <w:t xml:space="preserve">, </w:t>
      </w:r>
      <w:proofErr w:type="spellStart"/>
      <w:r w:rsidRPr="005F055E">
        <w:rPr>
          <w:szCs w:val="20"/>
          <w:lang w:eastAsia="nl-NL"/>
        </w:rPr>
        <w:t>mpt</w:t>
      </w:r>
      <w:proofErr w:type="spellEnd"/>
      <w:r w:rsidRPr="005F055E">
        <w:rPr>
          <w:szCs w:val="20"/>
          <w:lang w:eastAsia="nl-NL"/>
        </w:rPr>
        <w:t xml:space="preserve"> en/of pgb. De maatregel levert jaarlijks een besparing op van netto € 40 miljoen ten opzichte van de groei van de uitgaven aan </w:t>
      </w:r>
      <w:proofErr w:type="spellStart"/>
      <w:r w:rsidRPr="005F055E">
        <w:rPr>
          <w:szCs w:val="20"/>
          <w:lang w:eastAsia="nl-NL"/>
        </w:rPr>
        <w:t>Wlz</w:t>
      </w:r>
      <w:proofErr w:type="spellEnd"/>
      <w:r w:rsidRPr="005F055E">
        <w:rPr>
          <w:szCs w:val="20"/>
          <w:lang w:eastAsia="nl-NL"/>
        </w:rPr>
        <w:t xml:space="preserve">-ouderenzorg bij ongewijzigd beleid. De besparing loopt in een periode van 30 jaar geleidelijk op tot € 1.200 miljoen structureel vanaf 2052. </w:t>
      </w:r>
    </w:p>
    <w:p w:rsidRPr="005F055E" w:rsidR="007B58FB" w:rsidP="00180EEB" w:rsidRDefault="007B58FB" w14:paraId="759003FD" w14:textId="77777777">
      <w:pPr>
        <w:suppressAutoHyphens/>
      </w:pPr>
    </w:p>
    <w:p w:rsidRPr="005F055E" w:rsidR="000478A7" w:rsidP="00180EEB" w:rsidRDefault="003E7003" w14:paraId="0CFBDDD5" w14:textId="77777777">
      <w:pPr>
        <w:suppressAutoHyphens/>
      </w:pPr>
      <w:r w:rsidRPr="005F055E">
        <w:t>Vraag 77</w:t>
      </w:r>
      <w:r w:rsidRPr="005F055E">
        <w:tab/>
      </w:r>
    </w:p>
    <w:p w:rsidRPr="005F055E" w:rsidR="000478A7" w:rsidP="00180EEB" w:rsidRDefault="003E7003" w14:paraId="23C2EB93" w14:textId="77777777">
      <w:pPr>
        <w:suppressAutoHyphens/>
      </w:pPr>
      <w:r w:rsidRPr="005F055E">
        <w:t>In hoeverre is de besparing die is ingepland in verband met de maatregel ‘Passende zorg’ inmiddels doorgevoerd? Klopt het dat deze nog steeds moet oplopen tot een besparing van €1.206 in 2037? Hoe wordt deze bezuiniging ingevuld?</w:t>
      </w:r>
      <w:r w:rsidRPr="005F055E">
        <w:tab/>
      </w:r>
    </w:p>
    <w:p w:rsidRPr="005F055E" w:rsidR="003E7003" w:rsidP="00180EEB" w:rsidRDefault="003E7003" w14:paraId="22C847C9" w14:textId="3579FBF0">
      <w:pPr>
        <w:suppressAutoHyphens/>
      </w:pPr>
      <w:r w:rsidRPr="005F055E">
        <w:t>Antwoord</w:t>
      </w:r>
    </w:p>
    <w:p w:rsidRPr="005F055E" w:rsidR="00B90292" w:rsidP="00180EEB" w:rsidRDefault="00B90292" w14:paraId="7D88F71D" w14:textId="67BF4C81">
      <w:pPr>
        <w:suppressAutoHyphens/>
        <w:spacing w:line="240" w:lineRule="atLeast"/>
        <w:rPr>
          <w:szCs w:val="18"/>
          <w:lang w:eastAsia="nl-NL"/>
        </w:rPr>
      </w:pPr>
      <w:r w:rsidRPr="005F055E">
        <w:rPr>
          <w:szCs w:val="18"/>
          <w:lang w:eastAsia="nl-NL"/>
        </w:rPr>
        <w:t xml:space="preserve">De ombuiging is onderdeel van de afspraken die gemaakt zijn in het Integraal Zorgakkoord en het Aanvullend Zorg- en Welzijnsakkoord. De ombuiging loopt inderdaad op tot €1,206 miljard in 2037. Tot en met 2028 is de oploop verwerkt in de sectorale kaders van het IZA en AZWA. De oploop van de besparing vanaf 2029 is nog niet verdeeld, deze staat gereserveerd op nominaal en onverdeeld </w:t>
      </w:r>
      <w:proofErr w:type="spellStart"/>
      <w:r w:rsidRPr="005F055E">
        <w:rPr>
          <w:szCs w:val="18"/>
          <w:lang w:eastAsia="nl-NL"/>
        </w:rPr>
        <w:t>Zvw</w:t>
      </w:r>
      <w:proofErr w:type="spellEnd"/>
      <w:r w:rsidRPr="005F055E">
        <w:rPr>
          <w:szCs w:val="18"/>
          <w:lang w:eastAsia="nl-NL"/>
        </w:rPr>
        <w:t xml:space="preserve"> (post in de VWS begroting waar alle nog niet verdeelde middelen en taakstellingen voor </w:t>
      </w:r>
      <w:proofErr w:type="spellStart"/>
      <w:r w:rsidRPr="005F055E">
        <w:rPr>
          <w:szCs w:val="18"/>
          <w:lang w:eastAsia="nl-NL"/>
        </w:rPr>
        <w:t>Zvw</w:t>
      </w:r>
      <w:proofErr w:type="spellEnd"/>
      <w:r w:rsidRPr="005F055E">
        <w:rPr>
          <w:szCs w:val="18"/>
          <w:lang w:eastAsia="nl-NL"/>
        </w:rPr>
        <w:t xml:space="preserve"> staan geparkeerd).</w:t>
      </w:r>
      <w:r w:rsidRPr="005F055E" w:rsidR="00D73F76">
        <w:rPr>
          <w:szCs w:val="18"/>
          <w:lang w:eastAsia="nl-NL"/>
        </w:rPr>
        <w:t xml:space="preserve"> </w:t>
      </w:r>
    </w:p>
    <w:p w:rsidRPr="005F055E" w:rsidR="00B90292" w:rsidP="00180EEB" w:rsidRDefault="00B90292" w14:paraId="7AF81094" w14:textId="631DE2C0">
      <w:pPr>
        <w:suppressAutoHyphens/>
        <w:spacing w:line="240" w:lineRule="atLeast"/>
        <w:rPr>
          <w:szCs w:val="18"/>
          <w:lang w:eastAsia="nl-NL"/>
        </w:rPr>
      </w:pPr>
      <w:r w:rsidRPr="005F055E">
        <w:rPr>
          <w:szCs w:val="18"/>
          <w:lang w:eastAsia="nl-NL"/>
        </w:rPr>
        <w:t>Om de beweging naar passende zorg te ondersteunen en partijen in staat te stellen om de ombuiging te realiseren zijn er in het Integraal Zorgakkoord en in het Aanvullend Zorg- en Welzijnsakkoord afspraken gemaakt. Op basis van deze afspraken zijn verschillende initiatieven en activiteiten gestart. Het gaat onder andere om de volgende initiatieven:</w:t>
      </w:r>
    </w:p>
    <w:p w:rsidRPr="005F055E" w:rsidR="00B90292" w:rsidP="00180EEB" w:rsidRDefault="00B90292" w14:paraId="19A0E984" w14:textId="2C149A50">
      <w:pPr>
        <w:numPr>
          <w:ilvl w:val="0"/>
          <w:numId w:val="10"/>
        </w:numPr>
        <w:suppressAutoHyphens/>
        <w:spacing w:after="0" w:line="240" w:lineRule="atLeast"/>
        <w:rPr>
          <w:szCs w:val="18"/>
          <w:lang w:eastAsia="nl-NL"/>
        </w:rPr>
      </w:pPr>
      <w:r w:rsidRPr="005F055E">
        <w:rPr>
          <w:szCs w:val="18"/>
          <w:lang w:eastAsia="nl-NL"/>
        </w:rPr>
        <w:t xml:space="preserve">Er is een groot onderzoeksprogramma (het Kaderprogramma passende zorg) gestart waarmee gericht en minder vrijblijvend onderzoek gedaan kan worden naar de pakketwaardigheid van zorg. Ook zijn er binnen dit programma middelen beschikbaar gesteld voor het inrichten van een </w:t>
      </w:r>
      <w:proofErr w:type="spellStart"/>
      <w:r w:rsidRPr="005F055E">
        <w:rPr>
          <w:szCs w:val="18"/>
          <w:lang w:eastAsia="nl-NL"/>
        </w:rPr>
        <w:t>onderzoeksinfrastructuur</w:t>
      </w:r>
      <w:proofErr w:type="spellEnd"/>
      <w:r w:rsidRPr="005F055E">
        <w:rPr>
          <w:szCs w:val="18"/>
          <w:lang w:eastAsia="nl-NL"/>
        </w:rPr>
        <w:t xml:space="preserve"> als</w:t>
      </w:r>
      <w:r w:rsidRPr="005F055E" w:rsidR="00CF1801">
        <w:rPr>
          <w:szCs w:val="18"/>
          <w:lang w:eastAsia="nl-NL"/>
        </w:rPr>
        <w:t xml:space="preserve"> </w:t>
      </w:r>
      <w:r w:rsidRPr="005F055E">
        <w:rPr>
          <w:szCs w:val="18"/>
          <w:lang w:eastAsia="nl-NL"/>
        </w:rPr>
        <w:t xml:space="preserve">deze infrastructuur nog niet aanwezig is in een sector. Als uit onderzoek blijkt dat zorg niet effectief is, en daar mee niet voldoet aan de pakketcriteria, kan deze niet meer vergoed worden binnen de </w:t>
      </w:r>
      <w:proofErr w:type="spellStart"/>
      <w:r w:rsidRPr="005F055E">
        <w:rPr>
          <w:szCs w:val="18"/>
          <w:lang w:eastAsia="nl-NL"/>
        </w:rPr>
        <w:t>Zvw</w:t>
      </w:r>
      <w:proofErr w:type="spellEnd"/>
      <w:r w:rsidRPr="005F055E">
        <w:rPr>
          <w:szCs w:val="18"/>
          <w:lang w:eastAsia="nl-NL"/>
        </w:rPr>
        <w:t>. Het is aan veldpartijen dit te implementeren. Op deze manier moet een groot deel van de ombuiging? gehaald worden.</w:t>
      </w:r>
    </w:p>
    <w:p w:rsidRPr="005F055E" w:rsidR="00B90292" w:rsidP="00180EEB" w:rsidRDefault="00B90292" w14:paraId="4D2B2839" w14:textId="25D4F532">
      <w:pPr>
        <w:numPr>
          <w:ilvl w:val="0"/>
          <w:numId w:val="10"/>
        </w:numPr>
        <w:suppressAutoHyphens/>
        <w:spacing w:after="0" w:line="240" w:lineRule="atLeast"/>
        <w:rPr>
          <w:szCs w:val="18"/>
          <w:lang w:eastAsia="nl-NL"/>
        </w:rPr>
      </w:pPr>
      <w:r w:rsidRPr="005F055E">
        <w:rPr>
          <w:szCs w:val="18"/>
          <w:lang w:eastAsia="nl-NL"/>
        </w:rPr>
        <w:t>Het Zorginstituut ondersteunt veldpartijen door o.a. kaders en handleidingen te ontwikkelen die duidelijkheid geven over hoe het pakketbeheer werkt en wie daarin welke rol te nemen heeft. Ook heeft het Zorginstituut geadviseerd en werkt nu nader uit hoe de maatschappelijke opgave op arbeidsinzet en ecologische duurzaamheid in het pakketbeheer verankerd worden.</w:t>
      </w:r>
      <w:r w:rsidRPr="005F055E" w:rsidR="00D73F76">
        <w:rPr>
          <w:szCs w:val="18"/>
          <w:lang w:eastAsia="nl-NL"/>
        </w:rPr>
        <w:t xml:space="preserve"> </w:t>
      </w:r>
    </w:p>
    <w:p w:rsidRPr="005F055E" w:rsidR="00B90292" w:rsidP="00180EEB" w:rsidRDefault="00B90292" w14:paraId="0BB2E030" w14:textId="77777777">
      <w:pPr>
        <w:numPr>
          <w:ilvl w:val="0"/>
          <w:numId w:val="10"/>
        </w:numPr>
        <w:suppressAutoHyphens/>
        <w:spacing w:after="0" w:line="240" w:lineRule="atLeast"/>
        <w:rPr>
          <w:szCs w:val="18"/>
          <w:lang w:eastAsia="nl-NL"/>
        </w:rPr>
      </w:pPr>
      <w:r w:rsidRPr="005F055E">
        <w:rPr>
          <w:szCs w:val="18"/>
          <w:lang w:eastAsia="nl-NL"/>
        </w:rPr>
        <w:t xml:space="preserve">Tevens zijn er middelen beschikbaar gesteld om de positie van patiëntenorganisaties te versterken zodat zij vanuit hun rol kunnen bijdragen aan het bereiken van passende zorg. </w:t>
      </w:r>
    </w:p>
    <w:p w:rsidRPr="005F055E" w:rsidR="00B90292" w:rsidP="00180EEB" w:rsidRDefault="00B90292" w14:paraId="684F3DDE" w14:textId="400C6FC7">
      <w:pPr>
        <w:numPr>
          <w:ilvl w:val="0"/>
          <w:numId w:val="10"/>
        </w:numPr>
        <w:suppressAutoHyphens/>
        <w:spacing w:after="0" w:line="240" w:lineRule="atLeast"/>
        <w:rPr>
          <w:szCs w:val="18"/>
          <w:lang w:eastAsia="nl-NL"/>
        </w:rPr>
      </w:pPr>
      <w:r w:rsidRPr="005F055E">
        <w:rPr>
          <w:szCs w:val="18"/>
          <w:lang w:eastAsia="nl-NL"/>
        </w:rPr>
        <w:t xml:space="preserve">In aansluiting op de landelijke inspiratiesessies </w:t>
      </w:r>
      <w:r w:rsidRPr="005F055E" w:rsidR="006B3649">
        <w:rPr>
          <w:szCs w:val="18"/>
          <w:lang w:eastAsia="nl-NL"/>
        </w:rPr>
        <w:t xml:space="preserve">die is georganiseerd, </w:t>
      </w:r>
      <w:r w:rsidRPr="005F055E">
        <w:rPr>
          <w:szCs w:val="18"/>
          <w:lang w:eastAsia="nl-NL"/>
        </w:rPr>
        <w:t xml:space="preserve">is het de bedoeling om in een of twee IZA-regio’s sessies te organiseren om een aantal passende zorg-voorbeelden vanuit de regio of daarbuiten daadwerkelijk te kunnen opschalen. Hierbij worden ook het Zorginstituut en </w:t>
      </w:r>
      <w:proofErr w:type="spellStart"/>
      <w:r w:rsidRPr="005F055E">
        <w:rPr>
          <w:szCs w:val="18"/>
          <w:lang w:eastAsia="nl-NL"/>
        </w:rPr>
        <w:t>NZa</w:t>
      </w:r>
      <w:proofErr w:type="spellEnd"/>
      <w:r w:rsidRPr="005F055E">
        <w:rPr>
          <w:szCs w:val="18"/>
          <w:lang w:eastAsia="nl-NL"/>
        </w:rPr>
        <w:t xml:space="preserve"> betrokken. </w:t>
      </w:r>
    </w:p>
    <w:p w:rsidRPr="005F055E" w:rsidR="00B90292" w:rsidP="00180EEB" w:rsidRDefault="00B90292" w14:paraId="430562D6" w14:textId="77777777">
      <w:pPr>
        <w:numPr>
          <w:ilvl w:val="0"/>
          <w:numId w:val="10"/>
        </w:numPr>
        <w:suppressAutoHyphens/>
        <w:spacing w:after="0" w:line="240" w:lineRule="atLeast"/>
        <w:rPr>
          <w:szCs w:val="18"/>
          <w:lang w:eastAsia="nl-NL"/>
        </w:rPr>
      </w:pPr>
      <w:r w:rsidRPr="005F055E">
        <w:rPr>
          <w:szCs w:val="18"/>
          <w:lang w:eastAsia="nl-NL"/>
        </w:rPr>
        <w:t>In het project Herijken Kwaliteitstaken van het Zorginstituut onderzoekt het ministerie van VWS of een modernisatie van de huidige kwaliteitsinstrumenten van het Zorginstituut nodig is. Het advies van ZIN hierover kan naar verwachting begin volgend aan de Kamer worden gestuurd.</w:t>
      </w:r>
      <w:r w:rsidRPr="005F055E">
        <w:rPr>
          <w:szCs w:val="18"/>
          <w:vertAlign w:val="superscript"/>
          <w:lang w:eastAsia="nl-NL"/>
        </w:rPr>
        <w:footnoteReference w:id="22"/>
      </w:r>
    </w:p>
    <w:p w:rsidR="000478A7" w:rsidP="00180EEB" w:rsidRDefault="000478A7" w14:paraId="626479C0" w14:textId="77777777">
      <w:pPr>
        <w:suppressAutoHyphens/>
      </w:pPr>
    </w:p>
    <w:p w:rsidRPr="005F055E" w:rsidR="00056279" w:rsidP="00180EEB" w:rsidRDefault="00056279" w14:paraId="0E3F6188" w14:textId="77777777">
      <w:pPr>
        <w:suppressAutoHyphens/>
      </w:pPr>
    </w:p>
    <w:p w:rsidRPr="005F055E" w:rsidR="000478A7" w:rsidP="00180EEB" w:rsidRDefault="003E7003" w14:paraId="5EAC38A7" w14:textId="77777777">
      <w:pPr>
        <w:suppressAutoHyphens/>
      </w:pPr>
      <w:r w:rsidRPr="005F055E">
        <w:t>Vraag 78</w:t>
      </w:r>
      <w:r w:rsidRPr="005F055E">
        <w:tab/>
      </w:r>
    </w:p>
    <w:p w:rsidRPr="005F055E" w:rsidR="000478A7" w:rsidP="00180EEB" w:rsidRDefault="003E7003" w14:paraId="5AB27963" w14:textId="77777777">
      <w:pPr>
        <w:suppressAutoHyphens/>
      </w:pPr>
      <w:r w:rsidRPr="005F055E">
        <w:t>Klopt het dat er nog altijd een bezuiniging van €463 miljoen in 2026, €570 miljoen in 2027 en structureel €1524 miljoen vanaf 2028 ingepland staat in verband met de hervormingsagenda Jeugd na de voorjaarsbesluitvorming? Zo nee, om welke bedrag gaat het dan?</w:t>
      </w:r>
      <w:r w:rsidRPr="005F055E">
        <w:tab/>
      </w:r>
    </w:p>
    <w:p w:rsidRPr="005F055E" w:rsidR="007B58FB" w:rsidP="00180EEB" w:rsidRDefault="003E7003" w14:paraId="390CFE9F" w14:textId="6627C365">
      <w:pPr>
        <w:suppressAutoHyphens/>
      </w:pPr>
      <w:r w:rsidRPr="005F055E">
        <w:t>Antwoord</w:t>
      </w:r>
    </w:p>
    <w:p w:rsidRPr="005F055E" w:rsidR="000478A7" w:rsidP="00180EEB" w:rsidRDefault="007B58FB" w14:paraId="531FC82F" w14:textId="51AAA0D6">
      <w:pPr>
        <w:suppressAutoHyphens/>
      </w:pPr>
      <w:r w:rsidRPr="005F055E">
        <w:t xml:space="preserve">De genoemde bedragen zijn juist. De structurele besparing vanaf 2028 is als volgt opgebouwd: de structurele besparingsopgave van € 1.018 miljoen en indexatie van deze besparingsopgave van € 507 miljoen. Samen afgrond € 1.524 miljoen. Daarnaast zijn bij Voorjaarsnota 2025 vanaf 2028 aanvullende maatregelen afgesproken. Dit betreft eigen bijdragen voor € 260 miljoen en sturen op trajectduur voor € 68 miljoen. In totaal telt dit op tot een besparingsopgave van circa € 1,8 miljard vanaf 2028 structureel. </w:t>
      </w:r>
      <w:r w:rsidRPr="005F055E" w:rsidR="000F4D42">
        <w:t xml:space="preserve">Naast deze besparingsopgave </w:t>
      </w:r>
      <w:r w:rsidR="00D55762">
        <w:t xml:space="preserve">zijn </w:t>
      </w:r>
      <w:r w:rsidRPr="005F055E" w:rsidR="000F4D42">
        <w:t xml:space="preserve">ook investeringen gedaan, </w:t>
      </w:r>
      <w:r w:rsidRPr="005F055E">
        <w:t xml:space="preserve"> </w:t>
      </w:r>
      <w:r w:rsidRPr="005F055E" w:rsidR="000F4D42">
        <w:t xml:space="preserve">zo </w:t>
      </w:r>
      <w:r w:rsidRPr="005F055E">
        <w:t xml:space="preserve">is bij de Voorjaarsnota 2025 </w:t>
      </w:r>
      <w:bookmarkStart w:name="_Hlk211428356" w:id="19"/>
      <w:r w:rsidRPr="005F055E">
        <w:t>€ </w:t>
      </w:r>
      <w:bookmarkEnd w:id="19"/>
      <w:r w:rsidRPr="005F055E">
        <w:t xml:space="preserve">3 miljard en bij Miljoenennota 2026 € 728 </w:t>
      </w:r>
      <w:r w:rsidRPr="005F055E" w:rsidR="000D3B9D">
        <w:t>miljoen</w:t>
      </w:r>
      <w:r w:rsidRPr="005F055E">
        <w:t xml:space="preserve"> beschikbaar gesteld aan jeugdzorg en gemeenten.</w:t>
      </w:r>
      <w:r w:rsidR="00D55762">
        <w:t xml:space="preserve"> Deze middelen kunnen worden ingezet om de benodigde transitie te realiseren. </w:t>
      </w:r>
    </w:p>
    <w:p w:rsidR="009873CE" w:rsidP="00180EEB" w:rsidRDefault="009873CE" w14:paraId="2BA91472" w14:textId="77777777">
      <w:pPr>
        <w:suppressAutoHyphens/>
      </w:pPr>
    </w:p>
    <w:p w:rsidRPr="005F055E" w:rsidR="000478A7" w:rsidP="00180EEB" w:rsidRDefault="003E7003" w14:paraId="41560C3A" w14:textId="793CC6F1">
      <w:pPr>
        <w:suppressAutoHyphens/>
      </w:pPr>
      <w:r w:rsidRPr="005F055E">
        <w:t>Vraag 79</w:t>
      </w:r>
      <w:r w:rsidRPr="005F055E">
        <w:tab/>
      </w:r>
    </w:p>
    <w:p w:rsidRPr="005F055E" w:rsidR="000478A7" w:rsidP="00180EEB" w:rsidRDefault="003E7003" w14:paraId="6B353276" w14:textId="77777777">
      <w:pPr>
        <w:suppressAutoHyphens/>
      </w:pPr>
      <w:r w:rsidRPr="005F055E">
        <w:t>Kunt u per VWS-maatregel uit de budgettaire bijlage van het coalitieakkoord van het kabinet-Rutte IV aangeven in hoeverre deze al is doorgevoerd, nog gepland staat of is aangepast?</w:t>
      </w:r>
      <w:r w:rsidRPr="005F055E">
        <w:tab/>
      </w:r>
    </w:p>
    <w:p w:rsidRPr="005F055E" w:rsidR="003E7003" w:rsidP="00180EEB" w:rsidRDefault="003E7003" w14:paraId="7B81ABEA" w14:textId="1D1FE231">
      <w:pPr>
        <w:suppressAutoHyphens/>
      </w:pPr>
      <w:r w:rsidRPr="005F055E">
        <w:t>Antwoord</w:t>
      </w:r>
    </w:p>
    <w:p w:rsidRPr="005F055E" w:rsidR="004D1243" w:rsidP="00180EEB" w:rsidRDefault="004D1243" w14:paraId="70D2F2D7" w14:textId="77777777">
      <w:pPr>
        <w:suppressAutoHyphens/>
        <w:spacing w:line="240" w:lineRule="atLeast"/>
        <w:rPr>
          <w:szCs w:val="18"/>
          <w:lang w:eastAsia="nl-NL"/>
        </w:rPr>
      </w:pPr>
      <w:r w:rsidRPr="005F055E">
        <w:rPr>
          <w:szCs w:val="18"/>
          <w:lang w:eastAsia="nl-NL"/>
        </w:rPr>
        <w:t>De onderstaande tabel zijn de reeksen zoals opgenomen in de budgettaire bijlage van het coalitieakkoord Rutte IV. Dit komt niet meer in alle gevallen overeen met de ingeboekte ombuigingen, diverse ombuigingen zijn alternatief gedekt (zie ook het antwoord op vraag 73).</w:t>
      </w:r>
    </w:p>
    <w:tbl>
      <w:tblPr>
        <w:tblStyle w:val="TableGrid3"/>
        <w:tblW w:w="9298" w:type="dxa"/>
        <w:tblLayout w:type="fixed"/>
        <w:tblLook w:val="04A0" w:firstRow="1" w:lastRow="0" w:firstColumn="1" w:lastColumn="0" w:noHBand="0" w:noVBand="1"/>
      </w:tblPr>
      <w:tblGrid>
        <w:gridCol w:w="1838"/>
        <w:gridCol w:w="851"/>
        <w:gridCol w:w="850"/>
        <w:gridCol w:w="852"/>
        <w:gridCol w:w="849"/>
        <w:gridCol w:w="945"/>
        <w:gridCol w:w="3113"/>
      </w:tblGrid>
      <w:tr w:rsidRPr="005F055E" w:rsidR="00E24EC6" w:rsidTr="00E24EC6" w14:paraId="6C7C93E1" w14:textId="77777777">
        <w:trPr>
          <w:trHeight w:val="315"/>
        </w:trPr>
        <w:tc>
          <w:tcPr>
            <w:tcW w:w="1838" w:type="dxa"/>
            <w:hideMark/>
          </w:tcPr>
          <w:p w:rsidRPr="005F055E" w:rsidR="00E24EC6" w:rsidP="00180EEB" w:rsidRDefault="00E24EC6" w14:paraId="773DC217" w14:textId="77777777">
            <w:pPr>
              <w:suppressAutoHyphens/>
              <w:rPr>
                <w:b/>
                <w:bCs/>
              </w:rPr>
            </w:pPr>
            <w:r w:rsidRPr="005F055E">
              <w:rPr>
                <w:b/>
                <w:bCs/>
                <w:color w:val="000000"/>
                <w:szCs w:val="18"/>
              </w:rPr>
              <w:t>Maatregelen Rutte IV</w:t>
            </w:r>
          </w:p>
        </w:tc>
        <w:tc>
          <w:tcPr>
            <w:tcW w:w="851" w:type="dxa"/>
            <w:hideMark/>
          </w:tcPr>
          <w:p w:rsidRPr="005F055E" w:rsidR="00E24EC6" w:rsidP="00180EEB" w:rsidRDefault="00E24EC6" w14:paraId="174BEBF6" w14:textId="77777777">
            <w:pPr>
              <w:suppressAutoHyphens/>
              <w:rPr>
                <w:b/>
                <w:bCs/>
              </w:rPr>
            </w:pPr>
            <w:r w:rsidRPr="005F055E">
              <w:rPr>
                <w:b/>
                <w:bCs/>
                <w:color w:val="000000"/>
                <w:szCs w:val="18"/>
              </w:rPr>
              <w:t>2025</w:t>
            </w:r>
          </w:p>
        </w:tc>
        <w:tc>
          <w:tcPr>
            <w:tcW w:w="850" w:type="dxa"/>
          </w:tcPr>
          <w:p w:rsidRPr="005F055E" w:rsidR="00E24EC6" w:rsidP="00180EEB" w:rsidRDefault="00E24EC6" w14:paraId="56A7FCBB" w14:textId="77777777">
            <w:pPr>
              <w:suppressAutoHyphens/>
              <w:rPr>
                <w:b/>
                <w:bCs/>
              </w:rPr>
            </w:pPr>
            <w:r w:rsidRPr="005F055E">
              <w:rPr>
                <w:b/>
                <w:bCs/>
                <w:color w:val="000000"/>
                <w:szCs w:val="18"/>
              </w:rPr>
              <w:t>2026</w:t>
            </w:r>
          </w:p>
        </w:tc>
        <w:tc>
          <w:tcPr>
            <w:tcW w:w="852" w:type="dxa"/>
          </w:tcPr>
          <w:p w:rsidRPr="005F055E" w:rsidR="00E24EC6" w:rsidP="00180EEB" w:rsidRDefault="00E24EC6" w14:paraId="05976CE7" w14:textId="77777777">
            <w:pPr>
              <w:suppressAutoHyphens/>
              <w:rPr>
                <w:b/>
                <w:bCs/>
              </w:rPr>
            </w:pPr>
            <w:r w:rsidRPr="005F055E">
              <w:rPr>
                <w:b/>
                <w:bCs/>
                <w:color w:val="000000"/>
                <w:szCs w:val="18"/>
              </w:rPr>
              <w:t>2027</w:t>
            </w:r>
          </w:p>
        </w:tc>
        <w:tc>
          <w:tcPr>
            <w:tcW w:w="849" w:type="dxa"/>
            <w:hideMark/>
          </w:tcPr>
          <w:p w:rsidRPr="005F055E" w:rsidR="00E24EC6" w:rsidP="00180EEB" w:rsidRDefault="00E24EC6" w14:paraId="1D397AAA" w14:textId="77777777">
            <w:pPr>
              <w:suppressAutoHyphens/>
              <w:rPr>
                <w:b/>
                <w:bCs/>
              </w:rPr>
            </w:pPr>
            <w:proofErr w:type="spellStart"/>
            <w:r w:rsidRPr="005F055E">
              <w:rPr>
                <w:b/>
                <w:bCs/>
                <w:color w:val="000000"/>
                <w:szCs w:val="18"/>
              </w:rPr>
              <w:t>Struc</w:t>
            </w:r>
            <w:proofErr w:type="spellEnd"/>
          </w:p>
        </w:tc>
        <w:tc>
          <w:tcPr>
            <w:tcW w:w="945" w:type="dxa"/>
            <w:hideMark/>
          </w:tcPr>
          <w:p w:rsidRPr="005F055E" w:rsidR="00E24EC6" w:rsidP="00180EEB" w:rsidRDefault="00E24EC6" w14:paraId="41238DB2" w14:textId="77777777">
            <w:pPr>
              <w:suppressAutoHyphens/>
              <w:rPr>
                <w:b/>
                <w:bCs/>
              </w:rPr>
            </w:pPr>
            <w:proofErr w:type="spellStart"/>
            <w:r w:rsidRPr="005F055E">
              <w:rPr>
                <w:b/>
                <w:bCs/>
                <w:color w:val="000000"/>
                <w:szCs w:val="18"/>
              </w:rPr>
              <w:t>Struc</w:t>
            </w:r>
            <w:proofErr w:type="spellEnd"/>
            <w:r w:rsidRPr="005F055E">
              <w:rPr>
                <w:b/>
                <w:bCs/>
                <w:color w:val="000000"/>
                <w:szCs w:val="18"/>
              </w:rPr>
              <w:t xml:space="preserve"> in jaar</w:t>
            </w:r>
          </w:p>
        </w:tc>
        <w:tc>
          <w:tcPr>
            <w:tcW w:w="3113" w:type="dxa"/>
            <w:noWrap/>
            <w:hideMark/>
          </w:tcPr>
          <w:p w:rsidRPr="005F055E" w:rsidR="00E24EC6" w:rsidP="00180EEB" w:rsidRDefault="00E24EC6" w14:paraId="0BFFB983" w14:textId="77777777">
            <w:pPr>
              <w:suppressAutoHyphens/>
              <w:rPr>
                <w:b/>
                <w:bCs/>
              </w:rPr>
            </w:pPr>
            <w:r w:rsidRPr="005F055E">
              <w:rPr>
                <w:b/>
                <w:bCs/>
                <w:color w:val="000000"/>
                <w:szCs w:val="18"/>
              </w:rPr>
              <w:t>Toelichting</w:t>
            </w:r>
          </w:p>
        </w:tc>
      </w:tr>
      <w:tr w:rsidRPr="005F055E" w:rsidR="00E24EC6" w:rsidTr="00E24EC6" w14:paraId="34BAE750" w14:textId="77777777">
        <w:trPr>
          <w:trHeight w:val="225"/>
        </w:trPr>
        <w:tc>
          <w:tcPr>
            <w:tcW w:w="1838" w:type="dxa"/>
            <w:hideMark/>
          </w:tcPr>
          <w:p w:rsidRPr="005F055E" w:rsidR="00E24EC6" w:rsidP="00180EEB" w:rsidRDefault="00E24EC6" w14:paraId="02420EE9" w14:textId="77777777">
            <w:pPr>
              <w:suppressAutoHyphens/>
            </w:pPr>
            <w:r w:rsidRPr="005F055E">
              <w:rPr>
                <w:color w:val="000000"/>
                <w:szCs w:val="18"/>
              </w:rPr>
              <w:t>Valpreventie bij 65-plussers</w:t>
            </w:r>
          </w:p>
        </w:tc>
        <w:tc>
          <w:tcPr>
            <w:tcW w:w="851" w:type="dxa"/>
            <w:hideMark/>
          </w:tcPr>
          <w:p w:rsidRPr="005F055E" w:rsidR="00E24EC6" w:rsidP="00180EEB" w:rsidRDefault="00E24EC6" w14:paraId="3B42B0F9" w14:textId="77777777">
            <w:pPr>
              <w:suppressAutoHyphens/>
            </w:pPr>
            <w:r w:rsidRPr="005F055E">
              <w:rPr>
                <w:color w:val="000000"/>
                <w:szCs w:val="18"/>
              </w:rPr>
              <w:t>-30</w:t>
            </w:r>
          </w:p>
        </w:tc>
        <w:tc>
          <w:tcPr>
            <w:tcW w:w="850" w:type="dxa"/>
          </w:tcPr>
          <w:p w:rsidRPr="005F055E" w:rsidR="00E24EC6" w:rsidP="00180EEB" w:rsidRDefault="00E24EC6" w14:paraId="088C205F" w14:textId="77777777">
            <w:pPr>
              <w:suppressAutoHyphens/>
            </w:pPr>
            <w:r w:rsidRPr="005F055E">
              <w:rPr>
                <w:color w:val="000000"/>
                <w:szCs w:val="18"/>
              </w:rPr>
              <w:t>-38</w:t>
            </w:r>
          </w:p>
        </w:tc>
        <w:tc>
          <w:tcPr>
            <w:tcW w:w="852" w:type="dxa"/>
          </w:tcPr>
          <w:p w:rsidRPr="005F055E" w:rsidR="00E24EC6" w:rsidP="00180EEB" w:rsidRDefault="00E24EC6" w14:paraId="02C293D0" w14:textId="77777777">
            <w:pPr>
              <w:suppressAutoHyphens/>
            </w:pPr>
            <w:r w:rsidRPr="005F055E">
              <w:rPr>
                <w:color w:val="000000"/>
                <w:szCs w:val="18"/>
              </w:rPr>
              <w:t>-46</w:t>
            </w:r>
          </w:p>
        </w:tc>
        <w:tc>
          <w:tcPr>
            <w:tcW w:w="849" w:type="dxa"/>
            <w:hideMark/>
          </w:tcPr>
          <w:p w:rsidRPr="005F055E" w:rsidR="00E24EC6" w:rsidP="00180EEB" w:rsidRDefault="00E24EC6" w14:paraId="7DAD47FC" w14:textId="77777777">
            <w:pPr>
              <w:suppressAutoHyphens/>
            </w:pPr>
            <w:r w:rsidRPr="005F055E">
              <w:rPr>
                <w:color w:val="000000"/>
                <w:szCs w:val="18"/>
              </w:rPr>
              <w:t>-75</w:t>
            </w:r>
          </w:p>
        </w:tc>
        <w:tc>
          <w:tcPr>
            <w:tcW w:w="945" w:type="dxa"/>
            <w:hideMark/>
          </w:tcPr>
          <w:p w:rsidRPr="005F055E" w:rsidR="00E24EC6" w:rsidP="00180EEB" w:rsidRDefault="00E24EC6" w14:paraId="7BAF7BF1" w14:textId="77777777">
            <w:pPr>
              <w:suppressAutoHyphens/>
            </w:pPr>
            <w:r w:rsidRPr="005F055E">
              <w:rPr>
                <w:color w:val="000000"/>
                <w:szCs w:val="18"/>
              </w:rPr>
              <w:t>2031</w:t>
            </w:r>
          </w:p>
        </w:tc>
        <w:tc>
          <w:tcPr>
            <w:tcW w:w="3113" w:type="dxa"/>
            <w:noWrap/>
            <w:hideMark/>
          </w:tcPr>
          <w:p w:rsidRPr="005F055E" w:rsidR="00E24EC6" w:rsidP="00180EEB" w:rsidRDefault="00E24EC6" w14:paraId="1632C4F7" w14:textId="77777777">
            <w:pPr>
              <w:suppressAutoHyphens/>
            </w:pPr>
            <w:r w:rsidRPr="005F055E">
              <w:rPr>
                <w:color w:val="000000"/>
              </w:rPr>
              <w:t>Deze maatregel wordt uitgevoerd als onderdeel van het IZA/AZWA.</w:t>
            </w:r>
          </w:p>
        </w:tc>
      </w:tr>
      <w:tr w:rsidRPr="005F055E" w:rsidR="00E24EC6" w:rsidTr="00E24EC6" w14:paraId="052EEB07" w14:textId="77777777">
        <w:trPr>
          <w:trHeight w:val="450"/>
        </w:trPr>
        <w:tc>
          <w:tcPr>
            <w:tcW w:w="1838" w:type="dxa"/>
            <w:hideMark/>
          </w:tcPr>
          <w:p w:rsidRPr="005F055E" w:rsidR="00E24EC6" w:rsidP="00180EEB" w:rsidRDefault="00E24EC6" w14:paraId="0148A8A8" w14:textId="77777777">
            <w:pPr>
              <w:suppressAutoHyphens/>
            </w:pPr>
            <w:r w:rsidRPr="005F055E">
              <w:rPr>
                <w:color w:val="000000"/>
              </w:rPr>
              <w:t xml:space="preserve">Passende zorg als norm (enkel bewezen effectieve zorg) in </w:t>
            </w:r>
            <w:proofErr w:type="spellStart"/>
            <w:r w:rsidRPr="005F055E">
              <w:rPr>
                <w:color w:val="000000"/>
              </w:rPr>
              <w:t>Zvw</w:t>
            </w:r>
            <w:proofErr w:type="spellEnd"/>
          </w:p>
        </w:tc>
        <w:tc>
          <w:tcPr>
            <w:tcW w:w="851" w:type="dxa"/>
            <w:hideMark/>
          </w:tcPr>
          <w:p w:rsidRPr="005F055E" w:rsidR="00E24EC6" w:rsidP="00180EEB" w:rsidRDefault="00E24EC6" w14:paraId="5B7AD82C" w14:textId="77777777">
            <w:pPr>
              <w:suppressAutoHyphens/>
            </w:pPr>
            <w:r w:rsidRPr="005F055E">
              <w:rPr>
                <w:color w:val="000000"/>
                <w:szCs w:val="18"/>
              </w:rPr>
              <w:t>60</w:t>
            </w:r>
          </w:p>
        </w:tc>
        <w:tc>
          <w:tcPr>
            <w:tcW w:w="850" w:type="dxa"/>
          </w:tcPr>
          <w:p w:rsidRPr="005F055E" w:rsidR="00E24EC6" w:rsidP="00180EEB" w:rsidRDefault="00E24EC6" w14:paraId="12C3F118" w14:textId="77777777">
            <w:pPr>
              <w:suppressAutoHyphens/>
            </w:pPr>
            <w:r w:rsidRPr="005F055E">
              <w:rPr>
                <w:color w:val="000000"/>
                <w:szCs w:val="18"/>
              </w:rPr>
              <w:t>30</w:t>
            </w:r>
          </w:p>
        </w:tc>
        <w:tc>
          <w:tcPr>
            <w:tcW w:w="852" w:type="dxa"/>
          </w:tcPr>
          <w:p w:rsidRPr="005F055E" w:rsidR="00E24EC6" w:rsidP="00180EEB" w:rsidRDefault="00E24EC6" w14:paraId="0204F43F" w14:textId="77777777">
            <w:pPr>
              <w:suppressAutoHyphens/>
            </w:pPr>
            <w:r w:rsidRPr="005F055E">
              <w:rPr>
                <w:color w:val="000000"/>
                <w:szCs w:val="18"/>
              </w:rPr>
              <w:t>-20</w:t>
            </w:r>
          </w:p>
        </w:tc>
        <w:tc>
          <w:tcPr>
            <w:tcW w:w="849" w:type="dxa"/>
            <w:hideMark/>
          </w:tcPr>
          <w:p w:rsidRPr="005F055E" w:rsidR="00E24EC6" w:rsidP="00180EEB" w:rsidRDefault="00E24EC6" w14:paraId="131AD627" w14:textId="77777777">
            <w:pPr>
              <w:suppressAutoHyphens/>
            </w:pPr>
            <w:r w:rsidRPr="005F055E">
              <w:rPr>
                <w:color w:val="000000"/>
                <w:szCs w:val="18"/>
              </w:rPr>
              <w:t>-1.140</w:t>
            </w:r>
          </w:p>
        </w:tc>
        <w:tc>
          <w:tcPr>
            <w:tcW w:w="945" w:type="dxa"/>
            <w:hideMark/>
          </w:tcPr>
          <w:p w:rsidRPr="005F055E" w:rsidR="00E24EC6" w:rsidP="00180EEB" w:rsidRDefault="00E24EC6" w14:paraId="079651AB" w14:textId="77777777">
            <w:pPr>
              <w:suppressAutoHyphens/>
            </w:pPr>
            <w:r w:rsidRPr="005F055E">
              <w:rPr>
                <w:color w:val="000000"/>
                <w:szCs w:val="18"/>
              </w:rPr>
              <w:t>2037</w:t>
            </w:r>
          </w:p>
        </w:tc>
        <w:tc>
          <w:tcPr>
            <w:tcW w:w="3113" w:type="dxa"/>
            <w:noWrap/>
            <w:hideMark/>
          </w:tcPr>
          <w:p w:rsidRPr="005F055E" w:rsidR="00E24EC6" w:rsidP="00180EEB" w:rsidRDefault="00E24EC6" w14:paraId="2CC7B9C8" w14:textId="77777777">
            <w:pPr>
              <w:suppressAutoHyphens/>
            </w:pPr>
            <w:r w:rsidRPr="005F055E">
              <w:rPr>
                <w:color w:val="000000"/>
              </w:rPr>
              <w:t>Deze maatregel is in gang gezet als onderdeel van het IZA. Onderdelen van de aanpak worden nog verder uitgewerkt.</w:t>
            </w:r>
          </w:p>
        </w:tc>
      </w:tr>
      <w:tr w:rsidRPr="005F055E" w:rsidR="00E24EC6" w:rsidTr="00E24EC6" w14:paraId="6E1E04BD" w14:textId="77777777">
        <w:trPr>
          <w:trHeight w:val="450"/>
        </w:trPr>
        <w:tc>
          <w:tcPr>
            <w:tcW w:w="1838" w:type="dxa"/>
            <w:hideMark/>
          </w:tcPr>
          <w:p w:rsidRPr="005F055E" w:rsidR="00E24EC6" w:rsidP="00180EEB" w:rsidRDefault="00E24EC6" w14:paraId="73FB15F3" w14:textId="77777777">
            <w:pPr>
              <w:suppressAutoHyphens/>
            </w:pPr>
            <w:r w:rsidRPr="005F055E">
              <w:rPr>
                <w:color w:val="000000"/>
              </w:rPr>
              <w:t>Doelmatige inkoop geneesmiddelen en medische technologie</w:t>
            </w:r>
          </w:p>
        </w:tc>
        <w:tc>
          <w:tcPr>
            <w:tcW w:w="851" w:type="dxa"/>
            <w:hideMark/>
          </w:tcPr>
          <w:p w:rsidRPr="005F055E" w:rsidR="00E24EC6" w:rsidP="00180EEB" w:rsidRDefault="00E24EC6" w14:paraId="02860424" w14:textId="77777777">
            <w:pPr>
              <w:suppressAutoHyphens/>
            </w:pPr>
            <w:r w:rsidRPr="005F055E">
              <w:rPr>
                <w:color w:val="000000"/>
                <w:szCs w:val="18"/>
              </w:rPr>
              <w:t>-50</w:t>
            </w:r>
          </w:p>
        </w:tc>
        <w:tc>
          <w:tcPr>
            <w:tcW w:w="850" w:type="dxa"/>
          </w:tcPr>
          <w:p w:rsidRPr="005F055E" w:rsidR="00E24EC6" w:rsidP="00180EEB" w:rsidRDefault="00E24EC6" w14:paraId="6A598C1A" w14:textId="77777777">
            <w:pPr>
              <w:suppressAutoHyphens/>
            </w:pPr>
            <w:r w:rsidRPr="005F055E">
              <w:rPr>
                <w:color w:val="000000"/>
                <w:szCs w:val="18"/>
              </w:rPr>
              <w:t>-65</w:t>
            </w:r>
          </w:p>
        </w:tc>
        <w:tc>
          <w:tcPr>
            <w:tcW w:w="852" w:type="dxa"/>
          </w:tcPr>
          <w:p w:rsidRPr="005F055E" w:rsidR="00E24EC6" w:rsidP="00180EEB" w:rsidRDefault="00E24EC6" w14:paraId="0860B60A" w14:textId="77777777">
            <w:pPr>
              <w:suppressAutoHyphens/>
            </w:pPr>
            <w:r w:rsidRPr="005F055E">
              <w:rPr>
                <w:color w:val="000000"/>
                <w:szCs w:val="18"/>
              </w:rPr>
              <w:t>-80</w:t>
            </w:r>
          </w:p>
        </w:tc>
        <w:tc>
          <w:tcPr>
            <w:tcW w:w="849" w:type="dxa"/>
            <w:hideMark/>
          </w:tcPr>
          <w:p w:rsidRPr="005F055E" w:rsidR="00E24EC6" w:rsidP="00180EEB" w:rsidRDefault="00E24EC6" w14:paraId="01345A07" w14:textId="77777777">
            <w:pPr>
              <w:suppressAutoHyphens/>
            </w:pPr>
            <w:r w:rsidRPr="005F055E">
              <w:rPr>
                <w:color w:val="000000"/>
                <w:szCs w:val="18"/>
              </w:rPr>
              <w:t>-130</w:t>
            </w:r>
          </w:p>
        </w:tc>
        <w:tc>
          <w:tcPr>
            <w:tcW w:w="945" w:type="dxa"/>
            <w:hideMark/>
          </w:tcPr>
          <w:p w:rsidRPr="005F055E" w:rsidR="00E24EC6" w:rsidP="00180EEB" w:rsidRDefault="00E24EC6" w14:paraId="506E8174" w14:textId="77777777">
            <w:pPr>
              <w:suppressAutoHyphens/>
            </w:pPr>
            <w:r w:rsidRPr="005F055E">
              <w:rPr>
                <w:color w:val="000000"/>
                <w:szCs w:val="18"/>
              </w:rPr>
              <w:t>2032</w:t>
            </w:r>
          </w:p>
        </w:tc>
        <w:tc>
          <w:tcPr>
            <w:tcW w:w="3113" w:type="dxa"/>
            <w:noWrap/>
            <w:hideMark/>
          </w:tcPr>
          <w:p w:rsidRPr="005F055E" w:rsidR="00E24EC6" w:rsidP="00180EEB" w:rsidRDefault="00E24EC6" w14:paraId="3A6920D9" w14:textId="77777777">
            <w:pPr>
              <w:suppressAutoHyphens/>
            </w:pPr>
            <w:r w:rsidRPr="005F055E">
              <w:rPr>
                <w:color w:val="000000"/>
              </w:rPr>
              <w:t>Met de aanpassing van de sluiscriteria per 1 juli 2023 is de invulling van deze maatregel afgerond.</w:t>
            </w:r>
          </w:p>
        </w:tc>
      </w:tr>
      <w:tr w:rsidRPr="005F055E" w:rsidR="00E24EC6" w:rsidTr="00E24EC6" w14:paraId="7DA13E77" w14:textId="77777777">
        <w:trPr>
          <w:trHeight w:val="225"/>
        </w:trPr>
        <w:tc>
          <w:tcPr>
            <w:tcW w:w="1838" w:type="dxa"/>
            <w:hideMark/>
          </w:tcPr>
          <w:p w:rsidRPr="005F055E" w:rsidR="00E24EC6" w:rsidP="00180EEB" w:rsidRDefault="00E24EC6" w14:paraId="10A8B3AF" w14:textId="77777777">
            <w:pPr>
              <w:suppressAutoHyphens/>
            </w:pPr>
            <w:r w:rsidRPr="005F055E">
              <w:rPr>
                <w:color w:val="000000"/>
                <w:szCs w:val="18"/>
              </w:rPr>
              <w:t>Standaardisatie gegevensuitwisseling</w:t>
            </w:r>
          </w:p>
        </w:tc>
        <w:tc>
          <w:tcPr>
            <w:tcW w:w="851" w:type="dxa"/>
            <w:hideMark/>
          </w:tcPr>
          <w:p w:rsidRPr="005F055E" w:rsidR="00E24EC6" w:rsidP="00180EEB" w:rsidRDefault="00E24EC6" w14:paraId="3301FF24" w14:textId="77777777">
            <w:pPr>
              <w:suppressAutoHyphens/>
            </w:pPr>
            <w:r w:rsidRPr="005F055E">
              <w:rPr>
                <w:color w:val="000000"/>
                <w:szCs w:val="18"/>
              </w:rPr>
              <w:t>200</w:t>
            </w:r>
          </w:p>
        </w:tc>
        <w:tc>
          <w:tcPr>
            <w:tcW w:w="850" w:type="dxa"/>
          </w:tcPr>
          <w:p w:rsidRPr="005F055E" w:rsidR="00E24EC6" w:rsidP="00180EEB" w:rsidRDefault="00E24EC6" w14:paraId="6EA5D540" w14:textId="77777777">
            <w:pPr>
              <w:suppressAutoHyphens/>
            </w:pPr>
            <w:r w:rsidRPr="005F055E">
              <w:rPr>
                <w:color w:val="000000"/>
                <w:szCs w:val="18"/>
              </w:rPr>
              <w:t>200</w:t>
            </w:r>
          </w:p>
        </w:tc>
        <w:tc>
          <w:tcPr>
            <w:tcW w:w="852" w:type="dxa"/>
          </w:tcPr>
          <w:p w:rsidRPr="005F055E" w:rsidR="00E24EC6" w:rsidP="00180EEB" w:rsidRDefault="00E24EC6" w14:paraId="6AF2FBE6" w14:textId="77777777">
            <w:pPr>
              <w:suppressAutoHyphens/>
            </w:pPr>
            <w:r w:rsidRPr="005F055E">
              <w:rPr>
                <w:color w:val="000000"/>
                <w:szCs w:val="18"/>
              </w:rPr>
              <w:t>87</w:t>
            </w:r>
          </w:p>
        </w:tc>
        <w:tc>
          <w:tcPr>
            <w:tcW w:w="849" w:type="dxa"/>
            <w:hideMark/>
          </w:tcPr>
          <w:p w:rsidRPr="005F055E" w:rsidR="00E24EC6" w:rsidP="00180EEB" w:rsidRDefault="00E24EC6" w14:paraId="06B685F1" w14:textId="77777777">
            <w:pPr>
              <w:suppressAutoHyphens/>
            </w:pPr>
            <w:r w:rsidRPr="005F055E">
              <w:rPr>
                <w:color w:val="000000"/>
                <w:szCs w:val="18"/>
              </w:rPr>
              <w:t>-340</w:t>
            </w:r>
          </w:p>
        </w:tc>
        <w:tc>
          <w:tcPr>
            <w:tcW w:w="945" w:type="dxa"/>
            <w:hideMark/>
          </w:tcPr>
          <w:p w:rsidRPr="005F055E" w:rsidR="00E24EC6" w:rsidP="00180EEB" w:rsidRDefault="00E24EC6" w14:paraId="233D2ADF" w14:textId="77777777">
            <w:pPr>
              <w:suppressAutoHyphens/>
            </w:pPr>
            <w:r w:rsidRPr="005F055E">
              <w:rPr>
                <w:color w:val="000000"/>
                <w:szCs w:val="18"/>
              </w:rPr>
              <w:t>2029</w:t>
            </w:r>
          </w:p>
        </w:tc>
        <w:tc>
          <w:tcPr>
            <w:tcW w:w="3113" w:type="dxa"/>
            <w:noWrap/>
            <w:hideMark/>
          </w:tcPr>
          <w:p w:rsidRPr="005F055E" w:rsidR="00E24EC6" w:rsidP="00180EEB" w:rsidRDefault="00E24EC6" w14:paraId="7CA268F3" w14:textId="77777777">
            <w:pPr>
              <w:suppressAutoHyphens/>
            </w:pPr>
            <w:r w:rsidRPr="005F055E">
              <w:rPr>
                <w:color w:val="000000"/>
              </w:rPr>
              <w:t>De uitvoering van deze maatregel is gestart. Op onderdelen wordt nog nadere uitwerking gepland. Deze maatregel leidt per 2027 per saldo tot een ombuiging.</w:t>
            </w:r>
          </w:p>
        </w:tc>
      </w:tr>
      <w:tr w:rsidRPr="005F055E" w:rsidR="00E24EC6" w:rsidTr="00E24EC6" w14:paraId="723C073F" w14:textId="77777777">
        <w:trPr>
          <w:trHeight w:val="225"/>
        </w:trPr>
        <w:tc>
          <w:tcPr>
            <w:tcW w:w="1838" w:type="dxa"/>
            <w:hideMark/>
          </w:tcPr>
          <w:p w:rsidRPr="005F055E" w:rsidR="00E24EC6" w:rsidP="00180EEB" w:rsidRDefault="00E24EC6" w14:paraId="2DE655BD" w14:textId="77777777">
            <w:pPr>
              <w:suppressAutoHyphens/>
            </w:pPr>
            <w:r w:rsidRPr="005F055E">
              <w:rPr>
                <w:color w:val="000000"/>
                <w:szCs w:val="18"/>
              </w:rPr>
              <w:t xml:space="preserve">Stimuleren </w:t>
            </w:r>
            <w:proofErr w:type="spellStart"/>
            <w:r w:rsidRPr="005F055E">
              <w:rPr>
                <w:color w:val="000000"/>
                <w:szCs w:val="18"/>
              </w:rPr>
              <w:t>anderhalvelijnszorg</w:t>
            </w:r>
            <w:proofErr w:type="spellEnd"/>
          </w:p>
        </w:tc>
        <w:tc>
          <w:tcPr>
            <w:tcW w:w="851" w:type="dxa"/>
            <w:hideMark/>
          </w:tcPr>
          <w:p w:rsidRPr="005F055E" w:rsidR="00E24EC6" w:rsidP="00180EEB" w:rsidRDefault="00E24EC6" w14:paraId="78740CE6" w14:textId="77777777">
            <w:pPr>
              <w:suppressAutoHyphens/>
            </w:pPr>
            <w:r w:rsidRPr="005F055E">
              <w:rPr>
                <w:color w:val="000000"/>
                <w:szCs w:val="18"/>
              </w:rPr>
              <w:t>0</w:t>
            </w:r>
          </w:p>
        </w:tc>
        <w:tc>
          <w:tcPr>
            <w:tcW w:w="850" w:type="dxa"/>
          </w:tcPr>
          <w:p w:rsidRPr="005F055E" w:rsidR="00E24EC6" w:rsidP="00180EEB" w:rsidRDefault="00E24EC6" w14:paraId="171FBA36" w14:textId="77777777">
            <w:pPr>
              <w:suppressAutoHyphens/>
            </w:pPr>
            <w:r w:rsidRPr="005F055E">
              <w:rPr>
                <w:color w:val="000000"/>
                <w:szCs w:val="18"/>
              </w:rPr>
              <w:t>0</w:t>
            </w:r>
          </w:p>
        </w:tc>
        <w:tc>
          <w:tcPr>
            <w:tcW w:w="852" w:type="dxa"/>
          </w:tcPr>
          <w:p w:rsidRPr="005F055E" w:rsidR="00E24EC6" w:rsidP="00180EEB" w:rsidRDefault="00E24EC6" w14:paraId="37375766" w14:textId="77777777">
            <w:pPr>
              <w:suppressAutoHyphens/>
            </w:pPr>
            <w:r w:rsidRPr="005F055E">
              <w:rPr>
                <w:color w:val="000000"/>
                <w:szCs w:val="18"/>
              </w:rPr>
              <w:t>-50</w:t>
            </w:r>
          </w:p>
        </w:tc>
        <w:tc>
          <w:tcPr>
            <w:tcW w:w="849" w:type="dxa"/>
            <w:hideMark/>
          </w:tcPr>
          <w:p w:rsidRPr="005F055E" w:rsidR="00E24EC6" w:rsidP="00180EEB" w:rsidRDefault="00E24EC6" w14:paraId="6120BD38" w14:textId="77777777">
            <w:pPr>
              <w:suppressAutoHyphens/>
            </w:pPr>
            <w:r w:rsidRPr="005F055E">
              <w:rPr>
                <w:color w:val="000000"/>
                <w:szCs w:val="18"/>
              </w:rPr>
              <w:t>-50</w:t>
            </w:r>
          </w:p>
        </w:tc>
        <w:tc>
          <w:tcPr>
            <w:tcW w:w="945" w:type="dxa"/>
            <w:hideMark/>
          </w:tcPr>
          <w:p w:rsidRPr="005F055E" w:rsidR="00E24EC6" w:rsidP="00180EEB" w:rsidRDefault="00E24EC6" w14:paraId="4007ED07" w14:textId="77777777">
            <w:pPr>
              <w:suppressAutoHyphens/>
            </w:pPr>
            <w:r w:rsidRPr="005F055E">
              <w:rPr>
                <w:color w:val="000000"/>
                <w:szCs w:val="18"/>
              </w:rPr>
              <w:t>2027</w:t>
            </w:r>
          </w:p>
        </w:tc>
        <w:tc>
          <w:tcPr>
            <w:tcW w:w="3113" w:type="dxa"/>
            <w:noWrap/>
            <w:hideMark/>
          </w:tcPr>
          <w:p w:rsidRPr="005F055E" w:rsidR="00E24EC6" w:rsidP="00180EEB" w:rsidRDefault="00E24EC6" w14:paraId="0B1CFDAA" w14:textId="77777777">
            <w:pPr>
              <w:suppressAutoHyphens/>
            </w:pPr>
            <w:r w:rsidRPr="005F055E">
              <w:rPr>
                <w:color w:val="000000"/>
              </w:rPr>
              <w:t xml:space="preserve">Deze maatregel loopt mee in het AZWA. Deze maatregel leidt vanaf 2027 tot een ombuiging. </w:t>
            </w:r>
          </w:p>
        </w:tc>
      </w:tr>
      <w:tr w:rsidRPr="005F055E" w:rsidR="00E24EC6" w:rsidTr="00E24EC6" w14:paraId="724B07A3" w14:textId="77777777">
        <w:trPr>
          <w:trHeight w:val="450"/>
        </w:trPr>
        <w:tc>
          <w:tcPr>
            <w:tcW w:w="1838" w:type="dxa"/>
            <w:hideMark/>
          </w:tcPr>
          <w:p w:rsidRPr="005F055E" w:rsidR="00E24EC6" w:rsidP="00180EEB" w:rsidRDefault="00E24EC6" w14:paraId="03EEE757" w14:textId="77777777">
            <w:pPr>
              <w:suppressAutoHyphens/>
            </w:pPr>
            <w:r w:rsidRPr="005F055E">
              <w:rPr>
                <w:color w:val="000000"/>
              </w:rPr>
              <w:t xml:space="preserve">Standaardisatie inkoop- en verantwoordingseisen </w:t>
            </w:r>
            <w:proofErr w:type="spellStart"/>
            <w:r w:rsidRPr="005F055E">
              <w:rPr>
                <w:color w:val="000000"/>
              </w:rPr>
              <w:t>Zvw</w:t>
            </w:r>
            <w:proofErr w:type="spellEnd"/>
          </w:p>
        </w:tc>
        <w:tc>
          <w:tcPr>
            <w:tcW w:w="851" w:type="dxa"/>
            <w:hideMark/>
          </w:tcPr>
          <w:p w:rsidRPr="005F055E" w:rsidR="00E24EC6" w:rsidP="00180EEB" w:rsidRDefault="00E24EC6" w14:paraId="7F2D93FF" w14:textId="77777777">
            <w:pPr>
              <w:suppressAutoHyphens/>
            </w:pPr>
            <w:r w:rsidRPr="005F055E">
              <w:rPr>
                <w:color w:val="000000"/>
                <w:szCs w:val="18"/>
              </w:rPr>
              <w:t>-30</w:t>
            </w:r>
          </w:p>
        </w:tc>
        <w:tc>
          <w:tcPr>
            <w:tcW w:w="850" w:type="dxa"/>
          </w:tcPr>
          <w:p w:rsidRPr="005F055E" w:rsidR="00E24EC6" w:rsidP="00180EEB" w:rsidRDefault="00E24EC6" w14:paraId="1293A1F7" w14:textId="77777777">
            <w:pPr>
              <w:suppressAutoHyphens/>
            </w:pPr>
            <w:r w:rsidRPr="005F055E">
              <w:rPr>
                <w:color w:val="000000"/>
                <w:szCs w:val="18"/>
              </w:rPr>
              <w:t>-30</w:t>
            </w:r>
          </w:p>
        </w:tc>
        <w:tc>
          <w:tcPr>
            <w:tcW w:w="852" w:type="dxa"/>
          </w:tcPr>
          <w:p w:rsidRPr="005F055E" w:rsidR="00E24EC6" w:rsidP="00180EEB" w:rsidRDefault="00E24EC6" w14:paraId="44B92BD0" w14:textId="77777777">
            <w:pPr>
              <w:suppressAutoHyphens/>
            </w:pPr>
            <w:r w:rsidRPr="005F055E">
              <w:rPr>
                <w:color w:val="000000"/>
                <w:szCs w:val="18"/>
              </w:rPr>
              <w:t>30</w:t>
            </w:r>
          </w:p>
        </w:tc>
        <w:tc>
          <w:tcPr>
            <w:tcW w:w="849" w:type="dxa"/>
            <w:hideMark/>
          </w:tcPr>
          <w:p w:rsidRPr="005F055E" w:rsidR="00E24EC6" w:rsidP="00180EEB" w:rsidRDefault="00E24EC6" w14:paraId="0ED2B56A" w14:textId="77777777">
            <w:pPr>
              <w:suppressAutoHyphens/>
            </w:pPr>
            <w:r w:rsidRPr="005F055E">
              <w:rPr>
                <w:color w:val="000000"/>
                <w:szCs w:val="18"/>
              </w:rPr>
              <w:t>-30</w:t>
            </w:r>
          </w:p>
        </w:tc>
        <w:tc>
          <w:tcPr>
            <w:tcW w:w="945" w:type="dxa"/>
            <w:hideMark/>
          </w:tcPr>
          <w:p w:rsidRPr="005F055E" w:rsidR="00E24EC6" w:rsidP="00180EEB" w:rsidRDefault="00E24EC6" w14:paraId="448657BC" w14:textId="77777777">
            <w:pPr>
              <w:suppressAutoHyphens/>
            </w:pPr>
            <w:r w:rsidRPr="005F055E">
              <w:rPr>
                <w:color w:val="000000"/>
                <w:szCs w:val="18"/>
              </w:rPr>
              <w:t>2024</w:t>
            </w:r>
          </w:p>
        </w:tc>
        <w:tc>
          <w:tcPr>
            <w:tcW w:w="3113" w:type="dxa"/>
            <w:noWrap/>
            <w:hideMark/>
          </w:tcPr>
          <w:p w:rsidRPr="005F055E" w:rsidR="00E24EC6" w:rsidP="00180EEB" w:rsidRDefault="00E24EC6" w14:paraId="70E091EC" w14:textId="77777777">
            <w:pPr>
              <w:suppressAutoHyphens/>
            </w:pPr>
            <w:r w:rsidRPr="005F055E">
              <w:rPr>
                <w:color w:val="000000"/>
              </w:rPr>
              <w:t>Deze maatregel is gerealiseerd. Hij loopt grotendeels mee in het IZA en is structureel in het IZA-kader en de kaders van enkele niet-IZA-sectoren verwerkt.</w:t>
            </w:r>
          </w:p>
        </w:tc>
      </w:tr>
      <w:tr w:rsidRPr="005F055E" w:rsidR="00E24EC6" w:rsidTr="00E24EC6" w14:paraId="14141357" w14:textId="77777777">
        <w:trPr>
          <w:trHeight w:val="225"/>
        </w:trPr>
        <w:tc>
          <w:tcPr>
            <w:tcW w:w="1838" w:type="dxa"/>
            <w:hideMark/>
          </w:tcPr>
          <w:p w:rsidRPr="005F055E" w:rsidR="00E24EC6" w:rsidP="00180EEB" w:rsidRDefault="00E24EC6" w14:paraId="4370F0A0" w14:textId="77777777">
            <w:pPr>
              <w:suppressAutoHyphens/>
            </w:pPr>
            <w:r w:rsidRPr="005F055E">
              <w:rPr>
                <w:color w:val="000000"/>
              </w:rPr>
              <w:t>Juiste zorg op de juiste plek</w:t>
            </w:r>
          </w:p>
        </w:tc>
        <w:tc>
          <w:tcPr>
            <w:tcW w:w="851" w:type="dxa"/>
            <w:hideMark/>
          </w:tcPr>
          <w:p w:rsidRPr="005F055E" w:rsidR="00E24EC6" w:rsidP="00180EEB" w:rsidRDefault="00E24EC6" w14:paraId="5ECC0011" w14:textId="77777777">
            <w:pPr>
              <w:suppressAutoHyphens/>
            </w:pPr>
            <w:r w:rsidRPr="005F055E">
              <w:rPr>
                <w:color w:val="000000"/>
                <w:szCs w:val="18"/>
              </w:rPr>
              <w:t>280</w:t>
            </w:r>
          </w:p>
        </w:tc>
        <w:tc>
          <w:tcPr>
            <w:tcW w:w="850" w:type="dxa"/>
          </w:tcPr>
          <w:p w:rsidRPr="005F055E" w:rsidR="00E24EC6" w:rsidP="00180EEB" w:rsidRDefault="00E24EC6" w14:paraId="532B7320" w14:textId="77777777">
            <w:pPr>
              <w:suppressAutoHyphens/>
            </w:pPr>
            <w:r w:rsidRPr="005F055E">
              <w:rPr>
                <w:color w:val="000000"/>
                <w:szCs w:val="18"/>
              </w:rPr>
              <w:t>180</w:t>
            </w:r>
          </w:p>
        </w:tc>
        <w:tc>
          <w:tcPr>
            <w:tcW w:w="852" w:type="dxa"/>
          </w:tcPr>
          <w:p w:rsidRPr="005F055E" w:rsidR="00E24EC6" w:rsidP="00180EEB" w:rsidRDefault="00E24EC6" w14:paraId="44EC827E" w14:textId="77777777">
            <w:pPr>
              <w:suppressAutoHyphens/>
            </w:pPr>
            <w:r w:rsidRPr="005F055E">
              <w:rPr>
                <w:color w:val="000000"/>
                <w:szCs w:val="18"/>
              </w:rPr>
              <w:t>80</w:t>
            </w:r>
          </w:p>
        </w:tc>
        <w:tc>
          <w:tcPr>
            <w:tcW w:w="849" w:type="dxa"/>
            <w:hideMark/>
          </w:tcPr>
          <w:p w:rsidRPr="005F055E" w:rsidR="00E24EC6" w:rsidP="00180EEB" w:rsidRDefault="00E24EC6" w14:paraId="4056FCE1" w14:textId="77777777">
            <w:pPr>
              <w:suppressAutoHyphens/>
            </w:pPr>
            <w:r w:rsidRPr="005F055E">
              <w:rPr>
                <w:color w:val="000000"/>
                <w:szCs w:val="18"/>
              </w:rPr>
              <w:t>-300</w:t>
            </w:r>
          </w:p>
        </w:tc>
        <w:tc>
          <w:tcPr>
            <w:tcW w:w="945" w:type="dxa"/>
            <w:hideMark/>
          </w:tcPr>
          <w:p w:rsidRPr="005F055E" w:rsidR="00E24EC6" w:rsidP="00180EEB" w:rsidRDefault="00E24EC6" w14:paraId="64302D29" w14:textId="77777777">
            <w:pPr>
              <w:suppressAutoHyphens/>
            </w:pPr>
            <w:r w:rsidRPr="005F055E">
              <w:rPr>
                <w:color w:val="000000"/>
                <w:szCs w:val="18"/>
              </w:rPr>
              <w:t>2028</w:t>
            </w:r>
          </w:p>
        </w:tc>
        <w:tc>
          <w:tcPr>
            <w:tcW w:w="3113" w:type="dxa"/>
            <w:noWrap/>
            <w:hideMark/>
          </w:tcPr>
          <w:p w:rsidRPr="005F055E" w:rsidR="00E24EC6" w:rsidP="00180EEB" w:rsidRDefault="00E24EC6" w14:paraId="27416D8A" w14:textId="77777777">
            <w:pPr>
              <w:suppressAutoHyphens/>
            </w:pPr>
            <w:r w:rsidRPr="005F055E">
              <w:rPr>
                <w:color w:val="000000"/>
              </w:rPr>
              <w:t>Deze maatregel loopt tot en met 2026 mee in het IZA en is voor 2027 en verder betrokken bij het AZWA.</w:t>
            </w:r>
          </w:p>
        </w:tc>
      </w:tr>
      <w:tr w:rsidRPr="005F055E" w:rsidR="00E24EC6" w:rsidTr="00E24EC6" w14:paraId="59578A05" w14:textId="77777777">
        <w:trPr>
          <w:trHeight w:val="225"/>
        </w:trPr>
        <w:tc>
          <w:tcPr>
            <w:tcW w:w="1838" w:type="dxa"/>
            <w:hideMark/>
          </w:tcPr>
          <w:p w:rsidRPr="005F055E" w:rsidR="00E24EC6" w:rsidP="00180EEB" w:rsidRDefault="00E24EC6" w14:paraId="613699AA" w14:textId="77777777">
            <w:pPr>
              <w:suppressAutoHyphens/>
            </w:pPr>
            <w:r w:rsidRPr="005F055E">
              <w:rPr>
                <w:color w:val="000000"/>
              </w:rPr>
              <w:t>Sturing op doelmatigheid via de tarieven</w:t>
            </w:r>
          </w:p>
        </w:tc>
        <w:tc>
          <w:tcPr>
            <w:tcW w:w="851" w:type="dxa"/>
            <w:hideMark/>
          </w:tcPr>
          <w:p w:rsidRPr="005F055E" w:rsidR="00E24EC6" w:rsidP="00180EEB" w:rsidRDefault="00E24EC6" w14:paraId="06B1FD48" w14:textId="77777777">
            <w:pPr>
              <w:suppressAutoHyphens/>
            </w:pPr>
            <w:r w:rsidRPr="005F055E">
              <w:rPr>
                <w:color w:val="000000"/>
                <w:szCs w:val="18"/>
              </w:rPr>
              <w:t>-140</w:t>
            </w:r>
          </w:p>
        </w:tc>
        <w:tc>
          <w:tcPr>
            <w:tcW w:w="850" w:type="dxa"/>
          </w:tcPr>
          <w:p w:rsidRPr="005F055E" w:rsidR="00E24EC6" w:rsidP="00180EEB" w:rsidRDefault="00E24EC6" w14:paraId="754E638F" w14:textId="77777777">
            <w:pPr>
              <w:suppressAutoHyphens/>
            </w:pPr>
            <w:r w:rsidRPr="005F055E">
              <w:rPr>
                <w:color w:val="000000"/>
                <w:szCs w:val="18"/>
              </w:rPr>
              <w:t>-147</w:t>
            </w:r>
          </w:p>
        </w:tc>
        <w:tc>
          <w:tcPr>
            <w:tcW w:w="852" w:type="dxa"/>
          </w:tcPr>
          <w:p w:rsidRPr="005F055E" w:rsidR="00E24EC6" w:rsidP="00180EEB" w:rsidRDefault="00E24EC6" w14:paraId="5B4E4BD3" w14:textId="77777777">
            <w:pPr>
              <w:suppressAutoHyphens/>
            </w:pPr>
            <w:r w:rsidRPr="005F055E">
              <w:rPr>
                <w:color w:val="000000"/>
                <w:szCs w:val="18"/>
              </w:rPr>
              <w:t>-147</w:t>
            </w:r>
          </w:p>
        </w:tc>
        <w:tc>
          <w:tcPr>
            <w:tcW w:w="849" w:type="dxa"/>
            <w:hideMark/>
          </w:tcPr>
          <w:p w:rsidRPr="005F055E" w:rsidR="00E24EC6" w:rsidP="00180EEB" w:rsidRDefault="00E24EC6" w14:paraId="65BFC6A0" w14:textId="77777777">
            <w:pPr>
              <w:suppressAutoHyphens/>
            </w:pPr>
            <w:r w:rsidRPr="005F055E">
              <w:rPr>
                <w:color w:val="000000"/>
                <w:szCs w:val="18"/>
              </w:rPr>
              <w:t>-147</w:t>
            </w:r>
          </w:p>
        </w:tc>
        <w:tc>
          <w:tcPr>
            <w:tcW w:w="945" w:type="dxa"/>
            <w:hideMark/>
          </w:tcPr>
          <w:p w:rsidRPr="005F055E" w:rsidR="00E24EC6" w:rsidP="00180EEB" w:rsidRDefault="00E24EC6" w14:paraId="0933D453" w14:textId="77777777">
            <w:pPr>
              <w:suppressAutoHyphens/>
            </w:pPr>
            <w:r w:rsidRPr="005F055E">
              <w:rPr>
                <w:color w:val="000000"/>
                <w:szCs w:val="18"/>
              </w:rPr>
              <w:t>2026</w:t>
            </w:r>
          </w:p>
        </w:tc>
        <w:tc>
          <w:tcPr>
            <w:tcW w:w="3113" w:type="dxa"/>
            <w:noWrap/>
            <w:hideMark/>
          </w:tcPr>
          <w:p w:rsidRPr="005F055E" w:rsidR="00E24EC6" w:rsidP="00180EEB" w:rsidRDefault="00E24EC6" w14:paraId="246532B8" w14:textId="77777777">
            <w:pPr>
              <w:suppressAutoHyphens/>
            </w:pPr>
            <w:r w:rsidRPr="005F055E">
              <w:rPr>
                <w:color w:val="000000"/>
              </w:rPr>
              <w:t>Deze maatregel is deels betrokken bij de financiële afspraken uit het IZA, en daarmee structureel in het IZA-kader verwerkt. Het resterende deel van de maatregel is in de Voorjaarsnota 2024 structureel alternatief gedekt.</w:t>
            </w:r>
          </w:p>
        </w:tc>
      </w:tr>
      <w:tr w:rsidRPr="005F055E" w:rsidR="00E24EC6" w:rsidTr="00E24EC6" w14:paraId="03C77CA7" w14:textId="77777777">
        <w:trPr>
          <w:trHeight w:val="225"/>
        </w:trPr>
        <w:tc>
          <w:tcPr>
            <w:tcW w:w="1838" w:type="dxa"/>
            <w:hideMark/>
          </w:tcPr>
          <w:p w:rsidRPr="005F055E" w:rsidR="00E24EC6" w:rsidP="00180EEB" w:rsidRDefault="00E24EC6" w14:paraId="0E56BF1B" w14:textId="77777777">
            <w:pPr>
              <w:suppressAutoHyphens/>
            </w:pPr>
            <w:r w:rsidRPr="005F055E">
              <w:rPr>
                <w:color w:val="000000"/>
                <w:szCs w:val="18"/>
              </w:rPr>
              <w:t>Integraal Zorgakkoord</w:t>
            </w:r>
          </w:p>
        </w:tc>
        <w:tc>
          <w:tcPr>
            <w:tcW w:w="851" w:type="dxa"/>
            <w:hideMark/>
          </w:tcPr>
          <w:p w:rsidRPr="005F055E" w:rsidR="00E24EC6" w:rsidP="00180EEB" w:rsidRDefault="00E24EC6" w14:paraId="30EE27C1" w14:textId="77777777">
            <w:pPr>
              <w:suppressAutoHyphens/>
            </w:pPr>
            <w:r w:rsidRPr="005F055E">
              <w:rPr>
                <w:color w:val="000000"/>
                <w:szCs w:val="18"/>
              </w:rPr>
              <w:t>-886</w:t>
            </w:r>
          </w:p>
        </w:tc>
        <w:tc>
          <w:tcPr>
            <w:tcW w:w="850" w:type="dxa"/>
          </w:tcPr>
          <w:p w:rsidRPr="005F055E" w:rsidR="00E24EC6" w:rsidP="00180EEB" w:rsidRDefault="00E24EC6" w14:paraId="3B77F2C0" w14:textId="77777777">
            <w:pPr>
              <w:suppressAutoHyphens/>
            </w:pPr>
            <w:r w:rsidRPr="005F055E">
              <w:rPr>
                <w:color w:val="000000"/>
                <w:szCs w:val="18"/>
              </w:rPr>
              <w:t>-1.281</w:t>
            </w:r>
          </w:p>
        </w:tc>
        <w:tc>
          <w:tcPr>
            <w:tcW w:w="852" w:type="dxa"/>
          </w:tcPr>
          <w:p w:rsidRPr="005F055E" w:rsidR="00E24EC6" w:rsidP="00180EEB" w:rsidRDefault="00E24EC6" w14:paraId="03A88F36" w14:textId="77777777">
            <w:pPr>
              <w:suppressAutoHyphens/>
            </w:pPr>
            <w:r w:rsidRPr="005F055E">
              <w:rPr>
                <w:color w:val="000000"/>
                <w:szCs w:val="18"/>
              </w:rPr>
              <w:t>-1.489</w:t>
            </w:r>
          </w:p>
        </w:tc>
        <w:tc>
          <w:tcPr>
            <w:tcW w:w="849" w:type="dxa"/>
            <w:hideMark/>
          </w:tcPr>
          <w:p w:rsidRPr="005F055E" w:rsidR="00E24EC6" w:rsidP="00180EEB" w:rsidRDefault="00E24EC6" w14:paraId="748ACDD3" w14:textId="77777777">
            <w:pPr>
              <w:suppressAutoHyphens/>
            </w:pPr>
            <w:r w:rsidRPr="005F055E">
              <w:rPr>
                <w:color w:val="000000"/>
                <w:szCs w:val="18"/>
              </w:rPr>
              <w:t>-1.489</w:t>
            </w:r>
          </w:p>
        </w:tc>
        <w:tc>
          <w:tcPr>
            <w:tcW w:w="945" w:type="dxa"/>
            <w:hideMark/>
          </w:tcPr>
          <w:p w:rsidRPr="005F055E" w:rsidR="00E24EC6" w:rsidP="00180EEB" w:rsidRDefault="00E24EC6" w14:paraId="0C07153C" w14:textId="77777777">
            <w:pPr>
              <w:suppressAutoHyphens/>
            </w:pPr>
            <w:r w:rsidRPr="005F055E">
              <w:rPr>
                <w:color w:val="000000"/>
                <w:szCs w:val="18"/>
              </w:rPr>
              <w:t>2027</w:t>
            </w:r>
          </w:p>
        </w:tc>
        <w:tc>
          <w:tcPr>
            <w:tcW w:w="3113" w:type="dxa"/>
            <w:noWrap/>
            <w:hideMark/>
          </w:tcPr>
          <w:p w:rsidRPr="005F055E" w:rsidR="00E24EC6" w:rsidP="00180EEB" w:rsidRDefault="00E24EC6" w14:paraId="06C662C3" w14:textId="77777777">
            <w:pPr>
              <w:suppressAutoHyphens/>
            </w:pPr>
            <w:r w:rsidRPr="005F055E">
              <w:rPr>
                <w:color w:val="000000"/>
              </w:rPr>
              <w:t>Deze maatregel loopt mee in het IZA en is structureel in het IZA-kader verwerkt.</w:t>
            </w:r>
          </w:p>
        </w:tc>
      </w:tr>
      <w:tr w:rsidRPr="005F055E" w:rsidR="00E24EC6" w:rsidTr="00E24EC6" w14:paraId="6233C985" w14:textId="77777777">
        <w:trPr>
          <w:trHeight w:val="450"/>
        </w:trPr>
        <w:tc>
          <w:tcPr>
            <w:tcW w:w="1838" w:type="dxa"/>
            <w:hideMark/>
          </w:tcPr>
          <w:p w:rsidRPr="005F055E" w:rsidR="00E24EC6" w:rsidP="00180EEB" w:rsidRDefault="00E24EC6" w14:paraId="1705D3C9" w14:textId="77777777">
            <w:pPr>
              <w:suppressAutoHyphens/>
            </w:pPr>
            <w:r w:rsidRPr="005F055E">
              <w:rPr>
                <w:color w:val="000000"/>
              </w:rPr>
              <w:t xml:space="preserve">Overhevelen behandeling en geneesmiddelen van </w:t>
            </w:r>
            <w:proofErr w:type="spellStart"/>
            <w:r w:rsidRPr="005F055E">
              <w:rPr>
                <w:color w:val="000000"/>
              </w:rPr>
              <w:t>Wlz</w:t>
            </w:r>
            <w:proofErr w:type="spellEnd"/>
            <w:r w:rsidRPr="005F055E">
              <w:rPr>
                <w:color w:val="000000"/>
              </w:rPr>
              <w:t xml:space="preserve"> naar </w:t>
            </w:r>
            <w:proofErr w:type="spellStart"/>
            <w:r w:rsidRPr="005F055E">
              <w:rPr>
                <w:color w:val="000000"/>
              </w:rPr>
              <w:t>Zvw</w:t>
            </w:r>
            <w:proofErr w:type="spellEnd"/>
          </w:p>
        </w:tc>
        <w:tc>
          <w:tcPr>
            <w:tcW w:w="851" w:type="dxa"/>
            <w:hideMark/>
          </w:tcPr>
          <w:p w:rsidRPr="005F055E" w:rsidR="00E24EC6" w:rsidP="00180EEB" w:rsidRDefault="00E24EC6" w14:paraId="559A7393" w14:textId="77777777">
            <w:pPr>
              <w:suppressAutoHyphens/>
            </w:pPr>
            <w:r w:rsidRPr="005F055E">
              <w:rPr>
                <w:color w:val="000000"/>
                <w:szCs w:val="18"/>
              </w:rPr>
              <w:t>-170</w:t>
            </w:r>
          </w:p>
        </w:tc>
        <w:tc>
          <w:tcPr>
            <w:tcW w:w="850" w:type="dxa"/>
          </w:tcPr>
          <w:p w:rsidRPr="005F055E" w:rsidR="00E24EC6" w:rsidP="00180EEB" w:rsidRDefault="00E24EC6" w14:paraId="2150B907" w14:textId="77777777">
            <w:pPr>
              <w:suppressAutoHyphens/>
            </w:pPr>
            <w:r w:rsidRPr="005F055E">
              <w:rPr>
                <w:color w:val="000000"/>
                <w:szCs w:val="18"/>
              </w:rPr>
              <w:t>-170</w:t>
            </w:r>
          </w:p>
        </w:tc>
        <w:tc>
          <w:tcPr>
            <w:tcW w:w="852" w:type="dxa"/>
          </w:tcPr>
          <w:p w:rsidRPr="005F055E" w:rsidR="00E24EC6" w:rsidP="00180EEB" w:rsidRDefault="00E24EC6" w14:paraId="30D7073A" w14:textId="77777777">
            <w:pPr>
              <w:suppressAutoHyphens/>
            </w:pPr>
            <w:r w:rsidRPr="005F055E">
              <w:rPr>
                <w:color w:val="000000"/>
                <w:szCs w:val="18"/>
              </w:rPr>
              <w:t>-170</w:t>
            </w:r>
          </w:p>
        </w:tc>
        <w:tc>
          <w:tcPr>
            <w:tcW w:w="849" w:type="dxa"/>
            <w:hideMark/>
          </w:tcPr>
          <w:p w:rsidRPr="005F055E" w:rsidR="00E24EC6" w:rsidP="00180EEB" w:rsidRDefault="00E24EC6" w14:paraId="443D1310" w14:textId="77777777">
            <w:pPr>
              <w:suppressAutoHyphens/>
            </w:pPr>
            <w:r w:rsidRPr="005F055E">
              <w:rPr>
                <w:color w:val="000000"/>
                <w:szCs w:val="18"/>
              </w:rPr>
              <w:t>-170</w:t>
            </w:r>
          </w:p>
        </w:tc>
        <w:tc>
          <w:tcPr>
            <w:tcW w:w="945" w:type="dxa"/>
            <w:hideMark/>
          </w:tcPr>
          <w:p w:rsidRPr="005F055E" w:rsidR="00E24EC6" w:rsidP="00180EEB" w:rsidRDefault="00E24EC6" w14:paraId="7611223A" w14:textId="77777777">
            <w:pPr>
              <w:suppressAutoHyphens/>
            </w:pPr>
            <w:r w:rsidRPr="005F055E">
              <w:rPr>
                <w:color w:val="000000"/>
                <w:szCs w:val="18"/>
              </w:rPr>
              <w:t>2025</w:t>
            </w:r>
          </w:p>
        </w:tc>
        <w:tc>
          <w:tcPr>
            <w:tcW w:w="3113" w:type="dxa"/>
            <w:noWrap/>
            <w:hideMark/>
          </w:tcPr>
          <w:p w:rsidRPr="005F055E" w:rsidR="00E24EC6" w:rsidP="00180EEB" w:rsidRDefault="00E24EC6" w14:paraId="0A5B0DF9" w14:textId="2C2F28B6">
            <w:pPr>
              <w:suppressAutoHyphens/>
            </w:pPr>
            <w:r w:rsidRPr="005F055E">
              <w:rPr>
                <w:color w:val="000000"/>
              </w:rPr>
              <w:t>Het vorige kabinet heeft gekozen voor een andere invulling van de maatregel dan de oorspronkelijke tekst uit het coalitieakkoord Rutte-IV. Deze maatregel heeft in 2025 tot een besparingsverlies geleid. Voor 2026 is het aandeel van de ouderenzorg per 2026 vervangen door de afspraken over de tariefmaatregel van het hoofdlijnenakkoord ouderenzorg. Voor de gehandicaptenzorg (aandeel € 88 miljoen) heeft deze maatregel in 2026 tot een besparingsverlies geleid, aangezien deze</w:t>
            </w:r>
            <w:r w:rsidRPr="005F055E" w:rsidR="00D73F76">
              <w:rPr>
                <w:color w:val="000000"/>
              </w:rPr>
              <w:t xml:space="preserve"> </w:t>
            </w:r>
            <w:r w:rsidRPr="005F055E">
              <w:rPr>
                <w:color w:val="000000"/>
              </w:rPr>
              <w:t>controversieel verklaard is.</w:t>
            </w:r>
          </w:p>
        </w:tc>
      </w:tr>
      <w:tr w:rsidRPr="005F055E" w:rsidR="00E24EC6" w:rsidTr="00E24EC6" w14:paraId="2BB8B991" w14:textId="77777777">
        <w:trPr>
          <w:trHeight w:val="450"/>
        </w:trPr>
        <w:tc>
          <w:tcPr>
            <w:tcW w:w="1838" w:type="dxa"/>
            <w:hideMark/>
          </w:tcPr>
          <w:p w:rsidRPr="005F055E" w:rsidR="00E24EC6" w:rsidP="00180EEB" w:rsidRDefault="00E24EC6" w14:paraId="77C6D8C4" w14:textId="77777777">
            <w:pPr>
              <w:suppressAutoHyphens/>
            </w:pPr>
            <w:r w:rsidRPr="005F055E">
              <w:rPr>
                <w:color w:val="000000"/>
              </w:rPr>
              <w:t>Verplichten meerjarige contracten en budgetafspraken in de ouderenzorg</w:t>
            </w:r>
          </w:p>
        </w:tc>
        <w:tc>
          <w:tcPr>
            <w:tcW w:w="851" w:type="dxa"/>
            <w:hideMark/>
          </w:tcPr>
          <w:p w:rsidRPr="005F055E" w:rsidR="00E24EC6" w:rsidP="00180EEB" w:rsidRDefault="00E24EC6" w14:paraId="2276D529" w14:textId="77777777">
            <w:pPr>
              <w:suppressAutoHyphens/>
            </w:pPr>
            <w:r w:rsidRPr="005F055E">
              <w:rPr>
                <w:color w:val="000000"/>
                <w:szCs w:val="18"/>
              </w:rPr>
              <w:t>-135</w:t>
            </w:r>
          </w:p>
        </w:tc>
        <w:tc>
          <w:tcPr>
            <w:tcW w:w="850" w:type="dxa"/>
          </w:tcPr>
          <w:p w:rsidRPr="005F055E" w:rsidR="00E24EC6" w:rsidP="00180EEB" w:rsidRDefault="00E24EC6" w14:paraId="43DC4668" w14:textId="77777777">
            <w:pPr>
              <w:suppressAutoHyphens/>
            </w:pPr>
            <w:r w:rsidRPr="005F055E">
              <w:rPr>
                <w:color w:val="000000"/>
                <w:szCs w:val="18"/>
              </w:rPr>
              <w:t>-70</w:t>
            </w:r>
          </w:p>
        </w:tc>
        <w:tc>
          <w:tcPr>
            <w:tcW w:w="852" w:type="dxa"/>
          </w:tcPr>
          <w:p w:rsidRPr="005F055E" w:rsidR="00E24EC6" w:rsidP="00180EEB" w:rsidRDefault="00E24EC6" w14:paraId="7485ECAE" w14:textId="77777777">
            <w:pPr>
              <w:suppressAutoHyphens/>
            </w:pPr>
            <w:r w:rsidRPr="005F055E">
              <w:rPr>
                <w:color w:val="000000"/>
                <w:szCs w:val="18"/>
              </w:rPr>
              <w:t>-70</w:t>
            </w:r>
          </w:p>
        </w:tc>
        <w:tc>
          <w:tcPr>
            <w:tcW w:w="849" w:type="dxa"/>
            <w:hideMark/>
          </w:tcPr>
          <w:p w:rsidRPr="005F055E" w:rsidR="00E24EC6" w:rsidP="00180EEB" w:rsidRDefault="00E24EC6" w14:paraId="50D5B470" w14:textId="77777777">
            <w:pPr>
              <w:suppressAutoHyphens/>
            </w:pPr>
            <w:r w:rsidRPr="005F055E">
              <w:rPr>
                <w:color w:val="000000"/>
                <w:szCs w:val="18"/>
              </w:rPr>
              <w:t>-70</w:t>
            </w:r>
          </w:p>
        </w:tc>
        <w:tc>
          <w:tcPr>
            <w:tcW w:w="945" w:type="dxa"/>
            <w:hideMark/>
          </w:tcPr>
          <w:p w:rsidRPr="005F055E" w:rsidR="00E24EC6" w:rsidP="00180EEB" w:rsidRDefault="00E24EC6" w14:paraId="317815D0" w14:textId="77777777">
            <w:pPr>
              <w:suppressAutoHyphens/>
            </w:pPr>
            <w:r w:rsidRPr="005F055E">
              <w:rPr>
                <w:color w:val="000000"/>
                <w:szCs w:val="18"/>
              </w:rPr>
              <w:t>2026</w:t>
            </w:r>
          </w:p>
        </w:tc>
        <w:tc>
          <w:tcPr>
            <w:tcW w:w="3113" w:type="dxa"/>
            <w:noWrap/>
            <w:hideMark/>
          </w:tcPr>
          <w:p w:rsidRPr="005F055E" w:rsidR="00E24EC6" w:rsidP="00180EEB" w:rsidRDefault="00E24EC6" w14:paraId="66E9A055" w14:textId="46CAB53A">
            <w:pPr>
              <w:suppressAutoHyphens/>
            </w:pPr>
            <w:r w:rsidRPr="005F055E">
              <w:rPr>
                <w:color w:val="000000"/>
              </w:rPr>
              <w:t>Deze maatregel heeft in 2024 en 2025 tot een besparingsverlies geleid, maar is per 2026 vervangen door de afspraken over de tariefmaatregel van het hoofdlijnenakkoord ouderenzorg.</w:t>
            </w:r>
            <w:r w:rsidRPr="005F055E" w:rsidR="00D73F76">
              <w:rPr>
                <w:color w:val="000000"/>
              </w:rPr>
              <w:t xml:space="preserve"> </w:t>
            </w:r>
          </w:p>
        </w:tc>
      </w:tr>
      <w:tr w:rsidRPr="005F055E" w:rsidR="00E24EC6" w:rsidTr="00E24EC6" w14:paraId="33230A76" w14:textId="77777777">
        <w:trPr>
          <w:trHeight w:val="450"/>
        </w:trPr>
        <w:tc>
          <w:tcPr>
            <w:tcW w:w="1838" w:type="dxa"/>
            <w:hideMark/>
          </w:tcPr>
          <w:p w:rsidRPr="005F055E" w:rsidR="00E24EC6" w:rsidP="00180EEB" w:rsidRDefault="00E24EC6" w14:paraId="68B3BD99" w14:textId="7953AC75">
            <w:pPr>
              <w:suppressAutoHyphens/>
            </w:pPr>
            <w:r w:rsidRPr="005F055E">
              <w:rPr>
                <w:color w:val="000000"/>
              </w:rPr>
              <w:t xml:space="preserve">Verplichten meerjarige contracten en budgetafspraken in de </w:t>
            </w:r>
            <w:proofErr w:type="spellStart"/>
            <w:r w:rsidRPr="005F055E">
              <w:rPr>
                <w:color w:val="000000"/>
              </w:rPr>
              <w:t>ghz</w:t>
            </w:r>
            <w:proofErr w:type="spellEnd"/>
            <w:r w:rsidRPr="005F055E">
              <w:rPr>
                <w:color w:val="000000"/>
              </w:rPr>
              <w:t>/</w:t>
            </w:r>
            <w:r w:rsidR="00D55762">
              <w:rPr>
                <w:color w:val="000000"/>
              </w:rPr>
              <w:t>GGZ</w:t>
            </w:r>
          </w:p>
        </w:tc>
        <w:tc>
          <w:tcPr>
            <w:tcW w:w="851" w:type="dxa"/>
            <w:hideMark/>
          </w:tcPr>
          <w:p w:rsidRPr="005F055E" w:rsidR="00E24EC6" w:rsidP="00180EEB" w:rsidRDefault="00E24EC6" w14:paraId="527D9330" w14:textId="77777777">
            <w:pPr>
              <w:suppressAutoHyphens/>
            </w:pPr>
            <w:r w:rsidRPr="005F055E">
              <w:rPr>
                <w:color w:val="000000"/>
                <w:szCs w:val="18"/>
              </w:rPr>
              <w:t>-110</w:t>
            </w:r>
          </w:p>
        </w:tc>
        <w:tc>
          <w:tcPr>
            <w:tcW w:w="850" w:type="dxa"/>
          </w:tcPr>
          <w:p w:rsidRPr="005F055E" w:rsidR="00E24EC6" w:rsidP="00180EEB" w:rsidRDefault="00E24EC6" w14:paraId="368474E6" w14:textId="77777777">
            <w:pPr>
              <w:suppressAutoHyphens/>
            </w:pPr>
            <w:r w:rsidRPr="005F055E">
              <w:rPr>
                <w:color w:val="000000"/>
                <w:szCs w:val="18"/>
              </w:rPr>
              <w:t>-65</w:t>
            </w:r>
          </w:p>
        </w:tc>
        <w:tc>
          <w:tcPr>
            <w:tcW w:w="852" w:type="dxa"/>
          </w:tcPr>
          <w:p w:rsidRPr="005F055E" w:rsidR="00E24EC6" w:rsidP="00180EEB" w:rsidRDefault="00E24EC6" w14:paraId="12857AF1" w14:textId="77777777">
            <w:pPr>
              <w:suppressAutoHyphens/>
            </w:pPr>
            <w:r w:rsidRPr="005F055E">
              <w:rPr>
                <w:color w:val="000000"/>
                <w:szCs w:val="18"/>
              </w:rPr>
              <w:t>-65</w:t>
            </w:r>
          </w:p>
        </w:tc>
        <w:tc>
          <w:tcPr>
            <w:tcW w:w="849" w:type="dxa"/>
            <w:hideMark/>
          </w:tcPr>
          <w:p w:rsidRPr="005F055E" w:rsidR="00E24EC6" w:rsidP="00180EEB" w:rsidRDefault="00E24EC6" w14:paraId="25CA2BCC" w14:textId="77777777">
            <w:pPr>
              <w:suppressAutoHyphens/>
            </w:pPr>
            <w:r w:rsidRPr="005F055E">
              <w:rPr>
                <w:color w:val="000000"/>
                <w:szCs w:val="18"/>
              </w:rPr>
              <w:t>-65</w:t>
            </w:r>
          </w:p>
        </w:tc>
        <w:tc>
          <w:tcPr>
            <w:tcW w:w="945" w:type="dxa"/>
            <w:hideMark/>
          </w:tcPr>
          <w:p w:rsidRPr="005F055E" w:rsidR="00E24EC6" w:rsidP="00180EEB" w:rsidRDefault="00E24EC6" w14:paraId="57FEE615" w14:textId="77777777">
            <w:pPr>
              <w:suppressAutoHyphens/>
            </w:pPr>
            <w:r w:rsidRPr="005F055E">
              <w:rPr>
                <w:color w:val="000000"/>
                <w:szCs w:val="18"/>
              </w:rPr>
              <w:t>2026</w:t>
            </w:r>
          </w:p>
        </w:tc>
        <w:tc>
          <w:tcPr>
            <w:tcW w:w="3113" w:type="dxa"/>
            <w:noWrap/>
            <w:hideMark/>
          </w:tcPr>
          <w:p w:rsidRPr="005F055E" w:rsidR="00E24EC6" w:rsidP="00180EEB" w:rsidRDefault="00E24EC6" w14:paraId="68CD9D93" w14:textId="77777777">
            <w:pPr>
              <w:suppressAutoHyphens/>
            </w:pPr>
            <w:r w:rsidRPr="005F055E">
              <w:rPr>
                <w:color w:val="000000"/>
              </w:rPr>
              <w:t>Deze maatregel heeft in 2024 en 2025 tot een besparingsverlies geleid en is op verzoek van de Kamer ook in 2026 niet doorgegaan.</w:t>
            </w:r>
          </w:p>
        </w:tc>
      </w:tr>
      <w:tr w:rsidRPr="005F055E" w:rsidR="00E24EC6" w:rsidTr="00E24EC6" w14:paraId="777E1138" w14:textId="77777777">
        <w:trPr>
          <w:trHeight w:val="225"/>
        </w:trPr>
        <w:tc>
          <w:tcPr>
            <w:tcW w:w="1838" w:type="dxa"/>
            <w:hideMark/>
          </w:tcPr>
          <w:p w:rsidRPr="005F055E" w:rsidR="00E24EC6" w:rsidP="00180EEB" w:rsidRDefault="00E24EC6" w14:paraId="62552695" w14:textId="77777777">
            <w:pPr>
              <w:suppressAutoHyphens/>
            </w:pPr>
            <w:r w:rsidRPr="005F055E">
              <w:rPr>
                <w:color w:val="000000"/>
                <w:szCs w:val="18"/>
              </w:rPr>
              <w:t>Scheiden wonen en zorg</w:t>
            </w:r>
          </w:p>
        </w:tc>
        <w:tc>
          <w:tcPr>
            <w:tcW w:w="851" w:type="dxa"/>
            <w:hideMark/>
          </w:tcPr>
          <w:p w:rsidRPr="005F055E" w:rsidR="00E24EC6" w:rsidP="00180EEB" w:rsidRDefault="00E24EC6" w14:paraId="77B61A89" w14:textId="77777777">
            <w:pPr>
              <w:suppressAutoHyphens/>
            </w:pPr>
            <w:r w:rsidRPr="005F055E">
              <w:rPr>
                <w:color w:val="000000"/>
                <w:szCs w:val="18"/>
              </w:rPr>
              <w:t>80</w:t>
            </w:r>
          </w:p>
        </w:tc>
        <w:tc>
          <w:tcPr>
            <w:tcW w:w="850" w:type="dxa"/>
          </w:tcPr>
          <w:p w:rsidRPr="005F055E" w:rsidR="00E24EC6" w:rsidP="00180EEB" w:rsidRDefault="00E24EC6" w14:paraId="2024F601" w14:textId="77777777">
            <w:pPr>
              <w:suppressAutoHyphens/>
            </w:pPr>
            <w:r w:rsidRPr="005F055E">
              <w:rPr>
                <w:color w:val="000000"/>
                <w:szCs w:val="18"/>
              </w:rPr>
              <w:t>40</w:t>
            </w:r>
          </w:p>
        </w:tc>
        <w:tc>
          <w:tcPr>
            <w:tcW w:w="852" w:type="dxa"/>
          </w:tcPr>
          <w:p w:rsidRPr="005F055E" w:rsidR="00E24EC6" w:rsidP="00180EEB" w:rsidRDefault="00E24EC6" w14:paraId="44FE3E22" w14:textId="77777777">
            <w:pPr>
              <w:suppressAutoHyphens/>
            </w:pPr>
            <w:r w:rsidRPr="005F055E">
              <w:rPr>
                <w:color w:val="000000"/>
                <w:szCs w:val="18"/>
              </w:rPr>
              <w:t>-200</w:t>
            </w:r>
          </w:p>
        </w:tc>
        <w:tc>
          <w:tcPr>
            <w:tcW w:w="849" w:type="dxa"/>
            <w:hideMark/>
          </w:tcPr>
          <w:p w:rsidRPr="005F055E" w:rsidR="00E24EC6" w:rsidP="00180EEB" w:rsidRDefault="00E24EC6" w14:paraId="68A279E9" w14:textId="77777777">
            <w:pPr>
              <w:suppressAutoHyphens/>
            </w:pPr>
            <w:r w:rsidRPr="005F055E">
              <w:rPr>
                <w:color w:val="000000"/>
                <w:szCs w:val="18"/>
              </w:rPr>
              <w:t>-1.200</w:t>
            </w:r>
          </w:p>
        </w:tc>
        <w:tc>
          <w:tcPr>
            <w:tcW w:w="945" w:type="dxa"/>
            <w:hideMark/>
          </w:tcPr>
          <w:p w:rsidRPr="005F055E" w:rsidR="00E24EC6" w:rsidP="00180EEB" w:rsidRDefault="00E24EC6" w14:paraId="3C2BDE80" w14:textId="77777777">
            <w:pPr>
              <w:suppressAutoHyphens/>
            </w:pPr>
            <w:r w:rsidRPr="005F055E">
              <w:rPr>
                <w:color w:val="000000"/>
                <w:szCs w:val="18"/>
              </w:rPr>
              <w:t>2052</w:t>
            </w:r>
          </w:p>
        </w:tc>
        <w:tc>
          <w:tcPr>
            <w:tcW w:w="3113" w:type="dxa"/>
            <w:noWrap/>
            <w:hideMark/>
          </w:tcPr>
          <w:p w:rsidRPr="005F055E" w:rsidR="00E24EC6" w:rsidP="00180EEB" w:rsidRDefault="00E24EC6" w14:paraId="7A039BD4" w14:textId="77777777">
            <w:pPr>
              <w:suppressAutoHyphens/>
            </w:pPr>
            <w:r w:rsidRPr="005F055E">
              <w:rPr>
                <w:color w:val="000000"/>
              </w:rPr>
              <w:t xml:space="preserve">Deze maatregel is in gang gezet door het bevriezen van de verpleeghuiscapaciteit Om tot de structurele besparing te komen is nog een wetswijziging nodig. </w:t>
            </w:r>
          </w:p>
        </w:tc>
      </w:tr>
      <w:tr w:rsidRPr="005F055E" w:rsidR="00E24EC6" w:rsidTr="00E24EC6" w14:paraId="3C7D40F5" w14:textId="77777777">
        <w:trPr>
          <w:trHeight w:val="225"/>
        </w:trPr>
        <w:tc>
          <w:tcPr>
            <w:tcW w:w="1838" w:type="dxa"/>
            <w:hideMark/>
          </w:tcPr>
          <w:p w:rsidRPr="005F055E" w:rsidR="00E24EC6" w:rsidP="00180EEB" w:rsidRDefault="00E24EC6" w14:paraId="3A677F44" w14:textId="77777777">
            <w:pPr>
              <w:suppressAutoHyphens/>
            </w:pPr>
            <w:r w:rsidRPr="005F055E">
              <w:rPr>
                <w:color w:val="000000"/>
                <w:szCs w:val="18"/>
              </w:rPr>
              <w:t>Herinterpretatie Kwaliteitskader verpleeghuiszorg</w:t>
            </w:r>
          </w:p>
        </w:tc>
        <w:tc>
          <w:tcPr>
            <w:tcW w:w="851" w:type="dxa"/>
            <w:hideMark/>
          </w:tcPr>
          <w:p w:rsidRPr="005F055E" w:rsidR="00E24EC6" w:rsidP="00180EEB" w:rsidRDefault="00E24EC6" w14:paraId="2F8A192A" w14:textId="77777777">
            <w:pPr>
              <w:suppressAutoHyphens/>
            </w:pPr>
            <w:r w:rsidRPr="005F055E">
              <w:rPr>
                <w:color w:val="000000"/>
                <w:szCs w:val="18"/>
              </w:rPr>
              <w:t>-200</w:t>
            </w:r>
          </w:p>
        </w:tc>
        <w:tc>
          <w:tcPr>
            <w:tcW w:w="850" w:type="dxa"/>
          </w:tcPr>
          <w:p w:rsidRPr="005F055E" w:rsidR="00E24EC6" w:rsidP="00180EEB" w:rsidRDefault="00E24EC6" w14:paraId="5FF42258" w14:textId="77777777">
            <w:pPr>
              <w:suppressAutoHyphens/>
            </w:pPr>
            <w:r w:rsidRPr="005F055E">
              <w:rPr>
                <w:color w:val="000000"/>
                <w:szCs w:val="18"/>
              </w:rPr>
              <w:t>-350</w:t>
            </w:r>
          </w:p>
        </w:tc>
        <w:tc>
          <w:tcPr>
            <w:tcW w:w="852" w:type="dxa"/>
          </w:tcPr>
          <w:p w:rsidRPr="005F055E" w:rsidR="00E24EC6" w:rsidP="00180EEB" w:rsidRDefault="00E24EC6" w14:paraId="33D66BC0" w14:textId="77777777">
            <w:pPr>
              <w:suppressAutoHyphens/>
            </w:pPr>
            <w:r w:rsidRPr="005F055E">
              <w:rPr>
                <w:color w:val="000000"/>
                <w:szCs w:val="18"/>
              </w:rPr>
              <w:t>-350</w:t>
            </w:r>
          </w:p>
        </w:tc>
        <w:tc>
          <w:tcPr>
            <w:tcW w:w="849" w:type="dxa"/>
            <w:hideMark/>
          </w:tcPr>
          <w:p w:rsidRPr="005F055E" w:rsidR="00E24EC6" w:rsidP="00180EEB" w:rsidRDefault="00E24EC6" w14:paraId="43F0802A" w14:textId="77777777">
            <w:pPr>
              <w:suppressAutoHyphens/>
            </w:pPr>
            <w:r w:rsidRPr="005F055E">
              <w:rPr>
                <w:color w:val="000000"/>
                <w:szCs w:val="18"/>
              </w:rPr>
              <w:t>-350</w:t>
            </w:r>
          </w:p>
        </w:tc>
        <w:tc>
          <w:tcPr>
            <w:tcW w:w="945" w:type="dxa"/>
            <w:hideMark/>
          </w:tcPr>
          <w:p w:rsidRPr="005F055E" w:rsidR="00E24EC6" w:rsidP="00180EEB" w:rsidRDefault="00E24EC6" w14:paraId="7C7195CF" w14:textId="77777777">
            <w:pPr>
              <w:suppressAutoHyphens/>
            </w:pPr>
            <w:r w:rsidRPr="005F055E">
              <w:rPr>
                <w:color w:val="000000"/>
                <w:szCs w:val="18"/>
              </w:rPr>
              <w:t>2026</w:t>
            </w:r>
          </w:p>
        </w:tc>
        <w:tc>
          <w:tcPr>
            <w:tcW w:w="3113" w:type="dxa"/>
            <w:noWrap/>
            <w:hideMark/>
          </w:tcPr>
          <w:p w:rsidRPr="005F055E" w:rsidR="00E24EC6" w:rsidP="00180EEB" w:rsidRDefault="00E24EC6" w14:paraId="2C8D1C23" w14:textId="6DE028F3">
            <w:pPr>
              <w:suppressAutoHyphens/>
            </w:pPr>
            <w:r w:rsidRPr="005F055E">
              <w:rPr>
                <w:color w:val="000000"/>
              </w:rPr>
              <w:t>Deze maatregel heeft in 2024 en 2025 tot een besparingsverlies geleid, maar is per 2026 vervangen door de afspraken over de tariefmaatregel van het hoofdlijnenakkoord ouderenzorg.</w:t>
            </w:r>
            <w:r w:rsidRPr="005F055E" w:rsidR="00D73F76">
              <w:rPr>
                <w:color w:val="000000"/>
              </w:rPr>
              <w:t xml:space="preserve"> </w:t>
            </w:r>
          </w:p>
        </w:tc>
      </w:tr>
      <w:tr w:rsidRPr="005F055E" w:rsidR="00E24EC6" w:rsidTr="00E24EC6" w14:paraId="23EFAB61" w14:textId="77777777">
        <w:trPr>
          <w:trHeight w:val="225"/>
        </w:trPr>
        <w:tc>
          <w:tcPr>
            <w:tcW w:w="1838" w:type="dxa"/>
            <w:hideMark/>
          </w:tcPr>
          <w:p w:rsidRPr="005F055E" w:rsidR="00E24EC6" w:rsidP="00180EEB" w:rsidRDefault="00E24EC6" w14:paraId="2C31D378" w14:textId="77777777">
            <w:pPr>
              <w:suppressAutoHyphens/>
            </w:pPr>
            <w:r w:rsidRPr="005F055E">
              <w:rPr>
                <w:color w:val="000000"/>
                <w:szCs w:val="18"/>
              </w:rPr>
              <w:t>Eigen bijdrage huishoudelijke hulp</w:t>
            </w:r>
          </w:p>
        </w:tc>
        <w:tc>
          <w:tcPr>
            <w:tcW w:w="851" w:type="dxa"/>
            <w:hideMark/>
          </w:tcPr>
          <w:p w:rsidRPr="005F055E" w:rsidR="00E24EC6" w:rsidP="00180EEB" w:rsidRDefault="00E24EC6" w14:paraId="0E8A5B9E" w14:textId="77777777">
            <w:pPr>
              <w:suppressAutoHyphens/>
            </w:pPr>
            <w:r w:rsidRPr="005F055E">
              <w:rPr>
                <w:color w:val="000000"/>
                <w:szCs w:val="18"/>
              </w:rPr>
              <w:t>-80</w:t>
            </w:r>
          </w:p>
        </w:tc>
        <w:tc>
          <w:tcPr>
            <w:tcW w:w="850" w:type="dxa"/>
          </w:tcPr>
          <w:p w:rsidRPr="005F055E" w:rsidR="00E24EC6" w:rsidP="00180EEB" w:rsidRDefault="00E24EC6" w14:paraId="6CE978A3" w14:textId="77777777">
            <w:pPr>
              <w:suppressAutoHyphens/>
            </w:pPr>
            <w:r w:rsidRPr="005F055E">
              <w:rPr>
                <w:color w:val="000000"/>
                <w:szCs w:val="18"/>
              </w:rPr>
              <w:t>-80</w:t>
            </w:r>
          </w:p>
        </w:tc>
        <w:tc>
          <w:tcPr>
            <w:tcW w:w="852" w:type="dxa"/>
          </w:tcPr>
          <w:p w:rsidRPr="005F055E" w:rsidR="00E24EC6" w:rsidP="00180EEB" w:rsidRDefault="00E24EC6" w14:paraId="53C606EA" w14:textId="77777777">
            <w:pPr>
              <w:suppressAutoHyphens/>
            </w:pPr>
            <w:r w:rsidRPr="005F055E">
              <w:rPr>
                <w:color w:val="000000"/>
                <w:szCs w:val="18"/>
              </w:rPr>
              <w:t>-80</w:t>
            </w:r>
          </w:p>
        </w:tc>
        <w:tc>
          <w:tcPr>
            <w:tcW w:w="849" w:type="dxa"/>
            <w:hideMark/>
          </w:tcPr>
          <w:p w:rsidRPr="005F055E" w:rsidR="00E24EC6" w:rsidP="00180EEB" w:rsidRDefault="00E24EC6" w14:paraId="6F042907" w14:textId="77777777">
            <w:pPr>
              <w:suppressAutoHyphens/>
            </w:pPr>
            <w:r w:rsidRPr="005F055E">
              <w:rPr>
                <w:color w:val="000000"/>
                <w:szCs w:val="18"/>
              </w:rPr>
              <w:t>-80</w:t>
            </w:r>
          </w:p>
        </w:tc>
        <w:tc>
          <w:tcPr>
            <w:tcW w:w="945" w:type="dxa"/>
            <w:hideMark/>
          </w:tcPr>
          <w:p w:rsidRPr="005F055E" w:rsidR="00E24EC6" w:rsidP="00180EEB" w:rsidRDefault="00E24EC6" w14:paraId="0DA6F293" w14:textId="77777777">
            <w:pPr>
              <w:suppressAutoHyphens/>
            </w:pPr>
            <w:r w:rsidRPr="005F055E">
              <w:rPr>
                <w:color w:val="000000"/>
                <w:szCs w:val="18"/>
              </w:rPr>
              <w:t>2025</w:t>
            </w:r>
          </w:p>
        </w:tc>
        <w:tc>
          <w:tcPr>
            <w:tcW w:w="3113" w:type="dxa"/>
            <w:noWrap/>
            <w:hideMark/>
          </w:tcPr>
          <w:p w:rsidRPr="005F055E" w:rsidR="00E24EC6" w:rsidP="00180EEB" w:rsidRDefault="00E24EC6" w14:paraId="58B49CC9" w14:textId="77777777">
            <w:pPr>
              <w:suppressAutoHyphens/>
            </w:pPr>
            <w:r w:rsidRPr="005F055E">
              <w:rPr>
                <w:color w:val="000000"/>
              </w:rPr>
              <w:t xml:space="preserve">Deze maatregel is komen te vervallen en vervangen door Wetsvoorstel vervanging abonnementstarief </w:t>
            </w:r>
            <w:proofErr w:type="spellStart"/>
            <w:r w:rsidRPr="005F055E">
              <w:rPr>
                <w:color w:val="000000"/>
              </w:rPr>
              <w:t>Wmo</w:t>
            </w:r>
            <w:proofErr w:type="spellEnd"/>
            <w:r w:rsidRPr="005F055E">
              <w:rPr>
                <w:color w:val="000000"/>
              </w:rPr>
              <w:t xml:space="preserve"> 2015.</w:t>
            </w:r>
          </w:p>
        </w:tc>
      </w:tr>
    </w:tbl>
    <w:p w:rsidRPr="005F055E" w:rsidR="000478A7" w:rsidP="00180EEB" w:rsidRDefault="000478A7" w14:paraId="42760987" w14:textId="77777777">
      <w:pPr>
        <w:suppressAutoHyphens/>
      </w:pPr>
    </w:p>
    <w:p w:rsidRPr="005F055E" w:rsidR="000478A7" w:rsidP="00180EEB" w:rsidRDefault="000478A7" w14:paraId="683B1341" w14:textId="77777777">
      <w:pPr>
        <w:suppressAutoHyphens/>
      </w:pPr>
    </w:p>
    <w:p w:rsidRPr="005F055E" w:rsidR="000478A7" w:rsidP="00180EEB" w:rsidRDefault="003E7003" w14:paraId="7302764D" w14:textId="77777777">
      <w:pPr>
        <w:suppressAutoHyphens/>
      </w:pPr>
      <w:r w:rsidRPr="005F055E">
        <w:t>Vraag 80</w:t>
      </w:r>
      <w:r w:rsidRPr="005F055E">
        <w:tab/>
      </w:r>
    </w:p>
    <w:p w:rsidRPr="005F055E" w:rsidR="000478A7" w:rsidP="00180EEB" w:rsidRDefault="003E7003" w14:paraId="3F07DDC9" w14:textId="77777777">
      <w:pPr>
        <w:suppressAutoHyphens/>
      </w:pPr>
      <w:r w:rsidRPr="005F055E">
        <w:t>Kunt u per VWS-maatregel uit de budgettaire bijlage van het hoofdlijnenakkoord van het kabinet-Schoof aangeven in hoeverre deze al is doorgevoerd, nog gepland staat of is aangepast?</w:t>
      </w:r>
      <w:r w:rsidRPr="005F055E">
        <w:tab/>
      </w:r>
    </w:p>
    <w:p w:rsidRPr="005F055E" w:rsidR="003E7003" w:rsidP="00180EEB" w:rsidRDefault="003E7003" w14:paraId="38AD2F50" w14:textId="408164E1">
      <w:pPr>
        <w:suppressAutoHyphens/>
      </w:pPr>
      <w:r w:rsidRPr="005F055E">
        <w:t>Antwoord</w:t>
      </w:r>
    </w:p>
    <w:p w:rsidR="007B58FB" w:rsidP="00180EEB" w:rsidRDefault="007B58FB" w14:paraId="3E3435D0" w14:textId="77777777">
      <w:pPr>
        <w:tabs>
          <w:tab w:val="left" w:pos="1134"/>
        </w:tabs>
        <w:suppressAutoHyphens/>
        <w:rPr>
          <w:szCs w:val="18"/>
        </w:rPr>
      </w:pPr>
      <w:r w:rsidRPr="005F055E">
        <w:rPr>
          <w:szCs w:val="18"/>
        </w:rPr>
        <w:t>De onderstaande tabel zijn de reeksen zoals opgenomen in de budgettaire bijlage van het coalitieakkoord Schoof. Dit komt niet meer in alle gevallen overeen met de ingeboekte ombuigingen, diverse ombuigingen zijn alternatief gedekt.</w:t>
      </w:r>
    </w:p>
    <w:p w:rsidRPr="005F055E" w:rsidR="00056279" w:rsidP="00180EEB" w:rsidRDefault="00056279" w14:paraId="0E03DE13" w14:textId="77777777">
      <w:pPr>
        <w:tabs>
          <w:tab w:val="left" w:pos="1134"/>
        </w:tabs>
        <w:suppressAutoHyphens/>
        <w:rPr>
          <w:szCs w:val="18"/>
        </w:rPr>
      </w:pPr>
    </w:p>
    <w:tbl>
      <w:tblPr>
        <w:tblW w:w="9498" w:type="dxa"/>
        <w:tblLayout w:type="fixed"/>
        <w:tblCellMar>
          <w:left w:w="70" w:type="dxa"/>
          <w:right w:w="70" w:type="dxa"/>
        </w:tblCellMar>
        <w:tblLook w:val="04A0" w:firstRow="1" w:lastRow="0" w:firstColumn="1" w:lastColumn="0" w:noHBand="0" w:noVBand="1"/>
      </w:tblPr>
      <w:tblGrid>
        <w:gridCol w:w="1980"/>
        <w:gridCol w:w="851"/>
        <w:gridCol w:w="850"/>
        <w:gridCol w:w="851"/>
        <w:gridCol w:w="960"/>
        <w:gridCol w:w="960"/>
        <w:gridCol w:w="3046"/>
      </w:tblGrid>
      <w:tr w:rsidRPr="005F055E" w:rsidR="00E24EC6" w:rsidTr="00CF1801" w14:paraId="5B176A58" w14:textId="77777777">
        <w:trPr>
          <w:trHeight w:val="300"/>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4016552E" w14:textId="77777777">
            <w:pPr>
              <w:suppressAutoHyphens/>
              <w:spacing w:after="0" w:line="240" w:lineRule="auto"/>
              <w:rPr>
                <w:rFonts w:eastAsia="Times New Roman" w:cs="Times New Roman"/>
                <w:b/>
                <w:bCs/>
                <w:color w:val="000000"/>
                <w:szCs w:val="18"/>
                <w:lang w:eastAsia="nl-NL"/>
              </w:rPr>
            </w:pPr>
            <w:r w:rsidRPr="005F055E">
              <w:rPr>
                <w:rFonts w:eastAsia="Times New Roman" w:cs="Times New Roman"/>
                <w:b/>
                <w:bCs/>
                <w:color w:val="000000"/>
                <w:szCs w:val="18"/>
                <w:lang w:eastAsia="nl-NL"/>
              </w:rPr>
              <w:t xml:space="preserve">Maatregelen Schoof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33CEA4F2" w14:textId="77777777">
            <w:pPr>
              <w:suppressAutoHyphens/>
              <w:spacing w:after="0" w:line="240" w:lineRule="auto"/>
              <w:rPr>
                <w:rFonts w:eastAsia="Times New Roman" w:cs="Times New Roman"/>
                <w:b/>
                <w:bCs/>
                <w:color w:val="000000"/>
                <w:szCs w:val="18"/>
                <w:lang w:eastAsia="nl-NL"/>
              </w:rPr>
            </w:pPr>
            <w:r w:rsidRPr="005F055E">
              <w:rPr>
                <w:rFonts w:eastAsia="Times New Roman" w:cs="Times New Roman"/>
                <w:b/>
                <w:bCs/>
                <w:color w:val="000000"/>
                <w:szCs w:val="18"/>
                <w:lang w:eastAsia="nl-NL"/>
              </w:rPr>
              <w:t>2025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199AAC96" w14:textId="77777777">
            <w:pPr>
              <w:suppressAutoHyphens/>
              <w:spacing w:after="0" w:line="240" w:lineRule="auto"/>
              <w:rPr>
                <w:rFonts w:eastAsia="Times New Roman" w:cs="Times New Roman"/>
                <w:b/>
                <w:bCs/>
                <w:color w:val="000000"/>
                <w:szCs w:val="18"/>
                <w:lang w:eastAsia="nl-NL"/>
              </w:rPr>
            </w:pPr>
            <w:r w:rsidRPr="005F055E">
              <w:rPr>
                <w:rFonts w:eastAsia="Times New Roman" w:cs="Times New Roman"/>
                <w:b/>
                <w:bCs/>
                <w:color w:val="000000"/>
                <w:szCs w:val="18"/>
                <w:lang w:eastAsia="nl-NL"/>
              </w:rPr>
              <w:t>2026</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5DDBB3B5" w14:textId="77777777">
            <w:pPr>
              <w:suppressAutoHyphens/>
              <w:spacing w:after="0" w:line="240" w:lineRule="auto"/>
              <w:rPr>
                <w:rFonts w:eastAsia="Times New Roman" w:cs="Times New Roman"/>
                <w:b/>
                <w:bCs/>
                <w:color w:val="000000"/>
                <w:szCs w:val="18"/>
                <w:lang w:eastAsia="nl-NL"/>
              </w:rPr>
            </w:pPr>
            <w:r w:rsidRPr="005F055E">
              <w:rPr>
                <w:rFonts w:eastAsia="Times New Roman" w:cs="Times New Roman"/>
                <w:b/>
                <w:bCs/>
                <w:color w:val="000000"/>
                <w:szCs w:val="18"/>
                <w:lang w:eastAsia="nl-NL"/>
              </w:rPr>
              <w:t>2027</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508A0FF4" w14:textId="77777777">
            <w:pPr>
              <w:suppressAutoHyphens/>
              <w:spacing w:after="0" w:line="240" w:lineRule="auto"/>
              <w:rPr>
                <w:rFonts w:eastAsia="Times New Roman" w:cs="Times New Roman"/>
                <w:b/>
                <w:bCs/>
                <w:color w:val="000000"/>
                <w:szCs w:val="18"/>
                <w:lang w:eastAsia="nl-NL"/>
              </w:rPr>
            </w:pPr>
            <w:proofErr w:type="spellStart"/>
            <w:r w:rsidRPr="005F055E">
              <w:rPr>
                <w:rFonts w:eastAsia="Times New Roman" w:cs="Times New Roman"/>
                <w:b/>
                <w:bCs/>
                <w:color w:val="000000"/>
                <w:szCs w:val="18"/>
                <w:lang w:eastAsia="nl-NL"/>
              </w:rPr>
              <w:t>Struc</w:t>
            </w:r>
            <w:proofErr w:type="spellEnd"/>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5B92DE61" w14:textId="77777777">
            <w:pPr>
              <w:suppressAutoHyphens/>
              <w:spacing w:after="0" w:line="240" w:lineRule="auto"/>
              <w:rPr>
                <w:rFonts w:eastAsia="Times New Roman" w:cs="Times New Roman"/>
                <w:b/>
                <w:bCs/>
                <w:color w:val="000000"/>
                <w:szCs w:val="18"/>
                <w:lang w:eastAsia="nl-NL"/>
              </w:rPr>
            </w:pPr>
            <w:r w:rsidRPr="005F055E">
              <w:rPr>
                <w:rFonts w:eastAsia="Times New Roman" w:cs="Times New Roman"/>
                <w:b/>
                <w:bCs/>
                <w:color w:val="000000"/>
                <w:szCs w:val="18"/>
                <w:lang w:eastAsia="nl-NL"/>
              </w:rPr>
              <w:t>Jaar</w:t>
            </w:r>
          </w:p>
        </w:tc>
        <w:tc>
          <w:tcPr>
            <w:tcW w:w="30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2C6A07CE" w14:textId="77777777">
            <w:pPr>
              <w:suppressAutoHyphens/>
              <w:spacing w:after="0" w:line="240" w:lineRule="auto"/>
              <w:rPr>
                <w:rFonts w:eastAsia="Times New Roman" w:cs="Times New Roman"/>
                <w:b/>
                <w:bCs/>
                <w:color w:val="000000"/>
                <w:szCs w:val="18"/>
                <w:lang w:eastAsia="nl-NL"/>
              </w:rPr>
            </w:pPr>
            <w:r w:rsidRPr="005F055E">
              <w:rPr>
                <w:rFonts w:eastAsia="Times New Roman" w:cs="Times New Roman"/>
                <w:b/>
                <w:bCs/>
                <w:color w:val="000000"/>
                <w:szCs w:val="18"/>
                <w:lang w:eastAsia="nl-NL"/>
              </w:rPr>
              <w:t>Toelichting</w:t>
            </w:r>
          </w:p>
        </w:tc>
      </w:tr>
      <w:tr w:rsidRPr="005F055E" w:rsidR="00E24EC6" w:rsidTr="00CF1801" w14:paraId="4C8A4F9F" w14:textId="77777777">
        <w:trPr>
          <w:trHeight w:val="1850"/>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5508696F"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Voortbouwen hoofdlijnenakkoord curatieve zorg (Schoof)</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3EC1B58B"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285E76C1"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4AFE9B1C"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-250</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24916893"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-590</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79659C5A"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2029</w:t>
            </w:r>
          </w:p>
        </w:tc>
        <w:tc>
          <w:tcPr>
            <w:tcW w:w="30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4A2C1770"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 xml:space="preserve">In het AZWA hebben betrokken partijen de handtekening gezet onder een </w:t>
            </w:r>
            <w:proofErr w:type="spellStart"/>
            <w:r w:rsidRPr="005F055E">
              <w:rPr>
                <w:rFonts w:eastAsia="Times New Roman" w:cs="Times New Roman"/>
                <w:color w:val="000000"/>
                <w:szCs w:val="18"/>
                <w:lang w:eastAsia="nl-NL"/>
              </w:rPr>
              <w:t>meerjarenkader</w:t>
            </w:r>
            <w:proofErr w:type="spellEnd"/>
            <w:r w:rsidRPr="005F055E">
              <w:rPr>
                <w:rFonts w:eastAsia="Times New Roman" w:cs="Times New Roman"/>
                <w:color w:val="000000"/>
                <w:szCs w:val="18"/>
                <w:lang w:eastAsia="nl-NL"/>
              </w:rPr>
              <w:t xml:space="preserve"> waarin deze taakstelling is verwerkt. Onderdeel van dit akkoord is dat een deel van de remgeldmiddelen die samenhangen met het halveren van het eigen risico, worden ingezet om een deel van de inhoudelijke afspraken te financieren.</w:t>
            </w:r>
          </w:p>
        </w:tc>
      </w:tr>
      <w:tr w:rsidRPr="005F055E" w:rsidR="00E24EC6" w:rsidTr="00CF1801" w14:paraId="591BC4CA" w14:textId="77777777">
        <w:trPr>
          <w:trHeight w:val="1160"/>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503BD6AD"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 xml:space="preserve">Onafhankelijke indicatiestelling </w:t>
            </w:r>
            <w:proofErr w:type="spellStart"/>
            <w:r w:rsidRPr="005F055E">
              <w:rPr>
                <w:rFonts w:eastAsia="Times New Roman" w:cs="Times New Roman"/>
                <w:color w:val="000000"/>
                <w:szCs w:val="18"/>
                <w:lang w:eastAsia="nl-NL"/>
              </w:rPr>
              <w:t>ongecontracteerde</w:t>
            </w:r>
            <w:proofErr w:type="spellEnd"/>
            <w:r w:rsidRPr="005F055E">
              <w:rPr>
                <w:rFonts w:eastAsia="Times New Roman" w:cs="Times New Roman"/>
                <w:color w:val="000000"/>
                <w:szCs w:val="18"/>
                <w:lang w:eastAsia="nl-NL"/>
              </w:rPr>
              <w:t xml:space="preserve"> wijkverpleging (Schoof)</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22A78CA2"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10CAD7E7"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50C98379"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-85</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5DC58888"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-85</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7E139F7F"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2027</w:t>
            </w:r>
          </w:p>
        </w:tc>
        <w:tc>
          <w:tcPr>
            <w:tcW w:w="30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51DAC006"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Momenteel wordt gewerkt aan de inhoudelijke uitwerking van deze maatregel. De ombuiging van € 85 miljoen is ingeboekt vanaf 2027, de invoering vraagt waarschijnlijk om een aanpassing in de wetgeving.</w:t>
            </w:r>
          </w:p>
        </w:tc>
      </w:tr>
      <w:tr w:rsidRPr="005F055E" w:rsidR="00E24EC6" w:rsidTr="00CF1801" w14:paraId="330021AB" w14:textId="77777777">
        <w:trPr>
          <w:trHeight w:val="700"/>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001DF9B2"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Versnelling opschalen digitale zorg in de wijkverpleging (Schoof)</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1900DDAF"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51454902"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6A0EB00A"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-35</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50846BA3"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-210</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03223DA9"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2030</w:t>
            </w:r>
          </w:p>
        </w:tc>
        <w:tc>
          <w:tcPr>
            <w:tcW w:w="30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53A43005"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In overleg met de sector wordt op dit moment bezien op welke wijze invulling aan deze maatregel gegeven kan worden.</w:t>
            </w:r>
          </w:p>
        </w:tc>
      </w:tr>
      <w:tr w:rsidRPr="005F055E" w:rsidR="00E24EC6" w:rsidTr="00CF1801" w14:paraId="5D535CF5" w14:textId="77777777">
        <w:trPr>
          <w:trHeight w:val="2770"/>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2803B0C0"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 xml:space="preserve">Versnelling opschaling digitale zorg in de </w:t>
            </w:r>
            <w:proofErr w:type="spellStart"/>
            <w:r w:rsidRPr="005F055E">
              <w:rPr>
                <w:rFonts w:eastAsia="Times New Roman" w:cs="Times New Roman"/>
                <w:color w:val="000000"/>
                <w:szCs w:val="18"/>
                <w:lang w:eastAsia="nl-NL"/>
              </w:rPr>
              <w:t>Wlz</w:t>
            </w:r>
            <w:proofErr w:type="spellEnd"/>
            <w:r w:rsidRPr="005F055E">
              <w:rPr>
                <w:rFonts w:eastAsia="Times New Roman" w:cs="Times New Roman"/>
                <w:color w:val="000000"/>
                <w:szCs w:val="18"/>
                <w:lang w:eastAsia="nl-NL"/>
              </w:rPr>
              <w:t xml:space="preserve"> (Schoof)</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30A07BA9"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17B4C7EE"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0D66BE85"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-45</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39A7AB9D"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-270</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706F81D2"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2030</w:t>
            </w:r>
          </w:p>
        </w:tc>
        <w:tc>
          <w:tcPr>
            <w:tcW w:w="30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00D442B0"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 xml:space="preserve">Het aandeel van de ouderenzorg voor de versnelling van digitale zorg (geleidelijk oplopend van € 27 miljoen in 2027 tot structureel € 162 miljoen vanaf 2031) is meegenomen in de totale set met financiële afspraken in het Hoofdlijnenakkoord Ouderenzorg en wordt op basis van die afspraken gerealiseerd. Het aandeel van de gehandicaptenzorg in deze taakstelling (geleidelijk oplopend van € 18 miljoen in 2027 tot structureel € 108 miljoen vanaf 2030) staat nog gepland. </w:t>
            </w:r>
          </w:p>
        </w:tc>
      </w:tr>
      <w:tr w:rsidRPr="005F055E" w:rsidR="00E24EC6" w:rsidTr="00CF1801" w14:paraId="1D7D3CB7" w14:textId="77777777">
        <w:trPr>
          <w:trHeight w:val="930"/>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5FA1E03F"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Subsidietaakstelling (Schoof)</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6024BFA1"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-53</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7CD86F28"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-124</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162D5269"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-176</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63BF49CE"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-252</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3C7F3E80"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2028</w:t>
            </w:r>
          </w:p>
        </w:tc>
        <w:tc>
          <w:tcPr>
            <w:tcW w:w="30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788D8618"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 xml:space="preserve">Deze maatregel is </w:t>
            </w:r>
            <w:proofErr w:type="spellStart"/>
            <w:r w:rsidRPr="005F055E">
              <w:rPr>
                <w:rFonts w:eastAsia="Times New Roman" w:cs="Times New Roman"/>
                <w:color w:val="000000"/>
                <w:szCs w:val="18"/>
                <w:lang w:eastAsia="nl-NL"/>
              </w:rPr>
              <w:t>doorverdeeld</w:t>
            </w:r>
            <w:proofErr w:type="spellEnd"/>
            <w:r w:rsidRPr="005F055E">
              <w:rPr>
                <w:rFonts w:eastAsia="Times New Roman" w:cs="Times New Roman"/>
                <w:color w:val="000000"/>
                <w:szCs w:val="18"/>
                <w:lang w:eastAsia="nl-NL"/>
              </w:rPr>
              <w:t xml:space="preserve"> naar kortingen op specifieke subsidies. Dit is verwerkt in de Nota van Wijziging op de Ontwerpbegroting 2025. </w:t>
            </w:r>
          </w:p>
        </w:tc>
      </w:tr>
      <w:tr w:rsidRPr="005F055E" w:rsidR="00E24EC6" w:rsidTr="00CF1801" w14:paraId="610A4E96" w14:textId="77777777">
        <w:trPr>
          <w:trHeight w:val="700"/>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02B70A37"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Terugdraaien intensivering zorgarbeidsmarktbeleid (Schoof)</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430F84FF"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456DFA23"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-130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2721F6D8"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-130</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5D07860C"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-130</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04AE6270"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2026</w:t>
            </w:r>
          </w:p>
        </w:tc>
        <w:tc>
          <w:tcPr>
            <w:tcW w:w="30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310321A1"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 xml:space="preserve">De intensivering is conform het HLA teruggedraaid. Structureel is de terugdraai van de intensivering in 2026 volledig verwerkt. </w:t>
            </w:r>
          </w:p>
        </w:tc>
      </w:tr>
      <w:tr w:rsidRPr="005F055E" w:rsidR="00E24EC6" w:rsidTr="00CF1801" w14:paraId="0B5E7DB1" w14:textId="77777777">
        <w:trPr>
          <w:trHeight w:val="1620"/>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5C093F1F"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SPUK naar GF/PF met 10% korting (Schoof)</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69C76971"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22250472"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-73</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01284E94"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-67</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025B29FC"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-60</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7E664E15"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2029</w:t>
            </w:r>
          </w:p>
        </w:tc>
        <w:tc>
          <w:tcPr>
            <w:tcW w:w="30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35CE8768"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 xml:space="preserve">In het Hoofdlijnenakkoord is besloten om specifieke uitkeringen over te hevelen naar het Gemeente- en het Provinciefonds en daarbij een budgetkorting van 10 procent te hanteren, voor de specifieke uitkeringen (SPUKS) is de ombuiging al budgettair op de VWS-begroting verwerkt. </w:t>
            </w:r>
          </w:p>
        </w:tc>
      </w:tr>
      <w:tr w:rsidRPr="005F055E" w:rsidR="00E24EC6" w:rsidTr="00CF1801" w14:paraId="186BF616" w14:textId="77777777">
        <w:trPr>
          <w:trHeight w:val="700"/>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1D5BC7BB"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Terugdraaien intensivering publieke gezondheid (Schoof)</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650A187D"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-50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4F5A5F28"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-50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59016303"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-150</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25404FFF"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-300</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2F499E50"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2029</w:t>
            </w:r>
          </w:p>
        </w:tc>
        <w:tc>
          <w:tcPr>
            <w:tcW w:w="30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364B3124"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 xml:space="preserve">De intensivering is conform het HLA teruggedraaid. Structureel is de terugdraai van de intensivering in 2029 volledig verwerkt. </w:t>
            </w:r>
          </w:p>
        </w:tc>
      </w:tr>
      <w:tr w:rsidRPr="005F055E" w:rsidR="00E24EC6" w:rsidTr="00CF1801" w14:paraId="354F3ACB" w14:textId="77777777">
        <w:trPr>
          <w:trHeight w:val="700"/>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5507F869"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Terugdraaien groei apparaat Rijksoverheid (Schoof)</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2DD1B447"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-18</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60FDE35B"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-32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0707F28D"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-47</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56F0D28E"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-68</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E24EC6" w:rsidP="00180EEB" w:rsidRDefault="00E24EC6" w14:paraId="6FCA686D"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2028</w:t>
            </w:r>
          </w:p>
        </w:tc>
        <w:tc>
          <w:tcPr>
            <w:tcW w:w="30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55E" w:rsidR="00E24EC6" w:rsidP="00180EEB" w:rsidRDefault="00E24EC6" w14:paraId="43150B71" w14:textId="77777777">
            <w:pPr>
              <w:suppressAutoHyphens/>
              <w:spacing w:after="0" w:line="240" w:lineRule="auto"/>
              <w:rPr>
                <w:rFonts w:eastAsia="Times New Roman" w:cs="Times New Roman"/>
                <w:color w:val="000000"/>
                <w:szCs w:val="18"/>
                <w:lang w:eastAsia="nl-NL"/>
              </w:rPr>
            </w:pPr>
            <w:r w:rsidRPr="005F055E">
              <w:rPr>
                <w:rFonts w:eastAsia="Times New Roman" w:cs="Times New Roman"/>
                <w:color w:val="000000"/>
                <w:szCs w:val="18"/>
                <w:lang w:eastAsia="nl-NL"/>
              </w:rPr>
              <w:t>Deze maatregel is in gang gezet. Budgettair is de ombuiging al op de VWS-begroting verwerkt.</w:t>
            </w:r>
          </w:p>
        </w:tc>
      </w:tr>
    </w:tbl>
    <w:p w:rsidRPr="005F055E" w:rsidR="000478A7" w:rsidP="00180EEB" w:rsidRDefault="000478A7" w14:paraId="08570D74" w14:textId="77777777">
      <w:pPr>
        <w:suppressAutoHyphens/>
      </w:pPr>
    </w:p>
    <w:p w:rsidRPr="005F055E" w:rsidR="000478A7" w:rsidP="00180EEB" w:rsidRDefault="003E7003" w14:paraId="7396A3C8" w14:textId="77777777">
      <w:pPr>
        <w:suppressAutoHyphens/>
      </w:pPr>
      <w:r w:rsidRPr="005F055E">
        <w:t>Vraag 81</w:t>
      </w:r>
      <w:r w:rsidRPr="005F055E">
        <w:tab/>
      </w:r>
    </w:p>
    <w:p w:rsidRPr="005F055E" w:rsidR="000478A7" w:rsidP="00180EEB" w:rsidRDefault="003E7003" w14:paraId="6EFA7F75" w14:textId="51325EDF">
      <w:pPr>
        <w:suppressAutoHyphens/>
      </w:pPr>
      <w:r w:rsidRPr="005F055E">
        <w:t>Hoe staat het inmiddels met de besparing die gekoppeld was aan de maatregel ‘Verlagen intensivering publieke gezondheid’? Gaat deze nog door? Zo ja, zou u in een tabel een overzicht kunnen geven hoe deze bezuiniging per jaar oploopt? Ten koste waarvan gaat deze bezuiniging?</w:t>
      </w:r>
    </w:p>
    <w:p w:rsidRPr="005F055E" w:rsidR="003E7003" w:rsidP="00180EEB" w:rsidRDefault="003E7003" w14:paraId="66FCDAEA" w14:textId="75162E48">
      <w:pPr>
        <w:suppressAutoHyphens/>
      </w:pPr>
      <w:r w:rsidRPr="005F055E">
        <w:t>Antwoord</w:t>
      </w:r>
    </w:p>
    <w:p w:rsidRPr="005F055E" w:rsidR="00C279FC" w:rsidP="00180EEB" w:rsidRDefault="00C279FC" w14:paraId="6674E27F" w14:textId="57BBDB69">
      <w:pPr>
        <w:suppressAutoHyphens/>
        <w:rPr>
          <w:highlight w:val="yellow"/>
        </w:rPr>
      </w:pPr>
      <w:r w:rsidRPr="005F055E">
        <w:t xml:space="preserve">De maatregel ‘Verlagen intensivering publieke gezondheid’ betreft een bezuiniging op het gehele programma pandemische paraatheid. Hoe deze taakstelling oploopt ziet u in de tabel hieronder. De bezuiniging vloeit voort uit het hoofdlijnenakkoord en daar ben ik aan gebonden. Voor de beleidsopgave leveringszekerheid geldt dat de meeste maatregelen geborgd zijn met de middelen die met de nota van Wijziging bij de begroting 2025 zijn toegevoegd voor het verbeteren van de beschikbaarheid van geneesmiddelen. Voor de beleidsopgave flexibele zorg ligt dit genuanceerd. Zo is voor een deel bijvoorbeeld structurele middelen gevonden (bijvoorbeeld opleiding Basis Acute zorg en </w:t>
      </w:r>
      <w:r w:rsidRPr="005F055E">
        <w:rPr>
          <w:bCs/>
        </w:rPr>
        <w:t>monitoring en surveillance in de ouderenzorg en gehandicaptenzorg</w:t>
      </w:r>
      <w:r w:rsidRPr="005F055E">
        <w:t xml:space="preserve">), voor een deel zijn programma onderdelen afgerond (zoals het </w:t>
      </w:r>
      <w:proofErr w:type="spellStart"/>
      <w:r w:rsidRPr="005F055E">
        <w:t>ZonM</w:t>
      </w:r>
      <w:r w:rsidRPr="005F055E" w:rsidR="00CF1801">
        <w:t>w</w:t>
      </w:r>
      <w:proofErr w:type="spellEnd"/>
      <w:r w:rsidRPr="005F055E">
        <w:t xml:space="preserve"> programma doorgang reguliere zorg), maar voor een deel zoek ik nog naar alternatieve structurele middelen. Voor het versterken van de publieke gezondheid zijn vooralsnog geen structurele middelen meer beschikbaar. </w:t>
      </w:r>
    </w:p>
    <w:p w:rsidR="00C279FC" w:rsidP="00180EEB" w:rsidRDefault="00C279FC" w14:paraId="0CBDECA2" w14:textId="36381AA8">
      <w:pPr>
        <w:suppressAutoHyphens/>
      </w:pPr>
      <w:r w:rsidRPr="005F055E">
        <w:t xml:space="preserve">Op uw vraag ten koste waarvan de bezuiniging gaat, geldt dat de oplopende reeks van de bezuinigingen het afgelopen jaar nog ruimte gaf om veel zaken te continueren. Een aantal zaken die zouden starten, zijn on </w:t>
      </w:r>
      <w:proofErr w:type="spellStart"/>
      <w:r w:rsidRPr="005F055E">
        <w:t>hold</w:t>
      </w:r>
      <w:proofErr w:type="spellEnd"/>
      <w:r w:rsidRPr="005F055E">
        <w:t xml:space="preserve"> gezet. Verder is het zo dat er op de begroting van VWS incidentele middelen zijn vrij gemaakt om te voorkomen dat er op korte termijn onomkeerbare schade optreedt bij uitvoerders van de publieke gezondheidszorg en het ROAZ. Echter, indien er komend voorjaar geen aanvullende structurele middelen vrij komen, dan moeten de versterkingen stapsgewijs worden afgebouwd. Daarbij geldt dat de afbouw</w:t>
      </w:r>
      <w:r w:rsidRPr="005F055E">
        <w:rPr>
          <w:b/>
          <w:bCs/>
        </w:rPr>
        <w:t xml:space="preserve"> </w:t>
      </w:r>
      <w:r w:rsidRPr="005F055E">
        <w:t>al</w:t>
      </w:r>
      <w:r w:rsidRPr="005F055E">
        <w:rPr>
          <w:b/>
          <w:bCs/>
        </w:rPr>
        <w:t xml:space="preserve"> </w:t>
      </w:r>
      <w:r w:rsidRPr="005F055E">
        <w:t xml:space="preserve">veel eerder moet starten dan dat de financiering stopt. Afbouw van maatregelen behelst immers reorganisaties. Deze afbouw gaat ten koste van de paraatheid en weerbaarheid van de Nederlandse zorg tegen grootschalige gezondheidscrises. </w:t>
      </w:r>
      <w:r w:rsidRPr="005F055E" w:rsidR="005A77AB">
        <w:t>Mede vanwege de samenloop met andere bezuinigingen, zoals de subsidietaakstelling, vallen we zonder structurele investeringen vallen we terug tot onder het niveau van vóór de COVID-19 pandemie. We zijn dan slechter voorbereid op grootschalige gezondheidscrisis en hebben de lessen van de COVID-19 pandemie niet opgevolgd.</w:t>
      </w:r>
    </w:p>
    <w:p w:rsidRPr="005F055E" w:rsidR="00913AA3" w:rsidP="00180EEB" w:rsidRDefault="00913AA3" w14:paraId="03DC94CB" w14:textId="77777777">
      <w:pPr>
        <w:suppressAutoHyphens/>
      </w:pPr>
    </w:p>
    <w:tbl>
      <w:tblPr>
        <w:tblStyle w:val="Tabelraster"/>
        <w:tblpPr w:leftFromText="141" w:rightFromText="141" w:vertAnchor="text" w:horzAnchor="margin" w:tblpY="704"/>
        <w:tblOverlap w:val="never"/>
        <w:tblW w:w="0" w:type="auto"/>
        <w:tblLook w:val="04A0" w:firstRow="1" w:lastRow="0" w:firstColumn="1" w:lastColumn="0" w:noHBand="0" w:noVBand="1"/>
      </w:tblPr>
      <w:tblGrid>
        <w:gridCol w:w="1447"/>
        <w:gridCol w:w="728"/>
        <w:gridCol w:w="728"/>
        <w:gridCol w:w="728"/>
        <w:gridCol w:w="728"/>
        <w:gridCol w:w="728"/>
        <w:gridCol w:w="1498"/>
      </w:tblGrid>
      <w:tr w:rsidRPr="005F055E" w:rsidR="00C279FC" w:rsidTr="00C279FC" w14:paraId="7FD45B2B" w14:textId="77777777">
        <w:trPr>
          <w:trHeight w:val="283"/>
        </w:trPr>
        <w:tc>
          <w:tcPr>
            <w:tcW w:w="0" w:type="auto"/>
            <w:hideMark/>
          </w:tcPr>
          <w:p w:rsidRPr="005F055E" w:rsidR="00C279FC" w:rsidP="00180EEB" w:rsidRDefault="00C279FC" w14:paraId="60208B60" w14:textId="77777777">
            <w:pPr>
              <w:suppressAutoHyphens/>
              <w:rPr>
                <w:rFonts w:ascii="Verdana" w:hAnsi="Verdana" w:eastAsia="Calibri" w:cs="Arial"/>
                <w:b/>
                <w:bCs/>
                <w:sz w:val="18"/>
                <w:szCs w:val="18"/>
              </w:rPr>
            </w:pPr>
            <w:r w:rsidRPr="005F055E">
              <w:rPr>
                <w:rFonts w:ascii="Verdana" w:hAnsi="Verdana" w:cs="Arial"/>
                <w:b/>
                <w:bCs/>
                <w:sz w:val="18"/>
                <w:szCs w:val="18"/>
              </w:rPr>
              <w:t>(x mln.)</w:t>
            </w:r>
          </w:p>
        </w:tc>
        <w:tc>
          <w:tcPr>
            <w:tcW w:w="0" w:type="auto"/>
            <w:hideMark/>
          </w:tcPr>
          <w:p w:rsidRPr="005F055E" w:rsidR="00C279FC" w:rsidP="00180EEB" w:rsidRDefault="00C279FC" w14:paraId="5B8FC288" w14:textId="77777777">
            <w:pPr>
              <w:suppressAutoHyphens/>
              <w:rPr>
                <w:rFonts w:ascii="Verdana" w:hAnsi="Verdana" w:cs="Arial"/>
                <w:b/>
                <w:bCs/>
                <w:sz w:val="18"/>
                <w:szCs w:val="18"/>
              </w:rPr>
            </w:pPr>
            <w:r w:rsidRPr="005F055E">
              <w:rPr>
                <w:rFonts w:ascii="Verdana" w:hAnsi="Verdana" w:cs="Arial"/>
                <w:b/>
                <w:bCs/>
                <w:sz w:val="18"/>
                <w:szCs w:val="18"/>
              </w:rPr>
              <w:t>2024</w:t>
            </w:r>
          </w:p>
        </w:tc>
        <w:tc>
          <w:tcPr>
            <w:tcW w:w="0" w:type="auto"/>
            <w:hideMark/>
          </w:tcPr>
          <w:p w:rsidRPr="005F055E" w:rsidR="00C279FC" w:rsidP="00180EEB" w:rsidRDefault="00C279FC" w14:paraId="3526C162" w14:textId="77777777">
            <w:pPr>
              <w:suppressAutoHyphens/>
              <w:rPr>
                <w:rFonts w:ascii="Verdana" w:hAnsi="Verdana" w:cs="Arial"/>
                <w:b/>
                <w:bCs/>
                <w:sz w:val="18"/>
                <w:szCs w:val="18"/>
              </w:rPr>
            </w:pPr>
            <w:r w:rsidRPr="005F055E">
              <w:rPr>
                <w:rFonts w:ascii="Verdana" w:hAnsi="Verdana" w:cs="Arial"/>
                <w:b/>
                <w:bCs/>
                <w:sz w:val="18"/>
                <w:szCs w:val="18"/>
              </w:rPr>
              <w:t>2025</w:t>
            </w:r>
          </w:p>
        </w:tc>
        <w:tc>
          <w:tcPr>
            <w:tcW w:w="0" w:type="auto"/>
            <w:hideMark/>
          </w:tcPr>
          <w:p w:rsidRPr="005F055E" w:rsidR="00C279FC" w:rsidP="00180EEB" w:rsidRDefault="00C279FC" w14:paraId="2AD5AE9C" w14:textId="77777777">
            <w:pPr>
              <w:suppressAutoHyphens/>
              <w:rPr>
                <w:rFonts w:ascii="Verdana" w:hAnsi="Verdana" w:cs="Arial"/>
                <w:b/>
                <w:bCs/>
                <w:sz w:val="18"/>
                <w:szCs w:val="18"/>
              </w:rPr>
            </w:pPr>
            <w:r w:rsidRPr="005F055E">
              <w:rPr>
                <w:rFonts w:ascii="Verdana" w:hAnsi="Verdana" w:cs="Arial"/>
                <w:b/>
                <w:bCs/>
                <w:sz w:val="18"/>
                <w:szCs w:val="18"/>
              </w:rPr>
              <w:t>2026</w:t>
            </w:r>
          </w:p>
        </w:tc>
        <w:tc>
          <w:tcPr>
            <w:tcW w:w="0" w:type="auto"/>
            <w:hideMark/>
          </w:tcPr>
          <w:p w:rsidRPr="005F055E" w:rsidR="00C279FC" w:rsidP="00180EEB" w:rsidRDefault="00C279FC" w14:paraId="629860A0" w14:textId="77777777">
            <w:pPr>
              <w:suppressAutoHyphens/>
              <w:rPr>
                <w:rFonts w:ascii="Verdana" w:hAnsi="Verdana" w:cs="Arial"/>
                <w:b/>
                <w:bCs/>
                <w:sz w:val="18"/>
                <w:szCs w:val="18"/>
              </w:rPr>
            </w:pPr>
            <w:r w:rsidRPr="005F055E">
              <w:rPr>
                <w:rFonts w:ascii="Verdana" w:hAnsi="Verdana" w:cs="Arial"/>
                <w:b/>
                <w:bCs/>
                <w:sz w:val="18"/>
                <w:szCs w:val="18"/>
              </w:rPr>
              <w:t>2027</w:t>
            </w:r>
          </w:p>
        </w:tc>
        <w:tc>
          <w:tcPr>
            <w:tcW w:w="0" w:type="auto"/>
            <w:hideMark/>
          </w:tcPr>
          <w:p w:rsidRPr="005F055E" w:rsidR="00C279FC" w:rsidP="00180EEB" w:rsidRDefault="00C279FC" w14:paraId="0ABFBEAF" w14:textId="77777777">
            <w:pPr>
              <w:suppressAutoHyphens/>
              <w:rPr>
                <w:rFonts w:ascii="Verdana" w:hAnsi="Verdana" w:cs="Arial"/>
                <w:b/>
                <w:bCs/>
                <w:sz w:val="18"/>
                <w:szCs w:val="18"/>
              </w:rPr>
            </w:pPr>
            <w:r w:rsidRPr="005F055E">
              <w:rPr>
                <w:rFonts w:ascii="Verdana" w:hAnsi="Verdana" w:cs="Arial"/>
                <w:b/>
                <w:bCs/>
                <w:sz w:val="18"/>
                <w:szCs w:val="18"/>
              </w:rPr>
              <w:t>2028</w:t>
            </w:r>
          </w:p>
        </w:tc>
        <w:tc>
          <w:tcPr>
            <w:tcW w:w="0" w:type="auto"/>
            <w:hideMark/>
          </w:tcPr>
          <w:p w:rsidRPr="005F055E" w:rsidR="00C279FC" w:rsidP="00180EEB" w:rsidRDefault="00C279FC" w14:paraId="7902E9E8" w14:textId="77777777">
            <w:pPr>
              <w:suppressAutoHyphens/>
              <w:rPr>
                <w:rFonts w:ascii="Verdana" w:hAnsi="Verdana" w:cs="Arial"/>
                <w:b/>
                <w:bCs/>
                <w:sz w:val="18"/>
                <w:szCs w:val="18"/>
              </w:rPr>
            </w:pPr>
            <w:r w:rsidRPr="005F055E">
              <w:rPr>
                <w:rFonts w:ascii="Verdana" w:hAnsi="Verdana" w:cs="Arial"/>
                <w:b/>
                <w:bCs/>
                <w:sz w:val="18"/>
                <w:szCs w:val="18"/>
              </w:rPr>
              <w:t>2029 (</w:t>
            </w:r>
            <w:proofErr w:type="spellStart"/>
            <w:r w:rsidRPr="005F055E">
              <w:rPr>
                <w:rFonts w:ascii="Verdana" w:hAnsi="Verdana" w:cs="Arial"/>
                <w:b/>
                <w:bCs/>
                <w:sz w:val="18"/>
                <w:szCs w:val="18"/>
              </w:rPr>
              <w:t>struc</w:t>
            </w:r>
            <w:proofErr w:type="spellEnd"/>
            <w:r w:rsidRPr="005F055E">
              <w:rPr>
                <w:rFonts w:ascii="Verdana" w:hAnsi="Verdana" w:cs="Arial"/>
                <w:b/>
                <w:bCs/>
                <w:sz w:val="18"/>
                <w:szCs w:val="18"/>
              </w:rPr>
              <w:t>)</w:t>
            </w:r>
          </w:p>
        </w:tc>
      </w:tr>
      <w:tr w:rsidRPr="005F055E" w:rsidR="00C279FC" w:rsidTr="00C279FC" w14:paraId="0983082E" w14:textId="77777777">
        <w:trPr>
          <w:trHeight w:val="283"/>
        </w:trPr>
        <w:tc>
          <w:tcPr>
            <w:tcW w:w="0" w:type="auto"/>
            <w:hideMark/>
          </w:tcPr>
          <w:p w:rsidRPr="005F055E" w:rsidR="00C279FC" w:rsidP="00180EEB" w:rsidRDefault="00C279FC" w14:paraId="10BA846C" w14:textId="77777777">
            <w:pPr>
              <w:suppressAutoHyphens/>
              <w:rPr>
                <w:rFonts w:ascii="Verdana" w:hAnsi="Verdana" w:cs="Arial"/>
                <w:b/>
                <w:bCs/>
                <w:sz w:val="18"/>
                <w:szCs w:val="18"/>
              </w:rPr>
            </w:pPr>
            <w:r w:rsidRPr="005F055E">
              <w:rPr>
                <w:rFonts w:ascii="Verdana" w:hAnsi="Verdana" w:cs="Arial"/>
                <w:b/>
                <w:bCs/>
                <w:sz w:val="18"/>
                <w:szCs w:val="18"/>
              </w:rPr>
              <w:t>Taakstelling</w:t>
            </w:r>
          </w:p>
        </w:tc>
        <w:tc>
          <w:tcPr>
            <w:tcW w:w="0" w:type="auto"/>
            <w:hideMark/>
          </w:tcPr>
          <w:p w:rsidRPr="005F055E" w:rsidR="00C279FC" w:rsidP="00180EEB" w:rsidRDefault="00C279FC" w14:paraId="5E76EA31" w14:textId="77777777">
            <w:pPr>
              <w:suppressAutoHyphens/>
              <w:rPr>
                <w:rFonts w:ascii="Verdana" w:hAnsi="Verdana" w:cs="Arial"/>
                <w:sz w:val="18"/>
                <w:szCs w:val="18"/>
              </w:rPr>
            </w:pPr>
            <w:r w:rsidRPr="005F055E">
              <w:rPr>
                <w:rFonts w:ascii="Verdana" w:hAnsi="Verdana" w:cs="Arial"/>
                <w:sz w:val="18"/>
                <w:szCs w:val="18"/>
              </w:rPr>
              <w:t>0</w:t>
            </w:r>
          </w:p>
        </w:tc>
        <w:tc>
          <w:tcPr>
            <w:tcW w:w="0" w:type="auto"/>
            <w:hideMark/>
          </w:tcPr>
          <w:p w:rsidRPr="005F055E" w:rsidR="00C279FC" w:rsidP="00180EEB" w:rsidRDefault="00C279FC" w14:paraId="1303342B" w14:textId="77777777">
            <w:pPr>
              <w:suppressAutoHyphens/>
              <w:rPr>
                <w:rFonts w:ascii="Verdana" w:hAnsi="Verdana" w:cs="Arial"/>
                <w:sz w:val="18"/>
                <w:szCs w:val="18"/>
              </w:rPr>
            </w:pPr>
            <w:r w:rsidRPr="005F055E">
              <w:rPr>
                <w:rFonts w:ascii="Verdana" w:hAnsi="Verdana" w:cs="Arial"/>
                <w:sz w:val="18"/>
                <w:szCs w:val="18"/>
              </w:rPr>
              <w:t>-50</w:t>
            </w:r>
          </w:p>
        </w:tc>
        <w:tc>
          <w:tcPr>
            <w:tcW w:w="0" w:type="auto"/>
            <w:hideMark/>
          </w:tcPr>
          <w:p w:rsidRPr="005F055E" w:rsidR="00C279FC" w:rsidP="00180EEB" w:rsidRDefault="00C279FC" w14:paraId="7CF50B57" w14:textId="77777777">
            <w:pPr>
              <w:suppressAutoHyphens/>
              <w:rPr>
                <w:rFonts w:ascii="Verdana" w:hAnsi="Verdana" w:cs="Arial"/>
                <w:sz w:val="18"/>
                <w:szCs w:val="18"/>
              </w:rPr>
            </w:pPr>
            <w:r w:rsidRPr="005F055E">
              <w:rPr>
                <w:rFonts w:ascii="Verdana" w:hAnsi="Verdana" w:cs="Arial"/>
                <w:sz w:val="18"/>
                <w:szCs w:val="18"/>
              </w:rPr>
              <w:t>-50</w:t>
            </w:r>
          </w:p>
        </w:tc>
        <w:tc>
          <w:tcPr>
            <w:tcW w:w="0" w:type="auto"/>
            <w:hideMark/>
          </w:tcPr>
          <w:p w:rsidRPr="005F055E" w:rsidR="00C279FC" w:rsidP="00180EEB" w:rsidRDefault="00C279FC" w14:paraId="5FC111DF" w14:textId="77777777">
            <w:pPr>
              <w:suppressAutoHyphens/>
              <w:rPr>
                <w:rFonts w:ascii="Verdana" w:hAnsi="Verdana" w:cs="Arial"/>
                <w:sz w:val="18"/>
                <w:szCs w:val="18"/>
              </w:rPr>
            </w:pPr>
            <w:r w:rsidRPr="005F055E">
              <w:rPr>
                <w:rFonts w:ascii="Verdana" w:hAnsi="Verdana" w:cs="Arial"/>
                <w:sz w:val="18"/>
                <w:szCs w:val="18"/>
              </w:rPr>
              <w:t>-150</w:t>
            </w:r>
          </w:p>
        </w:tc>
        <w:tc>
          <w:tcPr>
            <w:tcW w:w="0" w:type="auto"/>
            <w:hideMark/>
          </w:tcPr>
          <w:p w:rsidRPr="005F055E" w:rsidR="00C279FC" w:rsidP="00180EEB" w:rsidRDefault="00C279FC" w14:paraId="0CD78F3A" w14:textId="77777777">
            <w:pPr>
              <w:suppressAutoHyphens/>
              <w:rPr>
                <w:rFonts w:ascii="Verdana" w:hAnsi="Verdana" w:cs="Arial"/>
                <w:sz w:val="18"/>
                <w:szCs w:val="18"/>
              </w:rPr>
            </w:pPr>
            <w:r w:rsidRPr="005F055E">
              <w:rPr>
                <w:rFonts w:ascii="Verdana" w:hAnsi="Verdana" w:cs="Arial"/>
                <w:sz w:val="18"/>
                <w:szCs w:val="18"/>
              </w:rPr>
              <w:t>-200</w:t>
            </w:r>
          </w:p>
        </w:tc>
        <w:tc>
          <w:tcPr>
            <w:tcW w:w="0" w:type="auto"/>
            <w:hideMark/>
          </w:tcPr>
          <w:p w:rsidRPr="005F055E" w:rsidR="00C279FC" w:rsidP="00180EEB" w:rsidRDefault="00C279FC" w14:paraId="449E572C" w14:textId="77777777">
            <w:pPr>
              <w:suppressAutoHyphens/>
              <w:rPr>
                <w:rFonts w:ascii="Verdana" w:hAnsi="Verdana" w:cs="Arial"/>
                <w:sz w:val="18"/>
                <w:szCs w:val="18"/>
              </w:rPr>
            </w:pPr>
            <w:r w:rsidRPr="005F055E">
              <w:rPr>
                <w:rFonts w:ascii="Verdana" w:hAnsi="Verdana" w:cs="Arial"/>
                <w:sz w:val="18"/>
                <w:szCs w:val="18"/>
              </w:rPr>
              <w:t>-300</w:t>
            </w:r>
          </w:p>
        </w:tc>
      </w:tr>
    </w:tbl>
    <w:p w:rsidRPr="005F055E" w:rsidR="00C279FC" w:rsidP="00180EEB" w:rsidRDefault="00C279FC" w14:paraId="139EE826" w14:textId="40133B66">
      <w:pPr>
        <w:suppressAutoHyphens/>
      </w:pPr>
      <w:r w:rsidRPr="005F055E">
        <w:t>Overzicht oplopende bezuinigingen op pandemische paraatheid in het hoofdlijnenakkoord:</w:t>
      </w:r>
    </w:p>
    <w:p w:rsidR="00C279FC" w:rsidP="00180EEB" w:rsidRDefault="00C279FC" w14:paraId="0990C053" w14:textId="2FFA4D04">
      <w:pPr>
        <w:suppressAutoHyphens/>
      </w:pPr>
    </w:p>
    <w:p w:rsidR="00056279" w:rsidP="00180EEB" w:rsidRDefault="00056279" w14:paraId="25449096" w14:textId="77777777">
      <w:pPr>
        <w:suppressAutoHyphens/>
      </w:pPr>
    </w:p>
    <w:p w:rsidR="00056279" w:rsidP="00180EEB" w:rsidRDefault="00056279" w14:paraId="01C0B9C7" w14:textId="77777777">
      <w:pPr>
        <w:suppressAutoHyphens/>
      </w:pPr>
    </w:p>
    <w:p w:rsidRPr="005F055E" w:rsidR="000A7E48" w:rsidP="00180EEB" w:rsidRDefault="000A7E48" w14:paraId="582055EF" w14:textId="77777777">
      <w:pPr>
        <w:suppressAutoHyphens/>
      </w:pPr>
    </w:p>
    <w:p w:rsidRPr="005F055E" w:rsidR="000478A7" w:rsidP="00180EEB" w:rsidRDefault="003E7003" w14:paraId="78A0213C" w14:textId="77777777">
      <w:pPr>
        <w:suppressAutoHyphens/>
      </w:pPr>
      <w:r w:rsidRPr="005F055E">
        <w:t>Vraag 82</w:t>
      </w:r>
      <w:r w:rsidRPr="005F055E">
        <w:tab/>
      </w:r>
    </w:p>
    <w:p w:rsidRPr="005F055E" w:rsidR="000478A7" w:rsidP="00180EEB" w:rsidRDefault="003E7003" w14:paraId="429003DA" w14:textId="77777777">
      <w:pPr>
        <w:suppressAutoHyphens/>
      </w:pPr>
      <w:r w:rsidRPr="005F055E">
        <w:t>Klopt het dat er een bezuiniging gepland stond van €250 miljoen in 2025, oplopend tot structureel €590 miljoen, die is gekoppeld aan de maatregel ‘Voortbouwen hoofdlijnenakkoord curatieve zorg: volumegroei gelijk aan laatste jaar Integraal Zorgakkoord (IZA) (in combinatie met MBI)’? Zo ja, zou u in een tabel een overzicht kunnen geven hoe deze bezuiniging per jaar oploopt? In hoeverre is deze bezuiniging al gerealiseerd?</w:t>
      </w:r>
      <w:r w:rsidRPr="005F055E">
        <w:tab/>
      </w:r>
    </w:p>
    <w:p w:rsidRPr="005F055E" w:rsidR="003E7003" w:rsidP="00180EEB" w:rsidRDefault="003E7003" w14:paraId="0D672E75" w14:textId="3227F934">
      <w:pPr>
        <w:suppressAutoHyphens/>
      </w:pPr>
      <w:r w:rsidRPr="005F055E">
        <w:t>Antwoord</w:t>
      </w:r>
    </w:p>
    <w:p w:rsidRPr="00056279" w:rsidR="00605490" w:rsidP="00180EEB" w:rsidRDefault="001F6EC3" w14:paraId="01839B38" w14:textId="456B4A6E">
      <w:pPr>
        <w:suppressAutoHyphens/>
      </w:pPr>
      <w:r w:rsidRPr="005F055E">
        <w:t>Nee, deze besparing start vanaf 2027. De besparing die is gekoppeld aan de genoemde maatregel bedraagt € 250 miljoen in 2027 en € 590 miljoen structureel vanaf 2028. Zie onder in tabelvorm:</w:t>
      </w:r>
    </w:p>
    <w:p w:rsidRPr="005F055E" w:rsidR="001F6EC3" w:rsidP="00180EEB" w:rsidRDefault="001F6EC3" w14:paraId="501DB0C2" w14:textId="0F0658A6">
      <w:pPr>
        <w:suppressAutoHyphens/>
        <w:rPr>
          <w:b/>
          <w:bCs/>
        </w:rPr>
      </w:pPr>
      <w:r w:rsidRPr="005F055E">
        <w:rPr>
          <w:b/>
          <w:bCs/>
        </w:rPr>
        <w:t>Tabel. Besparing aanvullend zorgakkoord (bedragen x € 1 miljoen)</w:t>
      </w:r>
    </w:p>
    <w:tbl>
      <w:tblPr>
        <w:tblStyle w:val="Tabelraster"/>
        <w:tblW w:w="0" w:type="auto"/>
        <w:tblLook w:val="04A0" w:firstRow="1" w:lastRow="0" w:firstColumn="1" w:lastColumn="0" w:noHBand="0" w:noVBand="1"/>
      </w:tblPr>
      <w:tblGrid>
        <w:gridCol w:w="2972"/>
        <w:gridCol w:w="785"/>
        <w:gridCol w:w="1115"/>
        <w:gridCol w:w="1504"/>
      </w:tblGrid>
      <w:tr w:rsidRPr="005F055E" w:rsidR="001F6EC3" w:rsidTr="005E2643" w14:paraId="2A63B81C" w14:textId="77777777">
        <w:tc>
          <w:tcPr>
            <w:tcW w:w="2972" w:type="dxa"/>
          </w:tcPr>
          <w:p w:rsidRPr="00056279" w:rsidR="001F6EC3" w:rsidP="00180EEB" w:rsidRDefault="001F6EC3" w14:paraId="1E12E54F" w14:textId="77777777">
            <w:pPr>
              <w:suppressAutoHyphens/>
              <w:rPr>
                <w:rFonts w:ascii="Verdana" w:hAnsi="Verdana"/>
                <w:sz w:val="20"/>
                <w:szCs w:val="20"/>
              </w:rPr>
            </w:pPr>
          </w:p>
        </w:tc>
        <w:tc>
          <w:tcPr>
            <w:tcW w:w="278" w:type="dxa"/>
          </w:tcPr>
          <w:p w:rsidRPr="00056279" w:rsidR="001F6EC3" w:rsidP="00180EEB" w:rsidRDefault="001F6EC3" w14:paraId="55F3D194" w14:textId="77777777">
            <w:pPr>
              <w:suppressAutoHyphens/>
              <w:rPr>
                <w:rFonts w:ascii="Verdana" w:hAnsi="Verdana"/>
                <w:b/>
                <w:bCs/>
                <w:sz w:val="20"/>
                <w:szCs w:val="20"/>
              </w:rPr>
            </w:pPr>
            <w:r w:rsidRPr="00056279">
              <w:rPr>
                <w:rFonts w:ascii="Verdana" w:hAnsi="Verdana"/>
                <w:b/>
                <w:bCs/>
                <w:sz w:val="20"/>
                <w:szCs w:val="20"/>
              </w:rPr>
              <w:t>2027</w:t>
            </w:r>
          </w:p>
        </w:tc>
        <w:tc>
          <w:tcPr>
            <w:tcW w:w="1115" w:type="dxa"/>
          </w:tcPr>
          <w:p w:rsidRPr="00056279" w:rsidR="001F6EC3" w:rsidP="00180EEB" w:rsidRDefault="001F6EC3" w14:paraId="05BBF85B" w14:textId="77777777">
            <w:pPr>
              <w:suppressAutoHyphens/>
              <w:rPr>
                <w:rFonts w:ascii="Verdana" w:hAnsi="Verdana"/>
                <w:b/>
                <w:bCs/>
                <w:sz w:val="20"/>
                <w:szCs w:val="20"/>
              </w:rPr>
            </w:pPr>
            <w:r w:rsidRPr="00056279">
              <w:rPr>
                <w:rFonts w:ascii="Verdana" w:hAnsi="Verdana"/>
                <w:b/>
                <w:bCs/>
                <w:sz w:val="20"/>
                <w:szCs w:val="20"/>
              </w:rPr>
              <w:t>2028</w:t>
            </w:r>
          </w:p>
        </w:tc>
        <w:tc>
          <w:tcPr>
            <w:tcW w:w="1504" w:type="dxa"/>
          </w:tcPr>
          <w:p w:rsidRPr="00056279" w:rsidR="001F6EC3" w:rsidP="00180EEB" w:rsidRDefault="001F6EC3" w14:paraId="17336984" w14:textId="77777777">
            <w:pPr>
              <w:suppressAutoHyphens/>
              <w:rPr>
                <w:rFonts w:ascii="Verdana" w:hAnsi="Verdana"/>
                <w:b/>
                <w:bCs/>
                <w:sz w:val="20"/>
                <w:szCs w:val="20"/>
              </w:rPr>
            </w:pPr>
            <w:r w:rsidRPr="00056279">
              <w:rPr>
                <w:rFonts w:ascii="Verdana" w:hAnsi="Verdana"/>
                <w:b/>
                <w:bCs/>
                <w:sz w:val="20"/>
                <w:szCs w:val="20"/>
              </w:rPr>
              <w:t>structureel</w:t>
            </w:r>
          </w:p>
        </w:tc>
      </w:tr>
      <w:tr w:rsidRPr="005F055E" w:rsidR="001F6EC3" w:rsidTr="005E2643" w14:paraId="1C66D95A" w14:textId="77777777">
        <w:tc>
          <w:tcPr>
            <w:tcW w:w="2972" w:type="dxa"/>
          </w:tcPr>
          <w:p w:rsidRPr="00056279" w:rsidR="001F6EC3" w:rsidP="00180EEB" w:rsidRDefault="001F6EC3" w14:paraId="4E9AC4C4" w14:textId="77777777">
            <w:pPr>
              <w:suppressAutoHyphens/>
              <w:rPr>
                <w:rFonts w:ascii="Verdana" w:hAnsi="Verdana"/>
                <w:sz w:val="20"/>
                <w:szCs w:val="20"/>
              </w:rPr>
            </w:pPr>
            <w:r w:rsidRPr="00056279">
              <w:rPr>
                <w:rFonts w:ascii="Verdana" w:hAnsi="Verdana"/>
                <w:sz w:val="20"/>
                <w:szCs w:val="20"/>
              </w:rPr>
              <w:t>Taakstelling aanvullend zorgakkoord</w:t>
            </w:r>
          </w:p>
        </w:tc>
        <w:tc>
          <w:tcPr>
            <w:tcW w:w="278" w:type="dxa"/>
          </w:tcPr>
          <w:p w:rsidRPr="00056279" w:rsidR="001F6EC3" w:rsidP="00180EEB" w:rsidRDefault="001F6EC3" w14:paraId="227B6EB1" w14:textId="77777777">
            <w:pPr>
              <w:suppressAutoHyphens/>
              <w:rPr>
                <w:rFonts w:ascii="Verdana" w:hAnsi="Verdana"/>
                <w:sz w:val="20"/>
                <w:szCs w:val="20"/>
              </w:rPr>
            </w:pPr>
            <w:r w:rsidRPr="00056279">
              <w:rPr>
                <w:rFonts w:ascii="Verdana" w:hAnsi="Verdana"/>
                <w:sz w:val="20"/>
                <w:szCs w:val="20"/>
              </w:rPr>
              <w:t>250</w:t>
            </w:r>
          </w:p>
        </w:tc>
        <w:tc>
          <w:tcPr>
            <w:tcW w:w="1115" w:type="dxa"/>
          </w:tcPr>
          <w:p w:rsidRPr="00056279" w:rsidR="001F6EC3" w:rsidP="00180EEB" w:rsidRDefault="001F6EC3" w14:paraId="74524DD2" w14:textId="77777777">
            <w:pPr>
              <w:suppressAutoHyphens/>
              <w:rPr>
                <w:rFonts w:ascii="Verdana" w:hAnsi="Verdana"/>
                <w:sz w:val="20"/>
                <w:szCs w:val="20"/>
              </w:rPr>
            </w:pPr>
            <w:r w:rsidRPr="00056279">
              <w:rPr>
                <w:rFonts w:ascii="Verdana" w:hAnsi="Verdana"/>
                <w:sz w:val="20"/>
                <w:szCs w:val="20"/>
              </w:rPr>
              <w:t>590</w:t>
            </w:r>
          </w:p>
        </w:tc>
        <w:tc>
          <w:tcPr>
            <w:tcW w:w="1504" w:type="dxa"/>
          </w:tcPr>
          <w:p w:rsidRPr="00056279" w:rsidR="001F6EC3" w:rsidP="00180EEB" w:rsidRDefault="001F6EC3" w14:paraId="1480631C" w14:textId="77777777">
            <w:pPr>
              <w:suppressAutoHyphens/>
              <w:rPr>
                <w:rFonts w:ascii="Verdana" w:hAnsi="Verdana"/>
                <w:sz w:val="20"/>
                <w:szCs w:val="20"/>
              </w:rPr>
            </w:pPr>
            <w:r w:rsidRPr="00056279">
              <w:rPr>
                <w:rFonts w:ascii="Verdana" w:hAnsi="Verdana"/>
                <w:sz w:val="20"/>
                <w:szCs w:val="20"/>
              </w:rPr>
              <w:t>590</w:t>
            </w:r>
          </w:p>
        </w:tc>
      </w:tr>
    </w:tbl>
    <w:p w:rsidRPr="005F055E" w:rsidR="001F6EC3" w:rsidP="00180EEB" w:rsidRDefault="001F6EC3" w14:paraId="30AD23AB" w14:textId="77777777">
      <w:pPr>
        <w:suppressAutoHyphens/>
      </w:pPr>
      <w:r w:rsidRPr="005F055E">
        <w:br/>
        <w:t>In het AZWA zijn inhoudelijke en financiële afspraken gemaakt waarmee deze taakstelling wordt ingevuld. Omdat dit toekomstige jaren betreft kunnen over de realisatie logischerwijs nog geen uitspraken worden gedaan.</w:t>
      </w:r>
    </w:p>
    <w:p w:rsidRPr="005F055E" w:rsidR="00605490" w:rsidP="00180EEB" w:rsidRDefault="00605490" w14:paraId="6033CBC7" w14:textId="77777777">
      <w:pPr>
        <w:suppressAutoHyphens/>
      </w:pPr>
    </w:p>
    <w:p w:rsidRPr="005F055E" w:rsidR="000478A7" w:rsidP="00180EEB" w:rsidRDefault="003E7003" w14:paraId="3F4C2E5A" w14:textId="13312A63">
      <w:pPr>
        <w:suppressAutoHyphens/>
      </w:pPr>
      <w:r w:rsidRPr="005F055E">
        <w:t>Vraag 83</w:t>
      </w:r>
      <w:r w:rsidRPr="005F055E">
        <w:tab/>
      </w:r>
    </w:p>
    <w:p w:rsidRPr="005F055E" w:rsidR="000478A7" w:rsidP="00180EEB" w:rsidRDefault="003E7003" w14:paraId="1F005829" w14:textId="77777777">
      <w:pPr>
        <w:suppressAutoHyphens/>
      </w:pPr>
      <w:r w:rsidRPr="005F055E">
        <w:t xml:space="preserve">Klopt het dat er een bezuiniging gepland staat van structureel €85 miljoen vanaf 2027 in verband met de maatregel ‘Onafhankelijke indicatiestelling </w:t>
      </w:r>
      <w:proofErr w:type="spellStart"/>
      <w:r w:rsidRPr="005F055E">
        <w:t>ongecontracteerde</w:t>
      </w:r>
      <w:proofErr w:type="spellEnd"/>
      <w:r w:rsidRPr="005F055E">
        <w:t xml:space="preserve"> wijkverpleging’? Hoe wordt deze bezuiniging ingevuld?</w:t>
      </w:r>
      <w:r w:rsidRPr="005F055E">
        <w:tab/>
      </w:r>
    </w:p>
    <w:p w:rsidR="009873CE" w:rsidP="00180EEB" w:rsidRDefault="009873CE" w14:paraId="6D261F98" w14:textId="77777777">
      <w:pPr>
        <w:suppressAutoHyphens/>
      </w:pPr>
    </w:p>
    <w:p w:rsidRPr="005F055E" w:rsidR="003E7003" w:rsidP="00180EEB" w:rsidRDefault="003E7003" w14:paraId="4A6E041D" w14:textId="10822DDD">
      <w:pPr>
        <w:suppressAutoHyphens/>
      </w:pPr>
      <w:r w:rsidRPr="005F055E">
        <w:t>Antwoord</w:t>
      </w:r>
    </w:p>
    <w:p w:rsidRPr="005F055E" w:rsidR="00BE5CD4" w:rsidP="00180EEB" w:rsidRDefault="00BE5CD4" w14:paraId="5E68E153" w14:textId="23146DBE">
      <w:pPr>
        <w:suppressAutoHyphens/>
        <w:spacing w:line="240" w:lineRule="atLeast"/>
        <w:rPr>
          <w:szCs w:val="20"/>
          <w:lang w:eastAsia="nl-NL"/>
        </w:rPr>
      </w:pPr>
      <w:r w:rsidRPr="005F055E">
        <w:rPr>
          <w:szCs w:val="20"/>
          <w:lang w:eastAsia="nl-NL"/>
        </w:rPr>
        <w:t>In het Hoofdlijnenakkoord van dit kabinet is de maatregel ‘</w:t>
      </w:r>
      <w:r w:rsidRPr="005F055E">
        <w:rPr>
          <w:i/>
          <w:iCs/>
          <w:szCs w:val="20"/>
          <w:lang w:eastAsia="nl-NL"/>
        </w:rPr>
        <w:t xml:space="preserve">Onafhankelijke indicatiestelling </w:t>
      </w:r>
      <w:proofErr w:type="spellStart"/>
      <w:r w:rsidRPr="005F055E">
        <w:rPr>
          <w:i/>
          <w:iCs/>
          <w:szCs w:val="20"/>
          <w:lang w:eastAsia="nl-NL"/>
        </w:rPr>
        <w:t>ongecontracteerde</w:t>
      </w:r>
      <w:proofErr w:type="spellEnd"/>
      <w:r w:rsidRPr="005F055E">
        <w:rPr>
          <w:i/>
          <w:iCs/>
          <w:szCs w:val="20"/>
          <w:lang w:eastAsia="nl-NL"/>
        </w:rPr>
        <w:t xml:space="preserve"> wijkverpleging’</w:t>
      </w:r>
      <w:r w:rsidRPr="005F055E">
        <w:rPr>
          <w:szCs w:val="20"/>
          <w:lang w:eastAsia="nl-NL"/>
        </w:rPr>
        <w:t xml:space="preserve"> opgenomen. Hieraan is een ombuiging gekoppeld van structureel € 85 miljoen vanaf 2027. Momenteel werkt de Staatssecretaris LMZ aan de inhoudelijke uitwerking van deze maatregel. </w:t>
      </w:r>
    </w:p>
    <w:p w:rsidRPr="005F055E" w:rsidR="000478A7" w:rsidP="00180EEB" w:rsidRDefault="00BE5CD4" w14:paraId="7EA7EE04" w14:textId="30E66EB0">
      <w:pPr>
        <w:suppressAutoHyphens/>
        <w:spacing w:line="240" w:lineRule="atLeast"/>
        <w:rPr>
          <w:szCs w:val="18"/>
          <w:lang w:eastAsia="nl-NL"/>
        </w:rPr>
      </w:pPr>
      <w:r w:rsidRPr="005F055E">
        <w:rPr>
          <w:szCs w:val="20"/>
          <w:lang w:eastAsia="nl-NL"/>
        </w:rPr>
        <w:t xml:space="preserve">De ombuiging van € 85 miljoen is ingeboekt vanaf 2027 en de invoering vraagt waarschijnlijk om aanpassing in de wetgeving. Omdat deze maatregel zowel een wijziging in de organisatie van de wijkverpleging als wettelijke aanpassingen vereist, is zorgvuldigheid essentieel. </w:t>
      </w:r>
    </w:p>
    <w:p w:rsidRPr="005F055E" w:rsidR="000478A7" w:rsidP="00180EEB" w:rsidRDefault="000478A7" w14:paraId="6FD88EBF" w14:textId="77777777">
      <w:pPr>
        <w:suppressAutoHyphens/>
      </w:pPr>
    </w:p>
    <w:p w:rsidRPr="005F055E" w:rsidR="000478A7" w:rsidP="00180EEB" w:rsidRDefault="003E7003" w14:paraId="46500681" w14:textId="77777777">
      <w:pPr>
        <w:suppressAutoHyphens/>
      </w:pPr>
      <w:r w:rsidRPr="005F055E">
        <w:t>Vraag 84</w:t>
      </w:r>
      <w:r w:rsidRPr="005F055E">
        <w:tab/>
      </w:r>
    </w:p>
    <w:p w:rsidRPr="005F055E" w:rsidR="000478A7" w:rsidP="00180EEB" w:rsidRDefault="003E7003" w14:paraId="7D73F3A4" w14:textId="77777777">
      <w:pPr>
        <w:suppressAutoHyphens/>
      </w:pPr>
      <w:r w:rsidRPr="005F055E">
        <w:t>Klopt het dat er een bezuiniging gepland staat van €45 miljoen in 2027, oplopend tot structureel €270 miljoen, die is gekoppeld aan de maatregel ‘Versnelling opschaling digitale zorg in de Wijkverpleging’? Zo ja, zou u in een tabel een overzicht kunnen geven hoe deze bezuiniging per jaar oploopt? Hoe wordt deze bezuiniging precies ingevuld?</w:t>
      </w:r>
      <w:r w:rsidRPr="005F055E">
        <w:tab/>
      </w:r>
    </w:p>
    <w:p w:rsidRPr="005F055E" w:rsidR="003E7003" w:rsidP="00180EEB" w:rsidRDefault="003E7003" w14:paraId="79A09C8E" w14:textId="07164C26">
      <w:pPr>
        <w:suppressAutoHyphens/>
      </w:pPr>
      <w:r w:rsidRPr="005F055E">
        <w:t>Antwoord</w:t>
      </w:r>
    </w:p>
    <w:p w:rsidRPr="005F055E" w:rsidR="005C6EBC" w:rsidP="00180EEB" w:rsidRDefault="005C6EBC" w14:paraId="028624E0" w14:textId="65897492">
      <w:pPr>
        <w:suppressAutoHyphens/>
        <w:rPr>
          <w:szCs w:val="18"/>
        </w:rPr>
      </w:pPr>
      <w:r w:rsidRPr="005F055E">
        <w:rPr>
          <w:szCs w:val="18"/>
        </w:rPr>
        <w:t>In het Hoofdlijnenakkoord van het kabinet Schoof zijn twee maatregelen met betrekking tot versnelling opschaling digitale zorg opgenomen.</w:t>
      </w:r>
      <w:r w:rsidRPr="005F055E">
        <w:rPr>
          <w:szCs w:val="18"/>
        </w:rPr>
        <w:br/>
        <w:t xml:space="preserve">De eerste betreft de maatregel ‘Versnelling opschaling digitale zorg in de wijkverpleging’. Hieraan is een taakstelling gekoppeld van € 35 miljoen in 2027 oplopend naar structureel € 210 miljoen vanaf 2031. </w:t>
      </w:r>
    </w:p>
    <w:p w:rsidRPr="005F055E" w:rsidR="005C6EBC" w:rsidP="00180EEB" w:rsidRDefault="005C6EBC" w14:paraId="397EAEEC" w14:textId="6549DF67">
      <w:pPr>
        <w:suppressAutoHyphens/>
        <w:rPr>
          <w:szCs w:val="18"/>
        </w:rPr>
      </w:pPr>
      <w:r w:rsidRPr="005F055E">
        <w:rPr>
          <w:szCs w:val="18"/>
        </w:rPr>
        <w:t xml:space="preserve">De tweede taakstelling betreft een taakstelling van € 45 miljoen in 2027, oplopend naar structureel € 270 miljoen; deze is gekoppeld aan de verpleeg- en gehandicaptenzorg. </w:t>
      </w:r>
    </w:p>
    <w:p w:rsidRPr="005F055E" w:rsidR="005C6EBC" w:rsidP="00180EEB" w:rsidRDefault="005C6EBC" w14:paraId="1EB8095B" w14:textId="5E0C4E81">
      <w:pPr>
        <w:suppressAutoHyphens/>
        <w:rPr>
          <w:szCs w:val="18"/>
        </w:rPr>
      </w:pPr>
      <w:r w:rsidRPr="005F055E">
        <w:rPr>
          <w:szCs w:val="18"/>
        </w:rPr>
        <w:t>In de onderstaande tabel is een overzicht opgenomen van de oploop van beide taakstellingen:</w:t>
      </w:r>
    </w:p>
    <w:tbl>
      <w:tblPr>
        <w:tblStyle w:val="Tabelraster"/>
        <w:tblW w:w="5461" w:type="pct"/>
        <w:tblLook w:val="04A0" w:firstRow="1" w:lastRow="0" w:firstColumn="1" w:lastColumn="0" w:noHBand="0" w:noVBand="1"/>
      </w:tblPr>
      <w:tblGrid>
        <w:gridCol w:w="3562"/>
        <w:gridCol w:w="853"/>
        <w:gridCol w:w="1020"/>
        <w:gridCol w:w="1020"/>
        <w:gridCol w:w="1020"/>
        <w:gridCol w:w="1020"/>
        <w:gridCol w:w="1353"/>
      </w:tblGrid>
      <w:tr w:rsidRPr="005F055E" w:rsidR="00EB3259" w:rsidTr="00EB3259" w14:paraId="4FCD57E1" w14:textId="77777777">
        <w:trPr>
          <w:trHeight w:val="509"/>
        </w:trPr>
        <w:tc>
          <w:tcPr>
            <w:tcW w:w="1808" w:type="pct"/>
          </w:tcPr>
          <w:p w:rsidRPr="005F055E" w:rsidR="005C6EBC" w:rsidP="00180EEB" w:rsidRDefault="005C6EBC" w14:paraId="154BA7FA" w14:textId="77777777">
            <w:pPr>
              <w:suppressAutoHyphens/>
              <w:rPr>
                <w:rFonts w:ascii="Verdana" w:hAnsi="Verdana"/>
                <w:b/>
                <w:bCs/>
                <w:sz w:val="18"/>
                <w:szCs w:val="18"/>
              </w:rPr>
            </w:pPr>
            <w:r w:rsidRPr="005F055E">
              <w:rPr>
                <w:rFonts w:ascii="Verdana" w:hAnsi="Verdana"/>
                <w:b/>
                <w:bCs/>
                <w:sz w:val="18"/>
                <w:szCs w:val="18"/>
              </w:rPr>
              <w:t>Besparing (in € mln.)</w:t>
            </w:r>
          </w:p>
        </w:tc>
        <w:tc>
          <w:tcPr>
            <w:tcW w:w="433" w:type="pct"/>
          </w:tcPr>
          <w:p w:rsidRPr="005F055E" w:rsidR="005C6EBC" w:rsidP="00180EEB" w:rsidRDefault="005C6EBC" w14:paraId="1277D2FA" w14:textId="77777777">
            <w:pPr>
              <w:suppressAutoHyphens/>
              <w:rPr>
                <w:rFonts w:ascii="Verdana" w:hAnsi="Verdana"/>
                <w:b/>
                <w:bCs/>
                <w:sz w:val="18"/>
                <w:szCs w:val="18"/>
              </w:rPr>
            </w:pPr>
            <w:r w:rsidRPr="005F055E">
              <w:rPr>
                <w:rFonts w:ascii="Verdana" w:hAnsi="Verdana"/>
                <w:b/>
                <w:bCs/>
                <w:sz w:val="18"/>
                <w:szCs w:val="18"/>
              </w:rPr>
              <w:t>2027</w:t>
            </w:r>
          </w:p>
        </w:tc>
        <w:tc>
          <w:tcPr>
            <w:tcW w:w="518" w:type="pct"/>
          </w:tcPr>
          <w:p w:rsidRPr="005F055E" w:rsidR="005C6EBC" w:rsidP="00180EEB" w:rsidRDefault="005C6EBC" w14:paraId="19E57A4B" w14:textId="77777777">
            <w:pPr>
              <w:suppressAutoHyphens/>
              <w:rPr>
                <w:rFonts w:ascii="Verdana" w:hAnsi="Verdana"/>
                <w:b/>
                <w:bCs/>
                <w:sz w:val="18"/>
                <w:szCs w:val="18"/>
              </w:rPr>
            </w:pPr>
            <w:r w:rsidRPr="005F055E">
              <w:rPr>
                <w:rFonts w:ascii="Verdana" w:hAnsi="Verdana"/>
                <w:b/>
                <w:bCs/>
                <w:sz w:val="18"/>
                <w:szCs w:val="18"/>
              </w:rPr>
              <w:t>2028</w:t>
            </w:r>
          </w:p>
        </w:tc>
        <w:tc>
          <w:tcPr>
            <w:tcW w:w="518" w:type="pct"/>
          </w:tcPr>
          <w:p w:rsidRPr="005F055E" w:rsidR="005C6EBC" w:rsidP="00180EEB" w:rsidRDefault="005C6EBC" w14:paraId="13914EF0" w14:textId="77777777">
            <w:pPr>
              <w:suppressAutoHyphens/>
              <w:rPr>
                <w:rFonts w:ascii="Verdana" w:hAnsi="Verdana"/>
                <w:b/>
                <w:bCs/>
                <w:sz w:val="18"/>
                <w:szCs w:val="18"/>
              </w:rPr>
            </w:pPr>
            <w:r w:rsidRPr="005F055E">
              <w:rPr>
                <w:rFonts w:ascii="Verdana" w:hAnsi="Verdana"/>
                <w:b/>
                <w:bCs/>
                <w:sz w:val="18"/>
                <w:szCs w:val="18"/>
              </w:rPr>
              <w:t>2029</w:t>
            </w:r>
          </w:p>
        </w:tc>
        <w:tc>
          <w:tcPr>
            <w:tcW w:w="518" w:type="pct"/>
          </w:tcPr>
          <w:p w:rsidRPr="005F055E" w:rsidR="005C6EBC" w:rsidP="00180EEB" w:rsidRDefault="005C6EBC" w14:paraId="488E0FCC" w14:textId="77777777">
            <w:pPr>
              <w:suppressAutoHyphens/>
              <w:rPr>
                <w:rFonts w:ascii="Verdana" w:hAnsi="Verdana"/>
                <w:b/>
                <w:bCs/>
                <w:sz w:val="18"/>
                <w:szCs w:val="18"/>
              </w:rPr>
            </w:pPr>
            <w:r w:rsidRPr="005F055E">
              <w:rPr>
                <w:rFonts w:ascii="Verdana" w:hAnsi="Verdana"/>
                <w:b/>
                <w:bCs/>
                <w:sz w:val="18"/>
                <w:szCs w:val="18"/>
              </w:rPr>
              <w:t>2030</w:t>
            </w:r>
          </w:p>
        </w:tc>
        <w:tc>
          <w:tcPr>
            <w:tcW w:w="518" w:type="pct"/>
          </w:tcPr>
          <w:p w:rsidRPr="005F055E" w:rsidR="005C6EBC" w:rsidP="00180EEB" w:rsidRDefault="005C6EBC" w14:paraId="0D00F14F" w14:textId="77777777">
            <w:pPr>
              <w:suppressAutoHyphens/>
              <w:rPr>
                <w:rFonts w:ascii="Verdana" w:hAnsi="Verdana"/>
                <w:b/>
                <w:bCs/>
                <w:sz w:val="18"/>
                <w:szCs w:val="18"/>
              </w:rPr>
            </w:pPr>
            <w:r w:rsidRPr="005F055E">
              <w:rPr>
                <w:rFonts w:ascii="Verdana" w:hAnsi="Verdana"/>
                <w:b/>
                <w:bCs/>
                <w:sz w:val="18"/>
                <w:szCs w:val="18"/>
              </w:rPr>
              <w:t>2031</w:t>
            </w:r>
          </w:p>
        </w:tc>
        <w:tc>
          <w:tcPr>
            <w:tcW w:w="688" w:type="pct"/>
          </w:tcPr>
          <w:p w:rsidRPr="005F055E" w:rsidR="005C6EBC" w:rsidP="00180EEB" w:rsidRDefault="005C6EBC" w14:paraId="78362243" w14:textId="77777777">
            <w:pPr>
              <w:suppressAutoHyphens/>
              <w:rPr>
                <w:rFonts w:ascii="Verdana" w:hAnsi="Verdana"/>
                <w:b/>
                <w:bCs/>
                <w:sz w:val="18"/>
                <w:szCs w:val="18"/>
              </w:rPr>
            </w:pPr>
            <w:proofErr w:type="spellStart"/>
            <w:r w:rsidRPr="005F055E">
              <w:rPr>
                <w:rFonts w:ascii="Verdana" w:hAnsi="Verdana"/>
                <w:b/>
                <w:bCs/>
                <w:sz w:val="18"/>
                <w:szCs w:val="18"/>
              </w:rPr>
              <w:t>Struc</w:t>
            </w:r>
            <w:proofErr w:type="spellEnd"/>
            <w:r w:rsidRPr="005F055E">
              <w:rPr>
                <w:rFonts w:ascii="Verdana" w:hAnsi="Verdana"/>
                <w:b/>
                <w:bCs/>
                <w:sz w:val="18"/>
                <w:szCs w:val="18"/>
              </w:rPr>
              <w:t>. in</w:t>
            </w:r>
          </w:p>
        </w:tc>
      </w:tr>
      <w:tr w:rsidRPr="005F055E" w:rsidR="00EB3259" w:rsidTr="00EB3259" w14:paraId="2374379E" w14:textId="77777777">
        <w:trPr>
          <w:trHeight w:val="764"/>
        </w:trPr>
        <w:tc>
          <w:tcPr>
            <w:tcW w:w="1808" w:type="pct"/>
          </w:tcPr>
          <w:p w:rsidRPr="005F055E" w:rsidR="005C6EBC" w:rsidP="00180EEB" w:rsidRDefault="005C6EBC" w14:paraId="13B1302D" w14:textId="77777777">
            <w:pPr>
              <w:suppressAutoHyphens/>
              <w:rPr>
                <w:rFonts w:ascii="Verdana" w:hAnsi="Verdana"/>
                <w:sz w:val="18"/>
                <w:szCs w:val="18"/>
              </w:rPr>
            </w:pPr>
            <w:r w:rsidRPr="005F055E">
              <w:rPr>
                <w:rFonts w:ascii="Verdana" w:hAnsi="Verdana"/>
                <w:sz w:val="18"/>
                <w:szCs w:val="18"/>
              </w:rPr>
              <w:t>Versnelling opschaling digitale zorg in de wijkverpleging</w:t>
            </w:r>
          </w:p>
        </w:tc>
        <w:tc>
          <w:tcPr>
            <w:tcW w:w="433" w:type="pct"/>
          </w:tcPr>
          <w:p w:rsidRPr="005F055E" w:rsidR="005C6EBC" w:rsidP="00180EEB" w:rsidRDefault="005C6EBC" w14:paraId="0F91F53C" w14:textId="77777777">
            <w:pPr>
              <w:suppressAutoHyphens/>
              <w:rPr>
                <w:rFonts w:ascii="Verdana" w:hAnsi="Verdana"/>
                <w:sz w:val="18"/>
                <w:szCs w:val="18"/>
              </w:rPr>
            </w:pPr>
            <w:r w:rsidRPr="005F055E">
              <w:rPr>
                <w:rFonts w:ascii="Verdana" w:hAnsi="Verdana"/>
                <w:sz w:val="18"/>
                <w:szCs w:val="18"/>
              </w:rPr>
              <w:t>-35</w:t>
            </w:r>
          </w:p>
        </w:tc>
        <w:tc>
          <w:tcPr>
            <w:tcW w:w="518" w:type="pct"/>
          </w:tcPr>
          <w:p w:rsidRPr="005F055E" w:rsidR="005C6EBC" w:rsidP="00180EEB" w:rsidRDefault="005C6EBC" w14:paraId="6D79ABD4" w14:textId="77777777">
            <w:pPr>
              <w:suppressAutoHyphens/>
              <w:rPr>
                <w:rFonts w:ascii="Verdana" w:hAnsi="Verdana"/>
                <w:sz w:val="18"/>
                <w:szCs w:val="18"/>
              </w:rPr>
            </w:pPr>
            <w:r w:rsidRPr="005F055E">
              <w:rPr>
                <w:rFonts w:ascii="Verdana" w:hAnsi="Verdana"/>
                <w:sz w:val="18"/>
                <w:szCs w:val="18"/>
              </w:rPr>
              <w:t>-85</w:t>
            </w:r>
          </w:p>
        </w:tc>
        <w:tc>
          <w:tcPr>
            <w:tcW w:w="518" w:type="pct"/>
          </w:tcPr>
          <w:p w:rsidRPr="005F055E" w:rsidR="005C6EBC" w:rsidP="00180EEB" w:rsidRDefault="005C6EBC" w14:paraId="6FC1C439" w14:textId="77777777">
            <w:pPr>
              <w:suppressAutoHyphens/>
              <w:rPr>
                <w:rFonts w:ascii="Verdana" w:hAnsi="Verdana"/>
                <w:sz w:val="18"/>
                <w:szCs w:val="18"/>
              </w:rPr>
            </w:pPr>
            <w:r w:rsidRPr="005F055E">
              <w:rPr>
                <w:rFonts w:ascii="Verdana" w:hAnsi="Verdana"/>
                <w:sz w:val="18"/>
                <w:szCs w:val="18"/>
              </w:rPr>
              <w:t>-142</w:t>
            </w:r>
          </w:p>
        </w:tc>
        <w:tc>
          <w:tcPr>
            <w:tcW w:w="518" w:type="pct"/>
          </w:tcPr>
          <w:p w:rsidRPr="005F055E" w:rsidR="005C6EBC" w:rsidP="00180EEB" w:rsidRDefault="005C6EBC" w14:paraId="7791A13C" w14:textId="77777777">
            <w:pPr>
              <w:suppressAutoHyphens/>
              <w:rPr>
                <w:rFonts w:ascii="Verdana" w:hAnsi="Verdana"/>
                <w:sz w:val="18"/>
                <w:szCs w:val="18"/>
              </w:rPr>
            </w:pPr>
            <w:r w:rsidRPr="005F055E">
              <w:rPr>
                <w:rFonts w:ascii="Verdana" w:hAnsi="Verdana"/>
                <w:sz w:val="18"/>
                <w:szCs w:val="18"/>
              </w:rPr>
              <w:t>-192</w:t>
            </w:r>
          </w:p>
        </w:tc>
        <w:tc>
          <w:tcPr>
            <w:tcW w:w="518" w:type="pct"/>
          </w:tcPr>
          <w:p w:rsidRPr="005F055E" w:rsidR="005C6EBC" w:rsidP="00180EEB" w:rsidRDefault="005C6EBC" w14:paraId="28E3759B" w14:textId="77777777">
            <w:pPr>
              <w:suppressAutoHyphens/>
              <w:rPr>
                <w:rFonts w:ascii="Verdana" w:hAnsi="Verdana"/>
                <w:sz w:val="18"/>
                <w:szCs w:val="18"/>
              </w:rPr>
            </w:pPr>
            <w:r w:rsidRPr="005F055E">
              <w:rPr>
                <w:rFonts w:ascii="Verdana" w:hAnsi="Verdana"/>
                <w:sz w:val="18"/>
                <w:szCs w:val="18"/>
              </w:rPr>
              <w:t>-210</w:t>
            </w:r>
          </w:p>
        </w:tc>
        <w:tc>
          <w:tcPr>
            <w:tcW w:w="688" w:type="pct"/>
          </w:tcPr>
          <w:p w:rsidRPr="005F055E" w:rsidR="005C6EBC" w:rsidP="00180EEB" w:rsidRDefault="005C6EBC" w14:paraId="39238A0F" w14:textId="77777777">
            <w:pPr>
              <w:suppressAutoHyphens/>
              <w:rPr>
                <w:rFonts w:ascii="Verdana" w:hAnsi="Verdana"/>
                <w:b/>
                <w:bCs/>
                <w:sz w:val="18"/>
                <w:szCs w:val="18"/>
              </w:rPr>
            </w:pPr>
            <w:r w:rsidRPr="005F055E">
              <w:rPr>
                <w:rFonts w:ascii="Verdana" w:hAnsi="Verdana"/>
                <w:b/>
                <w:bCs/>
                <w:sz w:val="18"/>
                <w:szCs w:val="18"/>
              </w:rPr>
              <w:t>2031</w:t>
            </w:r>
          </w:p>
        </w:tc>
      </w:tr>
      <w:tr w:rsidRPr="005F055E" w:rsidR="00EB3259" w:rsidTr="00EB3259" w14:paraId="351C81DF" w14:textId="77777777">
        <w:trPr>
          <w:trHeight w:val="764"/>
        </w:trPr>
        <w:tc>
          <w:tcPr>
            <w:tcW w:w="1808" w:type="pct"/>
            <w:shd w:val="clear" w:color="auto" w:fill="auto"/>
          </w:tcPr>
          <w:p w:rsidRPr="005F055E" w:rsidR="005C6EBC" w:rsidP="00180EEB" w:rsidRDefault="005C6EBC" w14:paraId="3C867DE4" w14:textId="77777777">
            <w:pPr>
              <w:suppressAutoHyphens/>
              <w:rPr>
                <w:rFonts w:ascii="Verdana" w:hAnsi="Verdana"/>
                <w:sz w:val="18"/>
                <w:szCs w:val="18"/>
              </w:rPr>
            </w:pPr>
            <w:r w:rsidRPr="005F055E">
              <w:rPr>
                <w:rFonts w:ascii="Verdana" w:hAnsi="Verdana"/>
                <w:sz w:val="18"/>
                <w:szCs w:val="18"/>
              </w:rPr>
              <w:t>Versnelling opschaling digitale zorg in de verpleeg- en gehandicaptenzorg</w:t>
            </w:r>
          </w:p>
        </w:tc>
        <w:tc>
          <w:tcPr>
            <w:tcW w:w="433" w:type="pct"/>
            <w:shd w:val="clear" w:color="auto" w:fill="auto"/>
          </w:tcPr>
          <w:p w:rsidRPr="005F055E" w:rsidR="005C6EBC" w:rsidP="00180EEB" w:rsidRDefault="005C6EBC" w14:paraId="0E987756" w14:textId="77777777">
            <w:pPr>
              <w:suppressAutoHyphens/>
              <w:rPr>
                <w:rFonts w:ascii="Verdana" w:hAnsi="Verdana"/>
                <w:sz w:val="18"/>
                <w:szCs w:val="18"/>
              </w:rPr>
            </w:pPr>
            <w:r w:rsidRPr="005F055E">
              <w:rPr>
                <w:rFonts w:ascii="Verdana" w:hAnsi="Verdana"/>
                <w:sz w:val="18"/>
                <w:szCs w:val="18"/>
              </w:rPr>
              <w:t>-45</w:t>
            </w:r>
          </w:p>
        </w:tc>
        <w:tc>
          <w:tcPr>
            <w:tcW w:w="518" w:type="pct"/>
            <w:shd w:val="clear" w:color="auto" w:fill="auto"/>
          </w:tcPr>
          <w:p w:rsidRPr="005F055E" w:rsidR="005C6EBC" w:rsidP="00180EEB" w:rsidRDefault="005C6EBC" w14:paraId="0A26DA1D" w14:textId="77777777">
            <w:pPr>
              <w:suppressAutoHyphens/>
              <w:rPr>
                <w:rFonts w:ascii="Verdana" w:hAnsi="Verdana"/>
                <w:sz w:val="18"/>
                <w:szCs w:val="18"/>
              </w:rPr>
            </w:pPr>
            <w:r w:rsidRPr="005F055E">
              <w:rPr>
                <w:rFonts w:ascii="Verdana" w:hAnsi="Verdana"/>
                <w:sz w:val="18"/>
                <w:szCs w:val="18"/>
              </w:rPr>
              <w:t>-110</w:t>
            </w:r>
          </w:p>
        </w:tc>
        <w:tc>
          <w:tcPr>
            <w:tcW w:w="518" w:type="pct"/>
            <w:shd w:val="clear" w:color="auto" w:fill="auto"/>
          </w:tcPr>
          <w:p w:rsidRPr="005F055E" w:rsidR="005C6EBC" w:rsidP="00180EEB" w:rsidRDefault="005C6EBC" w14:paraId="0F8A4309" w14:textId="77777777">
            <w:pPr>
              <w:suppressAutoHyphens/>
              <w:rPr>
                <w:rFonts w:ascii="Verdana" w:hAnsi="Verdana"/>
                <w:sz w:val="18"/>
                <w:szCs w:val="18"/>
              </w:rPr>
            </w:pPr>
            <w:r w:rsidRPr="005F055E">
              <w:rPr>
                <w:rFonts w:ascii="Verdana" w:hAnsi="Verdana"/>
                <w:sz w:val="18"/>
                <w:szCs w:val="18"/>
              </w:rPr>
              <w:t>-183</w:t>
            </w:r>
          </w:p>
        </w:tc>
        <w:tc>
          <w:tcPr>
            <w:tcW w:w="518" w:type="pct"/>
            <w:shd w:val="clear" w:color="auto" w:fill="auto"/>
          </w:tcPr>
          <w:p w:rsidRPr="005F055E" w:rsidR="005C6EBC" w:rsidP="00180EEB" w:rsidRDefault="005C6EBC" w14:paraId="463A6219" w14:textId="77777777">
            <w:pPr>
              <w:suppressAutoHyphens/>
              <w:rPr>
                <w:rFonts w:ascii="Verdana" w:hAnsi="Verdana"/>
                <w:sz w:val="18"/>
                <w:szCs w:val="18"/>
              </w:rPr>
            </w:pPr>
            <w:r w:rsidRPr="005F055E">
              <w:rPr>
                <w:rFonts w:ascii="Verdana" w:hAnsi="Verdana"/>
                <w:sz w:val="18"/>
                <w:szCs w:val="18"/>
              </w:rPr>
              <w:t>-248</w:t>
            </w:r>
          </w:p>
        </w:tc>
        <w:tc>
          <w:tcPr>
            <w:tcW w:w="518" w:type="pct"/>
            <w:shd w:val="clear" w:color="auto" w:fill="auto"/>
          </w:tcPr>
          <w:p w:rsidRPr="005F055E" w:rsidR="005C6EBC" w:rsidP="00180EEB" w:rsidRDefault="005C6EBC" w14:paraId="48D22AE7" w14:textId="77777777">
            <w:pPr>
              <w:suppressAutoHyphens/>
              <w:rPr>
                <w:rFonts w:ascii="Verdana" w:hAnsi="Verdana"/>
                <w:sz w:val="18"/>
                <w:szCs w:val="18"/>
              </w:rPr>
            </w:pPr>
            <w:r w:rsidRPr="005F055E">
              <w:rPr>
                <w:rFonts w:ascii="Verdana" w:hAnsi="Verdana"/>
                <w:sz w:val="18"/>
                <w:szCs w:val="18"/>
              </w:rPr>
              <w:t>-270</w:t>
            </w:r>
          </w:p>
        </w:tc>
        <w:tc>
          <w:tcPr>
            <w:tcW w:w="688" w:type="pct"/>
          </w:tcPr>
          <w:p w:rsidRPr="005F055E" w:rsidR="005C6EBC" w:rsidP="00180EEB" w:rsidRDefault="005C6EBC" w14:paraId="41C4C73F" w14:textId="77777777">
            <w:pPr>
              <w:suppressAutoHyphens/>
              <w:rPr>
                <w:rFonts w:ascii="Verdana" w:hAnsi="Verdana"/>
                <w:b/>
                <w:bCs/>
                <w:sz w:val="18"/>
                <w:szCs w:val="18"/>
              </w:rPr>
            </w:pPr>
            <w:r w:rsidRPr="005F055E">
              <w:rPr>
                <w:rFonts w:ascii="Verdana" w:hAnsi="Verdana"/>
                <w:b/>
                <w:bCs/>
                <w:sz w:val="18"/>
                <w:szCs w:val="18"/>
              </w:rPr>
              <w:t>2031</w:t>
            </w:r>
          </w:p>
        </w:tc>
      </w:tr>
    </w:tbl>
    <w:p w:rsidRPr="005F055E" w:rsidR="005C6EBC" w:rsidP="00180EEB" w:rsidRDefault="005C6EBC" w14:paraId="21AF1484" w14:textId="77777777">
      <w:pPr>
        <w:suppressAutoHyphens/>
        <w:rPr>
          <w:szCs w:val="18"/>
        </w:rPr>
      </w:pPr>
    </w:p>
    <w:p w:rsidRPr="005F055E" w:rsidR="005C6EBC" w:rsidP="00180EEB" w:rsidRDefault="005C6EBC" w14:paraId="54B2D0E3" w14:textId="77777777">
      <w:pPr>
        <w:suppressAutoHyphens/>
        <w:rPr>
          <w:szCs w:val="18"/>
        </w:rPr>
      </w:pPr>
      <w:r w:rsidRPr="005F055E">
        <w:rPr>
          <w:szCs w:val="18"/>
        </w:rPr>
        <w:t xml:space="preserve">Wat de wijkverpleging betreft: er wordt nog in overleg met de sector bezien op welke wijze invulling aan deze maatregel gegeven kan worden. Voor het aandeel van de ouderenzorg in de versnelling van digitale zorg (geleidelijk oplopend van € 27 miljoen in 2027 tot structureel € 162 miljoen vanaf 2031) geldt dat deze is meegenomen in de totale set met financiële afspraken in het Hoofdlijnenakkoord Ouderenzorg en op basis van die afspraken aangepast wordt gerealiseerd. Het aandeel van de gehandicaptenzorg in deze taakstelling (geleidelijk oplopend van € 18 miljoen in 2027 tot structureel € 108 miljoen vanaf 2031) staat nog gepland. </w:t>
      </w:r>
    </w:p>
    <w:p w:rsidRPr="005F055E" w:rsidR="000478A7" w:rsidP="00180EEB" w:rsidRDefault="000478A7" w14:paraId="0F34357A" w14:textId="77777777">
      <w:pPr>
        <w:suppressAutoHyphens/>
      </w:pPr>
    </w:p>
    <w:p w:rsidRPr="005F055E" w:rsidR="000478A7" w:rsidP="00180EEB" w:rsidRDefault="003E7003" w14:paraId="1365EB74" w14:textId="77777777">
      <w:pPr>
        <w:suppressAutoHyphens/>
      </w:pPr>
      <w:r w:rsidRPr="005F055E">
        <w:t>Vraag 85</w:t>
      </w:r>
      <w:r w:rsidRPr="005F055E">
        <w:tab/>
      </w:r>
    </w:p>
    <w:p w:rsidRPr="005F055E" w:rsidR="000478A7" w:rsidP="00180EEB" w:rsidRDefault="003E7003" w14:paraId="398C9064" w14:textId="77777777">
      <w:pPr>
        <w:suppressAutoHyphens/>
      </w:pPr>
      <w:r w:rsidRPr="005F055E">
        <w:t>Kunt u een totaaloverzicht geven van alle bezuinigingen, besparingen en investeringen in de gehandicaptenzorg voor de komende jaren?</w:t>
      </w:r>
      <w:r w:rsidRPr="005F055E">
        <w:tab/>
      </w:r>
    </w:p>
    <w:p w:rsidRPr="005F055E" w:rsidR="003E7003" w:rsidP="00180EEB" w:rsidRDefault="003E7003" w14:paraId="21A2F37E" w14:textId="48066CE6">
      <w:pPr>
        <w:suppressAutoHyphens/>
      </w:pPr>
      <w:r w:rsidRPr="005F055E">
        <w:t>Antwoord</w:t>
      </w:r>
    </w:p>
    <w:p w:rsidRPr="005F055E" w:rsidR="004D1243" w:rsidP="00180EEB" w:rsidRDefault="004D1243" w14:paraId="3D674A45" w14:textId="1C6F93E3">
      <w:pPr>
        <w:suppressAutoHyphens/>
        <w:spacing w:line="240" w:lineRule="atLeast"/>
        <w:rPr>
          <w:szCs w:val="20"/>
          <w:lang w:eastAsia="nl-NL"/>
        </w:rPr>
      </w:pPr>
      <w:r w:rsidRPr="005F055E">
        <w:rPr>
          <w:szCs w:val="20"/>
          <w:lang w:eastAsia="nl-NL"/>
        </w:rPr>
        <w:t xml:space="preserve">Onderstaande tabel bevat een overzicht voor de </w:t>
      </w:r>
      <w:proofErr w:type="spellStart"/>
      <w:r w:rsidRPr="005F055E">
        <w:rPr>
          <w:szCs w:val="20"/>
          <w:lang w:eastAsia="nl-NL"/>
        </w:rPr>
        <w:t>Wlz</w:t>
      </w:r>
      <w:proofErr w:type="spellEnd"/>
      <w:r w:rsidRPr="005F055E">
        <w:rPr>
          <w:szCs w:val="20"/>
          <w:lang w:eastAsia="nl-NL"/>
        </w:rPr>
        <w:t xml:space="preserve">-gehandicaptenzorg in natura voor de periode 2025-2030. Hierbij heb ik onderscheid gemaakt tussen de impact van kostenonderzoeken en maatregelen op de </w:t>
      </w:r>
      <w:proofErr w:type="spellStart"/>
      <w:r w:rsidRPr="005F055E">
        <w:rPr>
          <w:szCs w:val="20"/>
          <w:lang w:eastAsia="nl-NL"/>
        </w:rPr>
        <w:t>NZa</w:t>
      </w:r>
      <w:proofErr w:type="spellEnd"/>
      <w:r w:rsidRPr="005F055E">
        <w:rPr>
          <w:szCs w:val="20"/>
          <w:lang w:eastAsia="nl-NL"/>
        </w:rPr>
        <w:t xml:space="preserve">-tarieven (post 1 t/m 7) en de groeiruimte voor de gehandicaptenzorg op basis van de meest recente </w:t>
      </w:r>
      <w:proofErr w:type="spellStart"/>
      <w:r w:rsidRPr="005F055E">
        <w:rPr>
          <w:szCs w:val="20"/>
          <w:lang w:eastAsia="nl-NL"/>
        </w:rPr>
        <w:t>middellangetermijnverkenning</w:t>
      </w:r>
      <w:proofErr w:type="spellEnd"/>
      <w:r w:rsidRPr="005F055E">
        <w:rPr>
          <w:szCs w:val="20"/>
          <w:lang w:eastAsia="nl-NL"/>
        </w:rPr>
        <w:t xml:space="preserve"> (MLT) van het Centraal Planbureau (post </w:t>
      </w:r>
      <w:r w:rsidRPr="005F055E" w:rsidR="002F2AED">
        <w:rPr>
          <w:szCs w:val="20"/>
          <w:lang w:eastAsia="nl-NL"/>
        </w:rPr>
        <w:t>8</w:t>
      </w:r>
      <w:r w:rsidRPr="005F055E">
        <w:rPr>
          <w:szCs w:val="20"/>
          <w:lang w:eastAsia="nl-NL"/>
        </w:rPr>
        <w:t xml:space="preserve">). De groeiruimte is bedoeld om naast de demografische ontwikkeling die leidt tot een hogere zorgvraag ook de stand van zorg en praktijk te kunnen volgen (kwaliteit van zorg). </w:t>
      </w:r>
    </w:p>
    <w:p w:rsidRPr="005F055E" w:rsidR="002F2AED" w:rsidP="00180EEB" w:rsidRDefault="002F2AED" w14:paraId="6A220BFE" w14:textId="552801A2">
      <w:pPr>
        <w:suppressAutoHyphens/>
        <w:spacing w:line="240" w:lineRule="atLeast"/>
        <w:rPr>
          <w:szCs w:val="20"/>
          <w:lang w:eastAsia="nl-NL"/>
        </w:rPr>
      </w:pPr>
      <w:r w:rsidRPr="005F055E">
        <w:rPr>
          <w:noProof/>
        </w:rPr>
        <w:drawing>
          <wp:inline distT="0" distB="0" distL="0" distR="0" wp14:anchorId="7AD394EA" wp14:editId="2FC43B20">
            <wp:extent cx="5732145" cy="2441575"/>
            <wp:effectExtent l="0" t="0" r="1905" b="0"/>
            <wp:docPr id="137472047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6403" cy="2447648"/>
                    </a:xfrm>
                    <a:prstGeom prst="rect">
                      <a:avLst/>
                    </a:prstGeom>
                    <a:noFill/>
                    <a:ln>
                      <a:noFill/>
                    </a:ln>
                  </pic:spPr>
                </pic:pic>
              </a:graphicData>
            </a:graphic>
          </wp:inline>
        </w:drawing>
      </w:r>
    </w:p>
    <w:p w:rsidRPr="005F055E" w:rsidR="004D1243" w:rsidP="00180EEB" w:rsidRDefault="004D1243" w14:paraId="10438DCB" w14:textId="6ACF3C04">
      <w:pPr>
        <w:suppressAutoHyphens/>
        <w:spacing w:line="240" w:lineRule="atLeast"/>
        <w:rPr>
          <w:szCs w:val="20"/>
          <w:lang w:eastAsia="nl-NL"/>
        </w:rPr>
      </w:pPr>
      <w:r w:rsidRPr="005F055E">
        <w:rPr>
          <w:szCs w:val="20"/>
          <w:lang w:eastAsia="nl-NL"/>
        </w:rPr>
        <w:t xml:space="preserve">Het saldo van de financiële ontwikkelingen voor de tarieven en de groeiruimte voor de gehandicaptenzorg bedraagt in 2025 </w:t>
      </w:r>
      <w:r w:rsidRPr="005F055E" w:rsidR="002F2AED">
        <w:rPr>
          <w:szCs w:val="20"/>
          <w:lang w:eastAsia="nl-NL"/>
        </w:rPr>
        <w:t xml:space="preserve">bijna </w:t>
      </w:r>
      <w:r w:rsidRPr="005F055E">
        <w:rPr>
          <w:szCs w:val="20"/>
          <w:lang w:eastAsia="nl-NL"/>
        </w:rPr>
        <w:t>€ 0,5 miljard. Dit loopt geleidelijk op tot ruim</w:t>
      </w:r>
      <w:r w:rsidRPr="005F055E" w:rsidR="00D73F76">
        <w:rPr>
          <w:szCs w:val="20"/>
          <w:lang w:eastAsia="nl-NL"/>
        </w:rPr>
        <w:t xml:space="preserve"> </w:t>
      </w:r>
      <w:r w:rsidRPr="005F055E">
        <w:rPr>
          <w:szCs w:val="20"/>
          <w:lang w:eastAsia="nl-NL"/>
        </w:rPr>
        <w:t>€ 2,2 miljard in 2030.</w:t>
      </w:r>
    </w:p>
    <w:p w:rsidRPr="005F055E" w:rsidR="000478A7" w:rsidP="00180EEB" w:rsidRDefault="004D1243" w14:paraId="7BEEADCC" w14:textId="5E0379FA">
      <w:pPr>
        <w:suppressAutoHyphens/>
        <w:spacing w:line="240" w:lineRule="atLeast"/>
        <w:rPr>
          <w:szCs w:val="18"/>
          <w:lang w:eastAsia="nl-NL"/>
        </w:rPr>
      </w:pPr>
      <w:r w:rsidRPr="005F055E">
        <w:rPr>
          <w:szCs w:val="20"/>
          <w:lang w:eastAsia="nl-NL"/>
        </w:rPr>
        <w:t>Daarnaast worden de tarieven voor de gehandicaptenzorg jaarlijks conform de gebruikelijke systematiek gecompenseerd voor loon- en prijsontwikkelingen. Deze zijn niet toegevoegd in bovenstaande tabel.</w:t>
      </w:r>
    </w:p>
    <w:p w:rsidRPr="005F055E" w:rsidR="000478A7" w:rsidP="00180EEB" w:rsidRDefault="000478A7" w14:paraId="093907EB" w14:textId="77777777">
      <w:pPr>
        <w:suppressAutoHyphens/>
      </w:pPr>
    </w:p>
    <w:p w:rsidRPr="005F055E" w:rsidR="000478A7" w:rsidP="00180EEB" w:rsidRDefault="003E7003" w14:paraId="2A25ED4A" w14:textId="77777777">
      <w:pPr>
        <w:suppressAutoHyphens/>
      </w:pPr>
      <w:r w:rsidRPr="005F055E">
        <w:t>Vraag 86</w:t>
      </w:r>
      <w:r w:rsidRPr="005F055E">
        <w:tab/>
      </w:r>
    </w:p>
    <w:p w:rsidRPr="005F055E" w:rsidR="000478A7" w:rsidP="00180EEB" w:rsidRDefault="003E7003" w14:paraId="6860B0BA" w14:textId="77777777">
      <w:pPr>
        <w:suppressAutoHyphens/>
      </w:pPr>
      <w:r w:rsidRPr="005F055E">
        <w:t>Kunt u een totaaloverzicht geven van alle bezuinigingen, besparingen en investeringen in de ouderenzorg voor de komende jaren?</w:t>
      </w:r>
      <w:r w:rsidRPr="005F055E">
        <w:tab/>
      </w:r>
    </w:p>
    <w:p w:rsidRPr="005F055E" w:rsidR="003E7003" w:rsidP="00180EEB" w:rsidRDefault="003E7003" w14:paraId="0363DEA7" w14:textId="0C0CF6B2">
      <w:pPr>
        <w:suppressAutoHyphens/>
      </w:pPr>
      <w:r w:rsidRPr="005F055E">
        <w:t>Antwoord</w:t>
      </w:r>
    </w:p>
    <w:p w:rsidRPr="005F055E" w:rsidR="004D1243" w:rsidP="00180EEB" w:rsidRDefault="004D1243" w14:paraId="5EE0B688" w14:textId="1C34084C">
      <w:pPr>
        <w:suppressAutoHyphens/>
        <w:spacing w:line="240" w:lineRule="atLeast"/>
        <w:rPr>
          <w:szCs w:val="20"/>
          <w:lang w:eastAsia="nl-NL"/>
        </w:rPr>
      </w:pPr>
      <w:r w:rsidRPr="005F055E">
        <w:rPr>
          <w:szCs w:val="20"/>
          <w:lang w:eastAsia="nl-NL"/>
        </w:rPr>
        <w:t xml:space="preserve">Onderstaande tabel bevat een overzicht voor de </w:t>
      </w:r>
      <w:proofErr w:type="spellStart"/>
      <w:r w:rsidRPr="005F055E">
        <w:rPr>
          <w:szCs w:val="20"/>
          <w:lang w:eastAsia="nl-NL"/>
        </w:rPr>
        <w:t>Wlz</w:t>
      </w:r>
      <w:proofErr w:type="spellEnd"/>
      <w:r w:rsidRPr="005F055E">
        <w:rPr>
          <w:szCs w:val="20"/>
          <w:lang w:eastAsia="nl-NL"/>
        </w:rPr>
        <w:t xml:space="preserve">-ouderenzorg in natura voor de periode 2025-2030. Hierbij heb ik onderscheid gemaakt tussen de impact van kostenonderzoeken en maatregelen op de </w:t>
      </w:r>
      <w:proofErr w:type="spellStart"/>
      <w:r w:rsidRPr="005F055E">
        <w:rPr>
          <w:szCs w:val="20"/>
          <w:lang w:eastAsia="nl-NL"/>
        </w:rPr>
        <w:t>NZa</w:t>
      </w:r>
      <w:proofErr w:type="spellEnd"/>
      <w:r w:rsidRPr="005F055E">
        <w:rPr>
          <w:szCs w:val="20"/>
          <w:lang w:eastAsia="nl-NL"/>
        </w:rPr>
        <w:t xml:space="preserve">-tarieven (post 1 en 2) en de maatregelen met effect op volume van het zorggebruik en de groeiruimte voor de ouderenzorg op basis van de meest recente </w:t>
      </w:r>
      <w:proofErr w:type="spellStart"/>
      <w:r w:rsidRPr="005F055E">
        <w:rPr>
          <w:szCs w:val="20"/>
          <w:lang w:eastAsia="nl-NL"/>
        </w:rPr>
        <w:t>middellangetermijnverkenning</w:t>
      </w:r>
      <w:proofErr w:type="spellEnd"/>
      <w:r w:rsidRPr="005F055E">
        <w:rPr>
          <w:szCs w:val="20"/>
          <w:lang w:eastAsia="nl-NL"/>
        </w:rPr>
        <w:t xml:space="preserve"> (MLT) van het Centraal Planbureau (posten </w:t>
      </w:r>
      <w:r w:rsidRPr="005F055E" w:rsidR="002F2AED">
        <w:rPr>
          <w:szCs w:val="20"/>
          <w:lang w:eastAsia="nl-NL"/>
        </w:rPr>
        <w:t>3</w:t>
      </w:r>
      <w:r w:rsidRPr="005F055E">
        <w:rPr>
          <w:szCs w:val="20"/>
          <w:lang w:eastAsia="nl-NL"/>
        </w:rPr>
        <w:t xml:space="preserve"> t/m </w:t>
      </w:r>
      <w:r w:rsidRPr="005F055E" w:rsidR="002F2AED">
        <w:rPr>
          <w:szCs w:val="20"/>
          <w:lang w:eastAsia="nl-NL"/>
        </w:rPr>
        <w:t>6</w:t>
      </w:r>
      <w:r w:rsidRPr="005F055E">
        <w:rPr>
          <w:szCs w:val="20"/>
          <w:lang w:eastAsia="nl-NL"/>
        </w:rPr>
        <w:t xml:space="preserve">). De groeiruimte is bedoeld om naast de demografische ontwikkeling die leidt tot een hogere zorgvraag ook de stand van zorg en praktijk te kunnen volgen (kwaliteit van zorg). </w:t>
      </w:r>
    </w:p>
    <w:p w:rsidRPr="005F055E" w:rsidR="004D1243" w:rsidP="00180EEB" w:rsidRDefault="004D1243" w14:paraId="6DC778DD" w14:textId="77777777">
      <w:pPr>
        <w:suppressAutoHyphens/>
        <w:spacing w:line="240" w:lineRule="atLeast"/>
        <w:rPr>
          <w:szCs w:val="20"/>
          <w:lang w:eastAsia="nl-NL"/>
        </w:rPr>
      </w:pPr>
    </w:p>
    <w:p w:rsidRPr="005F055E" w:rsidR="004D1243" w:rsidP="00180EEB" w:rsidRDefault="002F2AED" w14:paraId="4D50B033" w14:textId="132F0DB3">
      <w:pPr>
        <w:suppressAutoHyphens/>
        <w:spacing w:line="240" w:lineRule="atLeast"/>
        <w:rPr>
          <w:szCs w:val="20"/>
          <w:lang w:eastAsia="nl-NL"/>
        </w:rPr>
      </w:pPr>
      <w:r w:rsidRPr="005F055E">
        <w:rPr>
          <w:noProof/>
        </w:rPr>
        <w:drawing>
          <wp:inline distT="0" distB="0" distL="0" distR="0" wp14:anchorId="0401F9D1" wp14:editId="4ADDD0B1">
            <wp:extent cx="5768807" cy="1692234"/>
            <wp:effectExtent l="0" t="0" r="3810" b="3810"/>
            <wp:docPr id="11075187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3350" cy="1699434"/>
                    </a:xfrm>
                    <a:prstGeom prst="rect">
                      <a:avLst/>
                    </a:prstGeom>
                    <a:noFill/>
                    <a:ln>
                      <a:noFill/>
                    </a:ln>
                  </pic:spPr>
                </pic:pic>
              </a:graphicData>
            </a:graphic>
          </wp:inline>
        </w:drawing>
      </w:r>
    </w:p>
    <w:p w:rsidRPr="005F055E" w:rsidR="004D1243" w:rsidP="00180EEB" w:rsidRDefault="004D1243" w14:paraId="117F89DA" w14:textId="544D9C74">
      <w:pPr>
        <w:suppressAutoHyphens/>
        <w:spacing w:line="240" w:lineRule="atLeast"/>
        <w:rPr>
          <w:szCs w:val="20"/>
          <w:lang w:eastAsia="nl-NL"/>
        </w:rPr>
      </w:pPr>
      <w:r w:rsidRPr="005F055E">
        <w:rPr>
          <w:szCs w:val="20"/>
          <w:lang w:eastAsia="nl-NL"/>
        </w:rPr>
        <w:t>Het saldo van de financiële ontwikkelingen voor de tarieven en de groeiruimte voor de ouderenzorg bedraagt in 2025 bijna € 0,</w:t>
      </w:r>
      <w:r w:rsidRPr="005F055E" w:rsidR="002F2AED">
        <w:rPr>
          <w:szCs w:val="20"/>
          <w:lang w:eastAsia="nl-NL"/>
        </w:rPr>
        <w:t>6</w:t>
      </w:r>
      <w:r w:rsidRPr="005F055E">
        <w:rPr>
          <w:szCs w:val="20"/>
          <w:lang w:eastAsia="nl-NL"/>
        </w:rPr>
        <w:t xml:space="preserve"> miljard. Dit loopt geleidelijk op tot ruim € 3,5 miljard in 2030.</w:t>
      </w:r>
    </w:p>
    <w:p w:rsidRPr="005F055E" w:rsidR="000478A7" w:rsidP="00180EEB" w:rsidRDefault="004D1243" w14:paraId="2BCA60B6" w14:textId="2D8418E8">
      <w:pPr>
        <w:suppressAutoHyphens/>
        <w:spacing w:line="240" w:lineRule="atLeast"/>
        <w:rPr>
          <w:szCs w:val="20"/>
          <w:lang w:eastAsia="nl-NL"/>
        </w:rPr>
      </w:pPr>
      <w:r w:rsidRPr="005F055E">
        <w:rPr>
          <w:szCs w:val="20"/>
          <w:lang w:eastAsia="nl-NL"/>
        </w:rPr>
        <w:t xml:space="preserve">Daarnaast worden de tarieven voor de ouderenzorg jaarlijks conform de gebruikelijke systematiek gecompenseerd voor loon- en prijsontwikkelingen. Deze zijn niet toegevoegd in de tabel. </w:t>
      </w:r>
    </w:p>
    <w:p w:rsidRPr="005F055E" w:rsidR="005C6EBC" w:rsidP="00180EEB" w:rsidRDefault="005C6EBC" w14:paraId="7B265BA6" w14:textId="77777777">
      <w:pPr>
        <w:suppressAutoHyphens/>
      </w:pPr>
    </w:p>
    <w:p w:rsidRPr="005F055E" w:rsidR="000478A7" w:rsidP="00180EEB" w:rsidRDefault="003E7003" w14:paraId="60F47E1D" w14:textId="77777777">
      <w:pPr>
        <w:suppressAutoHyphens/>
      </w:pPr>
      <w:r w:rsidRPr="005F055E">
        <w:t>Vraag 87</w:t>
      </w:r>
      <w:r w:rsidRPr="005F055E">
        <w:tab/>
      </w:r>
    </w:p>
    <w:p w:rsidRPr="005F055E" w:rsidR="000478A7" w:rsidP="00180EEB" w:rsidRDefault="003E7003" w14:paraId="20E00B41" w14:textId="77777777">
      <w:pPr>
        <w:suppressAutoHyphens/>
      </w:pPr>
      <w:r w:rsidRPr="005F055E">
        <w:t>Kunt u een totaaloverzicht geven van alle bezuinigingen, besparingen en investeringen in de wijkverpleging voor de komende jaren?</w:t>
      </w:r>
    </w:p>
    <w:p w:rsidRPr="005F055E" w:rsidR="003E7003" w:rsidP="00180EEB" w:rsidRDefault="003E7003" w14:paraId="296150C9" w14:textId="4E1C9328">
      <w:pPr>
        <w:suppressAutoHyphens/>
      </w:pPr>
      <w:r w:rsidRPr="005F055E">
        <w:t>Antwoord</w:t>
      </w:r>
    </w:p>
    <w:p w:rsidRPr="005F055E" w:rsidR="008D1697" w:rsidP="00180EEB" w:rsidRDefault="005C6EBC" w14:paraId="24518A5E" w14:textId="71B69A1C">
      <w:pPr>
        <w:suppressAutoHyphens/>
        <w:rPr>
          <w:szCs w:val="18"/>
        </w:rPr>
      </w:pPr>
      <w:r w:rsidRPr="005F055E">
        <w:rPr>
          <w:szCs w:val="18"/>
        </w:rPr>
        <w:t xml:space="preserve">In onderstaande tabel </w:t>
      </w:r>
      <w:r w:rsidRPr="005F055E" w:rsidR="00A86A8F">
        <w:rPr>
          <w:szCs w:val="18"/>
        </w:rPr>
        <w:t>is</w:t>
      </w:r>
      <w:r w:rsidRPr="005F055E">
        <w:rPr>
          <w:szCs w:val="18"/>
        </w:rPr>
        <w:t xml:space="preserve"> een overzicht opgenomen van de</w:t>
      </w:r>
      <w:r w:rsidRPr="005F055E" w:rsidR="00A86A8F">
        <w:rPr>
          <w:szCs w:val="18"/>
        </w:rPr>
        <w:t xml:space="preserve"> volumeontwikkeling </w:t>
      </w:r>
      <w:r w:rsidRPr="005F055E">
        <w:rPr>
          <w:szCs w:val="18"/>
        </w:rPr>
        <w:t xml:space="preserve">en ombuigingen in de wijkverpleging. </w:t>
      </w:r>
    </w:p>
    <w:tbl>
      <w:tblPr>
        <w:tblStyle w:val="Tabelraster"/>
        <w:tblpPr w:leftFromText="141" w:rightFromText="141" w:vertAnchor="text" w:horzAnchor="margin" w:tblpY="149"/>
        <w:tblW w:w="7765" w:type="dxa"/>
        <w:tblLayout w:type="fixed"/>
        <w:tblLook w:val="04A0" w:firstRow="1" w:lastRow="0" w:firstColumn="1" w:lastColumn="0" w:noHBand="0" w:noVBand="1"/>
      </w:tblPr>
      <w:tblGrid>
        <w:gridCol w:w="2122"/>
        <w:gridCol w:w="1055"/>
        <w:gridCol w:w="1147"/>
        <w:gridCol w:w="1147"/>
        <w:gridCol w:w="1147"/>
        <w:gridCol w:w="1147"/>
      </w:tblGrid>
      <w:tr w:rsidRPr="005F055E" w:rsidR="005C6EBC" w:rsidTr="00CF1801" w14:paraId="604A6944" w14:textId="77777777">
        <w:trPr>
          <w:trHeight w:val="259"/>
        </w:trPr>
        <w:tc>
          <w:tcPr>
            <w:tcW w:w="2122" w:type="dxa"/>
          </w:tcPr>
          <w:p w:rsidRPr="005F055E" w:rsidR="005C6EBC" w:rsidP="00180EEB" w:rsidRDefault="005C6EBC" w14:paraId="1C57B48F" w14:textId="77777777">
            <w:pPr>
              <w:suppressAutoHyphens/>
              <w:rPr>
                <w:rFonts w:ascii="Verdana" w:hAnsi="Verdana"/>
                <w:sz w:val="18"/>
                <w:szCs w:val="18"/>
              </w:rPr>
            </w:pPr>
            <w:r w:rsidRPr="005F055E">
              <w:rPr>
                <w:rFonts w:ascii="Verdana" w:hAnsi="Verdana"/>
                <w:sz w:val="18"/>
                <w:szCs w:val="18"/>
              </w:rPr>
              <w:t>In € mln.</w:t>
            </w:r>
          </w:p>
        </w:tc>
        <w:tc>
          <w:tcPr>
            <w:tcW w:w="1055" w:type="dxa"/>
          </w:tcPr>
          <w:p w:rsidRPr="005F055E" w:rsidR="005C6EBC" w:rsidP="00180EEB" w:rsidRDefault="005C6EBC" w14:paraId="6BB69528" w14:textId="77777777">
            <w:pPr>
              <w:suppressAutoHyphens/>
              <w:rPr>
                <w:rFonts w:ascii="Verdana" w:hAnsi="Verdana"/>
                <w:b/>
                <w:bCs/>
                <w:sz w:val="18"/>
                <w:szCs w:val="18"/>
              </w:rPr>
            </w:pPr>
            <w:r w:rsidRPr="005F055E">
              <w:rPr>
                <w:rFonts w:ascii="Verdana" w:hAnsi="Verdana"/>
                <w:b/>
                <w:bCs/>
                <w:sz w:val="18"/>
                <w:szCs w:val="18"/>
              </w:rPr>
              <w:t>2026</w:t>
            </w:r>
          </w:p>
        </w:tc>
        <w:tc>
          <w:tcPr>
            <w:tcW w:w="1147" w:type="dxa"/>
          </w:tcPr>
          <w:p w:rsidRPr="005F055E" w:rsidR="005C6EBC" w:rsidP="00180EEB" w:rsidRDefault="005C6EBC" w14:paraId="56851D1C" w14:textId="77777777">
            <w:pPr>
              <w:suppressAutoHyphens/>
              <w:rPr>
                <w:rFonts w:ascii="Verdana" w:hAnsi="Verdana"/>
                <w:b/>
                <w:bCs/>
                <w:sz w:val="18"/>
                <w:szCs w:val="18"/>
              </w:rPr>
            </w:pPr>
            <w:r w:rsidRPr="005F055E">
              <w:rPr>
                <w:rFonts w:ascii="Verdana" w:hAnsi="Verdana"/>
                <w:b/>
                <w:bCs/>
                <w:sz w:val="18"/>
                <w:szCs w:val="18"/>
              </w:rPr>
              <w:t>2027</w:t>
            </w:r>
          </w:p>
        </w:tc>
        <w:tc>
          <w:tcPr>
            <w:tcW w:w="1147" w:type="dxa"/>
          </w:tcPr>
          <w:p w:rsidRPr="005F055E" w:rsidR="005C6EBC" w:rsidP="00180EEB" w:rsidRDefault="005C6EBC" w14:paraId="4BBAA57F" w14:textId="77777777">
            <w:pPr>
              <w:suppressAutoHyphens/>
              <w:rPr>
                <w:rFonts w:ascii="Verdana" w:hAnsi="Verdana"/>
                <w:b/>
                <w:bCs/>
                <w:sz w:val="18"/>
                <w:szCs w:val="18"/>
              </w:rPr>
            </w:pPr>
            <w:r w:rsidRPr="005F055E">
              <w:rPr>
                <w:rFonts w:ascii="Verdana" w:hAnsi="Verdana"/>
                <w:b/>
                <w:bCs/>
                <w:sz w:val="18"/>
                <w:szCs w:val="18"/>
              </w:rPr>
              <w:t>2028</w:t>
            </w:r>
          </w:p>
        </w:tc>
        <w:tc>
          <w:tcPr>
            <w:tcW w:w="1147" w:type="dxa"/>
          </w:tcPr>
          <w:p w:rsidRPr="005F055E" w:rsidR="005C6EBC" w:rsidP="00180EEB" w:rsidRDefault="005C6EBC" w14:paraId="526BC94F" w14:textId="77777777">
            <w:pPr>
              <w:suppressAutoHyphens/>
              <w:rPr>
                <w:rFonts w:ascii="Verdana" w:hAnsi="Verdana"/>
                <w:b/>
                <w:bCs/>
                <w:sz w:val="18"/>
                <w:szCs w:val="18"/>
              </w:rPr>
            </w:pPr>
            <w:r w:rsidRPr="005F055E">
              <w:rPr>
                <w:rFonts w:ascii="Verdana" w:hAnsi="Verdana"/>
                <w:b/>
                <w:bCs/>
                <w:sz w:val="18"/>
                <w:szCs w:val="18"/>
              </w:rPr>
              <w:t>2029</w:t>
            </w:r>
          </w:p>
        </w:tc>
        <w:tc>
          <w:tcPr>
            <w:tcW w:w="1147" w:type="dxa"/>
          </w:tcPr>
          <w:p w:rsidRPr="005F055E" w:rsidR="005C6EBC" w:rsidP="00180EEB" w:rsidRDefault="005C6EBC" w14:paraId="0C16C32E" w14:textId="77777777">
            <w:pPr>
              <w:suppressAutoHyphens/>
              <w:rPr>
                <w:rFonts w:ascii="Verdana" w:hAnsi="Verdana"/>
                <w:b/>
                <w:bCs/>
                <w:sz w:val="18"/>
                <w:szCs w:val="18"/>
              </w:rPr>
            </w:pPr>
            <w:r w:rsidRPr="005F055E">
              <w:rPr>
                <w:rFonts w:ascii="Verdana" w:hAnsi="Verdana"/>
                <w:b/>
                <w:bCs/>
                <w:sz w:val="18"/>
                <w:szCs w:val="18"/>
              </w:rPr>
              <w:t>2030</w:t>
            </w:r>
          </w:p>
        </w:tc>
      </w:tr>
      <w:tr w:rsidRPr="005F055E" w:rsidR="005C6EBC" w:rsidTr="005E2643" w14:paraId="41719C33" w14:textId="77777777">
        <w:trPr>
          <w:trHeight w:val="509"/>
        </w:trPr>
        <w:tc>
          <w:tcPr>
            <w:tcW w:w="7765" w:type="dxa"/>
            <w:gridSpan w:val="6"/>
            <w:shd w:val="clear" w:color="auto" w:fill="D9D9D9" w:themeFill="background1" w:themeFillShade="D9"/>
            <w:vAlign w:val="center"/>
          </w:tcPr>
          <w:p w:rsidRPr="005F055E" w:rsidR="005C6EBC" w:rsidP="00180EEB" w:rsidRDefault="00A86A8F" w14:paraId="21B54054" w14:textId="4D7659DF">
            <w:pPr>
              <w:suppressAutoHyphens/>
              <w:rPr>
                <w:rFonts w:ascii="Verdana" w:hAnsi="Verdana"/>
                <w:b/>
                <w:bCs/>
                <w:sz w:val="18"/>
                <w:szCs w:val="18"/>
              </w:rPr>
            </w:pPr>
            <w:r w:rsidRPr="005F055E">
              <w:rPr>
                <w:rFonts w:ascii="Verdana" w:hAnsi="Verdana"/>
                <w:b/>
                <w:bCs/>
                <w:sz w:val="18"/>
                <w:szCs w:val="18"/>
              </w:rPr>
              <w:t xml:space="preserve">Volumeontwikkeling </w:t>
            </w:r>
          </w:p>
        </w:tc>
      </w:tr>
      <w:tr w:rsidRPr="005F055E" w:rsidR="005C6EBC" w:rsidTr="005E2643" w14:paraId="2EB7058F" w14:textId="77777777">
        <w:trPr>
          <w:trHeight w:val="259"/>
        </w:trPr>
        <w:tc>
          <w:tcPr>
            <w:tcW w:w="2122" w:type="dxa"/>
          </w:tcPr>
          <w:p w:rsidRPr="005F055E" w:rsidR="005C6EBC" w:rsidP="00180EEB" w:rsidRDefault="005C6EBC" w14:paraId="3E822785" w14:textId="77777777">
            <w:pPr>
              <w:suppressAutoHyphens/>
              <w:rPr>
                <w:rFonts w:ascii="Verdana" w:hAnsi="Verdana"/>
                <w:sz w:val="18"/>
                <w:szCs w:val="18"/>
              </w:rPr>
            </w:pPr>
            <w:r w:rsidRPr="005F055E">
              <w:rPr>
                <w:rFonts w:ascii="Verdana" w:hAnsi="Verdana"/>
                <w:sz w:val="18"/>
                <w:szCs w:val="18"/>
              </w:rPr>
              <w:t>AZWA/IZA: Volumegroei (3,5%) *)</w:t>
            </w:r>
          </w:p>
        </w:tc>
        <w:tc>
          <w:tcPr>
            <w:tcW w:w="1055" w:type="dxa"/>
          </w:tcPr>
          <w:p w:rsidRPr="005F055E" w:rsidR="005C6EBC" w:rsidP="00180EEB" w:rsidRDefault="005C6EBC" w14:paraId="2232EEBD" w14:textId="77777777">
            <w:pPr>
              <w:suppressAutoHyphens/>
              <w:rPr>
                <w:rFonts w:ascii="Verdana" w:hAnsi="Verdana"/>
                <w:sz w:val="18"/>
                <w:szCs w:val="18"/>
              </w:rPr>
            </w:pPr>
            <w:r w:rsidRPr="005F055E">
              <w:rPr>
                <w:rFonts w:ascii="Verdana" w:hAnsi="Verdana"/>
                <w:sz w:val="18"/>
                <w:szCs w:val="18"/>
              </w:rPr>
              <w:t>138,1</w:t>
            </w:r>
          </w:p>
        </w:tc>
        <w:tc>
          <w:tcPr>
            <w:tcW w:w="1147" w:type="dxa"/>
          </w:tcPr>
          <w:p w:rsidRPr="005F055E" w:rsidR="005C6EBC" w:rsidP="00180EEB" w:rsidRDefault="005C6EBC" w14:paraId="16FD7ED6" w14:textId="77777777">
            <w:pPr>
              <w:suppressAutoHyphens/>
              <w:rPr>
                <w:rFonts w:ascii="Verdana" w:hAnsi="Verdana"/>
                <w:sz w:val="18"/>
                <w:szCs w:val="18"/>
              </w:rPr>
            </w:pPr>
            <w:r w:rsidRPr="005F055E">
              <w:rPr>
                <w:rFonts w:ascii="Verdana" w:hAnsi="Verdana"/>
                <w:sz w:val="18"/>
                <w:szCs w:val="18"/>
              </w:rPr>
              <w:t>270,8</w:t>
            </w:r>
          </w:p>
        </w:tc>
        <w:tc>
          <w:tcPr>
            <w:tcW w:w="1147" w:type="dxa"/>
          </w:tcPr>
          <w:p w:rsidRPr="005F055E" w:rsidR="005C6EBC" w:rsidP="00180EEB" w:rsidRDefault="005C6EBC" w14:paraId="15F797BC" w14:textId="77777777">
            <w:pPr>
              <w:suppressAutoHyphens/>
              <w:rPr>
                <w:rFonts w:ascii="Verdana" w:hAnsi="Verdana"/>
                <w:sz w:val="18"/>
                <w:szCs w:val="18"/>
              </w:rPr>
            </w:pPr>
            <w:r w:rsidRPr="005F055E">
              <w:rPr>
                <w:rFonts w:ascii="Verdana" w:hAnsi="Verdana"/>
                <w:sz w:val="18"/>
                <w:szCs w:val="18"/>
              </w:rPr>
              <w:t>404,2</w:t>
            </w:r>
          </w:p>
        </w:tc>
        <w:tc>
          <w:tcPr>
            <w:tcW w:w="1147" w:type="dxa"/>
          </w:tcPr>
          <w:p w:rsidRPr="005F055E" w:rsidR="005C6EBC" w:rsidP="00180EEB" w:rsidRDefault="005C6EBC" w14:paraId="5684BF6B" w14:textId="77777777">
            <w:pPr>
              <w:suppressAutoHyphens/>
              <w:rPr>
                <w:rFonts w:ascii="Verdana" w:hAnsi="Verdana"/>
                <w:sz w:val="18"/>
                <w:szCs w:val="18"/>
              </w:rPr>
            </w:pPr>
            <w:r w:rsidRPr="005F055E">
              <w:rPr>
                <w:rFonts w:ascii="Verdana" w:hAnsi="Verdana"/>
                <w:sz w:val="18"/>
                <w:szCs w:val="18"/>
              </w:rPr>
              <w:t>404,2</w:t>
            </w:r>
          </w:p>
        </w:tc>
        <w:tc>
          <w:tcPr>
            <w:tcW w:w="1147" w:type="dxa"/>
          </w:tcPr>
          <w:p w:rsidRPr="005F055E" w:rsidR="005C6EBC" w:rsidP="00180EEB" w:rsidRDefault="005C6EBC" w14:paraId="3DB04795" w14:textId="77777777">
            <w:pPr>
              <w:suppressAutoHyphens/>
              <w:rPr>
                <w:rFonts w:ascii="Verdana" w:hAnsi="Verdana"/>
                <w:sz w:val="18"/>
                <w:szCs w:val="18"/>
              </w:rPr>
            </w:pPr>
            <w:r w:rsidRPr="005F055E">
              <w:rPr>
                <w:rFonts w:ascii="Verdana" w:hAnsi="Verdana"/>
                <w:sz w:val="18"/>
                <w:szCs w:val="18"/>
              </w:rPr>
              <w:t>404,2</w:t>
            </w:r>
          </w:p>
        </w:tc>
      </w:tr>
      <w:tr w:rsidRPr="005F055E" w:rsidR="005C6EBC" w:rsidTr="005E2643" w14:paraId="1C109CD5" w14:textId="77777777">
        <w:trPr>
          <w:trHeight w:val="259"/>
        </w:trPr>
        <w:tc>
          <w:tcPr>
            <w:tcW w:w="2122" w:type="dxa"/>
          </w:tcPr>
          <w:p w:rsidRPr="005F055E" w:rsidR="005C6EBC" w:rsidP="00180EEB" w:rsidRDefault="005C6EBC" w14:paraId="3E5CFE0A" w14:textId="77777777">
            <w:pPr>
              <w:suppressAutoHyphens/>
              <w:rPr>
                <w:rFonts w:ascii="Verdana" w:hAnsi="Verdana"/>
                <w:sz w:val="18"/>
                <w:szCs w:val="18"/>
              </w:rPr>
            </w:pPr>
            <w:r w:rsidRPr="005F055E">
              <w:rPr>
                <w:rFonts w:ascii="Verdana" w:hAnsi="Verdana"/>
                <w:sz w:val="18"/>
                <w:szCs w:val="18"/>
              </w:rPr>
              <w:t>Remgeld AZWA</w:t>
            </w:r>
          </w:p>
        </w:tc>
        <w:tc>
          <w:tcPr>
            <w:tcW w:w="1055" w:type="dxa"/>
          </w:tcPr>
          <w:p w:rsidRPr="005F055E" w:rsidR="005C6EBC" w:rsidP="00180EEB" w:rsidRDefault="005C6EBC" w14:paraId="108A9D3A" w14:textId="77777777">
            <w:pPr>
              <w:suppressAutoHyphens/>
              <w:rPr>
                <w:rFonts w:ascii="Verdana" w:hAnsi="Verdana"/>
                <w:sz w:val="18"/>
                <w:szCs w:val="18"/>
              </w:rPr>
            </w:pPr>
            <w:r w:rsidRPr="005F055E">
              <w:rPr>
                <w:rFonts w:ascii="Verdana" w:hAnsi="Verdana"/>
                <w:sz w:val="18"/>
                <w:szCs w:val="18"/>
              </w:rPr>
              <w:t>0,0</w:t>
            </w:r>
          </w:p>
        </w:tc>
        <w:tc>
          <w:tcPr>
            <w:tcW w:w="1147" w:type="dxa"/>
          </w:tcPr>
          <w:p w:rsidRPr="005F055E" w:rsidR="005C6EBC" w:rsidP="00180EEB" w:rsidRDefault="005C6EBC" w14:paraId="30BE7A83" w14:textId="77777777">
            <w:pPr>
              <w:suppressAutoHyphens/>
              <w:rPr>
                <w:rFonts w:ascii="Verdana" w:hAnsi="Verdana"/>
                <w:sz w:val="18"/>
                <w:szCs w:val="18"/>
              </w:rPr>
            </w:pPr>
            <w:r w:rsidRPr="005F055E">
              <w:rPr>
                <w:rFonts w:ascii="Verdana" w:hAnsi="Verdana"/>
                <w:sz w:val="18"/>
                <w:szCs w:val="18"/>
              </w:rPr>
              <w:t>38,6</w:t>
            </w:r>
          </w:p>
        </w:tc>
        <w:tc>
          <w:tcPr>
            <w:tcW w:w="1147" w:type="dxa"/>
          </w:tcPr>
          <w:p w:rsidRPr="005F055E" w:rsidR="005C6EBC" w:rsidP="00180EEB" w:rsidRDefault="005C6EBC" w14:paraId="166EAF29" w14:textId="77777777">
            <w:pPr>
              <w:suppressAutoHyphens/>
              <w:rPr>
                <w:rFonts w:ascii="Verdana" w:hAnsi="Verdana"/>
                <w:sz w:val="18"/>
                <w:szCs w:val="18"/>
              </w:rPr>
            </w:pPr>
            <w:r w:rsidRPr="005F055E">
              <w:rPr>
                <w:rFonts w:ascii="Verdana" w:hAnsi="Verdana"/>
                <w:sz w:val="18"/>
                <w:szCs w:val="18"/>
              </w:rPr>
              <w:t>43,6</w:t>
            </w:r>
          </w:p>
        </w:tc>
        <w:tc>
          <w:tcPr>
            <w:tcW w:w="1147" w:type="dxa"/>
          </w:tcPr>
          <w:p w:rsidRPr="005F055E" w:rsidR="005C6EBC" w:rsidP="00180EEB" w:rsidRDefault="005C6EBC" w14:paraId="2F427AE2" w14:textId="77777777">
            <w:pPr>
              <w:suppressAutoHyphens/>
              <w:rPr>
                <w:rFonts w:ascii="Verdana" w:hAnsi="Verdana"/>
                <w:sz w:val="18"/>
                <w:szCs w:val="18"/>
              </w:rPr>
            </w:pPr>
            <w:r w:rsidRPr="005F055E">
              <w:rPr>
                <w:rFonts w:ascii="Verdana" w:hAnsi="Verdana"/>
                <w:sz w:val="18"/>
                <w:szCs w:val="18"/>
              </w:rPr>
              <w:t>43,6</w:t>
            </w:r>
          </w:p>
        </w:tc>
        <w:tc>
          <w:tcPr>
            <w:tcW w:w="1147" w:type="dxa"/>
          </w:tcPr>
          <w:p w:rsidRPr="005F055E" w:rsidR="005C6EBC" w:rsidP="00180EEB" w:rsidRDefault="005C6EBC" w14:paraId="2470F26A" w14:textId="77777777">
            <w:pPr>
              <w:suppressAutoHyphens/>
              <w:rPr>
                <w:rFonts w:ascii="Verdana" w:hAnsi="Verdana"/>
                <w:sz w:val="18"/>
                <w:szCs w:val="18"/>
              </w:rPr>
            </w:pPr>
            <w:r w:rsidRPr="005F055E">
              <w:rPr>
                <w:rFonts w:ascii="Verdana" w:hAnsi="Verdana"/>
                <w:sz w:val="18"/>
                <w:szCs w:val="18"/>
              </w:rPr>
              <w:t>43,6</w:t>
            </w:r>
          </w:p>
        </w:tc>
      </w:tr>
      <w:tr w:rsidRPr="005F055E" w:rsidR="005C6EBC" w:rsidTr="005E2643" w14:paraId="7B5C8078" w14:textId="77777777">
        <w:trPr>
          <w:trHeight w:val="259"/>
        </w:trPr>
        <w:tc>
          <w:tcPr>
            <w:tcW w:w="2122" w:type="dxa"/>
          </w:tcPr>
          <w:p w:rsidRPr="005F055E" w:rsidR="005C6EBC" w:rsidP="00180EEB" w:rsidRDefault="005C6EBC" w14:paraId="445D666E" w14:textId="77777777">
            <w:pPr>
              <w:suppressAutoHyphens/>
              <w:rPr>
                <w:rFonts w:ascii="Verdana" w:hAnsi="Verdana"/>
                <w:sz w:val="18"/>
                <w:szCs w:val="18"/>
              </w:rPr>
            </w:pPr>
            <w:r w:rsidRPr="005F055E">
              <w:rPr>
                <w:rFonts w:ascii="Verdana" w:hAnsi="Verdana"/>
                <w:sz w:val="18"/>
                <w:szCs w:val="18"/>
              </w:rPr>
              <w:t>Remgeld bevriezing eigen risico 2026</w:t>
            </w:r>
          </w:p>
        </w:tc>
        <w:tc>
          <w:tcPr>
            <w:tcW w:w="1055" w:type="dxa"/>
          </w:tcPr>
          <w:p w:rsidRPr="005F055E" w:rsidR="005C6EBC" w:rsidP="00180EEB" w:rsidRDefault="005C6EBC" w14:paraId="4E2F55A3" w14:textId="77777777">
            <w:pPr>
              <w:suppressAutoHyphens/>
              <w:rPr>
                <w:rFonts w:ascii="Verdana" w:hAnsi="Verdana"/>
                <w:sz w:val="18"/>
                <w:szCs w:val="18"/>
              </w:rPr>
            </w:pPr>
            <w:r w:rsidRPr="005F055E">
              <w:rPr>
                <w:rFonts w:ascii="Verdana" w:hAnsi="Verdana"/>
                <w:sz w:val="18"/>
                <w:szCs w:val="18"/>
              </w:rPr>
              <w:t>4,8</w:t>
            </w:r>
          </w:p>
        </w:tc>
        <w:tc>
          <w:tcPr>
            <w:tcW w:w="1147" w:type="dxa"/>
          </w:tcPr>
          <w:p w:rsidRPr="005F055E" w:rsidR="005C6EBC" w:rsidP="00180EEB" w:rsidRDefault="005C6EBC" w14:paraId="08F53997" w14:textId="77777777">
            <w:pPr>
              <w:suppressAutoHyphens/>
              <w:rPr>
                <w:rFonts w:ascii="Verdana" w:hAnsi="Verdana"/>
                <w:sz w:val="18"/>
                <w:szCs w:val="18"/>
              </w:rPr>
            </w:pPr>
          </w:p>
        </w:tc>
        <w:tc>
          <w:tcPr>
            <w:tcW w:w="1147" w:type="dxa"/>
          </w:tcPr>
          <w:p w:rsidRPr="005F055E" w:rsidR="005C6EBC" w:rsidP="00180EEB" w:rsidRDefault="005C6EBC" w14:paraId="42AF147F" w14:textId="77777777">
            <w:pPr>
              <w:suppressAutoHyphens/>
              <w:rPr>
                <w:rFonts w:ascii="Verdana" w:hAnsi="Verdana"/>
                <w:sz w:val="18"/>
                <w:szCs w:val="18"/>
              </w:rPr>
            </w:pPr>
          </w:p>
        </w:tc>
        <w:tc>
          <w:tcPr>
            <w:tcW w:w="1147" w:type="dxa"/>
          </w:tcPr>
          <w:p w:rsidRPr="005F055E" w:rsidR="005C6EBC" w:rsidP="00180EEB" w:rsidRDefault="005C6EBC" w14:paraId="51B22048" w14:textId="77777777">
            <w:pPr>
              <w:suppressAutoHyphens/>
              <w:rPr>
                <w:rFonts w:ascii="Verdana" w:hAnsi="Verdana"/>
                <w:sz w:val="18"/>
                <w:szCs w:val="18"/>
              </w:rPr>
            </w:pPr>
          </w:p>
        </w:tc>
        <w:tc>
          <w:tcPr>
            <w:tcW w:w="1147" w:type="dxa"/>
          </w:tcPr>
          <w:p w:rsidRPr="005F055E" w:rsidR="005C6EBC" w:rsidP="00180EEB" w:rsidRDefault="005C6EBC" w14:paraId="398D4352" w14:textId="77777777">
            <w:pPr>
              <w:suppressAutoHyphens/>
              <w:rPr>
                <w:rFonts w:ascii="Verdana" w:hAnsi="Verdana"/>
                <w:sz w:val="18"/>
                <w:szCs w:val="18"/>
              </w:rPr>
            </w:pPr>
          </w:p>
        </w:tc>
      </w:tr>
      <w:tr w:rsidRPr="005F055E" w:rsidR="005C6EBC" w:rsidTr="005E2643" w14:paraId="7AA49B9D" w14:textId="77777777">
        <w:trPr>
          <w:trHeight w:val="259"/>
        </w:trPr>
        <w:tc>
          <w:tcPr>
            <w:tcW w:w="2122" w:type="dxa"/>
          </w:tcPr>
          <w:p w:rsidRPr="005F055E" w:rsidR="005C6EBC" w:rsidP="00180EEB" w:rsidRDefault="005C6EBC" w14:paraId="26B97A13" w14:textId="77777777">
            <w:pPr>
              <w:suppressAutoHyphens/>
              <w:rPr>
                <w:rFonts w:ascii="Verdana" w:hAnsi="Verdana"/>
                <w:sz w:val="18"/>
                <w:szCs w:val="18"/>
              </w:rPr>
            </w:pPr>
            <w:r w:rsidRPr="005F055E">
              <w:rPr>
                <w:rFonts w:ascii="Verdana" w:hAnsi="Verdana"/>
                <w:sz w:val="18"/>
                <w:szCs w:val="18"/>
              </w:rPr>
              <w:t>Valpreventiemiddelen</w:t>
            </w:r>
          </w:p>
        </w:tc>
        <w:tc>
          <w:tcPr>
            <w:tcW w:w="1055" w:type="dxa"/>
          </w:tcPr>
          <w:p w:rsidRPr="005F055E" w:rsidR="005C6EBC" w:rsidP="00180EEB" w:rsidRDefault="005C6EBC" w14:paraId="348CF5C2" w14:textId="77777777">
            <w:pPr>
              <w:suppressAutoHyphens/>
              <w:rPr>
                <w:rFonts w:ascii="Verdana" w:hAnsi="Verdana"/>
                <w:sz w:val="18"/>
                <w:szCs w:val="18"/>
              </w:rPr>
            </w:pPr>
            <w:r w:rsidRPr="005F055E">
              <w:rPr>
                <w:rFonts w:ascii="Verdana" w:hAnsi="Verdana"/>
                <w:sz w:val="18"/>
                <w:szCs w:val="18"/>
              </w:rPr>
              <w:t>2,1</w:t>
            </w:r>
          </w:p>
        </w:tc>
        <w:tc>
          <w:tcPr>
            <w:tcW w:w="1147" w:type="dxa"/>
          </w:tcPr>
          <w:p w:rsidRPr="005F055E" w:rsidR="005C6EBC" w:rsidP="00180EEB" w:rsidRDefault="005C6EBC" w14:paraId="1EBCD890" w14:textId="77777777">
            <w:pPr>
              <w:suppressAutoHyphens/>
              <w:rPr>
                <w:rFonts w:ascii="Verdana" w:hAnsi="Verdana"/>
                <w:sz w:val="18"/>
                <w:szCs w:val="18"/>
              </w:rPr>
            </w:pPr>
          </w:p>
        </w:tc>
        <w:tc>
          <w:tcPr>
            <w:tcW w:w="1147" w:type="dxa"/>
          </w:tcPr>
          <w:p w:rsidRPr="005F055E" w:rsidR="005C6EBC" w:rsidP="00180EEB" w:rsidRDefault="005C6EBC" w14:paraId="4DCCD1EC" w14:textId="77777777">
            <w:pPr>
              <w:suppressAutoHyphens/>
              <w:rPr>
                <w:rFonts w:ascii="Verdana" w:hAnsi="Verdana"/>
                <w:sz w:val="18"/>
                <w:szCs w:val="18"/>
              </w:rPr>
            </w:pPr>
          </w:p>
        </w:tc>
        <w:tc>
          <w:tcPr>
            <w:tcW w:w="1147" w:type="dxa"/>
          </w:tcPr>
          <w:p w:rsidRPr="005F055E" w:rsidR="005C6EBC" w:rsidP="00180EEB" w:rsidRDefault="005C6EBC" w14:paraId="459E1AC2" w14:textId="77777777">
            <w:pPr>
              <w:suppressAutoHyphens/>
              <w:rPr>
                <w:rFonts w:ascii="Verdana" w:hAnsi="Verdana"/>
                <w:sz w:val="18"/>
                <w:szCs w:val="18"/>
              </w:rPr>
            </w:pPr>
          </w:p>
        </w:tc>
        <w:tc>
          <w:tcPr>
            <w:tcW w:w="1147" w:type="dxa"/>
          </w:tcPr>
          <w:p w:rsidRPr="005F055E" w:rsidR="005C6EBC" w:rsidP="00180EEB" w:rsidRDefault="005C6EBC" w14:paraId="5D755E04" w14:textId="77777777">
            <w:pPr>
              <w:suppressAutoHyphens/>
              <w:rPr>
                <w:rFonts w:ascii="Verdana" w:hAnsi="Verdana"/>
                <w:sz w:val="18"/>
                <w:szCs w:val="18"/>
              </w:rPr>
            </w:pPr>
          </w:p>
        </w:tc>
      </w:tr>
      <w:tr w:rsidRPr="005F055E" w:rsidR="005C6EBC" w:rsidTr="005E2643" w14:paraId="56B91A72" w14:textId="77777777">
        <w:trPr>
          <w:trHeight w:val="528"/>
        </w:trPr>
        <w:tc>
          <w:tcPr>
            <w:tcW w:w="7765" w:type="dxa"/>
            <w:gridSpan w:val="6"/>
            <w:shd w:val="clear" w:color="auto" w:fill="D9D9D9" w:themeFill="background1" w:themeFillShade="D9"/>
            <w:vAlign w:val="center"/>
          </w:tcPr>
          <w:p w:rsidRPr="005F055E" w:rsidR="005C6EBC" w:rsidP="00180EEB" w:rsidRDefault="005C6EBC" w14:paraId="17F2BFE9" w14:textId="77777777">
            <w:pPr>
              <w:suppressAutoHyphens/>
              <w:rPr>
                <w:rFonts w:ascii="Verdana" w:hAnsi="Verdana"/>
                <w:sz w:val="18"/>
                <w:szCs w:val="18"/>
              </w:rPr>
            </w:pPr>
            <w:r w:rsidRPr="005F055E">
              <w:rPr>
                <w:rFonts w:ascii="Verdana" w:hAnsi="Verdana"/>
                <w:b/>
                <w:bCs/>
                <w:sz w:val="18"/>
                <w:szCs w:val="18"/>
              </w:rPr>
              <w:t xml:space="preserve">Ombuigingen </w:t>
            </w:r>
          </w:p>
        </w:tc>
      </w:tr>
      <w:tr w:rsidRPr="005F055E" w:rsidR="005C6EBC" w:rsidTr="005E2643" w14:paraId="2FA825F6" w14:textId="77777777">
        <w:trPr>
          <w:trHeight w:val="249"/>
        </w:trPr>
        <w:tc>
          <w:tcPr>
            <w:tcW w:w="2122" w:type="dxa"/>
          </w:tcPr>
          <w:p w:rsidRPr="005F055E" w:rsidR="005C6EBC" w:rsidP="00180EEB" w:rsidRDefault="005C6EBC" w14:paraId="16386839" w14:textId="77777777">
            <w:pPr>
              <w:suppressAutoHyphens/>
              <w:rPr>
                <w:rFonts w:ascii="Verdana" w:hAnsi="Verdana"/>
                <w:sz w:val="18"/>
                <w:szCs w:val="18"/>
              </w:rPr>
            </w:pPr>
            <w:r w:rsidRPr="005F055E">
              <w:rPr>
                <w:rFonts w:ascii="Verdana" w:hAnsi="Verdana"/>
                <w:sz w:val="18"/>
                <w:szCs w:val="18"/>
              </w:rPr>
              <w:t xml:space="preserve">HLA: Onafhankelijke indicatiestelling </w:t>
            </w:r>
            <w:proofErr w:type="spellStart"/>
            <w:r w:rsidRPr="005F055E">
              <w:rPr>
                <w:rFonts w:ascii="Verdana" w:hAnsi="Verdana"/>
                <w:sz w:val="18"/>
                <w:szCs w:val="18"/>
              </w:rPr>
              <w:t>ongecontracteerde</w:t>
            </w:r>
            <w:proofErr w:type="spellEnd"/>
            <w:r w:rsidRPr="005F055E">
              <w:rPr>
                <w:rFonts w:ascii="Verdana" w:hAnsi="Verdana"/>
                <w:sz w:val="18"/>
                <w:szCs w:val="18"/>
              </w:rPr>
              <w:t xml:space="preserve"> wijkverpleging</w:t>
            </w:r>
          </w:p>
        </w:tc>
        <w:tc>
          <w:tcPr>
            <w:tcW w:w="1055" w:type="dxa"/>
          </w:tcPr>
          <w:p w:rsidRPr="005F055E" w:rsidR="005C6EBC" w:rsidP="00180EEB" w:rsidRDefault="005C6EBC" w14:paraId="0D032043" w14:textId="77777777">
            <w:pPr>
              <w:suppressAutoHyphens/>
              <w:rPr>
                <w:rFonts w:ascii="Verdana" w:hAnsi="Verdana"/>
                <w:sz w:val="18"/>
                <w:szCs w:val="18"/>
              </w:rPr>
            </w:pPr>
            <w:r w:rsidRPr="005F055E">
              <w:rPr>
                <w:rFonts w:ascii="Verdana" w:hAnsi="Verdana"/>
                <w:sz w:val="18"/>
                <w:szCs w:val="18"/>
              </w:rPr>
              <w:t>0,0</w:t>
            </w:r>
          </w:p>
        </w:tc>
        <w:tc>
          <w:tcPr>
            <w:tcW w:w="1147" w:type="dxa"/>
          </w:tcPr>
          <w:p w:rsidRPr="005F055E" w:rsidR="005C6EBC" w:rsidP="00180EEB" w:rsidRDefault="005C6EBC" w14:paraId="4BF95DBE" w14:textId="77777777">
            <w:pPr>
              <w:suppressAutoHyphens/>
              <w:rPr>
                <w:rFonts w:ascii="Verdana" w:hAnsi="Verdana"/>
                <w:sz w:val="18"/>
                <w:szCs w:val="18"/>
              </w:rPr>
            </w:pPr>
            <w:r w:rsidRPr="005F055E">
              <w:rPr>
                <w:rFonts w:ascii="Verdana" w:hAnsi="Verdana"/>
                <w:sz w:val="18"/>
                <w:szCs w:val="18"/>
              </w:rPr>
              <w:t>-85,0</w:t>
            </w:r>
          </w:p>
        </w:tc>
        <w:tc>
          <w:tcPr>
            <w:tcW w:w="1147" w:type="dxa"/>
          </w:tcPr>
          <w:p w:rsidRPr="005F055E" w:rsidR="005C6EBC" w:rsidP="00180EEB" w:rsidRDefault="005C6EBC" w14:paraId="388E0CBA" w14:textId="77777777">
            <w:pPr>
              <w:suppressAutoHyphens/>
              <w:rPr>
                <w:rFonts w:ascii="Verdana" w:hAnsi="Verdana"/>
                <w:sz w:val="18"/>
                <w:szCs w:val="18"/>
              </w:rPr>
            </w:pPr>
            <w:r w:rsidRPr="005F055E">
              <w:rPr>
                <w:rFonts w:ascii="Verdana" w:hAnsi="Verdana"/>
                <w:sz w:val="18"/>
                <w:szCs w:val="18"/>
              </w:rPr>
              <w:t>-85,0</w:t>
            </w:r>
          </w:p>
        </w:tc>
        <w:tc>
          <w:tcPr>
            <w:tcW w:w="1147" w:type="dxa"/>
          </w:tcPr>
          <w:p w:rsidRPr="005F055E" w:rsidR="005C6EBC" w:rsidP="00180EEB" w:rsidRDefault="005C6EBC" w14:paraId="3C8B1915" w14:textId="77777777">
            <w:pPr>
              <w:suppressAutoHyphens/>
              <w:rPr>
                <w:rFonts w:ascii="Verdana" w:hAnsi="Verdana"/>
                <w:sz w:val="18"/>
                <w:szCs w:val="18"/>
              </w:rPr>
            </w:pPr>
            <w:r w:rsidRPr="005F055E">
              <w:rPr>
                <w:rFonts w:ascii="Verdana" w:hAnsi="Verdana"/>
                <w:sz w:val="18"/>
                <w:szCs w:val="18"/>
              </w:rPr>
              <w:t>-85,0</w:t>
            </w:r>
          </w:p>
        </w:tc>
        <w:tc>
          <w:tcPr>
            <w:tcW w:w="1147" w:type="dxa"/>
          </w:tcPr>
          <w:p w:rsidRPr="005F055E" w:rsidR="005C6EBC" w:rsidP="00180EEB" w:rsidRDefault="005C6EBC" w14:paraId="3F4E087B" w14:textId="77777777">
            <w:pPr>
              <w:suppressAutoHyphens/>
              <w:rPr>
                <w:rFonts w:ascii="Verdana" w:hAnsi="Verdana"/>
                <w:sz w:val="18"/>
                <w:szCs w:val="18"/>
              </w:rPr>
            </w:pPr>
            <w:r w:rsidRPr="005F055E">
              <w:rPr>
                <w:rFonts w:ascii="Verdana" w:hAnsi="Verdana"/>
                <w:sz w:val="18"/>
                <w:szCs w:val="18"/>
              </w:rPr>
              <w:t>-85,0</w:t>
            </w:r>
          </w:p>
        </w:tc>
      </w:tr>
      <w:tr w:rsidRPr="005F055E" w:rsidR="005C6EBC" w:rsidTr="005E2643" w14:paraId="498440AC" w14:textId="77777777">
        <w:trPr>
          <w:trHeight w:val="259"/>
        </w:trPr>
        <w:tc>
          <w:tcPr>
            <w:tcW w:w="2122" w:type="dxa"/>
          </w:tcPr>
          <w:p w:rsidRPr="005F055E" w:rsidR="005C6EBC" w:rsidP="00180EEB" w:rsidRDefault="005C6EBC" w14:paraId="60C50896" w14:textId="77777777">
            <w:pPr>
              <w:suppressAutoHyphens/>
              <w:rPr>
                <w:rFonts w:ascii="Verdana" w:hAnsi="Verdana"/>
                <w:sz w:val="18"/>
                <w:szCs w:val="18"/>
              </w:rPr>
            </w:pPr>
            <w:r w:rsidRPr="005F055E">
              <w:rPr>
                <w:rFonts w:ascii="Verdana" w:hAnsi="Verdana"/>
                <w:sz w:val="18"/>
                <w:szCs w:val="18"/>
              </w:rPr>
              <w:t xml:space="preserve">HLA: Versnelling opschaling digitale zorg wijkverpleging </w:t>
            </w:r>
          </w:p>
        </w:tc>
        <w:tc>
          <w:tcPr>
            <w:tcW w:w="1055" w:type="dxa"/>
          </w:tcPr>
          <w:p w:rsidRPr="005F055E" w:rsidR="005C6EBC" w:rsidP="00180EEB" w:rsidRDefault="005C6EBC" w14:paraId="01E74181" w14:textId="77777777">
            <w:pPr>
              <w:suppressAutoHyphens/>
              <w:rPr>
                <w:rFonts w:ascii="Verdana" w:hAnsi="Verdana"/>
                <w:sz w:val="18"/>
                <w:szCs w:val="18"/>
              </w:rPr>
            </w:pPr>
            <w:r w:rsidRPr="005F055E">
              <w:rPr>
                <w:rFonts w:ascii="Verdana" w:hAnsi="Verdana"/>
                <w:sz w:val="18"/>
                <w:szCs w:val="18"/>
              </w:rPr>
              <w:t>0,0</w:t>
            </w:r>
          </w:p>
        </w:tc>
        <w:tc>
          <w:tcPr>
            <w:tcW w:w="1147" w:type="dxa"/>
          </w:tcPr>
          <w:p w:rsidRPr="005F055E" w:rsidR="005C6EBC" w:rsidP="00180EEB" w:rsidRDefault="005C6EBC" w14:paraId="1FC8B1A1" w14:textId="77777777">
            <w:pPr>
              <w:suppressAutoHyphens/>
              <w:rPr>
                <w:rFonts w:ascii="Verdana" w:hAnsi="Verdana"/>
                <w:sz w:val="18"/>
                <w:szCs w:val="18"/>
              </w:rPr>
            </w:pPr>
            <w:r w:rsidRPr="005F055E">
              <w:rPr>
                <w:rFonts w:ascii="Verdana" w:hAnsi="Verdana"/>
                <w:sz w:val="18"/>
                <w:szCs w:val="18"/>
              </w:rPr>
              <w:t>-35,0</w:t>
            </w:r>
          </w:p>
        </w:tc>
        <w:tc>
          <w:tcPr>
            <w:tcW w:w="1147" w:type="dxa"/>
          </w:tcPr>
          <w:p w:rsidRPr="005F055E" w:rsidR="005C6EBC" w:rsidP="00180EEB" w:rsidRDefault="005C6EBC" w14:paraId="71533711" w14:textId="77777777">
            <w:pPr>
              <w:suppressAutoHyphens/>
              <w:rPr>
                <w:rFonts w:ascii="Verdana" w:hAnsi="Verdana"/>
                <w:sz w:val="18"/>
                <w:szCs w:val="18"/>
              </w:rPr>
            </w:pPr>
            <w:r w:rsidRPr="005F055E">
              <w:rPr>
                <w:rFonts w:ascii="Verdana" w:hAnsi="Verdana"/>
                <w:sz w:val="18"/>
                <w:szCs w:val="18"/>
              </w:rPr>
              <w:t>-85,0</w:t>
            </w:r>
          </w:p>
        </w:tc>
        <w:tc>
          <w:tcPr>
            <w:tcW w:w="1147" w:type="dxa"/>
          </w:tcPr>
          <w:p w:rsidRPr="005F055E" w:rsidR="005C6EBC" w:rsidP="00180EEB" w:rsidRDefault="005C6EBC" w14:paraId="20748642" w14:textId="77777777">
            <w:pPr>
              <w:suppressAutoHyphens/>
              <w:rPr>
                <w:rFonts w:ascii="Verdana" w:hAnsi="Verdana"/>
                <w:sz w:val="18"/>
                <w:szCs w:val="18"/>
              </w:rPr>
            </w:pPr>
            <w:r w:rsidRPr="005F055E">
              <w:rPr>
                <w:rFonts w:ascii="Verdana" w:hAnsi="Verdana"/>
                <w:sz w:val="18"/>
                <w:szCs w:val="18"/>
              </w:rPr>
              <w:t>-141,6</w:t>
            </w:r>
          </w:p>
        </w:tc>
        <w:tc>
          <w:tcPr>
            <w:tcW w:w="1147" w:type="dxa"/>
          </w:tcPr>
          <w:p w:rsidRPr="005F055E" w:rsidR="005C6EBC" w:rsidP="00180EEB" w:rsidRDefault="005C6EBC" w14:paraId="314F47DA" w14:textId="77777777">
            <w:pPr>
              <w:suppressAutoHyphens/>
              <w:rPr>
                <w:rFonts w:ascii="Verdana" w:hAnsi="Verdana"/>
                <w:sz w:val="18"/>
                <w:szCs w:val="18"/>
              </w:rPr>
            </w:pPr>
            <w:r w:rsidRPr="005F055E">
              <w:rPr>
                <w:rFonts w:ascii="Verdana" w:hAnsi="Verdana"/>
                <w:sz w:val="18"/>
                <w:szCs w:val="18"/>
              </w:rPr>
              <w:t>-192,3</w:t>
            </w:r>
          </w:p>
        </w:tc>
      </w:tr>
    </w:tbl>
    <w:p w:rsidRPr="005F055E" w:rsidR="008D1697" w:rsidP="00180EEB" w:rsidRDefault="008D1697" w14:paraId="6284B35A" w14:textId="77777777">
      <w:pPr>
        <w:suppressAutoHyphens/>
        <w:rPr>
          <w:sz w:val="16"/>
          <w:szCs w:val="16"/>
        </w:rPr>
      </w:pPr>
    </w:p>
    <w:p w:rsidRPr="005F055E" w:rsidR="008D1697" w:rsidP="00180EEB" w:rsidRDefault="008D1697" w14:paraId="57FD25DF" w14:textId="77777777">
      <w:pPr>
        <w:suppressAutoHyphens/>
        <w:rPr>
          <w:sz w:val="16"/>
          <w:szCs w:val="16"/>
        </w:rPr>
      </w:pPr>
    </w:p>
    <w:p w:rsidRPr="005F055E" w:rsidR="008D1697" w:rsidP="00180EEB" w:rsidRDefault="008D1697" w14:paraId="7F813956" w14:textId="77777777">
      <w:pPr>
        <w:suppressAutoHyphens/>
        <w:rPr>
          <w:sz w:val="16"/>
          <w:szCs w:val="16"/>
        </w:rPr>
      </w:pPr>
    </w:p>
    <w:p w:rsidRPr="005F055E" w:rsidR="008D1697" w:rsidP="00180EEB" w:rsidRDefault="008D1697" w14:paraId="07E1ADEC" w14:textId="77777777">
      <w:pPr>
        <w:suppressAutoHyphens/>
        <w:rPr>
          <w:sz w:val="16"/>
          <w:szCs w:val="16"/>
        </w:rPr>
      </w:pPr>
    </w:p>
    <w:p w:rsidRPr="005F055E" w:rsidR="005C6EBC" w:rsidP="00180EEB" w:rsidRDefault="00F36E36" w14:paraId="53223D5A" w14:textId="70A48AAD">
      <w:pPr>
        <w:suppressAutoHyphens/>
        <w:rPr>
          <w:sz w:val="16"/>
          <w:szCs w:val="16"/>
        </w:rPr>
      </w:pPr>
      <w:r>
        <w:rPr>
          <w:sz w:val="16"/>
          <w:szCs w:val="16"/>
        </w:rPr>
        <w:br/>
      </w:r>
      <w:r w:rsidRPr="005F055E" w:rsidR="005C6EBC">
        <w:rPr>
          <w:sz w:val="16"/>
          <w:szCs w:val="16"/>
        </w:rPr>
        <w:t>*) De groeiruimte betreft de cumulatieve reeks van de tranches 2026 t/m 2028. De groeiruimte vanaf 2029 is nog niet bekend.</w:t>
      </w:r>
    </w:p>
    <w:p w:rsidRPr="005F055E" w:rsidR="005C6EBC" w:rsidP="00180EEB" w:rsidRDefault="005C6EBC" w14:paraId="7060CE66" w14:textId="32652B2D">
      <w:pPr>
        <w:tabs>
          <w:tab w:val="left" w:pos="2220"/>
        </w:tabs>
        <w:suppressAutoHyphens/>
        <w:rPr>
          <w:szCs w:val="18"/>
        </w:rPr>
      </w:pPr>
      <w:r w:rsidRPr="005F055E">
        <w:rPr>
          <w:szCs w:val="18"/>
        </w:rPr>
        <w:t xml:space="preserve">Daarnaast is vanaf 2025 € 60 miljoen overgeheveld vanuit het premiekader naar de VWS-begroting ten behoeve van de subsidieregeling Werkgeverskosten Opleiden Wijkverpleging (WOW). Tot slot zijn er gelden vanuit het IZA en AZWA beschikbaar voor subsidies rondom onderzoek en kwaliteit. </w:t>
      </w:r>
    </w:p>
    <w:p w:rsidRPr="005F055E" w:rsidR="00605490" w:rsidP="00180EEB" w:rsidRDefault="00605490" w14:paraId="0A3D9225" w14:textId="77777777">
      <w:pPr>
        <w:suppressAutoHyphens/>
      </w:pPr>
    </w:p>
    <w:p w:rsidRPr="005F055E" w:rsidR="00912A7D" w:rsidP="00180EEB" w:rsidRDefault="003E7003" w14:paraId="08853D70" w14:textId="3E1D6F24">
      <w:pPr>
        <w:suppressAutoHyphens/>
      </w:pPr>
      <w:bookmarkStart w:name="_Hlk213334555" w:id="20"/>
      <w:r w:rsidRPr="005F055E">
        <w:t>Vraag 88</w:t>
      </w:r>
      <w:r w:rsidRPr="005F055E">
        <w:tab/>
      </w:r>
    </w:p>
    <w:p w:rsidRPr="005F055E" w:rsidR="00912A7D" w:rsidP="00180EEB" w:rsidRDefault="003E7003" w14:paraId="66BA4F39" w14:textId="77777777">
      <w:pPr>
        <w:suppressAutoHyphens/>
      </w:pPr>
      <w:r w:rsidRPr="005F055E">
        <w:t>Kunt u een totaaloverzicht geven van alle bezuinigingen, besparingen en investeringen in de jeugdzorg voor de komende jaren?</w:t>
      </w:r>
      <w:r w:rsidRPr="005F055E">
        <w:tab/>
      </w:r>
    </w:p>
    <w:p w:rsidRPr="005F055E" w:rsidR="003E7003" w:rsidP="00180EEB" w:rsidRDefault="003E7003" w14:paraId="1564F7A1" w14:textId="7A92A469">
      <w:pPr>
        <w:suppressAutoHyphens/>
      </w:pPr>
      <w:r w:rsidRPr="005F055E">
        <w:t>Antwoord</w:t>
      </w:r>
    </w:p>
    <w:p w:rsidRPr="005F055E" w:rsidR="00417A94" w:rsidP="00180EEB" w:rsidRDefault="00417A94" w14:paraId="28B85710" w14:textId="77777777">
      <w:pPr>
        <w:suppressAutoHyphens/>
      </w:pPr>
      <w:r w:rsidRPr="005F055E">
        <w:t>De afgelopen jaren hebben verschillende mutaties plaatsgevonden op het Gemeentefonds ten behoeve van jeugdzorg. Hierbij gaat het zowel om tijdelijke en structurele aanvullende middelen als besparingen. In onderstaande tabel zijn de grootste en meest relevantste mutaties opgenomen voor het huidige jaar en de komende jaren. In de tabel is de aanvullende besparingsopgave van € 511 miljoen uit het coalitieakkoord van Rutte IV niet opgenomen omdat het kabinet Schoof deze heeft teruggebracht naar nul bij voorjaarsnota 2024 en miljoenennota 2025.</w:t>
      </w:r>
    </w:p>
    <w:p w:rsidRPr="005F055E" w:rsidR="00417A94" w:rsidP="00180EEB" w:rsidRDefault="00417A94" w14:paraId="42F0BDE1" w14:textId="237D5ADD">
      <w:pPr>
        <w:suppressAutoHyphens/>
      </w:pPr>
      <w:r w:rsidRPr="005F055E">
        <w:rPr>
          <w:noProof/>
          <w:szCs w:val="18"/>
        </w:rPr>
        <w:drawing>
          <wp:inline distT="0" distB="0" distL="0" distR="0" wp14:anchorId="3022FD8F" wp14:editId="42E7305F">
            <wp:extent cx="4784090" cy="2425700"/>
            <wp:effectExtent l="0" t="0" r="0" b="0"/>
            <wp:docPr id="15237229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3925254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784090" cy="2425700"/>
                    </a:xfrm>
                    <a:prstGeom prst="rect">
                      <a:avLst/>
                    </a:prstGeom>
                    <a:noFill/>
                    <a:ln>
                      <a:noFill/>
                    </a:ln>
                  </pic:spPr>
                </pic:pic>
              </a:graphicData>
            </a:graphic>
          </wp:inline>
        </w:drawing>
      </w:r>
      <w:bookmarkEnd w:id="20"/>
    </w:p>
    <w:p w:rsidRPr="005F055E" w:rsidR="001F2E04" w:rsidP="00180EEB" w:rsidRDefault="00417A94" w14:paraId="4C29C191" w14:textId="771C55A7">
      <w:pPr>
        <w:suppressAutoHyphens/>
      </w:pPr>
      <w:r w:rsidRPr="005F055E">
        <w:t>Voor de volledigheid is het goed hier te benoemen dat in de Hervormingsagenda afspraken zijn gemaakt over het monitoren en bijsturen op de uitvoering van maatregelen en de uitgavenontwikkeling. Ook is er afgesproken dat een externe commissie, de Deskundigencommissie Jeugd, adviseert over een eventuele situatie waarin de uitgavenontwikkeling afwijkt van de vastgestelde reeks. De Deskundigencommissie zal begin 2027 met een tweede advies komen. Hieronder de stand van het meerjarig financieel kader voor de jeugdzorg opgenomen. Een zeer beperkt deel hiervan bevindt zich op de begroting van VWS ten behoeve van de uitvoering van de Hervormingsagenda. Het gros van de middelen is onderdeel van het Gemeentefonds. Deze worden jaarlijks geïndexeerd en zijn beleids- en bestedingsvrij.</w:t>
      </w:r>
    </w:p>
    <w:p w:rsidRPr="005F055E" w:rsidR="00F36E36" w:rsidP="00180EEB" w:rsidRDefault="00F36E36" w14:paraId="1BE42BFA" w14:textId="77777777">
      <w:pPr>
        <w:suppressAutoHyphens/>
      </w:pPr>
    </w:p>
    <w:tbl>
      <w:tblPr>
        <w:tblW w:w="0" w:type="auto"/>
        <w:tblCellMar>
          <w:left w:w="0" w:type="dxa"/>
          <w:right w:w="0" w:type="dxa"/>
        </w:tblCellMar>
        <w:tblLook w:val="04A0" w:firstRow="1" w:lastRow="0" w:firstColumn="1" w:lastColumn="0" w:noHBand="0" w:noVBand="1"/>
      </w:tblPr>
      <w:tblGrid>
        <w:gridCol w:w="2023"/>
        <w:gridCol w:w="1372"/>
        <w:gridCol w:w="1373"/>
        <w:gridCol w:w="1373"/>
        <w:gridCol w:w="1373"/>
      </w:tblGrid>
      <w:tr w:rsidRPr="005F055E" w:rsidR="00417A94" w:rsidTr="00A86A8F" w14:paraId="6EF9B7F5" w14:textId="77777777">
        <w:tc>
          <w:tcPr>
            <w:tcW w:w="20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F055E" w:rsidR="00417A94" w:rsidP="00180EEB" w:rsidRDefault="00417A94" w14:paraId="722E4679" w14:textId="55B2F642">
            <w:pPr>
              <w:suppressAutoHyphens/>
              <w:rPr>
                <w:b/>
                <w:bCs/>
              </w:rPr>
            </w:pPr>
            <w:r w:rsidRPr="005F055E">
              <w:rPr>
                <w:b/>
                <w:bCs/>
              </w:rPr>
              <w:t xml:space="preserve">In </w:t>
            </w:r>
            <w:r w:rsidRPr="005F055E" w:rsidR="00A86A8F">
              <w:rPr>
                <w:b/>
                <w:bCs/>
              </w:rPr>
              <w:t xml:space="preserve">€ </w:t>
            </w:r>
            <w:proofErr w:type="spellStart"/>
            <w:r w:rsidRPr="005F055E">
              <w:rPr>
                <w:b/>
                <w:bCs/>
              </w:rPr>
              <w:t>mln</w:t>
            </w:r>
            <w:proofErr w:type="spellEnd"/>
          </w:p>
        </w:tc>
        <w:tc>
          <w:tcPr>
            <w:tcW w:w="137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F055E" w:rsidR="00417A94" w:rsidP="00180EEB" w:rsidRDefault="00417A94" w14:paraId="745289A3" w14:textId="77777777">
            <w:pPr>
              <w:suppressAutoHyphens/>
              <w:rPr>
                <w:b/>
                <w:bCs/>
              </w:rPr>
            </w:pPr>
            <w:r w:rsidRPr="005F055E">
              <w:rPr>
                <w:b/>
                <w:bCs/>
              </w:rPr>
              <w:t>2025</w:t>
            </w:r>
          </w:p>
        </w:tc>
        <w:tc>
          <w:tcPr>
            <w:tcW w:w="137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F055E" w:rsidR="00417A94" w:rsidP="00180EEB" w:rsidRDefault="00417A94" w14:paraId="1D7731D2" w14:textId="77777777">
            <w:pPr>
              <w:suppressAutoHyphens/>
              <w:rPr>
                <w:b/>
                <w:bCs/>
              </w:rPr>
            </w:pPr>
            <w:r w:rsidRPr="005F055E">
              <w:rPr>
                <w:b/>
                <w:bCs/>
              </w:rPr>
              <w:t>2026</w:t>
            </w:r>
          </w:p>
        </w:tc>
        <w:tc>
          <w:tcPr>
            <w:tcW w:w="137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F055E" w:rsidR="00417A94" w:rsidP="00180EEB" w:rsidRDefault="00417A94" w14:paraId="00BF05A8" w14:textId="77777777">
            <w:pPr>
              <w:suppressAutoHyphens/>
              <w:rPr>
                <w:b/>
                <w:bCs/>
              </w:rPr>
            </w:pPr>
            <w:r w:rsidRPr="005F055E">
              <w:rPr>
                <w:b/>
                <w:bCs/>
              </w:rPr>
              <w:t>2027</w:t>
            </w:r>
          </w:p>
        </w:tc>
        <w:tc>
          <w:tcPr>
            <w:tcW w:w="137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F055E" w:rsidR="00417A94" w:rsidP="00180EEB" w:rsidRDefault="00417A94" w14:paraId="3B48B2A2" w14:textId="77777777">
            <w:pPr>
              <w:suppressAutoHyphens/>
              <w:rPr>
                <w:b/>
                <w:bCs/>
              </w:rPr>
            </w:pPr>
            <w:r w:rsidRPr="005F055E">
              <w:rPr>
                <w:b/>
                <w:bCs/>
              </w:rPr>
              <w:t>2028</w:t>
            </w:r>
          </w:p>
        </w:tc>
      </w:tr>
      <w:tr w:rsidRPr="005F055E" w:rsidR="00A86A8F" w:rsidTr="00A86A8F" w14:paraId="6DA4213F" w14:textId="77777777">
        <w:tc>
          <w:tcPr>
            <w:tcW w:w="202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A86A8F" w:rsidP="00180EEB" w:rsidRDefault="00A86A8F" w14:paraId="7D1325C4" w14:textId="77777777">
            <w:pPr>
              <w:suppressAutoHyphens/>
              <w:rPr>
                <w:b/>
                <w:bCs/>
              </w:rPr>
            </w:pPr>
            <w:r w:rsidRPr="005F055E">
              <w:rPr>
                <w:b/>
                <w:bCs/>
              </w:rPr>
              <w:t>Meerjarig Financieel Kader (stand VJN 2025)</w:t>
            </w:r>
          </w:p>
        </w:tc>
        <w:tc>
          <w:tcPr>
            <w:tcW w:w="1372"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A86A8F" w:rsidP="00180EEB" w:rsidRDefault="00A86A8F" w14:paraId="629CC278" w14:textId="26CD0023">
            <w:pPr>
              <w:suppressAutoHyphens/>
            </w:pPr>
            <w:r w:rsidRPr="005F055E">
              <w:t>8.806*</w:t>
            </w:r>
          </w:p>
        </w:tc>
        <w:tc>
          <w:tcPr>
            <w:tcW w:w="1373"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A86A8F" w:rsidP="00180EEB" w:rsidRDefault="00A86A8F" w14:paraId="32DD4F95" w14:textId="6BC78FF8">
            <w:pPr>
              <w:suppressAutoHyphens/>
            </w:pPr>
            <w:r w:rsidRPr="005F055E">
              <w:t>8.028</w:t>
            </w:r>
          </w:p>
        </w:tc>
        <w:tc>
          <w:tcPr>
            <w:tcW w:w="1373"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A86A8F" w:rsidP="00180EEB" w:rsidRDefault="00A86A8F" w14:paraId="6F42E6BC" w14:textId="134A1469">
            <w:pPr>
              <w:suppressAutoHyphens/>
            </w:pPr>
            <w:r w:rsidRPr="005F055E">
              <w:t>7.911</w:t>
            </w:r>
          </w:p>
        </w:tc>
        <w:tc>
          <w:tcPr>
            <w:tcW w:w="1373"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A86A8F" w:rsidP="00180EEB" w:rsidRDefault="00A86A8F" w14:paraId="749AB1CE" w14:textId="70593B7D">
            <w:pPr>
              <w:suppressAutoHyphens/>
            </w:pPr>
            <w:r w:rsidRPr="005F055E">
              <w:t>6.548</w:t>
            </w:r>
          </w:p>
        </w:tc>
      </w:tr>
    </w:tbl>
    <w:p w:rsidRPr="005F055E" w:rsidR="00A86A8F" w:rsidP="00180EEB" w:rsidRDefault="00A86A8F" w14:paraId="446390BB" w14:textId="77777777">
      <w:pPr>
        <w:pStyle w:val="Lijstalinea"/>
        <w:suppressAutoHyphens/>
        <w:ind w:left="0"/>
        <w:rPr>
          <w:sz w:val="16"/>
          <w:szCs w:val="16"/>
        </w:rPr>
      </w:pPr>
      <w:r w:rsidRPr="005F055E">
        <w:rPr>
          <w:b/>
          <w:bCs/>
          <w:sz w:val="16"/>
          <w:szCs w:val="16"/>
        </w:rPr>
        <w:t>*</w:t>
      </w:r>
      <w:r w:rsidRPr="005F055E">
        <w:rPr>
          <w:sz w:val="16"/>
          <w:szCs w:val="16"/>
        </w:rPr>
        <w:t>inclusief de eenmalige toevoeging van € 728 miljoen bij miljoenennota 2026.</w:t>
      </w:r>
    </w:p>
    <w:p w:rsidRPr="005F055E" w:rsidR="00912A7D" w:rsidP="00180EEB" w:rsidRDefault="00912A7D" w14:paraId="20F717D3" w14:textId="77777777">
      <w:pPr>
        <w:suppressAutoHyphens/>
      </w:pPr>
    </w:p>
    <w:p w:rsidRPr="005F055E" w:rsidR="00912A7D" w:rsidP="00180EEB" w:rsidRDefault="003E7003" w14:paraId="0952EEA0" w14:textId="77777777">
      <w:pPr>
        <w:suppressAutoHyphens/>
      </w:pPr>
      <w:r w:rsidRPr="005F055E">
        <w:t>Vraag 89</w:t>
      </w:r>
      <w:r w:rsidRPr="005F055E">
        <w:tab/>
      </w:r>
    </w:p>
    <w:p w:rsidRPr="005F055E" w:rsidR="00912A7D" w:rsidP="00180EEB" w:rsidRDefault="003E7003" w14:paraId="0581ED6F" w14:textId="77777777">
      <w:pPr>
        <w:suppressAutoHyphens/>
      </w:pPr>
      <w:r w:rsidRPr="005F055E">
        <w:t>Kunt u een totaaloverzicht geven van alle bezuinigingen, besparingen en investeringen in de kraamzorg voor de komende jaren?</w:t>
      </w:r>
      <w:r w:rsidRPr="005F055E">
        <w:tab/>
      </w:r>
    </w:p>
    <w:p w:rsidRPr="005F055E" w:rsidR="003E7003" w:rsidP="00180EEB" w:rsidRDefault="003E7003" w14:paraId="5D7C8F56" w14:textId="4D9919DC">
      <w:pPr>
        <w:suppressAutoHyphens/>
      </w:pPr>
      <w:r w:rsidRPr="005F055E">
        <w:t>Antwoord</w:t>
      </w:r>
    </w:p>
    <w:p w:rsidRPr="005F055E" w:rsidR="005C6EBC" w:rsidP="00180EEB" w:rsidRDefault="005C6EBC" w14:paraId="0B30CD39" w14:textId="43845421">
      <w:pPr>
        <w:suppressAutoHyphens/>
        <w:rPr>
          <w:szCs w:val="18"/>
        </w:rPr>
      </w:pPr>
      <w:r w:rsidRPr="005F055E">
        <w:rPr>
          <w:szCs w:val="18"/>
        </w:rPr>
        <w:t xml:space="preserve">In onderstaande tabel </w:t>
      </w:r>
      <w:r w:rsidRPr="005F055E" w:rsidR="00A86A8F">
        <w:rPr>
          <w:szCs w:val="18"/>
        </w:rPr>
        <w:t xml:space="preserve">is </w:t>
      </w:r>
      <w:r w:rsidRPr="005F055E">
        <w:rPr>
          <w:szCs w:val="18"/>
        </w:rPr>
        <w:t xml:space="preserve">een overzicht opgenomen van de </w:t>
      </w:r>
      <w:r w:rsidRPr="005F055E" w:rsidR="00A86A8F">
        <w:rPr>
          <w:szCs w:val="18"/>
        </w:rPr>
        <w:t xml:space="preserve">volumeontwikkeling </w:t>
      </w:r>
      <w:r w:rsidRPr="005F055E">
        <w:rPr>
          <w:szCs w:val="18"/>
        </w:rPr>
        <w:t xml:space="preserve">in de kraamzorg. Er is geen sprake van ombuigingen in de komende jaren. </w:t>
      </w:r>
    </w:p>
    <w:tbl>
      <w:tblPr>
        <w:tblStyle w:val="Tabelraster"/>
        <w:tblpPr w:leftFromText="141" w:rightFromText="141" w:vertAnchor="text" w:horzAnchor="margin" w:tblpY="149"/>
        <w:tblW w:w="7765" w:type="dxa"/>
        <w:tblLook w:val="04A0" w:firstRow="1" w:lastRow="0" w:firstColumn="1" w:lastColumn="0" w:noHBand="0" w:noVBand="1"/>
      </w:tblPr>
      <w:tblGrid>
        <w:gridCol w:w="3025"/>
        <w:gridCol w:w="948"/>
        <w:gridCol w:w="948"/>
        <w:gridCol w:w="948"/>
        <w:gridCol w:w="948"/>
        <w:gridCol w:w="948"/>
      </w:tblGrid>
      <w:tr w:rsidRPr="005F055E" w:rsidR="005C6EBC" w:rsidTr="005E2643" w14:paraId="36F94887" w14:textId="77777777">
        <w:trPr>
          <w:trHeight w:val="259"/>
        </w:trPr>
        <w:tc>
          <w:tcPr>
            <w:tcW w:w="3025" w:type="dxa"/>
          </w:tcPr>
          <w:p w:rsidRPr="005F055E" w:rsidR="005C6EBC" w:rsidP="00180EEB" w:rsidRDefault="005C6EBC" w14:paraId="6A3DADD1" w14:textId="77777777">
            <w:pPr>
              <w:suppressAutoHyphens/>
              <w:rPr>
                <w:rFonts w:ascii="Verdana" w:hAnsi="Verdana"/>
                <w:sz w:val="16"/>
                <w:szCs w:val="16"/>
              </w:rPr>
            </w:pPr>
            <w:r w:rsidRPr="005F055E">
              <w:rPr>
                <w:rFonts w:ascii="Verdana" w:hAnsi="Verdana"/>
                <w:sz w:val="16"/>
                <w:szCs w:val="16"/>
              </w:rPr>
              <w:t>In € mln.</w:t>
            </w:r>
          </w:p>
        </w:tc>
        <w:tc>
          <w:tcPr>
            <w:tcW w:w="948" w:type="dxa"/>
          </w:tcPr>
          <w:p w:rsidRPr="005F055E" w:rsidR="005C6EBC" w:rsidP="00180EEB" w:rsidRDefault="005C6EBC" w14:paraId="5B4207E9" w14:textId="77777777">
            <w:pPr>
              <w:suppressAutoHyphens/>
              <w:rPr>
                <w:rFonts w:ascii="Verdana" w:hAnsi="Verdana"/>
                <w:b/>
                <w:bCs/>
                <w:sz w:val="16"/>
                <w:szCs w:val="16"/>
              </w:rPr>
            </w:pPr>
            <w:r w:rsidRPr="005F055E">
              <w:rPr>
                <w:rFonts w:ascii="Verdana" w:hAnsi="Verdana"/>
                <w:b/>
                <w:bCs/>
                <w:sz w:val="16"/>
                <w:szCs w:val="16"/>
              </w:rPr>
              <w:t>2026</w:t>
            </w:r>
          </w:p>
        </w:tc>
        <w:tc>
          <w:tcPr>
            <w:tcW w:w="948" w:type="dxa"/>
          </w:tcPr>
          <w:p w:rsidRPr="005F055E" w:rsidR="005C6EBC" w:rsidP="00180EEB" w:rsidRDefault="005C6EBC" w14:paraId="0F365F72" w14:textId="77777777">
            <w:pPr>
              <w:suppressAutoHyphens/>
              <w:rPr>
                <w:rFonts w:ascii="Verdana" w:hAnsi="Verdana"/>
                <w:b/>
                <w:bCs/>
                <w:sz w:val="16"/>
                <w:szCs w:val="16"/>
              </w:rPr>
            </w:pPr>
            <w:r w:rsidRPr="005F055E">
              <w:rPr>
                <w:rFonts w:ascii="Verdana" w:hAnsi="Verdana"/>
                <w:b/>
                <w:bCs/>
                <w:sz w:val="16"/>
                <w:szCs w:val="16"/>
              </w:rPr>
              <w:t>2027</w:t>
            </w:r>
          </w:p>
        </w:tc>
        <w:tc>
          <w:tcPr>
            <w:tcW w:w="948" w:type="dxa"/>
          </w:tcPr>
          <w:p w:rsidRPr="005F055E" w:rsidR="005C6EBC" w:rsidP="00180EEB" w:rsidRDefault="005C6EBC" w14:paraId="33F85E2C" w14:textId="77777777">
            <w:pPr>
              <w:suppressAutoHyphens/>
              <w:rPr>
                <w:rFonts w:ascii="Verdana" w:hAnsi="Verdana"/>
                <w:b/>
                <w:bCs/>
                <w:sz w:val="16"/>
                <w:szCs w:val="16"/>
              </w:rPr>
            </w:pPr>
            <w:r w:rsidRPr="005F055E">
              <w:rPr>
                <w:rFonts w:ascii="Verdana" w:hAnsi="Verdana"/>
                <w:b/>
                <w:bCs/>
                <w:sz w:val="16"/>
                <w:szCs w:val="16"/>
              </w:rPr>
              <w:t>2028</w:t>
            </w:r>
          </w:p>
        </w:tc>
        <w:tc>
          <w:tcPr>
            <w:tcW w:w="948" w:type="dxa"/>
          </w:tcPr>
          <w:p w:rsidRPr="005F055E" w:rsidR="005C6EBC" w:rsidP="00180EEB" w:rsidRDefault="005C6EBC" w14:paraId="5A419BF1" w14:textId="77777777">
            <w:pPr>
              <w:suppressAutoHyphens/>
              <w:rPr>
                <w:rFonts w:ascii="Verdana" w:hAnsi="Verdana"/>
                <w:b/>
                <w:bCs/>
                <w:sz w:val="16"/>
                <w:szCs w:val="16"/>
              </w:rPr>
            </w:pPr>
            <w:r w:rsidRPr="005F055E">
              <w:rPr>
                <w:rFonts w:ascii="Verdana" w:hAnsi="Verdana"/>
                <w:b/>
                <w:bCs/>
                <w:sz w:val="16"/>
                <w:szCs w:val="16"/>
              </w:rPr>
              <w:t>2029</w:t>
            </w:r>
          </w:p>
        </w:tc>
        <w:tc>
          <w:tcPr>
            <w:tcW w:w="948" w:type="dxa"/>
          </w:tcPr>
          <w:p w:rsidRPr="005F055E" w:rsidR="005C6EBC" w:rsidP="00180EEB" w:rsidRDefault="005C6EBC" w14:paraId="22086437" w14:textId="77777777">
            <w:pPr>
              <w:suppressAutoHyphens/>
              <w:rPr>
                <w:rFonts w:ascii="Verdana" w:hAnsi="Verdana"/>
                <w:b/>
                <w:bCs/>
                <w:sz w:val="16"/>
                <w:szCs w:val="16"/>
              </w:rPr>
            </w:pPr>
            <w:r w:rsidRPr="005F055E">
              <w:rPr>
                <w:rFonts w:ascii="Verdana" w:hAnsi="Verdana"/>
                <w:b/>
                <w:bCs/>
                <w:sz w:val="16"/>
                <w:szCs w:val="16"/>
              </w:rPr>
              <w:t>2030</w:t>
            </w:r>
          </w:p>
        </w:tc>
      </w:tr>
      <w:tr w:rsidRPr="005F055E" w:rsidR="005C6EBC" w:rsidTr="005E2643" w14:paraId="4C656C41" w14:textId="77777777">
        <w:trPr>
          <w:trHeight w:val="509"/>
        </w:trPr>
        <w:tc>
          <w:tcPr>
            <w:tcW w:w="7765" w:type="dxa"/>
            <w:gridSpan w:val="6"/>
            <w:shd w:val="clear" w:color="auto" w:fill="D9D9D9" w:themeFill="background1" w:themeFillShade="D9"/>
            <w:vAlign w:val="center"/>
          </w:tcPr>
          <w:p w:rsidRPr="005F055E" w:rsidR="005C6EBC" w:rsidP="00180EEB" w:rsidRDefault="00A86A8F" w14:paraId="146045E0" w14:textId="78138E23">
            <w:pPr>
              <w:suppressAutoHyphens/>
              <w:rPr>
                <w:rFonts w:ascii="Verdana" w:hAnsi="Verdana"/>
                <w:b/>
                <w:bCs/>
                <w:sz w:val="16"/>
                <w:szCs w:val="16"/>
              </w:rPr>
            </w:pPr>
            <w:r w:rsidRPr="005F055E">
              <w:rPr>
                <w:rFonts w:ascii="Verdana" w:hAnsi="Verdana"/>
                <w:b/>
                <w:bCs/>
                <w:sz w:val="16"/>
                <w:szCs w:val="16"/>
              </w:rPr>
              <w:t>Volumeontwikkeling</w:t>
            </w:r>
          </w:p>
        </w:tc>
      </w:tr>
      <w:tr w:rsidRPr="005F055E" w:rsidR="005C6EBC" w:rsidTr="005E2643" w14:paraId="660D764B" w14:textId="77777777">
        <w:trPr>
          <w:trHeight w:val="259"/>
        </w:trPr>
        <w:tc>
          <w:tcPr>
            <w:tcW w:w="3025" w:type="dxa"/>
          </w:tcPr>
          <w:p w:rsidRPr="005F055E" w:rsidR="005C6EBC" w:rsidP="00180EEB" w:rsidRDefault="005C6EBC" w14:paraId="69F6D732" w14:textId="77777777">
            <w:pPr>
              <w:suppressAutoHyphens/>
              <w:rPr>
                <w:rFonts w:ascii="Verdana" w:hAnsi="Verdana"/>
                <w:sz w:val="16"/>
                <w:szCs w:val="16"/>
              </w:rPr>
            </w:pPr>
            <w:r w:rsidRPr="005F055E">
              <w:rPr>
                <w:rFonts w:ascii="Verdana" w:hAnsi="Verdana"/>
                <w:sz w:val="16"/>
                <w:szCs w:val="16"/>
              </w:rPr>
              <w:t>Groeiruimte*</w:t>
            </w:r>
          </w:p>
        </w:tc>
        <w:tc>
          <w:tcPr>
            <w:tcW w:w="948" w:type="dxa"/>
          </w:tcPr>
          <w:p w:rsidRPr="005F055E" w:rsidR="005C6EBC" w:rsidP="00180EEB" w:rsidRDefault="005C6EBC" w14:paraId="3DAA9459" w14:textId="77777777">
            <w:pPr>
              <w:suppressAutoHyphens/>
              <w:rPr>
                <w:rFonts w:ascii="Verdana" w:hAnsi="Verdana"/>
                <w:sz w:val="16"/>
                <w:szCs w:val="16"/>
              </w:rPr>
            </w:pPr>
            <w:r w:rsidRPr="005F055E">
              <w:rPr>
                <w:rFonts w:ascii="Verdana" w:hAnsi="Verdana"/>
                <w:sz w:val="16"/>
                <w:szCs w:val="16"/>
              </w:rPr>
              <w:t>10,0</w:t>
            </w:r>
          </w:p>
        </w:tc>
        <w:tc>
          <w:tcPr>
            <w:tcW w:w="948" w:type="dxa"/>
          </w:tcPr>
          <w:p w:rsidRPr="005F055E" w:rsidR="005C6EBC" w:rsidP="00180EEB" w:rsidRDefault="005C6EBC" w14:paraId="5409E57C" w14:textId="77777777">
            <w:pPr>
              <w:suppressAutoHyphens/>
              <w:rPr>
                <w:rFonts w:ascii="Verdana" w:hAnsi="Verdana"/>
                <w:sz w:val="16"/>
                <w:szCs w:val="16"/>
              </w:rPr>
            </w:pPr>
            <w:r w:rsidRPr="005F055E">
              <w:rPr>
                <w:rFonts w:ascii="Verdana" w:hAnsi="Verdana"/>
                <w:sz w:val="16"/>
                <w:szCs w:val="16"/>
              </w:rPr>
              <w:t>10,0</w:t>
            </w:r>
          </w:p>
        </w:tc>
        <w:tc>
          <w:tcPr>
            <w:tcW w:w="948" w:type="dxa"/>
          </w:tcPr>
          <w:p w:rsidRPr="005F055E" w:rsidR="005C6EBC" w:rsidP="00180EEB" w:rsidRDefault="005C6EBC" w14:paraId="1AB5A702" w14:textId="77777777">
            <w:pPr>
              <w:suppressAutoHyphens/>
              <w:rPr>
                <w:rFonts w:ascii="Verdana" w:hAnsi="Verdana"/>
                <w:sz w:val="16"/>
                <w:szCs w:val="16"/>
              </w:rPr>
            </w:pPr>
            <w:r w:rsidRPr="005F055E">
              <w:rPr>
                <w:rFonts w:ascii="Verdana" w:hAnsi="Verdana"/>
                <w:sz w:val="16"/>
                <w:szCs w:val="16"/>
              </w:rPr>
              <w:t>10,0</w:t>
            </w:r>
          </w:p>
        </w:tc>
        <w:tc>
          <w:tcPr>
            <w:tcW w:w="948" w:type="dxa"/>
          </w:tcPr>
          <w:p w:rsidRPr="005F055E" w:rsidR="005C6EBC" w:rsidP="00180EEB" w:rsidRDefault="005C6EBC" w14:paraId="45D4ACDA" w14:textId="77777777">
            <w:pPr>
              <w:suppressAutoHyphens/>
              <w:rPr>
                <w:rFonts w:ascii="Verdana" w:hAnsi="Verdana"/>
                <w:sz w:val="16"/>
                <w:szCs w:val="16"/>
              </w:rPr>
            </w:pPr>
            <w:r w:rsidRPr="005F055E">
              <w:rPr>
                <w:rFonts w:ascii="Verdana" w:hAnsi="Verdana"/>
                <w:sz w:val="16"/>
                <w:szCs w:val="16"/>
              </w:rPr>
              <w:t>10,0</w:t>
            </w:r>
          </w:p>
        </w:tc>
        <w:tc>
          <w:tcPr>
            <w:tcW w:w="948" w:type="dxa"/>
          </w:tcPr>
          <w:p w:rsidRPr="005F055E" w:rsidR="005C6EBC" w:rsidP="00180EEB" w:rsidRDefault="005C6EBC" w14:paraId="0AF7F8B9" w14:textId="77777777">
            <w:pPr>
              <w:suppressAutoHyphens/>
              <w:rPr>
                <w:rFonts w:ascii="Verdana" w:hAnsi="Verdana"/>
                <w:sz w:val="16"/>
                <w:szCs w:val="16"/>
              </w:rPr>
            </w:pPr>
            <w:r w:rsidRPr="005F055E">
              <w:rPr>
                <w:rFonts w:ascii="Verdana" w:hAnsi="Verdana"/>
                <w:sz w:val="16"/>
                <w:szCs w:val="16"/>
              </w:rPr>
              <w:t>10,0</w:t>
            </w:r>
          </w:p>
        </w:tc>
      </w:tr>
      <w:tr w:rsidRPr="005F055E" w:rsidR="005C6EBC" w:rsidTr="005E2643" w14:paraId="26288245" w14:textId="77777777">
        <w:trPr>
          <w:trHeight w:val="528"/>
        </w:trPr>
        <w:tc>
          <w:tcPr>
            <w:tcW w:w="7765" w:type="dxa"/>
            <w:gridSpan w:val="6"/>
            <w:shd w:val="clear" w:color="auto" w:fill="D9D9D9" w:themeFill="background1" w:themeFillShade="D9"/>
            <w:vAlign w:val="center"/>
          </w:tcPr>
          <w:p w:rsidRPr="005F055E" w:rsidR="005C6EBC" w:rsidP="00180EEB" w:rsidRDefault="005C6EBC" w14:paraId="2D801814" w14:textId="77777777">
            <w:pPr>
              <w:suppressAutoHyphens/>
              <w:rPr>
                <w:rFonts w:ascii="Verdana" w:hAnsi="Verdana"/>
                <w:sz w:val="16"/>
                <w:szCs w:val="16"/>
              </w:rPr>
            </w:pPr>
            <w:r w:rsidRPr="005F055E">
              <w:rPr>
                <w:rFonts w:ascii="Verdana" w:hAnsi="Verdana"/>
                <w:b/>
                <w:bCs/>
                <w:sz w:val="16"/>
                <w:szCs w:val="16"/>
              </w:rPr>
              <w:t xml:space="preserve">Ombuigingen </w:t>
            </w:r>
          </w:p>
        </w:tc>
      </w:tr>
      <w:tr w:rsidRPr="005F055E" w:rsidR="005C6EBC" w:rsidTr="005E2643" w14:paraId="3E7E83B9" w14:textId="77777777">
        <w:trPr>
          <w:trHeight w:val="259"/>
        </w:trPr>
        <w:tc>
          <w:tcPr>
            <w:tcW w:w="7765" w:type="dxa"/>
            <w:gridSpan w:val="6"/>
          </w:tcPr>
          <w:p w:rsidRPr="005F055E" w:rsidR="005C6EBC" w:rsidP="00180EEB" w:rsidRDefault="005C6EBC" w14:paraId="7B1A6415" w14:textId="77777777">
            <w:pPr>
              <w:suppressAutoHyphens/>
              <w:rPr>
                <w:rFonts w:ascii="Verdana" w:hAnsi="Verdana"/>
                <w:sz w:val="16"/>
                <w:szCs w:val="16"/>
              </w:rPr>
            </w:pPr>
            <w:r w:rsidRPr="005F055E">
              <w:rPr>
                <w:rFonts w:ascii="Verdana" w:hAnsi="Verdana"/>
                <w:sz w:val="16"/>
                <w:szCs w:val="16"/>
              </w:rPr>
              <w:t>Niet van toepassing</w:t>
            </w:r>
          </w:p>
        </w:tc>
      </w:tr>
    </w:tbl>
    <w:p w:rsidRPr="005F055E" w:rsidR="005C6EBC" w:rsidP="00180EEB" w:rsidRDefault="005C6EBC" w14:paraId="3250EF8D" w14:textId="3F6A822E">
      <w:pPr>
        <w:suppressAutoHyphens/>
        <w:rPr>
          <w:sz w:val="14"/>
          <w:szCs w:val="16"/>
        </w:rPr>
      </w:pPr>
      <w:r w:rsidRPr="005F055E">
        <w:rPr>
          <w:sz w:val="14"/>
          <w:szCs w:val="14"/>
        </w:rPr>
        <w:t xml:space="preserve">* </w:t>
      </w:r>
      <w:r w:rsidRPr="005F055E">
        <w:rPr>
          <w:sz w:val="14"/>
          <w:szCs w:val="16"/>
        </w:rPr>
        <w:t xml:space="preserve">Budgettaire ruimte die bestemd is voor het opvangen van de groei van de </w:t>
      </w:r>
      <w:proofErr w:type="spellStart"/>
      <w:r w:rsidRPr="005F055E">
        <w:rPr>
          <w:sz w:val="14"/>
          <w:szCs w:val="16"/>
        </w:rPr>
        <w:t>Zvw</w:t>
      </w:r>
      <w:proofErr w:type="spellEnd"/>
      <w:r w:rsidRPr="005F055E">
        <w:rPr>
          <w:sz w:val="14"/>
          <w:szCs w:val="16"/>
        </w:rPr>
        <w:t>-uitgaven bij ongewijzigd beleid. Dit betreft de tranche 2026. In de jaren na 2026 is de groeiruimte nog niet definitief vastgesteld en toebedeeld aan de sector.</w:t>
      </w:r>
    </w:p>
    <w:p w:rsidR="009873CE" w:rsidP="00180EEB" w:rsidRDefault="009873CE" w14:paraId="3DDF7559" w14:textId="77777777">
      <w:pPr>
        <w:suppressAutoHyphens/>
        <w:rPr>
          <w:szCs w:val="18"/>
        </w:rPr>
      </w:pPr>
    </w:p>
    <w:p w:rsidRPr="005F055E" w:rsidR="005C6EBC" w:rsidP="00180EEB" w:rsidRDefault="005C6EBC" w14:paraId="6602C96A" w14:textId="6A96FFC7">
      <w:pPr>
        <w:suppressAutoHyphens/>
        <w:rPr>
          <w:szCs w:val="18"/>
        </w:rPr>
      </w:pPr>
      <w:r w:rsidRPr="005F055E">
        <w:rPr>
          <w:szCs w:val="18"/>
        </w:rPr>
        <w:t xml:space="preserve">Daarnaast zijn er middelen beschikbaar voor subsidies op het vlak van kwaliteit, opleiden, kennisontwikkeling en de implementatie daarvan. Tot slot is recent bekend geworden dat </w:t>
      </w:r>
      <w:r w:rsidRPr="005F055E" w:rsidR="00A86A8F">
        <w:rPr>
          <w:szCs w:val="18"/>
        </w:rPr>
        <w:t xml:space="preserve">€ </w:t>
      </w:r>
      <w:r w:rsidRPr="005F055E">
        <w:rPr>
          <w:szCs w:val="18"/>
        </w:rPr>
        <w:t>9,8 miljoen aan IZA-transformatiemiddelen zal worden geïnvesteerd in de sector</w:t>
      </w:r>
      <w:r w:rsidRPr="005F055E">
        <w:rPr>
          <w:sz w:val="14"/>
          <w:szCs w:val="14"/>
        </w:rPr>
        <w:t xml:space="preserve"> </w:t>
      </w:r>
      <w:r w:rsidRPr="005F055E">
        <w:rPr>
          <w:szCs w:val="18"/>
        </w:rPr>
        <w:t>ten bevordering van passende kraamzorg, toepassing van digitale zorg en regionale capaciteitsverdeling.</w:t>
      </w:r>
    </w:p>
    <w:p w:rsidRPr="005F055E" w:rsidR="00912A7D" w:rsidP="00180EEB" w:rsidRDefault="00912A7D" w14:paraId="330508BD" w14:textId="77777777">
      <w:pPr>
        <w:suppressAutoHyphens/>
      </w:pPr>
    </w:p>
    <w:p w:rsidRPr="005F055E" w:rsidR="00912A7D" w:rsidP="00180EEB" w:rsidRDefault="003E7003" w14:paraId="5286CF09" w14:textId="77777777">
      <w:pPr>
        <w:suppressAutoHyphens/>
      </w:pPr>
      <w:r w:rsidRPr="005F055E">
        <w:t>Vraag 90</w:t>
      </w:r>
      <w:r w:rsidRPr="005F055E">
        <w:tab/>
      </w:r>
    </w:p>
    <w:p w:rsidRPr="005F055E" w:rsidR="00912A7D" w:rsidP="00180EEB" w:rsidRDefault="003E7003" w14:paraId="4E885111" w14:textId="77777777">
      <w:pPr>
        <w:suppressAutoHyphens/>
      </w:pPr>
      <w:r w:rsidRPr="005F055E">
        <w:t>Wat is volgens u de onderbouwing voor de bezuinigingen op de gehandicaptenzorg in verband met de maatregel ‘Meerjarig contracteren met budgetafspraken’?</w:t>
      </w:r>
      <w:r w:rsidRPr="005F055E">
        <w:tab/>
      </w:r>
    </w:p>
    <w:p w:rsidRPr="005F055E" w:rsidR="003E7003" w:rsidP="00180EEB" w:rsidRDefault="003E7003" w14:paraId="0E93CAC2" w14:textId="18C16690">
      <w:pPr>
        <w:suppressAutoHyphens/>
      </w:pPr>
      <w:r w:rsidRPr="005F055E">
        <w:t>Antwoord</w:t>
      </w:r>
    </w:p>
    <w:p w:rsidRPr="005F055E" w:rsidR="004D1243" w:rsidP="00180EEB" w:rsidRDefault="004D1243" w14:paraId="50D343F7" w14:textId="77777777">
      <w:pPr>
        <w:suppressAutoHyphens/>
        <w:spacing w:line="240" w:lineRule="atLeast"/>
        <w:rPr>
          <w:szCs w:val="18"/>
          <w:lang w:eastAsia="nl-NL"/>
        </w:rPr>
      </w:pPr>
      <w:r w:rsidRPr="005F055E">
        <w:rPr>
          <w:szCs w:val="18"/>
          <w:lang w:eastAsia="nl-NL"/>
        </w:rPr>
        <w:t>De maatregel meerjarig contracteren is becijferd in Zorgkeuzes in Kaart en gevalideerd door het Centraal Planbureau</w:t>
      </w:r>
      <w:r w:rsidRPr="005F055E">
        <w:rPr>
          <w:szCs w:val="18"/>
          <w:vertAlign w:val="superscript"/>
          <w:lang w:eastAsia="nl-NL"/>
        </w:rPr>
        <w:footnoteReference w:id="23"/>
      </w:r>
      <w:r w:rsidRPr="005F055E">
        <w:rPr>
          <w:szCs w:val="18"/>
          <w:lang w:eastAsia="nl-NL"/>
        </w:rPr>
        <w:t xml:space="preserve">. Het idee is dat meerjarig contracteren met budgetafspraken, gecombineerd met een meerjarige contracteerruimte, zorgaanbieders meer financiële zekerheid biedt en daarmee de ruimte om hun zorg anders te organiseren tegen lagere kosten. </w:t>
      </w:r>
    </w:p>
    <w:p w:rsidRPr="005F055E" w:rsidR="004D1243" w:rsidP="00180EEB" w:rsidRDefault="004D1243" w14:paraId="53E32B81" w14:textId="77777777">
      <w:pPr>
        <w:suppressAutoHyphens/>
        <w:spacing w:line="240" w:lineRule="atLeast"/>
        <w:rPr>
          <w:rFonts w:cs="Calibri"/>
          <w:color w:val="000000"/>
          <w:szCs w:val="18"/>
          <w:lang w:eastAsia="nl-NL"/>
        </w:rPr>
      </w:pPr>
      <w:r w:rsidRPr="005F055E">
        <w:rPr>
          <w:szCs w:val="18"/>
          <w:lang w:eastAsia="nl-NL"/>
        </w:rPr>
        <w:t xml:space="preserve">Voor de periode 2026-2030 heb ik een indicatief meerjarig </w:t>
      </w:r>
      <w:proofErr w:type="spellStart"/>
      <w:r w:rsidRPr="005F055E">
        <w:rPr>
          <w:szCs w:val="18"/>
          <w:lang w:eastAsia="nl-NL"/>
        </w:rPr>
        <w:t>Wlz</w:t>
      </w:r>
      <w:proofErr w:type="spellEnd"/>
      <w:r w:rsidRPr="005F055E">
        <w:rPr>
          <w:szCs w:val="18"/>
          <w:lang w:eastAsia="nl-NL"/>
        </w:rPr>
        <w:t xml:space="preserve">-kader laten zien. Daarmee kunnen </w:t>
      </w:r>
      <w:r w:rsidRPr="005F055E">
        <w:rPr>
          <w:rFonts w:cs="Calibri"/>
          <w:color w:val="000000"/>
          <w:szCs w:val="18"/>
          <w:lang w:eastAsia="nl-NL"/>
        </w:rPr>
        <w:t xml:space="preserve">meerjarige contracten met budgetafspraken een middel voor zorgkantoren en zorgaanbieders zijn om langere termijnafspraken te maken over de ontwikkeling van de zorgvraag. Meerjarige contracten geven financiële zekerheid om te investeren in kwaliteit en toegankelijkheid en om personeel te binden. </w:t>
      </w:r>
      <w:r w:rsidRPr="005F055E">
        <w:rPr>
          <w:rFonts w:cs="Calibri"/>
          <w:color w:val="000000"/>
          <w:szCs w:val="18"/>
          <w:lang w:eastAsia="nl-NL"/>
        </w:rPr>
        <w:br/>
        <w:t xml:space="preserve">Minder onzekerheid over de omvang van het meerjarige budget kan er bijvoorbeeld toe leiden dat vast personeel wordt aangetrokken in plaats van (duurdere) externe krachten. Ook kan meerjarige zekerheid ertoe leiden dat instellingen goedkoper kunnen lenen en banken eerder bereid zijn om geld te verstrekken. Tot slot leiden meerjarige contracten tot lagere administratieve lasten. </w:t>
      </w:r>
    </w:p>
    <w:p w:rsidRPr="005F055E" w:rsidR="00912A7D" w:rsidP="00180EEB" w:rsidRDefault="004D1243" w14:paraId="7697FB5C" w14:textId="7930C1A5">
      <w:pPr>
        <w:suppressAutoHyphens/>
        <w:spacing w:line="240" w:lineRule="atLeast"/>
        <w:rPr>
          <w:szCs w:val="18"/>
          <w:lang w:eastAsia="nl-NL"/>
        </w:rPr>
      </w:pPr>
      <w:r w:rsidRPr="005F055E">
        <w:rPr>
          <w:rFonts w:cs="Calibri"/>
          <w:color w:val="000000"/>
          <w:szCs w:val="18"/>
          <w:lang w:eastAsia="nl-NL"/>
        </w:rPr>
        <w:t xml:space="preserve">De corresponderende korting is in de begroting blijven staan vanuit het kabinet Schoof. Met de motie Dobbe </w:t>
      </w:r>
      <w:r w:rsidRPr="005F055E">
        <w:rPr>
          <w:szCs w:val="18"/>
          <w:lang w:eastAsia="nl-NL"/>
        </w:rPr>
        <w:t>en Westerveld</w:t>
      </w:r>
      <w:r w:rsidRPr="005F055E">
        <w:rPr>
          <w:szCs w:val="18"/>
          <w:vertAlign w:val="superscript"/>
          <w:lang w:eastAsia="nl-NL"/>
        </w:rPr>
        <w:footnoteReference w:id="24"/>
      </w:r>
      <w:r w:rsidRPr="005F055E">
        <w:rPr>
          <w:szCs w:val="18"/>
          <w:lang w:eastAsia="nl-NL"/>
        </w:rPr>
        <w:t xml:space="preserve"> </w:t>
      </w:r>
      <w:r w:rsidRPr="005F055E">
        <w:rPr>
          <w:rFonts w:cs="Calibri"/>
          <w:color w:val="000000"/>
          <w:szCs w:val="18"/>
          <w:lang w:eastAsia="nl-NL"/>
        </w:rPr>
        <w:t>is de korting voor 2026 niet door gegaan, maar voor 2027 staat de korting nog.</w:t>
      </w:r>
    </w:p>
    <w:p w:rsidRPr="005F055E" w:rsidR="00605490" w:rsidP="00180EEB" w:rsidRDefault="00605490" w14:paraId="75F69DCC" w14:textId="77777777">
      <w:pPr>
        <w:suppressAutoHyphens/>
      </w:pPr>
    </w:p>
    <w:p w:rsidRPr="005F055E" w:rsidR="00912A7D" w:rsidP="00180EEB" w:rsidRDefault="003E7003" w14:paraId="4AF4A922" w14:textId="150EDB0F">
      <w:pPr>
        <w:suppressAutoHyphens/>
      </w:pPr>
      <w:r w:rsidRPr="005F055E">
        <w:t>Vraag 91</w:t>
      </w:r>
      <w:r w:rsidRPr="005F055E">
        <w:tab/>
      </w:r>
    </w:p>
    <w:p w:rsidRPr="005F055E" w:rsidR="00912A7D" w:rsidP="00180EEB" w:rsidRDefault="003E7003" w14:paraId="2B2C5271" w14:textId="77777777">
      <w:pPr>
        <w:suppressAutoHyphens/>
      </w:pPr>
      <w:r w:rsidRPr="005F055E">
        <w:t xml:space="preserve">Wat is volgens u de onderbouwing voor de bezuinigingen op de gehandicaptenzorg in verband met de maatregel ‘Behandeling </w:t>
      </w:r>
      <w:proofErr w:type="spellStart"/>
      <w:r w:rsidRPr="005F055E">
        <w:t>Wlz</w:t>
      </w:r>
      <w:proofErr w:type="spellEnd"/>
      <w:r w:rsidRPr="005F055E">
        <w:t>’?</w:t>
      </w:r>
      <w:r w:rsidRPr="005F055E">
        <w:tab/>
      </w:r>
    </w:p>
    <w:p w:rsidRPr="005F055E" w:rsidR="003E7003" w:rsidP="00180EEB" w:rsidRDefault="003E7003" w14:paraId="56D63942" w14:textId="27094F1A">
      <w:pPr>
        <w:suppressAutoHyphens/>
      </w:pPr>
      <w:r w:rsidRPr="005F055E">
        <w:t>Antwoord</w:t>
      </w:r>
    </w:p>
    <w:p w:rsidRPr="005F055E" w:rsidR="004D1243" w:rsidP="00180EEB" w:rsidRDefault="004D1243" w14:paraId="18553349" w14:textId="77777777">
      <w:pPr>
        <w:suppressAutoHyphens/>
        <w:spacing w:line="240" w:lineRule="atLeast"/>
        <w:rPr>
          <w:szCs w:val="18"/>
          <w:lang w:eastAsia="nl-NL"/>
        </w:rPr>
      </w:pPr>
      <w:r w:rsidRPr="005F055E">
        <w:rPr>
          <w:szCs w:val="18"/>
          <w:lang w:eastAsia="nl-NL"/>
        </w:rPr>
        <w:t xml:space="preserve">Behandeling in de </w:t>
      </w:r>
      <w:proofErr w:type="spellStart"/>
      <w:r w:rsidRPr="005F055E">
        <w:rPr>
          <w:szCs w:val="18"/>
          <w:lang w:eastAsia="nl-NL"/>
        </w:rPr>
        <w:t>Wlz</w:t>
      </w:r>
      <w:proofErr w:type="spellEnd"/>
      <w:r w:rsidRPr="005F055E">
        <w:rPr>
          <w:szCs w:val="18"/>
          <w:lang w:eastAsia="nl-NL"/>
        </w:rPr>
        <w:t xml:space="preserve"> bestaat zowel uit specifieke behandeling als behandeling van algemeen medische aard (zie artikel 3.1.1. lid 1, onderdeel c1° en onderdeel d van de </w:t>
      </w:r>
      <w:proofErr w:type="spellStart"/>
      <w:r w:rsidRPr="005F055E">
        <w:rPr>
          <w:szCs w:val="18"/>
          <w:lang w:eastAsia="nl-NL"/>
        </w:rPr>
        <w:t>Wlz</w:t>
      </w:r>
      <w:proofErr w:type="spellEnd"/>
      <w:r w:rsidRPr="005F055E">
        <w:rPr>
          <w:szCs w:val="18"/>
          <w:lang w:eastAsia="nl-NL"/>
        </w:rPr>
        <w:t xml:space="preserve">). Terwijl specifieke behandeling altijd ten laste komt van de </w:t>
      </w:r>
      <w:proofErr w:type="spellStart"/>
      <w:r w:rsidRPr="005F055E">
        <w:rPr>
          <w:szCs w:val="18"/>
          <w:lang w:eastAsia="nl-NL"/>
        </w:rPr>
        <w:t>Wlz</w:t>
      </w:r>
      <w:proofErr w:type="spellEnd"/>
      <w:r w:rsidRPr="005F055E">
        <w:rPr>
          <w:szCs w:val="18"/>
          <w:lang w:eastAsia="nl-NL"/>
        </w:rPr>
        <w:t xml:space="preserve"> geldt voor algemene behandeling dat deze zowel vanuit de </w:t>
      </w:r>
      <w:proofErr w:type="spellStart"/>
      <w:r w:rsidRPr="005F055E">
        <w:rPr>
          <w:szCs w:val="18"/>
          <w:lang w:eastAsia="nl-NL"/>
        </w:rPr>
        <w:t>Wlz</w:t>
      </w:r>
      <w:proofErr w:type="spellEnd"/>
      <w:r w:rsidRPr="005F055E">
        <w:rPr>
          <w:szCs w:val="18"/>
          <w:lang w:eastAsia="nl-NL"/>
        </w:rPr>
        <w:t xml:space="preserve"> als vanuit de </w:t>
      </w:r>
      <w:proofErr w:type="spellStart"/>
      <w:r w:rsidRPr="005F055E">
        <w:rPr>
          <w:szCs w:val="18"/>
          <w:lang w:eastAsia="nl-NL"/>
        </w:rPr>
        <w:t>Zvw</w:t>
      </w:r>
      <w:proofErr w:type="spellEnd"/>
      <w:r w:rsidRPr="005F055E">
        <w:rPr>
          <w:szCs w:val="18"/>
          <w:lang w:eastAsia="nl-NL"/>
        </w:rPr>
        <w:t xml:space="preserve"> kan worden gefinancierd. </w:t>
      </w:r>
    </w:p>
    <w:p w:rsidRPr="005F055E" w:rsidR="004D1243" w:rsidP="00180EEB" w:rsidRDefault="004D1243" w14:paraId="179D2D05" w14:textId="77777777">
      <w:pPr>
        <w:suppressAutoHyphens/>
        <w:spacing w:line="240" w:lineRule="atLeast"/>
        <w:rPr>
          <w:szCs w:val="18"/>
          <w:lang w:eastAsia="nl-NL"/>
        </w:rPr>
      </w:pPr>
      <w:r w:rsidRPr="005F055E">
        <w:rPr>
          <w:szCs w:val="18"/>
          <w:lang w:eastAsia="nl-NL"/>
        </w:rPr>
        <w:t>Soms bieden instellingen zowel plekken met als zonder algemene behandeling aan, waardoor cliënten die verblijven in dezelfde instelling te maken kunnen hebben met verschillende vormen van financiering. Zoals uiteengezet in de brief over deze tariefmaatregel van de toenmalige minister van Volksgezondheid, Welzijn en Sport</w:t>
      </w:r>
      <w:r w:rsidRPr="005F055E">
        <w:rPr>
          <w:szCs w:val="18"/>
          <w:vertAlign w:val="superscript"/>
          <w:lang w:eastAsia="nl-NL"/>
        </w:rPr>
        <w:footnoteReference w:id="25"/>
      </w:r>
      <w:r w:rsidRPr="005F055E">
        <w:rPr>
          <w:szCs w:val="18"/>
          <w:lang w:eastAsia="nl-NL"/>
        </w:rPr>
        <w:t xml:space="preserve"> is de vergoeding voor algemene behandeling voor vergelijkbare cliënten totaal € 0,5 miljard duurder via het </w:t>
      </w:r>
      <w:proofErr w:type="spellStart"/>
      <w:r w:rsidRPr="005F055E">
        <w:rPr>
          <w:szCs w:val="18"/>
          <w:lang w:eastAsia="nl-NL"/>
        </w:rPr>
        <w:t>Wlz</w:t>
      </w:r>
      <w:proofErr w:type="spellEnd"/>
      <w:r w:rsidRPr="005F055E">
        <w:rPr>
          <w:szCs w:val="18"/>
          <w:lang w:eastAsia="nl-NL"/>
        </w:rPr>
        <w:t xml:space="preserve">-model ten opzichte van het </w:t>
      </w:r>
      <w:proofErr w:type="spellStart"/>
      <w:r w:rsidRPr="005F055E">
        <w:rPr>
          <w:szCs w:val="18"/>
          <w:lang w:eastAsia="nl-NL"/>
        </w:rPr>
        <w:t>Zvw</w:t>
      </w:r>
      <w:proofErr w:type="spellEnd"/>
      <w:r w:rsidRPr="005F055E">
        <w:rPr>
          <w:szCs w:val="18"/>
          <w:lang w:eastAsia="nl-NL"/>
        </w:rPr>
        <w:t xml:space="preserve">-model. </w:t>
      </w:r>
    </w:p>
    <w:p w:rsidRPr="005F055E" w:rsidR="004D1243" w:rsidP="00180EEB" w:rsidRDefault="004D1243" w14:paraId="03D4E6D2" w14:textId="77777777">
      <w:pPr>
        <w:suppressAutoHyphens/>
        <w:spacing w:line="240" w:lineRule="atLeast"/>
        <w:rPr>
          <w:szCs w:val="18"/>
          <w:lang w:eastAsia="nl-NL"/>
        </w:rPr>
      </w:pPr>
      <w:r w:rsidRPr="005F055E">
        <w:rPr>
          <w:szCs w:val="18"/>
          <w:lang w:eastAsia="nl-NL"/>
        </w:rPr>
        <w:t xml:space="preserve">Op basis van de vergelijking van de kosten van het </w:t>
      </w:r>
      <w:proofErr w:type="spellStart"/>
      <w:r w:rsidRPr="005F055E">
        <w:rPr>
          <w:szCs w:val="18"/>
          <w:lang w:eastAsia="nl-NL"/>
        </w:rPr>
        <w:t>Wlz</w:t>
      </w:r>
      <w:proofErr w:type="spellEnd"/>
      <w:r w:rsidRPr="005F055E">
        <w:rPr>
          <w:szCs w:val="18"/>
          <w:lang w:eastAsia="nl-NL"/>
        </w:rPr>
        <w:t xml:space="preserve">-model ten opzichte van het «goedkopere» </w:t>
      </w:r>
      <w:proofErr w:type="spellStart"/>
      <w:r w:rsidRPr="005F055E">
        <w:rPr>
          <w:szCs w:val="18"/>
          <w:lang w:eastAsia="nl-NL"/>
        </w:rPr>
        <w:t>Zvw</w:t>
      </w:r>
      <w:proofErr w:type="spellEnd"/>
      <w:r w:rsidRPr="005F055E">
        <w:rPr>
          <w:szCs w:val="18"/>
          <w:lang w:eastAsia="nl-NL"/>
        </w:rPr>
        <w:t xml:space="preserve">-model acht ik het met mijn voorganger haalbaar dat zorgaanbieders een doelmatigheidsslag van € 170 miljoen binnen de </w:t>
      </w:r>
      <w:proofErr w:type="spellStart"/>
      <w:r w:rsidRPr="005F055E">
        <w:rPr>
          <w:szCs w:val="18"/>
          <w:lang w:eastAsia="nl-NL"/>
        </w:rPr>
        <w:t>Wlz</w:t>
      </w:r>
      <w:proofErr w:type="spellEnd"/>
      <w:r w:rsidRPr="005F055E">
        <w:rPr>
          <w:szCs w:val="18"/>
          <w:lang w:eastAsia="nl-NL"/>
        </w:rPr>
        <w:t xml:space="preserve"> kunnen maken. Hierover heeft mijn voorganger ook afspraken gemaakt in het verlengde van het WOZO-programma met de betrokken partijen. </w:t>
      </w:r>
    </w:p>
    <w:p w:rsidRPr="005F055E" w:rsidR="004D1243" w:rsidP="00180EEB" w:rsidRDefault="004D1243" w14:paraId="19A7BD24" w14:textId="77777777">
      <w:pPr>
        <w:suppressAutoHyphens/>
        <w:spacing w:line="240" w:lineRule="atLeast"/>
        <w:rPr>
          <w:szCs w:val="18"/>
          <w:lang w:eastAsia="nl-NL"/>
        </w:rPr>
      </w:pPr>
      <w:r w:rsidRPr="005F055E">
        <w:rPr>
          <w:szCs w:val="18"/>
          <w:lang w:eastAsia="nl-NL"/>
        </w:rPr>
        <w:t xml:space="preserve">Het aandeel van de gehandicaptenzorg hierin bedraagt € 88 miljoen. Het aandeel van de ouderenzorg ad € 82 miljoen wordt met ingang van 2026 gerealiseerd via de afspraken over de tariefmaatregelen in het Hoofdlijnenakkoord Ouderenzorg (HLO). </w:t>
      </w:r>
    </w:p>
    <w:p w:rsidRPr="005F055E" w:rsidR="00912A7D" w:rsidP="00180EEB" w:rsidRDefault="004D1243" w14:paraId="2AAB61A9" w14:textId="1289DE78">
      <w:pPr>
        <w:suppressAutoHyphens/>
        <w:spacing w:line="240" w:lineRule="atLeast"/>
        <w:rPr>
          <w:szCs w:val="18"/>
          <w:lang w:eastAsia="nl-NL"/>
        </w:rPr>
      </w:pPr>
      <w:r w:rsidRPr="005F055E">
        <w:rPr>
          <w:szCs w:val="18"/>
          <w:lang w:eastAsia="nl-NL"/>
        </w:rPr>
        <w:t xml:space="preserve">De tariefmaatregel die samenhangt met deze afspraken is door het controversieel verklaren in 2026 voor de gehandicaptensector niet uitgevoerd. Voor 2027 </w:t>
      </w:r>
      <w:r w:rsidRPr="005F055E" w:rsidR="002F2AED">
        <w:rPr>
          <w:szCs w:val="18"/>
          <w:lang w:eastAsia="nl-NL"/>
        </w:rPr>
        <w:t xml:space="preserve">en verder </w:t>
      </w:r>
      <w:r w:rsidRPr="005F055E">
        <w:rPr>
          <w:szCs w:val="18"/>
          <w:lang w:eastAsia="nl-NL"/>
        </w:rPr>
        <w:t>is de maatregel nog onderdeel van de begroting.</w:t>
      </w:r>
      <w:r w:rsidRPr="005F055E" w:rsidR="00D73F76">
        <w:rPr>
          <w:szCs w:val="18"/>
          <w:lang w:eastAsia="nl-NL"/>
        </w:rPr>
        <w:t xml:space="preserve"> </w:t>
      </w:r>
    </w:p>
    <w:p w:rsidRPr="005F055E" w:rsidR="005C6EBC" w:rsidP="00180EEB" w:rsidRDefault="005C6EBC" w14:paraId="4A743E7D" w14:textId="77777777">
      <w:pPr>
        <w:suppressAutoHyphens/>
      </w:pPr>
    </w:p>
    <w:p w:rsidRPr="005F055E" w:rsidR="00912A7D" w:rsidP="00180EEB" w:rsidRDefault="003E7003" w14:paraId="367F7FBB" w14:textId="77777777">
      <w:pPr>
        <w:suppressAutoHyphens/>
      </w:pPr>
      <w:r w:rsidRPr="005F055E">
        <w:t>Vraag 92</w:t>
      </w:r>
      <w:r w:rsidRPr="005F055E">
        <w:tab/>
      </w:r>
    </w:p>
    <w:p w:rsidRPr="005F055E" w:rsidR="00912A7D" w:rsidP="00180EEB" w:rsidRDefault="003E7003" w14:paraId="3593BC42" w14:textId="77777777">
      <w:pPr>
        <w:suppressAutoHyphens/>
      </w:pPr>
      <w:r w:rsidRPr="005F055E">
        <w:t>Wat gebeurt er nu precies met de €600 miljoen die in het hoofdlijnenakkoord van het kabinet Schoof is vrijgemaakt voor de ouderenzorg? Kunt u dit in een tabel uiteenzetten?</w:t>
      </w:r>
      <w:r w:rsidRPr="005F055E">
        <w:tab/>
      </w:r>
    </w:p>
    <w:p w:rsidRPr="005F055E" w:rsidR="003E7003" w:rsidP="00180EEB" w:rsidRDefault="003E7003" w14:paraId="735F8F6F" w14:textId="54540013">
      <w:pPr>
        <w:suppressAutoHyphens/>
      </w:pPr>
      <w:r w:rsidRPr="005F055E">
        <w:t>Antwoord</w:t>
      </w:r>
    </w:p>
    <w:p w:rsidRPr="005F055E" w:rsidR="004D1243" w:rsidP="00180EEB" w:rsidRDefault="004D1243" w14:paraId="5E3AB27D" w14:textId="76E42B83">
      <w:pPr>
        <w:suppressAutoHyphens/>
        <w:spacing w:line="240" w:lineRule="atLeast"/>
        <w:rPr>
          <w:szCs w:val="18"/>
          <w:lang w:eastAsia="nl-NL"/>
        </w:rPr>
      </w:pPr>
      <w:bookmarkStart w:name="_Hlk210738517" w:id="21"/>
      <w:r w:rsidRPr="005F055E">
        <w:rPr>
          <w:szCs w:val="18"/>
          <w:lang w:eastAsia="nl-NL"/>
        </w:rPr>
        <w:t>Onderstaande tabel geeft een overzicht van de benutting van de enveloppe voor betere ouderenzorg op de Aanvullende Post bij het ministerie van Financiën. De bedragen zijn hierbij afgerond op miljoenen euro.</w:t>
      </w:r>
    </w:p>
    <w:p w:rsidRPr="005F055E" w:rsidR="004D1243" w:rsidP="00180EEB" w:rsidRDefault="004D1243" w14:paraId="0CDE5582" w14:textId="77777777">
      <w:pPr>
        <w:suppressAutoHyphens/>
        <w:spacing w:line="240" w:lineRule="atLeast"/>
        <w:rPr>
          <w:szCs w:val="18"/>
          <w:lang w:eastAsia="nl-NL"/>
        </w:rPr>
      </w:pPr>
      <w:r w:rsidRPr="005F055E">
        <w:rPr>
          <w:noProof/>
          <w:szCs w:val="18"/>
        </w:rPr>
        <w:drawing>
          <wp:inline distT="0" distB="0" distL="0" distR="0" wp14:anchorId="2D378413" wp14:editId="45D28E8A">
            <wp:extent cx="5732145" cy="1781810"/>
            <wp:effectExtent l="0" t="0" r="1905" b="8890"/>
            <wp:docPr id="1149865376"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65376" name="Picture 1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732145" cy="1781810"/>
                    </a:xfrm>
                    <a:prstGeom prst="rect">
                      <a:avLst/>
                    </a:prstGeom>
                    <a:noFill/>
                    <a:ln>
                      <a:noFill/>
                    </a:ln>
                  </pic:spPr>
                </pic:pic>
              </a:graphicData>
            </a:graphic>
          </wp:inline>
        </w:drawing>
      </w:r>
    </w:p>
    <w:p w:rsidRPr="005F055E" w:rsidR="004D1243" w:rsidP="00180EEB" w:rsidRDefault="004D1243" w14:paraId="48830583" w14:textId="77777777">
      <w:pPr>
        <w:suppressAutoHyphens/>
        <w:spacing w:line="240" w:lineRule="atLeast"/>
        <w:rPr>
          <w:szCs w:val="18"/>
          <w:lang w:eastAsia="nl-NL"/>
        </w:rPr>
      </w:pPr>
    </w:p>
    <w:p w:rsidRPr="005F055E" w:rsidR="004D1243" w:rsidP="00180EEB" w:rsidRDefault="004D1243" w14:paraId="1B30B700" w14:textId="77777777">
      <w:pPr>
        <w:suppressAutoHyphens/>
        <w:spacing w:line="240" w:lineRule="atLeast"/>
        <w:rPr>
          <w:szCs w:val="18"/>
          <w:lang w:eastAsia="nl-NL"/>
        </w:rPr>
      </w:pPr>
      <w:r w:rsidRPr="005F055E">
        <w:rPr>
          <w:szCs w:val="18"/>
          <w:lang w:eastAsia="nl-NL"/>
        </w:rPr>
        <w:t xml:space="preserve">In het Hoofdlijnenakkoord (HLA) is vanaf 2027 structureel € 600 miljoen beschikbaar gesteld voor investeringen in verzorgings- en verpleeghuisplekken. Met de toevoeging van de loon- en prijsbijstelling over 2025 kwam aanvullend structureel € 27,8 miljoen beschikbaar. Een deel van de envelop is inmiddels tijdelijk ingezet voor afspraken in het Hoofdlijnenakkoord ouderenzorg (HLO). In de jaren 2027-2029 gaat het om respectievelijk € 229 miljoen, € 148 miljoen en € 41 miljoen. Omdat de financiële afspraken in het HLO al per 2026 ingaan is een deel van de middelen naar 2026 geschoven (€ 171 miljoen euro vanuit 2027, € 92 miljoen euro vanuit 2028 en € 18 miljoen vanuit 2029). </w:t>
      </w:r>
    </w:p>
    <w:p w:rsidRPr="005F055E" w:rsidR="004D1243" w:rsidP="00180EEB" w:rsidRDefault="004D1243" w14:paraId="2D3DFDC0" w14:textId="24B37DDB">
      <w:pPr>
        <w:suppressAutoHyphens/>
        <w:spacing w:line="240" w:lineRule="atLeast"/>
        <w:rPr>
          <w:szCs w:val="18"/>
          <w:lang w:eastAsia="nl-NL"/>
        </w:rPr>
      </w:pPr>
      <w:r w:rsidRPr="005F055E">
        <w:rPr>
          <w:szCs w:val="18"/>
          <w:lang w:eastAsia="nl-NL"/>
        </w:rPr>
        <w:t>Daarnaast wordt er in 2027 65 miljoen euro ingezet ter (</w:t>
      </w:r>
      <w:proofErr w:type="spellStart"/>
      <w:r w:rsidRPr="005F055E">
        <w:rPr>
          <w:szCs w:val="18"/>
          <w:lang w:eastAsia="nl-NL"/>
        </w:rPr>
        <w:t>intertemporele</w:t>
      </w:r>
      <w:proofErr w:type="spellEnd"/>
      <w:r w:rsidRPr="005F055E">
        <w:rPr>
          <w:szCs w:val="18"/>
          <w:lang w:eastAsia="nl-NL"/>
        </w:rPr>
        <w:t>) dekking van de motie Dobbe en Westerveld</w:t>
      </w:r>
      <w:r w:rsidRPr="005F055E">
        <w:rPr>
          <w:szCs w:val="18"/>
          <w:vertAlign w:val="superscript"/>
          <w:lang w:eastAsia="nl-NL"/>
        </w:rPr>
        <w:footnoteReference w:id="26"/>
      </w:r>
      <w:r w:rsidRPr="005F055E">
        <w:rPr>
          <w:szCs w:val="18"/>
          <w:lang w:eastAsia="nl-NL"/>
        </w:rPr>
        <w:t xml:space="preserve"> om de tariefmaatregel meerjarig contracteren in de gehandicaptenzorg en de langdurige </w:t>
      </w:r>
      <w:r w:rsidR="00D55762">
        <w:rPr>
          <w:szCs w:val="18"/>
          <w:lang w:eastAsia="nl-NL"/>
        </w:rPr>
        <w:t>GGZ</w:t>
      </w:r>
      <w:r w:rsidRPr="005F055E">
        <w:rPr>
          <w:szCs w:val="18"/>
          <w:lang w:eastAsia="nl-NL"/>
        </w:rPr>
        <w:t xml:space="preserve"> voor 2026 niet in te laten gaan. Ook wordt er 4,4 miljoen euro in 2027 en vanaf 2028 structureel € 7,7 miljoen ingezet voor het toevoegen van twee doelgroepen in de aanspraak op gespecialiseerde langdurige zorg (traject ‘laag volume hoog complex’ (LVHC)). Ter dekking van structurele problematiek op de Rijksbegroting wordt structureel 150 miljoen euro vanaf 2027 ingezet. Als laatste vindt er een kasschuif plaats van € 91 miljoen van 2029 naar 2028 om andere kasschuiven op de VWS-begroting mogelijk te maken zonder het saldo in deze jaren te belasten. </w:t>
      </w:r>
    </w:p>
    <w:p w:rsidR="009873CE" w:rsidP="00180EEB" w:rsidRDefault="009873CE" w14:paraId="2C3ABCCF" w14:textId="77777777">
      <w:pPr>
        <w:suppressAutoHyphens/>
        <w:spacing w:line="240" w:lineRule="atLeast"/>
        <w:rPr>
          <w:szCs w:val="18"/>
          <w:lang w:eastAsia="nl-NL"/>
        </w:rPr>
      </w:pPr>
    </w:p>
    <w:p w:rsidR="009873CE" w:rsidP="00180EEB" w:rsidRDefault="009873CE" w14:paraId="5627A5A4" w14:textId="77777777">
      <w:pPr>
        <w:suppressAutoHyphens/>
        <w:spacing w:line="240" w:lineRule="atLeast"/>
        <w:rPr>
          <w:szCs w:val="18"/>
          <w:lang w:eastAsia="nl-NL"/>
        </w:rPr>
      </w:pPr>
    </w:p>
    <w:p w:rsidR="009873CE" w:rsidP="00180EEB" w:rsidRDefault="009873CE" w14:paraId="0EEE3158" w14:textId="77777777">
      <w:pPr>
        <w:suppressAutoHyphens/>
        <w:spacing w:line="240" w:lineRule="atLeast"/>
        <w:rPr>
          <w:szCs w:val="18"/>
          <w:lang w:eastAsia="nl-NL"/>
        </w:rPr>
      </w:pPr>
    </w:p>
    <w:p w:rsidRPr="005F055E" w:rsidR="00912A7D" w:rsidP="00180EEB" w:rsidRDefault="004D1243" w14:paraId="3872B22B" w14:textId="4A0A79C4">
      <w:pPr>
        <w:suppressAutoHyphens/>
        <w:spacing w:line="240" w:lineRule="atLeast"/>
        <w:rPr>
          <w:szCs w:val="18"/>
          <w:lang w:eastAsia="nl-NL"/>
        </w:rPr>
      </w:pPr>
      <w:r w:rsidRPr="005F055E">
        <w:rPr>
          <w:szCs w:val="18"/>
          <w:lang w:eastAsia="nl-NL"/>
        </w:rPr>
        <w:t xml:space="preserve">Er resteert nu een structureel bedrag van € 470 miljoen dat </w:t>
      </w:r>
      <w:r w:rsidRPr="005F055E" w:rsidR="002F2AED">
        <w:rPr>
          <w:szCs w:val="18"/>
          <w:lang w:eastAsia="nl-NL"/>
        </w:rPr>
        <w:t xml:space="preserve">beschikbaar is </w:t>
      </w:r>
      <w:r w:rsidRPr="005F055E">
        <w:rPr>
          <w:szCs w:val="18"/>
          <w:lang w:eastAsia="nl-NL"/>
        </w:rPr>
        <w:t>voor de realisatie van moderne verzorgingshuizen, zoals toegelicht in de brief van de Staatssecretaris Langdurige en Maatschappelijke Zorg over vergrijzing en het integrale ouderenbeleid</w:t>
      </w:r>
      <w:r w:rsidRPr="005F055E">
        <w:rPr>
          <w:szCs w:val="18"/>
          <w:vertAlign w:val="superscript"/>
          <w:lang w:eastAsia="nl-NL"/>
        </w:rPr>
        <w:footnoteReference w:id="27"/>
      </w:r>
      <w:r w:rsidRPr="005F055E">
        <w:rPr>
          <w:szCs w:val="18"/>
          <w:lang w:eastAsia="nl-NL"/>
        </w:rPr>
        <w:t>. Op dit moment wordt uitgewerkt hoe het op termijn introduceren van de moderne verzorgingshuizen vorm kan krijgen.</w:t>
      </w:r>
      <w:bookmarkEnd w:id="21"/>
    </w:p>
    <w:p w:rsidRPr="005F055E" w:rsidR="005C6EBC" w:rsidP="00180EEB" w:rsidRDefault="005C6EBC" w14:paraId="02E331AE" w14:textId="77777777">
      <w:pPr>
        <w:suppressAutoHyphens/>
      </w:pPr>
    </w:p>
    <w:p w:rsidRPr="005F055E" w:rsidR="00912A7D" w:rsidP="00180EEB" w:rsidRDefault="003E7003" w14:paraId="3C7B306B" w14:textId="77777777">
      <w:pPr>
        <w:suppressAutoHyphens/>
      </w:pPr>
      <w:bookmarkStart w:name="_Hlk213335776" w:id="22"/>
      <w:r w:rsidRPr="005F055E">
        <w:t>Vraag 93</w:t>
      </w:r>
      <w:r w:rsidRPr="005F055E">
        <w:tab/>
      </w:r>
    </w:p>
    <w:p w:rsidRPr="005F055E" w:rsidR="00912A7D" w:rsidP="00180EEB" w:rsidRDefault="003E7003" w14:paraId="7AE27E3D" w14:textId="77777777">
      <w:pPr>
        <w:suppressAutoHyphens/>
      </w:pPr>
      <w:r w:rsidRPr="005F055E">
        <w:t>Hoeveel budget is er beschikbaar voor het tegengaan van gezondheidsachterstanden bij vrouwen, het bevorderen van vrouwengezondheid en het verbeteren van de zorg op het gebied van vrouwspecifieke aandoeningen?</w:t>
      </w:r>
    </w:p>
    <w:p w:rsidRPr="005F055E" w:rsidR="003E7003" w:rsidP="00180EEB" w:rsidRDefault="003E7003" w14:paraId="340E9C32" w14:textId="5E11DBD3">
      <w:pPr>
        <w:suppressAutoHyphens/>
      </w:pPr>
      <w:r w:rsidRPr="005F055E">
        <w:t>Antwoord</w:t>
      </w:r>
    </w:p>
    <w:p w:rsidRPr="005F055E" w:rsidR="005C6EBC" w:rsidP="00180EEB" w:rsidRDefault="005C6EBC" w14:paraId="3B9B35D1" w14:textId="198B0428">
      <w:pPr>
        <w:suppressAutoHyphens/>
      </w:pPr>
      <w:r w:rsidRPr="005F055E">
        <w:t>Met de toezending van de Nationale Strategie Vrouwengezondheid</w:t>
      </w:r>
      <w:r w:rsidRPr="005F055E">
        <w:rPr>
          <w:vertAlign w:val="superscript"/>
        </w:rPr>
        <w:footnoteReference w:id="28"/>
      </w:r>
      <w:r w:rsidRPr="005F055E">
        <w:t xml:space="preserve"> </w:t>
      </w:r>
      <w:r w:rsidR="00F84C81">
        <w:t xml:space="preserve">heeft </w:t>
      </w:r>
      <w:r w:rsidR="00F84C81">
        <w:rPr>
          <w:szCs w:val="20"/>
          <w:lang w:eastAsia="nl-NL"/>
        </w:rPr>
        <w:t>De staatssecretaris Jeugd, Preventie en Sport</w:t>
      </w:r>
      <w:r w:rsidRPr="005F055E" w:rsidR="00F84C81">
        <w:rPr>
          <w:szCs w:val="20"/>
          <w:lang w:eastAsia="nl-NL"/>
        </w:rPr>
        <w:t xml:space="preserve"> </w:t>
      </w:r>
      <w:r w:rsidRPr="005F055E">
        <w:t xml:space="preserve">u op de hoogte gesteld van de inzet van VWS. Voor het programma vrouwspecifieke aandoeningen bij </w:t>
      </w:r>
      <w:proofErr w:type="spellStart"/>
      <w:r w:rsidRPr="005F055E">
        <w:t>ZonMw</w:t>
      </w:r>
      <w:proofErr w:type="spellEnd"/>
      <w:r w:rsidRPr="005F055E">
        <w:t xml:space="preserve"> is er voor 2026 € 2,9 miljoen beschikbaar. Deze middelen maken deel uit van het programma dat loopt van 2024-2030 en waarvoor in totaal € 15 miljoen beschikbaar is. In de bijlage bij de bovengenoemde strategie </w:t>
      </w:r>
      <w:r w:rsidR="00F84C81">
        <w:t xml:space="preserve">heeft </w:t>
      </w:r>
      <w:r w:rsidR="00F84C81">
        <w:rPr>
          <w:szCs w:val="20"/>
          <w:lang w:eastAsia="nl-NL"/>
        </w:rPr>
        <w:t xml:space="preserve">De staatssecretaris Jeugd, Preventie en Sport </w:t>
      </w:r>
      <w:r w:rsidRPr="005F055E">
        <w:t xml:space="preserve">aangegeven dat er daarnaast ook beleidsonderwerpen (en financiële middelen) zijn die gericht zijn op de gehele bevolking en daarmee ook bijdragen aan de gezondheid van vrouwen. Het onderwerp vrouwengezondheid krijgt steeds meer aandacht, niet alleen binnen VWS maar ook elders. Zo zal er ook binnen het Actieprogramma mentale gezondheid &amp; </w:t>
      </w:r>
      <w:r w:rsidR="00D55762">
        <w:t>GGZ</w:t>
      </w:r>
      <w:r w:rsidRPr="005F055E">
        <w:t xml:space="preserve"> aandacht worden besteed aan het thema. Hierover </w:t>
      </w:r>
      <w:r w:rsidR="00F84C81">
        <w:t xml:space="preserve">heeft </w:t>
      </w:r>
      <w:r w:rsidR="00F84C81">
        <w:rPr>
          <w:szCs w:val="20"/>
          <w:lang w:eastAsia="nl-NL"/>
        </w:rPr>
        <w:t xml:space="preserve">De staatssecretaris Jeugd, Preventie en Sport </w:t>
      </w:r>
      <w:r w:rsidRPr="005F055E">
        <w:t>uw Kamer onlangs geïnformeerd</w:t>
      </w:r>
      <w:r w:rsidRPr="005F055E">
        <w:rPr>
          <w:vertAlign w:val="superscript"/>
        </w:rPr>
        <w:footnoteReference w:id="29"/>
      </w:r>
      <w:r w:rsidRPr="005F055E">
        <w:t>.</w:t>
      </w:r>
      <w:r w:rsidR="00090C00">
        <w:t xml:space="preserve"> Zoals </w:t>
      </w:r>
      <w:r w:rsidR="00F84C81">
        <w:rPr>
          <w:szCs w:val="20"/>
          <w:lang w:eastAsia="nl-NL"/>
        </w:rPr>
        <w:t>De staatssecretaris Jeugd, Preventie en Sport</w:t>
      </w:r>
      <w:r w:rsidRPr="005F055E" w:rsidR="00F84C81">
        <w:rPr>
          <w:szCs w:val="20"/>
          <w:lang w:eastAsia="nl-NL"/>
        </w:rPr>
        <w:t xml:space="preserve"> </w:t>
      </w:r>
      <w:r w:rsidR="00090C00">
        <w:t xml:space="preserve">met </w:t>
      </w:r>
      <w:r w:rsidRPr="00090C00" w:rsidR="00090C00">
        <w:t>de bovenstaande brief over de Nationale Strategie Vrouwengezondheid heb laten weten organiseer</w:t>
      </w:r>
      <w:r w:rsidR="00F84C81">
        <w:t xml:space="preserve">t </w:t>
      </w:r>
      <w:r w:rsidR="00F84C81">
        <w:rPr>
          <w:szCs w:val="20"/>
          <w:lang w:eastAsia="nl-NL"/>
        </w:rPr>
        <w:t>De staatssecretaris Jeugd, Preventie en Sport</w:t>
      </w:r>
      <w:r w:rsidR="00F84C81">
        <w:t xml:space="preserve"> </w:t>
      </w:r>
      <w:r w:rsidRPr="00090C00" w:rsidR="00090C00">
        <w:t xml:space="preserve">samen met </w:t>
      </w:r>
      <w:proofErr w:type="spellStart"/>
      <w:r w:rsidRPr="00090C00" w:rsidR="00090C00">
        <w:t>ZonMw</w:t>
      </w:r>
      <w:proofErr w:type="spellEnd"/>
      <w:r w:rsidRPr="00090C00" w:rsidR="00090C00">
        <w:t xml:space="preserve"> begin 2026 een grote werkconferentie om samen met partijen tot een concrete werkagenda te komen. </w:t>
      </w:r>
      <w:r w:rsidR="00F84C81">
        <w:rPr>
          <w:szCs w:val="20"/>
          <w:lang w:eastAsia="nl-NL"/>
        </w:rPr>
        <w:t>De staatssecretaris Jeugd, Preventie en Sport</w:t>
      </w:r>
      <w:r w:rsidRPr="00090C00" w:rsidR="00090C00">
        <w:t xml:space="preserve"> zal uw Kamer t.z.t. deze werkagenda toesturen</w:t>
      </w:r>
      <w:r w:rsidR="00090C00">
        <w:t>.</w:t>
      </w:r>
    </w:p>
    <w:bookmarkEnd w:id="22"/>
    <w:p w:rsidRPr="005F055E" w:rsidR="00912A7D" w:rsidP="00180EEB" w:rsidRDefault="00912A7D" w14:paraId="06F5D9FB" w14:textId="77777777">
      <w:pPr>
        <w:suppressAutoHyphens/>
      </w:pPr>
    </w:p>
    <w:p w:rsidRPr="005F055E" w:rsidR="00912A7D" w:rsidP="00180EEB" w:rsidRDefault="003E7003" w14:paraId="51C92A3E" w14:textId="77777777">
      <w:pPr>
        <w:suppressAutoHyphens/>
      </w:pPr>
      <w:r w:rsidRPr="005F055E">
        <w:t>Vraag 94</w:t>
      </w:r>
      <w:r w:rsidRPr="005F055E">
        <w:tab/>
      </w:r>
    </w:p>
    <w:p w:rsidRPr="005F055E" w:rsidR="00912A7D" w:rsidP="00180EEB" w:rsidRDefault="003E7003" w14:paraId="4AFC2045" w14:textId="77777777">
      <w:pPr>
        <w:suppressAutoHyphens/>
      </w:pPr>
      <w:r w:rsidRPr="005F055E">
        <w:t>Hoeveel budget is er beschikbaar voor het tegengaan van sociaaleconomische gezondheidsverschillen?</w:t>
      </w:r>
      <w:r w:rsidRPr="005F055E">
        <w:tab/>
      </w:r>
    </w:p>
    <w:p w:rsidRPr="005F055E" w:rsidR="003E7003" w:rsidP="00180EEB" w:rsidRDefault="003E7003" w14:paraId="2F8B0235" w14:textId="2D665CA0">
      <w:pPr>
        <w:suppressAutoHyphens/>
      </w:pPr>
      <w:r w:rsidRPr="005F055E">
        <w:t>Antwoord</w:t>
      </w:r>
    </w:p>
    <w:p w:rsidRPr="005F055E" w:rsidR="00BE5CD4" w:rsidP="00180EEB" w:rsidRDefault="00BE5CD4" w14:paraId="5E9C9624" w14:textId="1F3625FE">
      <w:pPr>
        <w:suppressAutoHyphens/>
      </w:pPr>
      <w:r w:rsidRPr="005F055E">
        <w:t>Het terugdringen van sociaaleconomische gezondheidsachterstanden is een domein</w:t>
      </w:r>
      <w:r w:rsidR="00E043BF">
        <w:t xml:space="preserve"> </w:t>
      </w:r>
      <w:r w:rsidRPr="005F055E">
        <w:t xml:space="preserve">overstijgende opgave. Verschillende beleidsmaatregelen en programma’s, van VWS (bijvoorbeeld het terugdringen van gezondheidsachterstanden als dwarsdoorsnijdend thema in het GALA, de aanpak Kansrijke Start en de inzet vanuit het kennisinstituut </w:t>
      </w:r>
      <w:proofErr w:type="spellStart"/>
      <w:r w:rsidRPr="005F055E">
        <w:t>Pharos</w:t>
      </w:r>
      <w:proofErr w:type="spellEnd"/>
      <w:r w:rsidRPr="005F055E">
        <w:t>) en andere departementen, dragen direct dan wel indirect bij aan het tegengaan hiervan.</w:t>
      </w:r>
      <w:r w:rsidRPr="005F055E">
        <w:footnoteReference w:id="30"/>
      </w:r>
      <w:r w:rsidRPr="005F055E">
        <w:t xml:space="preserve"> Hierdoor is een exact bedrag niet te geven. </w:t>
      </w:r>
    </w:p>
    <w:p w:rsidRPr="005F055E" w:rsidR="00912A7D" w:rsidP="00180EEB" w:rsidRDefault="00912A7D" w14:paraId="049D0B45" w14:textId="77777777">
      <w:pPr>
        <w:suppressAutoHyphens/>
      </w:pPr>
    </w:p>
    <w:p w:rsidRPr="005F055E" w:rsidR="00912A7D" w:rsidP="00180EEB" w:rsidRDefault="003E7003" w14:paraId="22777609" w14:textId="77777777">
      <w:pPr>
        <w:suppressAutoHyphens/>
      </w:pPr>
      <w:r w:rsidRPr="005F055E">
        <w:t>Vraag 95</w:t>
      </w:r>
      <w:r w:rsidRPr="005F055E">
        <w:tab/>
      </w:r>
    </w:p>
    <w:p w:rsidRPr="005F055E" w:rsidR="00912A7D" w:rsidP="00180EEB" w:rsidRDefault="003E7003" w14:paraId="5106B248" w14:textId="77777777">
      <w:pPr>
        <w:suppressAutoHyphens/>
      </w:pPr>
      <w:r w:rsidRPr="005F055E">
        <w:t>Wat is de gemiddelde levensverwachting van mensen uitgesplist naar het inkomen van mensen?</w:t>
      </w:r>
      <w:r w:rsidRPr="005F055E">
        <w:tab/>
      </w:r>
    </w:p>
    <w:p w:rsidRPr="005F055E" w:rsidR="003E7003" w:rsidP="00180EEB" w:rsidRDefault="003E7003" w14:paraId="02E06F25" w14:textId="5BF7EB32">
      <w:pPr>
        <w:suppressAutoHyphens/>
      </w:pPr>
      <w:r w:rsidRPr="005F055E">
        <w:t>Antwoord</w:t>
      </w:r>
    </w:p>
    <w:p w:rsidRPr="005F055E" w:rsidR="005C6EBC" w:rsidP="00180EEB" w:rsidRDefault="005C6EBC" w14:paraId="4ADD70F1" w14:textId="0782DAA3">
      <w:pPr>
        <w:suppressAutoHyphens/>
        <w:ind w:right="-45"/>
      </w:pPr>
      <w:r w:rsidRPr="005F055E">
        <w:t>De levensverwachting bij geboorte is het aantal jaren dat een persoon naar verwachting (nog) zal leven, onder de aanname van gelijkblijvende leeftijdsspecifieke sterftekansen. De meest recente cijfers (CBS, 19 juni 2025) zijn gebaseerd op het tijdvak 2019/2022. Omdat er verschil zit tussen de levensverwachting van mannen en vrouwen worden deze doorgaans ook apart gegeven.</w:t>
      </w:r>
    </w:p>
    <w:p w:rsidRPr="005F055E" w:rsidR="005C6EBC" w:rsidP="00180EEB" w:rsidRDefault="005C6EBC" w14:paraId="14C8F13E" w14:textId="420A6606">
      <w:pPr>
        <w:suppressAutoHyphens/>
        <w:ind w:right="-45"/>
      </w:pPr>
      <w:r w:rsidRPr="005F055E">
        <w:t>Voor inkomen is het gestandaardiseerd inkomen gebruikt. Dit is het besteedbaar inkomen gecorrigeerd voor verschillen in grootte en samenstelling van het huishouden. De huishoudens zijn naar hoogte van hun gestandaardiseerd inkomen in vijf groepen (</w:t>
      </w:r>
      <w:proofErr w:type="spellStart"/>
      <w:r w:rsidRPr="005F055E">
        <w:t>kwintielgroepen</w:t>
      </w:r>
      <w:proofErr w:type="spellEnd"/>
      <w:r w:rsidRPr="005F055E">
        <w:t>) met een gelijk aantal huishoudens verdeeld. De inkomensgrenzen tussen deze vijf 20%-groepen verschillen van jaar tot jaar.</w:t>
      </w:r>
    </w:p>
    <w:p w:rsidRPr="005F055E" w:rsidR="005C6EBC" w:rsidP="00180EEB" w:rsidRDefault="005C6EBC" w14:paraId="338F6CB8" w14:textId="529CBB45">
      <w:pPr>
        <w:suppressAutoHyphens/>
        <w:ind w:right="-45"/>
      </w:pPr>
    </w:p>
    <w:tbl>
      <w:tblPr>
        <w:tblW w:w="7484" w:type="dxa"/>
        <w:tblCellMar>
          <w:left w:w="70" w:type="dxa"/>
          <w:right w:w="70" w:type="dxa"/>
        </w:tblCellMar>
        <w:tblLook w:val="04A0" w:firstRow="1" w:lastRow="0" w:firstColumn="1" w:lastColumn="0" w:noHBand="0" w:noVBand="1"/>
      </w:tblPr>
      <w:tblGrid>
        <w:gridCol w:w="2996"/>
        <w:gridCol w:w="1665"/>
        <w:gridCol w:w="1358"/>
        <w:gridCol w:w="1465"/>
      </w:tblGrid>
      <w:tr w:rsidRPr="005F055E" w:rsidR="005C6EBC" w:rsidTr="005E2643" w14:paraId="04BF260F" w14:textId="77777777">
        <w:trPr>
          <w:trHeight w:val="305"/>
        </w:trPr>
        <w:tc>
          <w:tcPr>
            <w:tcW w:w="2996" w:type="dxa"/>
            <w:tcBorders>
              <w:bottom w:val="single" w:color="auto" w:sz="4" w:space="0"/>
              <w:right w:val="single" w:color="auto" w:sz="4" w:space="0"/>
            </w:tcBorders>
            <w:shd w:val="clear" w:color="auto" w:fill="auto"/>
            <w:noWrap/>
            <w:vAlign w:val="center"/>
            <w:hideMark/>
          </w:tcPr>
          <w:p w:rsidRPr="005F055E" w:rsidR="005C6EBC" w:rsidP="00180EEB" w:rsidRDefault="005C6EBC" w14:paraId="204AAD7B" w14:textId="77777777">
            <w:pPr>
              <w:suppressAutoHyphens/>
              <w:spacing w:line="240" w:lineRule="auto"/>
              <w:ind w:right="143"/>
              <w:rPr>
                <w:rFonts w:cs="Calibri"/>
                <w:color w:val="000000"/>
                <w:sz w:val="22"/>
              </w:rPr>
            </w:pPr>
            <w:r w:rsidRPr="005F055E">
              <w:rPr>
                <w:szCs w:val="18"/>
              </w:rPr>
              <w:t>Levensverwachting bij geboorte in jaren</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6BEE0AF8" w14:textId="77777777">
            <w:pPr>
              <w:suppressAutoHyphens/>
              <w:spacing w:line="240" w:lineRule="auto"/>
              <w:ind w:right="70"/>
              <w:rPr>
                <w:rFonts w:cs="Calibri"/>
                <w:color w:val="000000"/>
                <w:sz w:val="20"/>
                <w:szCs w:val="20"/>
              </w:rPr>
            </w:pPr>
            <w:r w:rsidRPr="00F36E36">
              <w:rPr>
                <w:rFonts w:cs="Calibri"/>
                <w:color w:val="000000"/>
                <w:sz w:val="20"/>
                <w:szCs w:val="20"/>
              </w:rPr>
              <w:t>Totaal mannen en vrouwen</w:t>
            </w:r>
          </w:p>
        </w:tc>
        <w:tc>
          <w:tcPr>
            <w:tcW w:w="135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2627AA48" w14:textId="77777777">
            <w:pPr>
              <w:suppressAutoHyphens/>
              <w:spacing w:line="240" w:lineRule="auto"/>
              <w:ind w:right="-23"/>
              <w:rPr>
                <w:rFonts w:cs="Calibri"/>
                <w:color w:val="000000"/>
                <w:sz w:val="20"/>
                <w:szCs w:val="20"/>
              </w:rPr>
            </w:pPr>
            <w:r w:rsidRPr="00F36E36">
              <w:rPr>
                <w:rFonts w:cs="Calibri"/>
                <w:color w:val="000000"/>
                <w:sz w:val="20"/>
                <w:szCs w:val="20"/>
              </w:rPr>
              <w:t>Mannen</w:t>
            </w: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5ABC4C12" w14:textId="77777777">
            <w:pPr>
              <w:suppressAutoHyphens/>
              <w:spacing w:line="240" w:lineRule="auto"/>
              <w:rPr>
                <w:rFonts w:cs="Calibri"/>
                <w:color w:val="000000"/>
                <w:sz w:val="20"/>
                <w:szCs w:val="20"/>
              </w:rPr>
            </w:pPr>
            <w:r w:rsidRPr="00F36E36">
              <w:rPr>
                <w:rFonts w:cs="Calibri"/>
                <w:color w:val="000000"/>
                <w:sz w:val="20"/>
                <w:szCs w:val="20"/>
              </w:rPr>
              <w:t>Vrouwen</w:t>
            </w:r>
          </w:p>
        </w:tc>
      </w:tr>
      <w:tr w:rsidRPr="005F055E" w:rsidR="005C6EBC" w:rsidTr="005E2643" w14:paraId="728778B4" w14:textId="77777777">
        <w:trPr>
          <w:trHeight w:val="305"/>
        </w:trPr>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3423C6EC" w14:textId="77777777">
            <w:pPr>
              <w:suppressAutoHyphens/>
              <w:spacing w:line="240" w:lineRule="auto"/>
              <w:ind w:right="210"/>
              <w:rPr>
                <w:rFonts w:cs="Calibri"/>
                <w:color w:val="000000"/>
                <w:sz w:val="20"/>
                <w:szCs w:val="20"/>
              </w:rPr>
            </w:pPr>
            <w:r w:rsidRPr="00F36E36">
              <w:rPr>
                <w:rFonts w:cs="Calibri"/>
                <w:color w:val="000000"/>
                <w:sz w:val="20"/>
                <w:szCs w:val="20"/>
              </w:rPr>
              <w:t>Gestandaardiseerd inkomen: 1e 20%-groep</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5B930B6C" w14:textId="77777777">
            <w:pPr>
              <w:suppressAutoHyphens/>
              <w:spacing w:line="240" w:lineRule="auto"/>
              <w:ind w:right="-28"/>
              <w:rPr>
                <w:rFonts w:cs="Calibri"/>
                <w:color w:val="000000"/>
                <w:sz w:val="20"/>
                <w:szCs w:val="20"/>
              </w:rPr>
            </w:pPr>
            <w:r w:rsidRPr="00F36E36">
              <w:rPr>
                <w:rFonts w:cs="Calibri"/>
                <w:color w:val="000000"/>
                <w:sz w:val="20"/>
                <w:szCs w:val="20"/>
              </w:rPr>
              <w:t>76,3</w:t>
            </w:r>
          </w:p>
        </w:tc>
        <w:tc>
          <w:tcPr>
            <w:tcW w:w="135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332A1736" w14:textId="77777777">
            <w:pPr>
              <w:suppressAutoHyphens/>
              <w:spacing w:line="240" w:lineRule="auto"/>
              <w:ind w:right="-28"/>
              <w:rPr>
                <w:rFonts w:cs="Calibri"/>
                <w:color w:val="000000"/>
                <w:sz w:val="20"/>
                <w:szCs w:val="20"/>
              </w:rPr>
            </w:pPr>
            <w:r w:rsidRPr="00F36E36">
              <w:rPr>
                <w:rFonts w:cs="Calibri"/>
                <w:color w:val="000000"/>
                <w:sz w:val="20"/>
                <w:szCs w:val="20"/>
              </w:rPr>
              <w:t>74,1</w:t>
            </w: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70C93873" w14:textId="77777777">
            <w:pPr>
              <w:suppressAutoHyphens/>
              <w:spacing w:line="240" w:lineRule="auto"/>
              <w:ind w:right="-28"/>
              <w:rPr>
                <w:rFonts w:cs="Calibri"/>
                <w:color w:val="000000"/>
                <w:sz w:val="20"/>
                <w:szCs w:val="20"/>
              </w:rPr>
            </w:pPr>
            <w:r w:rsidRPr="00F36E36">
              <w:rPr>
                <w:rFonts w:cs="Calibri"/>
                <w:color w:val="000000"/>
                <w:sz w:val="20"/>
                <w:szCs w:val="20"/>
              </w:rPr>
              <w:t>78,3</w:t>
            </w:r>
          </w:p>
        </w:tc>
      </w:tr>
      <w:tr w:rsidRPr="005F055E" w:rsidR="005C6EBC" w:rsidTr="005E2643" w14:paraId="5DAC4E14" w14:textId="77777777">
        <w:trPr>
          <w:trHeight w:val="305"/>
        </w:trPr>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522E8501" w14:textId="77777777">
            <w:pPr>
              <w:suppressAutoHyphens/>
              <w:spacing w:line="240" w:lineRule="auto"/>
              <w:ind w:right="210"/>
              <w:rPr>
                <w:rFonts w:cs="Calibri"/>
                <w:color w:val="000000"/>
                <w:sz w:val="20"/>
                <w:szCs w:val="20"/>
              </w:rPr>
            </w:pPr>
            <w:r w:rsidRPr="00F36E36">
              <w:rPr>
                <w:rFonts w:cs="Calibri"/>
                <w:color w:val="000000"/>
                <w:sz w:val="20"/>
                <w:szCs w:val="20"/>
              </w:rPr>
              <w:t>Gestandaardiseerd inkomen: 2e 20%-groep</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5DB15BB1" w14:textId="77777777">
            <w:pPr>
              <w:suppressAutoHyphens/>
              <w:spacing w:line="240" w:lineRule="auto"/>
              <w:ind w:right="-28"/>
              <w:rPr>
                <w:rFonts w:cs="Calibri"/>
                <w:color w:val="000000"/>
                <w:sz w:val="20"/>
                <w:szCs w:val="20"/>
              </w:rPr>
            </w:pPr>
            <w:r w:rsidRPr="00F36E36">
              <w:rPr>
                <w:rFonts w:cs="Calibri"/>
                <w:color w:val="000000"/>
                <w:sz w:val="20"/>
                <w:szCs w:val="20"/>
              </w:rPr>
              <w:t>80,5</w:t>
            </w:r>
          </w:p>
        </w:tc>
        <w:tc>
          <w:tcPr>
            <w:tcW w:w="135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78177774" w14:textId="77777777">
            <w:pPr>
              <w:suppressAutoHyphens/>
              <w:spacing w:line="240" w:lineRule="auto"/>
              <w:ind w:right="-28"/>
              <w:rPr>
                <w:rFonts w:cs="Calibri"/>
                <w:color w:val="000000"/>
                <w:sz w:val="20"/>
                <w:szCs w:val="20"/>
              </w:rPr>
            </w:pPr>
            <w:r w:rsidRPr="00F36E36">
              <w:rPr>
                <w:rFonts w:cs="Calibri"/>
                <w:color w:val="000000"/>
                <w:sz w:val="20"/>
                <w:szCs w:val="20"/>
              </w:rPr>
              <w:t>78,2</w:t>
            </w: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374E9B65" w14:textId="77777777">
            <w:pPr>
              <w:suppressAutoHyphens/>
              <w:spacing w:line="240" w:lineRule="auto"/>
              <w:ind w:right="-28"/>
              <w:rPr>
                <w:rFonts w:cs="Calibri"/>
                <w:color w:val="000000"/>
                <w:sz w:val="20"/>
                <w:szCs w:val="20"/>
              </w:rPr>
            </w:pPr>
            <w:r w:rsidRPr="00F36E36">
              <w:rPr>
                <w:rFonts w:cs="Calibri"/>
                <w:color w:val="000000"/>
                <w:sz w:val="20"/>
                <w:szCs w:val="20"/>
              </w:rPr>
              <w:t>82,5</w:t>
            </w:r>
          </w:p>
        </w:tc>
      </w:tr>
      <w:tr w:rsidRPr="005F055E" w:rsidR="005C6EBC" w:rsidTr="005E2643" w14:paraId="195AA4BC" w14:textId="77777777">
        <w:trPr>
          <w:trHeight w:val="305"/>
        </w:trPr>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363C2DAF" w14:textId="77777777">
            <w:pPr>
              <w:suppressAutoHyphens/>
              <w:spacing w:line="240" w:lineRule="auto"/>
              <w:ind w:right="210"/>
              <w:rPr>
                <w:rFonts w:cs="Calibri"/>
                <w:color w:val="000000"/>
                <w:sz w:val="20"/>
                <w:szCs w:val="20"/>
              </w:rPr>
            </w:pPr>
            <w:r w:rsidRPr="00F36E36">
              <w:rPr>
                <w:rFonts w:cs="Calibri"/>
                <w:color w:val="000000"/>
                <w:sz w:val="20"/>
                <w:szCs w:val="20"/>
              </w:rPr>
              <w:t>Gestandaardiseerd inkomen: 3e 20%-groep</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3DB152F0" w14:textId="77777777">
            <w:pPr>
              <w:suppressAutoHyphens/>
              <w:spacing w:line="240" w:lineRule="auto"/>
              <w:ind w:right="-28"/>
              <w:rPr>
                <w:rFonts w:cs="Calibri"/>
                <w:color w:val="000000"/>
                <w:sz w:val="20"/>
                <w:szCs w:val="20"/>
              </w:rPr>
            </w:pPr>
            <w:r w:rsidRPr="00F36E36">
              <w:rPr>
                <w:rFonts w:cs="Calibri"/>
                <w:color w:val="000000"/>
                <w:sz w:val="20"/>
                <w:szCs w:val="20"/>
              </w:rPr>
              <w:t>82,3</w:t>
            </w:r>
          </w:p>
        </w:tc>
        <w:tc>
          <w:tcPr>
            <w:tcW w:w="135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56C79C26" w14:textId="77777777">
            <w:pPr>
              <w:suppressAutoHyphens/>
              <w:spacing w:line="240" w:lineRule="auto"/>
              <w:ind w:right="-28"/>
              <w:rPr>
                <w:rFonts w:cs="Calibri"/>
                <w:color w:val="000000"/>
                <w:sz w:val="20"/>
                <w:szCs w:val="20"/>
              </w:rPr>
            </w:pPr>
            <w:r w:rsidRPr="00F36E36">
              <w:rPr>
                <w:rFonts w:cs="Calibri"/>
                <w:color w:val="000000"/>
                <w:sz w:val="20"/>
                <w:szCs w:val="20"/>
              </w:rPr>
              <w:t>80,7</w:t>
            </w: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42BE4B46" w14:textId="77777777">
            <w:pPr>
              <w:suppressAutoHyphens/>
              <w:spacing w:line="240" w:lineRule="auto"/>
              <w:ind w:right="-28"/>
              <w:rPr>
                <w:rFonts w:cs="Calibri"/>
                <w:color w:val="000000"/>
                <w:sz w:val="20"/>
                <w:szCs w:val="20"/>
              </w:rPr>
            </w:pPr>
            <w:r w:rsidRPr="00F36E36">
              <w:rPr>
                <w:rFonts w:cs="Calibri"/>
                <w:color w:val="000000"/>
                <w:sz w:val="20"/>
                <w:szCs w:val="20"/>
              </w:rPr>
              <w:t>84,1</w:t>
            </w:r>
          </w:p>
        </w:tc>
      </w:tr>
      <w:tr w:rsidRPr="005F055E" w:rsidR="005C6EBC" w:rsidTr="005E2643" w14:paraId="19922FD4" w14:textId="77777777">
        <w:trPr>
          <w:trHeight w:val="305"/>
        </w:trPr>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456E6DC7" w14:textId="77777777">
            <w:pPr>
              <w:suppressAutoHyphens/>
              <w:spacing w:line="240" w:lineRule="auto"/>
              <w:ind w:right="210"/>
              <w:rPr>
                <w:rFonts w:cs="Calibri"/>
                <w:color w:val="000000"/>
                <w:sz w:val="20"/>
                <w:szCs w:val="20"/>
              </w:rPr>
            </w:pPr>
            <w:r w:rsidRPr="00F36E36">
              <w:rPr>
                <w:rFonts w:cs="Calibri"/>
                <w:color w:val="000000"/>
                <w:sz w:val="20"/>
                <w:szCs w:val="20"/>
              </w:rPr>
              <w:t>Gestandaardiseerd inkomen: 4e 20%-groep</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38764EF3" w14:textId="77777777">
            <w:pPr>
              <w:suppressAutoHyphens/>
              <w:spacing w:line="240" w:lineRule="auto"/>
              <w:ind w:right="-28"/>
              <w:rPr>
                <w:rFonts w:cs="Calibri"/>
                <w:color w:val="000000"/>
                <w:sz w:val="20"/>
                <w:szCs w:val="20"/>
              </w:rPr>
            </w:pPr>
            <w:r w:rsidRPr="00F36E36">
              <w:rPr>
                <w:rFonts w:cs="Calibri"/>
                <w:color w:val="000000"/>
                <w:sz w:val="20"/>
                <w:szCs w:val="20"/>
              </w:rPr>
              <w:t>83,6</w:t>
            </w:r>
          </w:p>
        </w:tc>
        <w:tc>
          <w:tcPr>
            <w:tcW w:w="135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2DBF8A15" w14:textId="77777777">
            <w:pPr>
              <w:suppressAutoHyphens/>
              <w:spacing w:line="240" w:lineRule="auto"/>
              <w:ind w:right="-28"/>
              <w:rPr>
                <w:rFonts w:cs="Calibri"/>
                <w:color w:val="000000"/>
                <w:sz w:val="20"/>
                <w:szCs w:val="20"/>
              </w:rPr>
            </w:pPr>
            <w:r w:rsidRPr="00F36E36">
              <w:rPr>
                <w:rFonts w:cs="Calibri"/>
                <w:color w:val="000000"/>
                <w:sz w:val="20"/>
                <w:szCs w:val="20"/>
              </w:rPr>
              <w:t>82</w:t>
            </w: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28211E3F" w14:textId="77777777">
            <w:pPr>
              <w:suppressAutoHyphens/>
              <w:spacing w:line="240" w:lineRule="auto"/>
              <w:ind w:right="-28"/>
              <w:rPr>
                <w:rFonts w:cs="Calibri"/>
                <w:color w:val="000000"/>
                <w:sz w:val="20"/>
                <w:szCs w:val="20"/>
              </w:rPr>
            </w:pPr>
            <w:r w:rsidRPr="00F36E36">
              <w:rPr>
                <w:rFonts w:cs="Calibri"/>
                <w:color w:val="000000"/>
                <w:sz w:val="20"/>
                <w:szCs w:val="20"/>
              </w:rPr>
              <w:t>85,2</w:t>
            </w:r>
          </w:p>
        </w:tc>
      </w:tr>
      <w:tr w:rsidRPr="005F055E" w:rsidR="005C6EBC" w:rsidTr="005E2643" w14:paraId="591C8652" w14:textId="77777777">
        <w:trPr>
          <w:trHeight w:val="305"/>
        </w:trPr>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1841A2CC" w14:textId="77777777">
            <w:pPr>
              <w:suppressAutoHyphens/>
              <w:spacing w:line="240" w:lineRule="auto"/>
              <w:ind w:right="210"/>
              <w:rPr>
                <w:rFonts w:cs="Calibri"/>
                <w:color w:val="000000"/>
                <w:sz w:val="20"/>
                <w:szCs w:val="20"/>
              </w:rPr>
            </w:pPr>
            <w:r w:rsidRPr="00F36E36">
              <w:rPr>
                <w:rFonts w:cs="Calibri"/>
                <w:color w:val="000000"/>
                <w:sz w:val="20"/>
                <w:szCs w:val="20"/>
              </w:rPr>
              <w:t>Gestandaardiseerd inkomen: 5e 20%-groep</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290F2A3A" w14:textId="77777777">
            <w:pPr>
              <w:suppressAutoHyphens/>
              <w:spacing w:line="240" w:lineRule="auto"/>
              <w:ind w:right="-28"/>
              <w:rPr>
                <w:rFonts w:cs="Calibri"/>
                <w:color w:val="000000"/>
                <w:sz w:val="20"/>
                <w:szCs w:val="20"/>
              </w:rPr>
            </w:pPr>
            <w:r w:rsidRPr="00F36E36">
              <w:rPr>
                <w:rFonts w:cs="Calibri"/>
                <w:color w:val="000000"/>
                <w:sz w:val="20"/>
                <w:szCs w:val="20"/>
              </w:rPr>
              <w:t>84</w:t>
            </w:r>
          </w:p>
        </w:tc>
        <w:tc>
          <w:tcPr>
            <w:tcW w:w="135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45D3BCCD" w14:textId="77777777">
            <w:pPr>
              <w:suppressAutoHyphens/>
              <w:spacing w:line="240" w:lineRule="auto"/>
              <w:ind w:right="-28"/>
              <w:rPr>
                <w:rFonts w:cs="Calibri"/>
                <w:color w:val="000000"/>
                <w:sz w:val="20"/>
                <w:szCs w:val="20"/>
              </w:rPr>
            </w:pPr>
            <w:r w:rsidRPr="00F36E36">
              <w:rPr>
                <w:rFonts w:cs="Calibri"/>
                <w:color w:val="000000"/>
                <w:sz w:val="20"/>
                <w:szCs w:val="20"/>
              </w:rPr>
              <w:t>82,9</w:t>
            </w: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36E36" w:rsidR="005C6EBC" w:rsidP="00180EEB" w:rsidRDefault="005C6EBC" w14:paraId="66FED41F" w14:textId="77777777">
            <w:pPr>
              <w:suppressAutoHyphens/>
              <w:spacing w:line="240" w:lineRule="auto"/>
              <w:ind w:right="-28"/>
              <w:rPr>
                <w:rFonts w:cs="Calibri"/>
                <w:color w:val="000000"/>
                <w:sz w:val="20"/>
                <w:szCs w:val="20"/>
              </w:rPr>
            </w:pPr>
            <w:r w:rsidRPr="00F36E36">
              <w:rPr>
                <w:rFonts w:cs="Calibri"/>
                <w:color w:val="000000"/>
                <w:sz w:val="20"/>
                <w:szCs w:val="20"/>
              </w:rPr>
              <w:t>85,4</w:t>
            </w:r>
          </w:p>
        </w:tc>
      </w:tr>
      <w:tr w:rsidRPr="005F055E" w:rsidR="005C6EBC" w:rsidTr="005E2643" w14:paraId="2BE1A90E" w14:textId="77777777">
        <w:trPr>
          <w:trHeight w:val="305"/>
        </w:trPr>
        <w:tc>
          <w:tcPr>
            <w:tcW w:w="2996" w:type="dxa"/>
            <w:tcBorders>
              <w:top w:val="single" w:color="auto" w:sz="4" w:space="0"/>
              <w:left w:val="nil"/>
              <w:right w:val="nil"/>
            </w:tcBorders>
            <w:shd w:val="clear" w:color="auto" w:fill="auto"/>
            <w:noWrap/>
            <w:vAlign w:val="bottom"/>
            <w:hideMark/>
          </w:tcPr>
          <w:p w:rsidRPr="005F055E" w:rsidR="005C6EBC" w:rsidP="00180EEB" w:rsidRDefault="005C6EBC" w14:paraId="3659E88F" w14:textId="77777777">
            <w:pPr>
              <w:suppressAutoHyphens/>
              <w:spacing w:line="240" w:lineRule="auto"/>
              <w:ind w:right="210"/>
              <w:rPr>
                <w:rFonts w:cs="Calibri"/>
                <w:color w:val="000000"/>
                <w:sz w:val="22"/>
              </w:rPr>
            </w:pPr>
          </w:p>
        </w:tc>
        <w:tc>
          <w:tcPr>
            <w:tcW w:w="1665" w:type="dxa"/>
            <w:tcBorders>
              <w:top w:val="single" w:color="auto" w:sz="4" w:space="0"/>
              <w:left w:val="nil"/>
              <w:bottom w:val="single" w:color="auto" w:sz="4" w:space="0"/>
              <w:right w:val="nil"/>
            </w:tcBorders>
            <w:shd w:val="clear" w:color="auto" w:fill="auto"/>
            <w:noWrap/>
            <w:vAlign w:val="bottom"/>
            <w:hideMark/>
          </w:tcPr>
          <w:p w:rsidRPr="005F055E" w:rsidR="005C6EBC" w:rsidP="00180EEB" w:rsidRDefault="005C6EBC" w14:paraId="323B7796" w14:textId="77777777">
            <w:pPr>
              <w:suppressAutoHyphens/>
              <w:spacing w:line="240" w:lineRule="auto"/>
              <w:ind w:right="-28"/>
              <w:rPr>
                <w:sz w:val="20"/>
              </w:rPr>
            </w:pPr>
          </w:p>
        </w:tc>
        <w:tc>
          <w:tcPr>
            <w:tcW w:w="1358" w:type="dxa"/>
            <w:tcBorders>
              <w:top w:val="single" w:color="auto" w:sz="4" w:space="0"/>
              <w:left w:val="nil"/>
              <w:bottom w:val="single" w:color="auto" w:sz="4" w:space="0"/>
              <w:right w:val="nil"/>
            </w:tcBorders>
            <w:shd w:val="clear" w:color="auto" w:fill="auto"/>
            <w:noWrap/>
            <w:vAlign w:val="bottom"/>
            <w:hideMark/>
          </w:tcPr>
          <w:p w:rsidRPr="005F055E" w:rsidR="005C6EBC" w:rsidP="00180EEB" w:rsidRDefault="005C6EBC" w14:paraId="2E6793D4" w14:textId="77777777">
            <w:pPr>
              <w:suppressAutoHyphens/>
              <w:spacing w:line="240" w:lineRule="auto"/>
              <w:ind w:right="-28"/>
              <w:rPr>
                <w:sz w:val="20"/>
              </w:rPr>
            </w:pPr>
          </w:p>
        </w:tc>
        <w:tc>
          <w:tcPr>
            <w:tcW w:w="1465" w:type="dxa"/>
            <w:tcBorders>
              <w:top w:val="single" w:color="auto" w:sz="4" w:space="0"/>
              <w:left w:val="nil"/>
              <w:bottom w:val="single" w:color="auto" w:sz="4" w:space="0"/>
              <w:right w:val="nil"/>
            </w:tcBorders>
            <w:shd w:val="clear" w:color="auto" w:fill="auto"/>
            <w:noWrap/>
            <w:vAlign w:val="bottom"/>
            <w:hideMark/>
          </w:tcPr>
          <w:p w:rsidRPr="005F055E" w:rsidR="005C6EBC" w:rsidP="00180EEB" w:rsidRDefault="005C6EBC" w14:paraId="569EF9CA" w14:textId="77777777">
            <w:pPr>
              <w:suppressAutoHyphens/>
              <w:spacing w:line="240" w:lineRule="auto"/>
              <w:ind w:right="-28"/>
              <w:rPr>
                <w:sz w:val="20"/>
              </w:rPr>
            </w:pPr>
          </w:p>
        </w:tc>
      </w:tr>
    </w:tbl>
    <w:p w:rsidRPr="005F055E" w:rsidR="005C6EBC" w:rsidP="00180EEB" w:rsidRDefault="005C6EBC" w14:paraId="5C4B428F" w14:textId="77777777">
      <w:pPr>
        <w:suppressAutoHyphens/>
        <w:rPr>
          <w:sz w:val="14"/>
          <w:szCs w:val="18"/>
        </w:rPr>
      </w:pPr>
      <w:r w:rsidRPr="005F055E">
        <w:rPr>
          <w:sz w:val="14"/>
          <w:szCs w:val="18"/>
        </w:rPr>
        <w:t xml:space="preserve">Bron: </w:t>
      </w:r>
      <w:hyperlink w:history="1" w:anchor="/CBS/nl/dataset/85445NED/table?dl=AD51D" r:id="rId14">
        <w:r w:rsidRPr="005F055E">
          <w:rPr>
            <w:rStyle w:val="Hyperlink"/>
            <w:sz w:val="14"/>
            <w:szCs w:val="14"/>
          </w:rPr>
          <w:t>https://opendata.cbs.nl/statline/#/CBS/nl/dataset/85445NED/table?dl=AD51D</w:t>
        </w:r>
      </w:hyperlink>
    </w:p>
    <w:p w:rsidRPr="005F055E" w:rsidR="00912A7D" w:rsidP="00180EEB" w:rsidRDefault="00912A7D" w14:paraId="517C1D44" w14:textId="77777777">
      <w:pPr>
        <w:suppressAutoHyphens/>
      </w:pPr>
    </w:p>
    <w:p w:rsidRPr="005F055E" w:rsidR="00912A7D" w:rsidP="00180EEB" w:rsidRDefault="003E7003" w14:paraId="1F956D9D" w14:textId="77777777">
      <w:pPr>
        <w:suppressAutoHyphens/>
      </w:pPr>
      <w:r w:rsidRPr="005F055E">
        <w:t>Vraag 96</w:t>
      </w:r>
      <w:r w:rsidRPr="005F055E">
        <w:tab/>
      </w:r>
    </w:p>
    <w:p w:rsidRPr="005F055E" w:rsidR="00912A7D" w:rsidP="00180EEB" w:rsidRDefault="003E7003" w14:paraId="4D2926CA" w14:textId="77777777">
      <w:pPr>
        <w:suppressAutoHyphens/>
      </w:pPr>
      <w:r w:rsidRPr="005F055E">
        <w:t>Hoe groot zijn de sociaaleconomische verschillen in het aantal jaren dat mensen leven in goede gezondheid?</w:t>
      </w:r>
      <w:r w:rsidRPr="005F055E">
        <w:tab/>
      </w:r>
    </w:p>
    <w:p w:rsidRPr="005F055E" w:rsidR="003E7003" w:rsidP="00180EEB" w:rsidRDefault="003E7003" w14:paraId="77148148" w14:textId="429AF155">
      <w:pPr>
        <w:suppressAutoHyphens/>
      </w:pPr>
      <w:r w:rsidRPr="005F055E">
        <w:t>Antwoord</w:t>
      </w:r>
    </w:p>
    <w:p w:rsidRPr="005F055E" w:rsidR="00912A7D" w:rsidP="00180EEB" w:rsidRDefault="00BE5CD4" w14:paraId="320F65DC" w14:textId="004F4A37">
      <w:pPr>
        <w:suppressAutoHyphens/>
        <w:spacing w:line="240" w:lineRule="atLeast"/>
        <w:rPr>
          <w:szCs w:val="20"/>
          <w:lang w:eastAsia="nl-NL"/>
        </w:rPr>
      </w:pPr>
      <w:r w:rsidRPr="005F055E">
        <w:rPr>
          <w:szCs w:val="20"/>
          <w:lang w:eastAsia="nl-NL"/>
        </w:rPr>
        <w:t>Het verschil in levensverwachting in goed ervaren gezondheid tussen mensen met de 20% hoogste en de 20% laagste inkomens bedraagt 21,4 jaar (51,2 jaar voor het laagste inkomenskwintiel en 72,6 jaar voor het hoogste inkomenskwintiel).</w:t>
      </w:r>
      <w:r w:rsidRPr="005F055E">
        <w:rPr>
          <w:szCs w:val="20"/>
          <w:vertAlign w:val="superscript"/>
          <w:lang w:eastAsia="nl-NL"/>
        </w:rPr>
        <w:footnoteReference w:id="31"/>
      </w:r>
      <w:r w:rsidR="00D55762">
        <w:rPr>
          <w:szCs w:val="20"/>
          <w:lang w:eastAsia="nl-NL"/>
        </w:rPr>
        <w:t xml:space="preserve"> </w:t>
      </w:r>
      <w:r w:rsidRPr="005F055E" w:rsidR="00D55762">
        <w:rPr>
          <w:szCs w:val="20"/>
          <w:lang w:eastAsia="nl-NL"/>
        </w:rPr>
        <w:t>Het verschil in levensverwachting in goed ervaren gezondheid tussen de groep met basisonderwijs, vmbo of mbo-1 en de groep met een hbo- of wo-opleiding was 14 jaar in de periode tussen 2021-2024 en 14,3 jaar in 2017-2020.</w:t>
      </w:r>
      <w:r w:rsidRPr="005F055E" w:rsidR="00D55762">
        <w:rPr>
          <w:szCs w:val="20"/>
          <w:vertAlign w:val="superscript"/>
          <w:lang w:eastAsia="nl-NL"/>
        </w:rPr>
        <w:footnoteReference w:id="32"/>
      </w:r>
    </w:p>
    <w:p w:rsidRPr="005F055E" w:rsidR="00912A7D" w:rsidP="00180EEB" w:rsidRDefault="00912A7D" w14:paraId="4F0BFE0B" w14:textId="77777777">
      <w:pPr>
        <w:suppressAutoHyphens/>
      </w:pPr>
    </w:p>
    <w:p w:rsidRPr="005F055E" w:rsidR="00912A7D" w:rsidP="00180EEB" w:rsidRDefault="003E7003" w14:paraId="06C7CB8D" w14:textId="77777777">
      <w:pPr>
        <w:suppressAutoHyphens/>
      </w:pPr>
      <w:r w:rsidRPr="005F055E">
        <w:t>Vraag 97</w:t>
      </w:r>
      <w:r w:rsidRPr="005F055E">
        <w:tab/>
      </w:r>
    </w:p>
    <w:p w:rsidRPr="005F055E" w:rsidR="00912A7D" w:rsidP="00180EEB" w:rsidRDefault="003E7003" w14:paraId="44E648DB" w14:textId="77777777">
      <w:pPr>
        <w:suppressAutoHyphens/>
      </w:pPr>
      <w:r w:rsidRPr="005F055E">
        <w:t xml:space="preserve">Zijn er zorgvormen die binnen de </w:t>
      </w:r>
      <w:proofErr w:type="spellStart"/>
      <w:r w:rsidRPr="005F055E">
        <w:t>Wmo</w:t>
      </w:r>
      <w:proofErr w:type="spellEnd"/>
      <w:r w:rsidRPr="005F055E">
        <w:t xml:space="preserve"> 2015 en/of de Jeugdwet niet zomaar mogen worden georganiseerd via (quasi-)inbesteden, als het ook mogelijk is om deze te organiseren via aanbesteden? Zo ja, om welke vormen gaat het hier en komt dit voort uit EU-wetgeving of Nederlandse wetgeving? Hoe zit het bijvoorbeeld met het doelgroepenvervoer?</w:t>
      </w:r>
      <w:r w:rsidRPr="005F055E">
        <w:tab/>
      </w:r>
    </w:p>
    <w:p w:rsidRPr="005F055E" w:rsidR="003E7003" w:rsidP="00180EEB" w:rsidRDefault="003E7003" w14:paraId="68B092C1" w14:textId="39D89559">
      <w:pPr>
        <w:suppressAutoHyphens/>
      </w:pPr>
      <w:r w:rsidRPr="005F055E">
        <w:t>Antwoord</w:t>
      </w:r>
    </w:p>
    <w:p w:rsidRPr="005F055E" w:rsidR="00573CF1" w:rsidP="00180EEB" w:rsidRDefault="00D55762" w14:paraId="594F104A" w14:textId="7CDED447">
      <w:pPr>
        <w:suppressAutoHyphens/>
        <w:rPr>
          <w:szCs w:val="18"/>
        </w:rPr>
      </w:pPr>
      <w:r>
        <w:rPr>
          <w:szCs w:val="18"/>
        </w:rPr>
        <w:t>O</w:t>
      </w:r>
      <w:r w:rsidRPr="005F055E" w:rsidR="00573CF1">
        <w:rPr>
          <w:szCs w:val="18"/>
        </w:rPr>
        <w:t xml:space="preserve">p basis van de </w:t>
      </w:r>
      <w:proofErr w:type="spellStart"/>
      <w:r w:rsidRPr="005F055E" w:rsidR="00573CF1">
        <w:rPr>
          <w:szCs w:val="18"/>
        </w:rPr>
        <w:t>Wmo</w:t>
      </w:r>
      <w:proofErr w:type="spellEnd"/>
      <w:r w:rsidRPr="005F055E" w:rsidR="00573CF1">
        <w:rPr>
          <w:szCs w:val="18"/>
        </w:rPr>
        <w:t xml:space="preserve"> 2015, de Jeugdwet, Europese aanbestedingsrichtlijn en de Aanbestedingswet 2012 zijn gemeenten vrij om jeugdzorg of maatschappelijke ondersteuning zelf uit te voeren via (quasi)inbesteden of uit te besteden aan derden via aanbesteden, open house of subsidie. In genoemde wet- en regelgeving zijn geen specifieke uitzonderingen voor bepaalde zorgvormen geformuleerd. Ook voor het doelgroepenvervoer geldt geen specifieke uitzondering. Als de gemeente kiest voor inkoop via aanbesteden dan moet zij de (Europese) aanbestedingsregels volgen. Als de gemeente ervoor kiest voor (quasi) inbesteden dan moet zij zich houden aan de wettelijke regels die daarop zien, zoals bijvoorbeeld de (Europese) aanbestedingsregels, de Wet gemeenschappelijke regelingen en de Wet Markt en Overheid. Er zijn diverse handreikingen ontwikkeld om gemeenten te ondersteunen bij het maken van deze keuzes, zoals bijvoorbeeld de Handreiking Aanbesteden </w:t>
      </w:r>
      <w:proofErr w:type="spellStart"/>
      <w:r w:rsidRPr="005F055E" w:rsidR="00573CF1">
        <w:rPr>
          <w:szCs w:val="18"/>
        </w:rPr>
        <w:t>Wmo</w:t>
      </w:r>
      <w:proofErr w:type="spellEnd"/>
      <w:r w:rsidRPr="005F055E" w:rsidR="00573CF1">
        <w:rPr>
          <w:szCs w:val="18"/>
        </w:rPr>
        <w:t xml:space="preserve"> 2015 en Jeugdwet, januari 2018.</w:t>
      </w:r>
      <w:r w:rsidRPr="005F055E" w:rsidR="00D73F76">
        <w:rPr>
          <w:szCs w:val="18"/>
        </w:rPr>
        <w:t xml:space="preserve"> </w:t>
      </w:r>
    </w:p>
    <w:p w:rsidRPr="005F055E" w:rsidR="00F36E36" w:rsidP="00180EEB" w:rsidRDefault="00F36E36" w14:paraId="61F5C64A" w14:textId="77777777">
      <w:pPr>
        <w:suppressAutoHyphens/>
      </w:pPr>
    </w:p>
    <w:p w:rsidRPr="005F055E" w:rsidR="00912A7D" w:rsidP="00180EEB" w:rsidRDefault="003E7003" w14:paraId="66216465" w14:textId="77777777">
      <w:pPr>
        <w:suppressAutoHyphens/>
      </w:pPr>
      <w:r w:rsidRPr="005F055E">
        <w:t>Vraag 98</w:t>
      </w:r>
      <w:r w:rsidRPr="005F055E">
        <w:tab/>
      </w:r>
    </w:p>
    <w:p w:rsidRPr="005F055E" w:rsidR="00912A7D" w:rsidP="00180EEB" w:rsidRDefault="003E7003" w14:paraId="13654D8A" w14:textId="305C6E64">
      <w:pPr>
        <w:suppressAutoHyphens/>
      </w:pPr>
      <w:r w:rsidRPr="005F055E">
        <w:t>Hoeveel budget is er beschikbaar voor de bouw van nieuwe zorgvormen zoals het zorgbuurthuis?</w:t>
      </w:r>
    </w:p>
    <w:p w:rsidRPr="005F055E" w:rsidR="003E7003" w:rsidP="00180EEB" w:rsidRDefault="003E7003" w14:paraId="58FAE0BC" w14:textId="2A156F8D">
      <w:pPr>
        <w:suppressAutoHyphens/>
      </w:pPr>
      <w:r w:rsidRPr="005F055E">
        <w:t>Antwoord</w:t>
      </w:r>
    </w:p>
    <w:p w:rsidRPr="005F055E" w:rsidR="004D1243" w:rsidP="00180EEB" w:rsidRDefault="004D1243" w14:paraId="62BF5346" w14:textId="77777777">
      <w:pPr>
        <w:suppressAutoHyphens/>
        <w:spacing w:line="240" w:lineRule="atLeast"/>
        <w:rPr>
          <w:szCs w:val="18"/>
          <w:lang w:eastAsia="nl-NL"/>
        </w:rPr>
      </w:pPr>
      <w:r w:rsidRPr="005F055E">
        <w:rPr>
          <w:szCs w:val="18"/>
          <w:lang w:eastAsia="nl-NL"/>
        </w:rPr>
        <w:t xml:space="preserve">Er is geen geoormerkt budget beschikbaar voor nieuwe zorgvormen zoals het zorgbuurthuis. Binnen de </w:t>
      </w:r>
      <w:proofErr w:type="spellStart"/>
      <w:r w:rsidRPr="005F055E">
        <w:rPr>
          <w:szCs w:val="18"/>
          <w:lang w:eastAsia="nl-NL"/>
        </w:rPr>
        <w:t>Wlz</w:t>
      </w:r>
      <w:proofErr w:type="spellEnd"/>
      <w:r w:rsidRPr="005F055E">
        <w:rPr>
          <w:szCs w:val="18"/>
          <w:lang w:eastAsia="nl-NL"/>
        </w:rPr>
        <w:t xml:space="preserve"> zijn nieuwe zorgvormen mogelijk op basis van “het scheiden van wonen en zorg” met behulp van een VPT, MPT en pgb. Cliënten betalen dan zelf hun woonlasten en kunnen zorg en ondersteuning vanuit de </w:t>
      </w:r>
      <w:proofErr w:type="spellStart"/>
      <w:r w:rsidRPr="005F055E">
        <w:rPr>
          <w:szCs w:val="18"/>
          <w:lang w:eastAsia="nl-NL"/>
        </w:rPr>
        <w:t>Wlz</w:t>
      </w:r>
      <w:proofErr w:type="spellEnd"/>
      <w:r w:rsidRPr="005F055E">
        <w:rPr>
          <w:szCs w:val="18"/>
          <w:lang w:eastAsia="nl-NL"/>
        </w:rPr>
        <w:t xml:space="preserve"> ontvangen. </w:t>
      </w:r>
    </w:p>
    <w:p w:rsidRPr="005F055E" w:rsidR="004D1243" w:rsidP="00180EEB" w:rsidRDefault="004D1243" w14:paraId="60EA8622" w14:textId="7A6BF151">
      <w:pPr>
        <w:suppressAutoHyphens/>
        <w:spacing w:line="240" w:lineRule="atLeast"/>
        <w:rPr>
          <w:szCs w:val="18"/>
          <w:lang w:eastAsia="nl-NL"/>
        </w:rPr>
      </w:pPr>
      <w:r w:rsidRPr="005F055E">
        <w:rPr>
          <w:szCs w:val="18"/>
          <w:lang w:eastAsia="nl-NL"/>
        </w:rPr>
        <w:t xml:space="preserve">Voor de stimuleringsregeling voor het bouwen van betaalbare zorggeschikte woningen in de ouderenzorg is € 312 miljoen beschikbaar gesteld. Hiervan kunnen ook nieuwe zorgvormen worden gebouwd. </w:t>
      </w:r>
      <w:r w:rsidRPr="005F055E" w:rsidR="002F2AED">
        <w:rPr>
          <w:szCs w:val="18"/>
          <w:lang w:eastAsia="nl-NL"/>
        </w:rPr>
        <w:t>Aanvragen kunnen t/m eind 2026 worden ingediend. De daarmee samenhangende kasuitgaven kunnen ook in latere jaren zullen ook in latere jaren plaatsvinden.</w:t>
      </w:r>
    </w:p>
    <w:p w:rsidRPr="005F055E" w:rsidR="004D1243" w:rsidP="00180EEB" w:rsidRDefault="004D1243" w14:paraId="56871091" w14:textId="42BCFF6C">
      <w:pPr>
        <w:suppressAutoHyphens/>
        <w:spacing w:line="240" w:lineRule="atLeast"/>
        <w:rPr>
          <w:szCs w:val="18"/>
          <w:lang w:eastAsia="nl-NL"/>
        </w:rPr>
      </w:pPr>
      <w:r w:rsidRPr="005F055E">
        <w:rPr>
          <w:szCs w:val="18"/>
          <w:lang w:eastAsia="nl-NL"/>
        </w:rPr>
        <w:t>Daarnaast gaat de staatssecretaris Langdurige en Maatschappelijke Zorg de komende maanden in vervolg op een onderzoek naar de herintroductie van het verzorgingshuis in gesprek met het veld over de mogelijke invulling van de extra zorg en ondersteuning, de stimulering van de bouwopgave en de ontwikkeling van zorgzame gemeenschappen. In totaal zijn hiervoor middelen beschikbaar oplopend tot € 470 miljoen vanaf 2030 vanuit de reservering op de aanvullende post die het kabinet in het hoofdlijnenakkoord heeft afgesproken voor de kwaliteit van de ouderenzorg. Daarnaast zijn er bij het ministerie van Volkshuisvesting en Ruimtelijke Ordening middelen beschikbaar voor het stimuleren van de bouw van zorggeschikte en geclusterde woningen. De uitwerking hiervan vindt momenteel plaats en wordt in samenhang met de bestaande regelingen bezien.</w:t>
      </w:r>
    </w:p>
    <w:p w:rsidRPr="005F055E" w:rsidR="00605490" w:rsidP="00180EEB" w:rsidRDefault="00605490" w14:paraId="36C03866" w14:textId="77777777">
      <w:pPr>
        <w:suppressAutoHyphens/>
      </w:pPr>
    </w:p>
    <w:p w:rsidRPr="005F055E" w:rsidR="00912A7D" w:rsidP="00180EEB" w:rsidRDefault="003E7003" w14:paraId="5B8D2578" w14:textId="4171686F">
      <w:pPr>
        <w:suppressAutoHyphens/>
      </w:pPr>
      <w:r w:rsidRPr="005F055E">
        <w:t>Vraag 99</w:t>
      </w:r>
      <w:r w:rsidRPr="005F055E">
        <w:tab/>
      </w:r>
    </w:p>
    <w:p w:rsidRPr="005F055E" w:rsidR="00912A7D" w:rsidP="00180EEB" w:rsidRDefault="003E7003" w14:paraId="3EE8CA42" w14:textId="77777777">
      <w:pPr>
        <w:suppressAutoHyphens/>
      </w:pPr>
      <w:r w:rsidRPr="005F055E">
        <w:t>Welk deel van de opnames in verpleeghuizen betreft een spoedopname?</w:t>
      </w:r>
      <w:r w:rsidRPr="005F055E">
        <w:tab/>
      </w:r>
    </w:p>
    <w:p w:rsidRPr="005F055E" w:rsidR="00912A7D" w:rsidP="00180EEB" w:rsidRDefault="003E7003" w14:paraId="489C5B29" w14:textId="111082AA">
      <w:pPr>
        <w:suppressAutoHyphens/>
      </w:pPr>
      <w:r w:rsidRPr="005F055E">
        <w:t>Antwoord</w:t>
      </w:r>
    </w:p>
    <w:p w:rsidRPr="005F055E" w:rsidR="004D1243" w:rsidP="00180EEB" w:rsidRDefault="004D1243" w14:paraId="18518AB5" w14:textId="77777777">
      <w:pPr>
        <w:suppressAutoHyphens/>
        <w:spacing w:line="240" w:lineRule="atLeast"/>
        <w:rPr>
          <w:szCs w:val="20"/>
          <w:lang w:eastAsia="nl-NL"/>
        </w:rPr>
      </w:pPr>
      <w:r w:rsidRPr="005F055E">
        <w:rPr>
          <w:szCs w:val="20"/>
          <w:lang w:eastAsia="nl-NL"/>
        </w:rPr>
        <w:t xml:space="preserve">Op grond van de registraties is het aantal spoedopnamen in verpleeghuizen niet te bepalen. Het eerstelijnsverblijf kent diverse prestaties, waar spoedzorg onderdeel van kan zijn. Uit de declaratiedata is niet af te leiden of een ELV-prestatie is gedeclareerd in het kader van een spoedsituatie. In de </w:t>
      </w:r>
      <w:proofErr w:type="spellStart"/>
      <w:r w:rsidRPr="005F055E">
        <w:rPr>
          <w:szCs w:val="20"/>
          <w:lang w:eastAsia="nl-NL"/>
        </w:rPr>
        <w:t>Wlz</w:t>
      </w:r>
      <w:proofErr w:type="spellEnd"/>
      <w:r w:rsidRPr="005F055E">
        <w:rPr>
          <w:szCs w:val="20"/>
          <w:lang w:eastAsia="nl-NL"/>
        </w:rPr>
        <w:t xml:space="preserve"> kan het zorgkantoor een afspraak maken over spoedzorg middels een aparte prestatie (Z110). Ook reguliere verpleeghuisopnamen in de </w:t>
      </w:r>
      <w:proofErr w:type="spellStart"/>
      <w:r w:rsidRPr="005F055E">
        <w:rPr>
          <w:szCs w:val="20"/>
          <w:lang w:eastAsia="nl-NL"/>
        </w:rPr>
        <w:t>Wlz</w:t>
      </w:r>
      <w:proofErr w:type="spellEnd"/>
      <w:r w:rsidRPr="005F055E">
        <w:rPr>
          <w:szCs w:val="20"/>
          <w:lang w:eastAsia="nl-NL"/>
        </w:rPr>
        <w:t xml:space="preserve"> kunnen een spoedeisend karakter hebben. </w:t>
      </w:r>
    </w:p>
    <w:p w:rsidRPr="005F055E" w:rsidR="00573CF1" w:rsidP="00180EEB" w:rsidRDefault="00573CF1" w14:paraId="7E53C37B" w14:textId="77777777">
      <w:pPr>
        <w:suppressAutoHyphens/>
      </w:pPr>
    </w:p>
    <w:p w:rsidRPr="005F055E" w:rsidR="00912A7D" w:rsidP="00180EEB" w:rsidRDefault="003E7003" w14:paraId="7D35575E" w14:textId="77777777">
      <w:pPr>
        <w:suppressAutoHyphens/>
      </w:pPr>
      <w:r w:rsidRPr="005F055E">
        <w:t>Vraag 100</w:t>
      </w:r>
      <w:r w:rsidRPr="005F055E">
        <w:tab/>
      </w:r>
    </w:p>
    <w:p w:rsidRPr="005F055E" w:rsidR="00912A7D" w:rsidP="00180EEB" w:rsidRDefault="003E7003" w14:paraId="0EFEC1BA" w14:textId="77777777">
      <w:pPr>
        <w:suppressAutoHyphens/>
      </w:pPr>
      <w:r w:rsidRPr="005F055E">
        <w:t>Hoe zagen de jaarlijkse tekorten van intramurale verpleegzorgplekken eruit voor de periode 2002 tot 2025?</w:t>
      </w:r>
      <w:r w:rsidRPr="005F055E">
        <w:tab/>
      </w:r>
    </w:p>
    <w:p w:rsidR="009873CE" w:rsidP="00180EEB" w:rsidRDefault="009873CE" w14:paraId="6C2405B3" w14:textId="77777777">
      <w:pPr>
        <w:suppressAutoHyphens/>
      </w:pPr>
    </w:p>
    <w:p w:rsidR="009873CE" w:rsidP="00180EEB" w:rsidRDefault="009873CE" w14:paraId="17D356EB" w14:textId="77777777">
      <w:pPr>
        <w:suppressAutoHyphens/>
      </w:pPr>
    </w:p>
    <w:p w:rsidRPr="005F055E" w:rsidR="003E7003" w:rsidP="00180EEB" w:rsidRDefault="003E7003" w14:paraId="46F19EF6" w14:textId="3CFB82BD">
      <w:pPr>
        <w:suppressAutoHyphens/>
      </w:pPr>
      <w:r w:rsidRPr="005F055E">
        <w:t>Antwoord</w:t>
      </w:r>
    </w:p>
    <w:p w:rsidRPr="005F055E" w:rsidR="004D1243" w:rsidP="00180EEB" w:rsidRDefault="004D1243" w14:paraId="10C3E573" w14:textId="4BD07E95">
      <w:pPr>
        <w:suppressAutoHyphens/>
        <w:spacing w:line="276" w:lineRule="auto"/>
        <w:rPr>
          <w:kern w:val="2"/>
          <w:szCs w:val="18"/>
          <w14:ligatures w14:val="standardContextual"/>
        </w:rPr>
      </w:pPr>
      <w:r w:rsidRPr="005F055E">
        <w:rPr>
          <w:kern w:val="2"/>
          <w:szCs w:val="18"/>
          <w14:ligatures w14:val="standardContextual"/>
        </w:rPr>
        <w:t>Het ministerie van VWS beschikt niet over cijfers over het jaarlijks tekort aan intramurale verpleeghuisplekken gedurende de periode 2002 - 2025. Er is namelijk geen registratie van het ‘tekort aan plaatsen’ in de intramurale setting.</w:t>
      </w:r>
    </w:p>
    <w:p w:rsidRPr="005F055E" w:rsidR="004D1243" w:rsidP="00180EEB" w:rsidRDefault="004D1243" w14:paraId="0B86CCD5" w14:textId="35C2BF8C">
      <w:pPr>
        <w:suppressAutoHyphens/>
        <w:spacing w:line="276" w:lineRule="auto"/>
        <w:rPr>
          <w:kern w:val="2"/>
          <w:szCs w:val="18"/>
          <w14:ligatures w14:val="standardContextual"/>
        </w:rPr>
      </w:pPr>
      <w:r w:rsidRPr="005F055E">
        <w:rPr>
          <w:kern w:val="2"/>
          <w:szCs w:val="18"/>
          <w14:ligatures w14:val="standardContextual"/>
        </w:rPr>
        <w:t>Het Zorginstituut publiceert wel elke maand de wachtlijstinformatie op www.zorgcijfersdatabank.nl. De wachtlijstcijfers voor verpleeghuizen worden op deze site vermeld vanaf 2015. Daarbij wordt scherp gekeken naar de zorgbehoefte van de wachtende. Daarom wordt in de wachtlijstmonitor onderscheid gemaakt tussen drie categorieën wachtenden: Urgent plaatsen; Actief plaatsen; Wachten op voorkeur.</w:t>
      </w:r>
    </w:p>
    <w:p w:rsidRPr="005F055E" w:rsidR="004D1243" w:rsidP="00180EEB" w:rsidRDefault="004D1243" w14:paraId="5EFB98B8" w14:textId="0B3B2BF0">
      <w:pPr>
        <w:suppressAutoHyphens/>
        <w:spacing w:line="276" w:lineRule="auto"/>
        <w:rPr>
          <w:kern w:val="2"/>
          <w:szCs w:val="18"/>
          <w14:ligatures w14:val="standardContextual"/>
        </w:rPr>
      </w:pPr>
      <w:r w:rsidRPr="005F055E">
        <w:rPr>
          <w:kern w:val="2"/>
          <w:szCs w:val="18"/>
          <w14:ligatures w14:val="standardContextual"/>
        </w:rPr>
        <w:t>Het merendeel van de wachtenden wacht op voorkeur en ontvangt momenteel zorg thuis en er is ook geen dringende noodzaak tot opname in het verpleeghuis. Dit geldt wel voor de urgent wachtenden en de actief te plaatsen cliënten. Voor deze cliënten is er een actief beleid van zorgkantoren om binnen de geldende termijnen, een plek in een verpleeghuis te regelen.</w:t>
      </w:r>
    </w:p>
    <w:p w:rsidRPr="005F055E" w:rsidR="004D1243" w:rsidP="00180EEB" w:rsidRDefault="004D1243" w14:paraId="38BC8467" w14:textId="78115400">
      <w:pPr>
        <w:suppressAutoHyphens/>
        <w:spacing w:line="276" w:lineRule="auto"/>
        <w:rPr>
          <w:kern w:val="2"/>
          <w:szCs w:val="18"/>
          <w14:ligatures w14:val="standardContextual"/>
        </w:rPr>
      </w:pPr>
      <w:r w:rsidRPr="005F055E">
        <w:rPr>
          <w:kern w:val="2"/>
          <w:szCs w:val="18"/>
          <w14:ligatures w14:val="standardContextual"/>
        </w:rPr>
        <w:t xml:space="preserve">De meest recente wachtlijstinformatie voor verpleging en verzorging is van 1 augustus 2025. </w:t>
      </w:r>
    </w:p>
    <w:tbl>
      <w:tblPr>
        <w:tblStyle w:val="TableGrid2"/>
        <w:tblW w:w="0" w:type="auto"/>
        <w:tblLook w:val="04A0" w:firstRow="1" w:lastRow="0" w:firstColumn="1" w:lastColumn="0" w:noHBand="0" w:noVBand="1"/>
      </w:tblPr>
      <w:tblGrid>
        <w:gridCol w:w="2299"/>
        <w:gridCol w:w="1284"/>
        <w:gridCol w:w="1284"/>
        <w:gridCol w:w="1284"/>
        <w:gridCol w:w="1284"/>
      </w:tblGrid>
      <w:tr w:rsidRPr="005F055E" w:rsidR="004D1243" w:rsidTr="005E2643" w14:paraId="7A084BAD" w14:textId="77777777">
        <w:tc>
          <w:tcPr>
            <w:tcW w:w="2299"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3330419B" w14:textId="77777777">
            <w:pPr>
              <w:suppressAutoHyphens/>
              <w:spacing w:line="276" w:lineRule="auto"/>
              <w:rPr>
                <w:rFonts w:ascii="Verdana" w:hAnsi="Verdana"/>
                <w:b/>
                <w:bCs/>
                <w:kern w:val="2"/>
                <w:sz w:val="18"/>
                <w:szCs w:val="18"/>
                <w14:ligatures w14:val="standardContextual"/>
              </w:rPr>
            </w:pPr>
          </w:p>
        </w:tc>
        <w:tc>
          <w:tcPr>
            <w:tcW w:w="1284"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5D519725"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1-8-2022</w:t>
            </w:r>
          </w:p>
        </w:tc>
        <w:tc>
          <w:tcPr>
            <w:tcW w:w="1284"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1E205D5B"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1-8-2023</w:t>
            </w:r>
          </w:p>
        </w:tc>
        <w:tc>
          <w:tcPr>
            <w:tcW w:w="1284"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5AAA29A6"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1-8-2024</w:t>
            </w:r>
          </w:p>
        </w:tc>
        <w:tc>
          <w:tcPr>
            <w:tcW w:w="1284"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4D0CAAFB"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1-8-2025</w:t>
            </w:r>
          </w:p>
        </w:tc>
      </w:tr>
      <w:tr w:rsidRPr="005F055E" w:rsidR="004D1243" w:rsidTr="005E2643" w14:paraId="6AE337A8" w14:textId="77777777">
        <w:tc>
          <w:tcPr>
            <w:tcW w:w="2299" w:type="dxa"/>
            <w:tcBorders>
              <w:top w:val="single" w:color="auto" w:sz="4" w:space="0"/>
              <w:left w:val="single" w:color="auto" w:sz="4" w:space="0"/>
              <w:bottom w:val="single" w:color="auto" w:sz="4" w:space="0"/>
              <w:right w:val="single" w:color="auto" w:sz="4" w:space="0"/>
            </w:tcBorders>
            <w:hideMark/>
          </w:tcPr>
          <w:p w:rsidRPr="005F055E" w:rsidR="004D1243" w:rsidP="00180EEB" w:rsidRDefault="004D1243" w14:paraId="2B4C2CA7"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Urgent plaatsen</w:t>
            </w:r>
          </w:p>
        </w:tc>
        <w:tc>
          <w:tcPr>
            <w:tcW w:w="1284"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2459BF70"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306</w:t>
            </w:r>
          </w:p>
        </w:tc>
        <w:tc>
          <w:tcPr>
            <w:tcW w:w="1284"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2211EB14"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318</w:t>
            </w:r>
          </w:p>
        </w:tc>
        <w:tc>
          <w:tcPr>
            <w:tcW w:w="1284"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24742B5E"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305</w:t>
            </w:r>
          </w:p>
        </w:tc>
        <w:tc>
          <w:tcPr>
            <w:tcW w:w="1284"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17B08B78"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312</w:t>
            </w:r>
          </w:p>
        </w:tc>
      </w:tr>
      <w:tr w:rsidRPr="005F055E" w:rsidR="004D1243" w:rsidTr="005E2643" w14:paraId="106CEA84" w14:textId="77777777">
        <w:tc>
          <w:tcPr>
            <w:tcW w:w="2299" w:type="dxa"/>
            <w:tcBorders>
              <w:top w:val="single" w:color="auto" w:sz="4" w:space="0"/>
              <w:left w:val="single" w:color="auto" w:sz="4" w:space="0"/>
              <w:bottom w:val="single" w:color="auto" w:sz="4" w:space="0"/>
              <w:right w:val="single" w:color="auto" w:sz="4" w:space="0"/>
            </w:tcBorders>
            <w:hideMark/>
          </w:tcPr>
          <w:p w:rsidRPr="005F055E" w:rsidR="004D1243" w:rsidP="00180EEB" w:rsidRDefault="004D1243" w14:paraId="29DB29A9"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Actief plaatsen</w:t>
            </w:r>
          </w:p>
        </w:tc>
        <w:tc>
          <w:tcPr>
            <w:tcW w:w="1284"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57D9F529"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3.848</w:t>
            </w:r>
          </w:p>
        </w:tc>
        <w:tc>
          <w:tcPr>
            <w:tcW w:w="1284"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5F9F0BA5"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3.880</w:t>
            </w:r>
          </w:p>
        </w:tc>
        <w:tc>
          <w:tcPr>
            <w:tcW w:w="1284"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738EAC67"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3.756</w:t>
            </w:r>
          </w:p>
        </w:tc>
        <w:tc>
          <w:tcPr>
            <w:tcW w:w="1284"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4378E819"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3.852</w:t>
            </w:r>
          </w:p>
        </w:tc>
      </w:tr>
      <w:tr w:rsidRPr="005F055E" w:rsidR="004D1243" w:rsidTr="005E2643" w14:paraId="3230D310" w14:textId="77777777">
        <w:tc>
          <w:tcPr>
            <w:tcW w:w="2299" w:type="dxa"/>
            <w:tcBorders>
              <w:top w:val="single" w:color="auto" w:sz="4" w:space="0"/>
              <w:left w:val="single" w:color="auto" w:sz="4" w:space="0"/>
              <w:bottom w:val="single" w:color="auto" w:sz="4" w:space="0"/>
              <w:right w:val="single" w:color="auto" w:sz="4" w:space="0"/>
            </w:tcBorders>
            <w:hideMark/>
          </w:tcPr>
          <w:p w:rsidRPr="005F055E" w:rsidR="004D1243" w:rsidP="00180EEB" w:rsidRDefault="004D1243" w14:paraId="3D6D7EDA"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Wachten op voorkeur</w:t>
            </w:r>
          </w:p>
        </w:tc>
        <w:tc>
          <w:tcPr>
            <w:tcW w:w="1284"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2CA8542D"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16.605</w:t>
            </w:r>
          </w:p>
        </w:tc>
        <w:tc>
          <w:tcPr>
            <w:tcW w:w="1284"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50B21A2A"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17.579</w:t>
            </w:r>
          </w:p>
        </w:tc>
        <w:tc>
          <w:tcPr>
            <w:tcW w:w="1284"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5BA2929A"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16.400</w:t>
            </w:r>
          </w:p>
        </w:tc>
        <w:tc>
          <w:tcPr>
            <w:tcW w:w="1284"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06DEF384"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13.763</w:t>
            </w:r>
          </w:p>
        </w:tc>
      </w:tr>
      <w:tr w:rsidRPr="005F055E" w:rsidR="004D1243" w:rsidTr="005E2643" w14:paraId="17B40748" w14:textId="77777777">
        <w:tc>
          <w:tcPr>
            <w:tcW w:w="2299" w:type="dxa"/>
            <w:tcBorders>
              <w:top w:val="single" w:color="auto" w:sz="4" w:space="0"/>
              <w:left w:val="single" w:color="auto" w:sz="4" w:space="0"/>
              <w:bottom w:val="single" w:color="auto" w:sz="4" w:space="0"/>
              <w:right w:val="single" w:color="auto" w:sz="4" w:space="0"/>
            </w:tcBorders>
            <w:hideMark/>
          </w:tcPr>
          <w:p w:rsidRPr="005F055E" w:rsidR="004D1243" w:rsidP="00180EEB" w:rsidRDefault="004D1243" w14:paraId="161DEAED"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Totaal</w:t>
            </w:r>
          </w:p>
        </w:tc>
        <w:tc>
          <w:tcPr>
            <w:tcW w:w="1284"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14CA3EF9"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20.759</w:t>
            </w:r>
          </w:p>
        </w:tc>
        <w:tc>
          <w:tcPr>
            <w:tcW w:w="1284"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2DDE84C4"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21.777</w:t>
            </w:r>
          </w:p>
        </w:tc>
        <w:tc>
          <w:tcPr>
            <w:tcW w:w="1284"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4C98106B"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20.461</w:t>
            </w:r>
          </w:p>
        </w:tc>
        <w:tc>
          <w:tcPr>
            <w:tcW w:w="1284" w:type="dxa"/>
            <w:tcBorders>
              <w:top w:val="single" w:color="auto" w:sz="4" w:space="0"/>
              <w:left w:val="single" w:color="auto" w:sz="4" w:space="0"/>
              <w:bottom w:val="single" w:color="auto" w:sz="4" w:space="0"/>
              <w:right w:val="single" w:color="auto" w:sz="4" w:space="0"/>
            </w:tcBorders>
          </w:tcPr>
          <w:p w:rsidRPr="005F055E" w:rsidR="004D1243" w:rsidP="00180EEB" w:rsidRDefault="004D1243" w14:paraId="00BAC213"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17.927</w:t>
            </w:r>
          </w:p>
        </w:tc>
      </w:tr>
    </w:tbl>
    <w:p w:rsidRPr="005F055E" w:rsidR="00CF1801" w:rsidP="00180EEB" w:rsidRDefault="00CF1801" w14:paraId="6A97E314" w14:textId="77777777">
      <w:pPr>
        <w:suppressAutoHyphens/>
      </w:pPr>
    </w:p>
    <w:p w:rsidRPr="005F055E" w:rsidR="00912A7D" w:rsidP="00180EEB" w:rsidRDefault="003E7003" w14:paraId="28D994FD" w14:textId="77777777">
      <w:pPr>
        <w:suppressAutoHyphens/>
      </w:pPr>
      <w:r w:rsidRPr="005F055E">
        <w:t>Vraag 101</w:t>
      </w:r>
      <w:r w:rsidRPr="005F055E">
        <w:tab/>
      </w:r>
    </w:p>
    <w:p w:rsidRPr="005F055E" w:rsidR="00912A7D" w:rsidP="00180EEB" w:rsidRDefault="003E7003" w14:paraId="34406A63" w14:textId="263E309B">
      <w:pPr>
        <w:suppressAutoHyphens/>
      </w:pPr>
      <w:r w:rsidRPr="005F055E">
        <w:t>Hoeveel particuliere woonzorginstellingen hebben een winstoogmerk? Wat is hun aandeel in het totaal aanbod?</w:t>
      </w:r>
      <w:r w:rsidRPr="005F055E">
        <w:tab/>
      </w:r>
    </w:p>
    <w:p w:rsidRPr="005F055E" w:rsidR="003E7003" w:rsidP="00180EEB" w:rsidRDefault="003E7003" w14:paraId="3E6C18C9" w14:textId="3E357312">
      <w:pPr>
        <w:suppressAutoHyphens/>
      </w:pPr>
      <w:r w:rsidRPr="005F055E">
        <w:t>Antwoord</w:t>
      </w:r>
    </w:p>
    <w:p w:rsidRPr="005F055E" w:rsidR="004D1243" w:rsidP="00180EEB" w:rsidRDefault="004D1243" w14:paraId="2651B7E7" w14:textId="77777777">
      <w:pPr>
        <w:suppressAutoHyphens/>
        <w:spacing w:line="240" w:lineRule="atLeast"/>
        <w:rPr>
          <w:szCs w:val="18"/>
          <w:lang w:eastAsia="nl-NL"/>
        </w:rPr>
      </w:pPr>
      <w:r w:rsidRPr="005F055E">
        <w:rPr>
          <w:szCs w:val="18"/>
          <w:lang w:eastAsia="nl-NL"/>
        </w:rPr>
        <w:t xml:space="preserve">Binnen de </w:t>
      </w:r>
      <w:proofErr w:type="spellStart"/>
      <w:r w:rsidRPr="005F055E">
        <w:rPr>
          <w:szCs w:val="18"/>
          <w:lang w:eastAsia="nl-NL"/>
        </w:rPr>
        <w:t>Wlz</w:t>
      </w:r>
      <w:proofErr w:type="spellEnd"/>
      <w:r w:rsidRPr="005F055E">
        <w:rPr>
          <w:szCs w:val="18"/>
          <w:lang w:eastAsia="nl-NL"/>
        </w:rPr>
        <w:t xml:space="preserve"> wordt geregistreerd in welke leveringsvorm de zorg geleverd wordt (ZZP, VPT, MPT al dan niet in combinatie met pgb). Er wordt niet geregistreerd welke rechtsvorm de zorgaanbieders hebben en of deze een winstoogmerk hebben.</w:t>
      </w:r>
    </w:p>
    <w:p w:rsidRPr="005F055E" w:rsidR="00912A7D" w:rsidP="00180EEB" w:rsidRDefault="00912A7D" w14:paraId="11BA1F5E" w14:textId="77777777">
      <w:pPr>
        <w:suppressAutoHyphens/>
      </w:pPr>
    </w:p>
    <w:p w:rsidRPr="005F055E" w:rsidR="00912A7D" w:rsidP="00180EEB" w:rsidRDefault="003E7003" w14:paraId="471742E4" w14:textId="77777777">
      <w:pPr>
        <w:suppressAutoHyphens/>
      </w:pPr>
      <w:r w:rsidRPr="005F055E">
        <w:t>Vraag 102</w:t>
      </w:r>
      <w:r w:rsidRPr="005F055E">
        <w:tab/>
      </w:r>
    </w:p>
    <w:p w:rsidRPr="005F055E" w:rsidR="00912A7D" w:rsidP="00180EEB" w:rsidRDefault="003E7003" w14:paraId="31FD8A37" w14:textId="77777777">
      <w:pPr>
        <w:suppressAutoHyphens/>
      </w:pPr>
      <w:r w:rsidRPr="005F055E">
        <w:t>Kunt u een overzicht sturen van wat de winsten van alle particuliere woonzorginstellingen in totaal waren in 2024?</w:t>
      </w:r>
      <w:r w:rsidRPr="005F055E">
        <w:tab/>
      </w:r>
    </w:p>
    <w:p w:rsidRPr="005F055E" w:rsidR="003E7003" w:rsidP="00180EEB" w:rsidRDefault="003E7003" w14:paraId="53FFB38E" w14:textId="626E0688">
      <w:pPr>
        <w:suppressAutoHyphens/>
      </w:pPr>
      <w:r w:rsidRPr="005F055E">
        <w:t>Antwoord</w:t>
      </w:r>
    </w:p>
    <w:p w:rsidRPr="005F055E" w:rsidR="00912A7D" w:rsidP="00180EEB" w:rsidRDefault="004D1243" w14:paraId="7686B23A" w14:textId="4AA01B14">
      <w:pPr>
        <w:suppressAutoHyphens/>
        <w:spacing w:line="240" w:lineRule="atLeast"/>
        <w:rPr>
          <w:szCs w:val="18"/>
          <w:lang w:eastAsia="nl-NL"/>
        </w:rPr>
      </w:pPr>
      <w:r w:rsidRPr="005F055E">
        <w:rPr>
          <w:szCs w:val="18"/>
          <w:lang w:eastAsia="nl-NL"/>
        </w:rPr>
        <w:t>Deze gegevens zijn bij het ministerie van VWS niet bekend waardoor het niet mogelijk is u van een overzicht te voorzien.</w:t>
      </w:r>
    </w:p>
    <w:p w:rsidRPr="005F055E" w:rsidR="00573CF1" w:rsidP="00180EEB" w:rsidRDefault="00573CF1" w14:paraId="20F9E60C" w14:textId="77777777">
      <w:pPr>
        <w:suppressAutoHyphens/>
      </w:pPr>
    </w:p>
    <w:p w:rsidRPr="005F055E" w:rsidR="00912A7D" w:rsidP="00180EEB" w:rsidRDefault="003E7003" w14:paraId="607AC382" w14:textId="77777777">
      <w:pPr>
        <w:suppressAutoHyphens/>
      </w:pPr>
      <w:r w:rsidRPr="005F055E">
        <w:t>Vraag 103</w:t>
      </w:r>
      <w:r w:rsidRPr="005F055E">
        <w:tab/>
      </w:r>
    </w:p>
    <w:p w:rsidRPr="005F055E" w:rsidR="00912A7D" w:rsidP="00180EEB" w:rsidRDefault="003E7003" w14:paraId="2355E7E0" w14:textId="77777777">
      <w:pPr>
        <w:suppressAutoHyphens/>
      </w:pPr>
      <w:r w:rsidRPr="005F055E">
        <w:t>Wat kost het gemiddeld per maand voor een bewoner om in een particuliere woonzorginstelling te wonen? Kunt u dit uitsplitsen per doelgroep?</w:t>
      </w:r>
      <w:r w:rsidRPr="005F055E">
        <w:tab/>
      </w:r>
    </w:p>
    <w:p w:rsidRPr="005F055E" w:rsidR="003E7003" w:rsidP="00180EEB" w:rsidRDefault="003E7003" w14:paraId="139834F1" w14:textId="60AB367B">
      <w:pPr>
        <w:suppressAutoHyphens/>
      </w:pPr>
      <w:r w:rsidRPr="005F055E">
        <w:t>Antwoord</w:t>
      </w:r>
    </w:p>
    <w:p w:rsidRPr="005F055E" w:rsidR="004D1243" w:rsidP="00180EEB" w:rsidRDefault="004D1243" w14:paraId="08D2C6FC" w14:textId="77777777">
      <w:pPr>
        <w:suppressAutoHyphens/>
        <w:spacing w:line="240" w:lineRule="atLeast"/>
        <w:rPr>
          <w:szCs w:val="18"/>
          <w:lang w:eastAsia="nl-NL"/>
        </w:rPr>
      </w:pPr>
      <w:r w:rsidRPr="005F055E">
        <w:rPr>
          <w:szCs w:val="18"/>
          <w:lang w:eastAsia="nl-NL"/>
        </w:rPr>
        <w:t xml:space="preserve">Voor zorg die vanuit de </w:t>
      </w:r>
      <w:proofErr w:type="spellStart"/>
      <w:r w:rsidRPr="005F055E">
        <w:rPr>
          <w:szCs w:val="18"/>
          <w:lang w:eastAsia="nl-NL"/>
        </w:rPr>
        <w:t>Wlz</w:t>
      </w:r>
      <w:proofErr w:type="spellEnd"/>
      <w:r w:rsidRPr="005F055E">
        <w:rPr>
          <w:szCs w:val="18"/>
          <w:lang w:eastAsia="nl-NL"/>
        </w:rPr>
        <w:t xml:space="preserve"> wordt geleverd en bekostigd, betalen de cliënten een eigen bijdrage. Deze inkomensafhankelijke eigen bijdrage is in 2025 minimaal € 205,- per maand en kan oplopen tot € 1.076,60 per maand bij zorg op basis van het scheiden van wonen en zorg (</w:t>
      </w:r>
      <w:proofErr w:type="spellStart"/>
      <w:r w:rsidRPr="005F055E">
        <w:rPr>
          <w:szCs w:val="18"/>
          <w:lang w:eastAsia="nl-NL"/>
        </w:rPr>
        <w:t>vpt</w:t>
      </w:r>
      <w:proofErr w:type="spellEnd"/>
      <w:r w:rsidRPr="005F055E">
        <w:rPr>
          <w:szCs w:val="18"/>
          <w:lang w:eastAsia="nl-NL"/>
        </w:rPr>
        <w:t xml:space="preserve">) en tot € 2.954,40 per maand bij intramurale zorg. </w:t>
      </w:r>
    </w:p>
    <w:p w:rsidRPr="005F055E" w:rsidR="00912A7D" w:rsidP="00180EEB" w:rsidRDefault="004D1243" w14:paraId="5C64EC1E" w14:textId="1B108B94">
      <w:pPr>
        <w:suppressAutoHyphens/>
        <w:spacing w:line="240" w:lineRule="atLeast"/>
        <w:rPr>
          <w:szCs w:val="18"/>
          <w:lang w:eastAsia="nl-NL"/>
        </w:rPr>
      </w:pPr>
      <w:r w:rsidRPr="005F055E">
        <w:rPr>
          <w:szCs w:val="18"/>
          <w:lang w:eastAsia="nl-NL"/>
        </w:rPr>
        <w:t>Indien zorg zonder verblijf geleverd wordt – hetgeen bij de particuliere woonzorginstellingen meestal het geval is – betalen cliënten daarnaast voor huur- en servicekosten. Deze kosten worden binnen de overheid niet geregistreerd. Cliënten kunnen daarbij zelf de afweging maken of de combinatie van het aanbod aan wonen en zorg in particuliere woonzorginstellingen voor hen van meerwaarde is ten opzichte van andere vormen van zorgverlening en het woon/zorgaanbod op andere plekken.</w:t>
      </w:r>
    </w:p>
    <w:p w:rsidRPr="005F055E" w:rsidR="00912A7D" w:rsidP="00180EEB" w:rsidRDefault="00912A7D" w14:paraId="244490BD" w14:textId="77777777">
      <w:pPr>
        <w:suppressAutoHyphens/>
      </w:pPr>
    </w:p>
    <w:p w:rsidRPr="005F055E" w:rsidR="00912A7D" w:rsidP="00180EEB" w:rsidRDefault="003E7003" w14:paraId="1D96EE1D" w14:textId="77777777">
      <w:pPr>
        <w:suppressAutoHyphens/>
      </w:pPr>
      <w:r w:rsidRPr="005F055E">
        <w:t>Vraag 104</w:t>
      </w:r>
      <w:r w:rsidRPr="005F055E">
        <w:tab/>
      </w:r>
    </w:p>
    <w:p w:rsidRPr="005F055E" w:rsidR="00912A7D" w:rsidP="00180EEB" w:rsidRDefault="003E7003" w14:paraId="36B2D6EE" w14:textId="77777777">
      <w:pPr>
        <w:suppressAutoHyphens/>
      </w:pPr>
      <w:r w:rsidRPr="005F055E">
        <w:t>Kunt u een overzicht geven van hoe de wachtlijsten in de verschillende sectoren van de zorg zich sinds 2010 hebben ontwikkeld?</w:t>
      </w:r>
      <w:r w:rsidRPr="005F055E">
        <w:tab/>
      </w:r>
    </w:p>
    <w:p w:rsidRPr="005F055E" w:rsidR="003E7003" w:rsidP="00180EEB" w:rsidRDefault="003E7003" w14:paraId="5133B9AC" w14:textId="42399917">
      <w:pPr>
        <w:suppressAutoHyphens/>
      </w:pPr>
      <w:r w:rsidRPr="005F055E">
        <w:t>Antwoord</w:t>
      </w:r>
    </w:p>
    <w:p w:rsidRPr="005F055E" w:rsidR="004D1243" w:rsidP="00180EEB" w:rsidRDefault="004D1243" w14:paraId="500F4931" w14:textId="012BB06C">
      <w:pPr>
        <w:suppressAutoHyphens/>
        <w:spacing w:line="240" w:lineRule="atLeast"/>
        <w:rPr>
          <w:b/>
          <w:bCs/>
          <w:szCs w:val="18"/>
          <w:lang w:eastAsia="nl-NL"/>
        </w:rPr>
      </w:pPr>
      <w:r w:rsidRPr="005F055E">
        <w:rPr>
          <w:b/>
          <w:bCs/>
          <w:szCs w:val="18"/>
          <w:lang w:eastAsia="nl-NL"/>
        </w:rPr>
        <w:t>Medisch specialistische zorg</w:t>
      </w:r>
      <w:r w:rsidRPr="005F055E">
        <w:rPr>
          <w:b/>
          <w:bCs/>
          <w:szCs w:val="18"/>
          <w:lang w:eastAsia="nl-NL"/>
        </w:rPr>
        <w:br/>
      </w:r>
      <w:r w:rsidRPr="005F055E">
        <w:rPr>
          <w:szCs w:val="18"/>
          <w:lang w:eastAsia="nl-NL"/>
        </w:rPr>
        <w:t>Voor de medisch specialistische behandelingen is er geen inzicht in de wacht</w:t>
      </w:r>
      <w:r w:rsidRPr="005F055E">
        <w:rPr>
          <w:szCs w:val="18"/>
          <w:u w:val="single"/>
          <w:lang w:eastAsia="nl-NL"/>
        </w:rPr>
        <w:t>lijsten</w:t>
      </w:r>
      <w:r w:rsidRPr="005F055E">
        <w:rPr>
          <w:szCs w:val="18"/>
          <w:lang w:eastAsia="nl-NL"/>
        </w:rPr>
        <w:t>. Wel verzamelt de Nederlandse Zorgautoriteit informatie over wacht</w:t>
      </w:r>
      <w:r w:rsidRPr="005F055E">
        <w:rPr>
          <w:szCs w:val="18"/>
          <w:u w:val="single"/>
          <w:lang w:eastAsia="nl-NL"/>
        </w:rPr>
        <w:t>tijden</w:t>
      </w:r>
      <w:r w:rsidRPr="005F055E">
        <w:rPr>
          <w:szCs w:val="18"/>
          <w:lang w:eastAsia="nl-NL"/>
        </w:rPr>
        <w:t xml:space="preserve"> bij medisch specialistische zorgaanbieders conform de Regeling Aanleveren wachttijden medisch-specialistische zorg (NR/REG-2421).</w:t>
      </w:r>
    </w:p>
    <w:p w:rsidRPr="005F055E" w:rsidR="004D1243" w:rsidP="00180EEB" w:rsidRDefault="004D1243" w14:paraId="0BA0EF06" w14:textId="041BC800">
      <w:pPr>
        <w:suppressAutoHyphens/>
        <w:spacing w:line="240" w:lineRule="atLeast"/>
        <w:rPr>
          <w:szCs w:val="18"/>
          <w:lang w:eastAsia="nl-NL"/>
        </w:rPr>
      </w:pPr>
      <w:r w:rsidRPr="005F055E">
        <w:rPr>
          <w:szCs w:val="18"/>
          <w:lang w:eastAsia="nl-NL"/>
        </w:rPr>
        <w:t>Zorgaanbieders leveren op basis van de regeling periodiek de wacht</w:t>
      </w:r>
      <w:r w:rsidRPr="005F055E">
        <w:rPr>
          <w:szCs w:val="18"/>
          <w:u w:val="single"/>
          <w:lang w:eastAsia="nl-NL"/>
        </w:rPr>
        <w:t>tijden</w:t>
      </w:r>
      <w:r w:rsidRPr="005F055E">
        <w:rPr>
          <w:szCs w:val="18"/>
          <w:lang w:eastAsia="nl-NL"/>
        </w:rPr>
        <w:t xml:space="preserve"> aan voor specifieke behandelingen. </w:t>
      </w:r>
    </w:p>
    <w:p w:rsidRPr="005F055E" w:rsidR="004D1243" w:rsidP="00180EEB" w:rsidRDefault="004D1243" w14:paraId="35424A39" w14:textId="2CC4FD98">
      <w:pPr>
        <w:suppressAutoHyphens/>
        <w:spacing w:line="240" w:lineRule="atLeast"/>
        <w:rPr>
          <w:szCs w:val="18"/>
          <w:lang w:eastAsia="nl-NL"/>
        </w:rPr>
      </w:pPr>
      <w:r w:rsidRPr="005F055E">
        <w:rPr>
          <w:szCs w:val="18"/>
          <w:lang w:eastAsia="nl-NL"/>
        </w:rPr>
        <w:t xml:space="preserve">De website </w:t>
      </w:r>
      <w:hyperlink w:history="1" r:id="rId15">
        <w:r w:rsidRPr="005F055E">
          <w:rPr>
            <w:color w:val="0563C1" w:themeColor="hyperlink"/>
            <w:szCs w:val="18"/>
            <w:u w:val="single"/>
            <w:lang w:eastAsia="nl-NL"/>
          </w:rPr>
          <w:t>www.staatvenz.nl</w:t>
        </w:r>
      </w:hyperlink>
      <w:r w:rsidRPr="005F055E">
        <w:rPr>
          <w:szCs w:val="18"/>
          <w:lang w:eastAsia="nl-NL"/>
        </w:rPr>
        <w:t xml:space="preserve"> bevat grafieken met de wacht</w:t>
      </w:r>
      <w:r w:rsidRPr="005F055E">
        <w:rPr>
          <w:szCs w:val="18"/>
          <w:u w:val="single"/>
          <w:lang w:eastAsia="nl-NL"/>
        </w:rPr>
        <w:t>tijden</w:t>
      </w:r>
      <w:r w:rsidRPr="005F055E">
        <w:rPr>
          <w:szCs w:val="18"/>
          <w:lang w:eastAsia="nl-NL"/>
        </w:rPr>
        <w:t xml:space="preserve"> voor medisch specialistische zorg, uitgesplitst naar behandeling, polikliniek en diagnostiek. In deze grafieken</w:t>
      </w:r>
      <w:r w:rsidRPr="005F055E">
        <w:rPr>
          <w:szCs w:val="18"/>
          <w:vertAlign w:val="superscript"/>
          <w:lang w:eastAsia="nl-NL"/>
        </w:rPr>
        <w:footnoteReference w:id="33"/>
      </w:r>
      <w:r w:rsidRPr="005F055E">
        <w:rPr>
          <w:szCs w:val="18"/>
          <w:lang w:eastAsia="nl-NL"/>
        </w:rPr>
        <w:t>,</w:t>
      </w:r>
      <w:r w:rsidRPr="005F055E">
        <w:rPr>
          <w:szCs w:val="18"/>
          <w:vertAlign w:val="superscript"/>
          <w:lang w:eastAsia="nl-NL"/>
        </w:rPr>
        <w:footnoteReference w:id="34"/>
      </w:r>
      <w:r w:rsidRPr="005F055E">
        <w:rPr>
          <w:szCs w:val="18"/>
          <w:lang w:eastAsia="nl-NL"/>
        </w:rPr>
        <w:t>,</w:t>
      </w:r>
      <w:r w:rsidRPr="005F055E">
        <w:rPr>
          <w:szCs w:val="18"/>
          <w:vertAlign w:val="superscript"/>
          <w:lang w:eastAsia="nl-NL"/>
        </w:rPr>
        <w:footnoteReference w:id="35"/>
      </w:r>
      <w:r w:rsidRPr="005F055E">
        <w:rPr>
          <w:szCs w:val="18"/>
          <w:lang w:eastAsia="nl-NL"/>
        </w:rPr>
        <w:t xml:space="preserve"> is een trend zichtbaar dat het percentage wachtenden dat langer wacht dan de Treeknorm stijgt vanaf 2013-2014. Het aantal wachtenden dat langer wacht dan de Treeknorm op een behandeling, lijkt sinds 2022 af te nemen.</w:t>
      </w:r>
      <w:r w:rsidRPr="005F055E" w:rsidR="00D73F76">
        <w:rPr>
          <w:szCs w:val="18"/>
          <w:lang w:eastAsia="nl-NL"/>
        </w:rPr>
        <w:t xml:space="preserve"> </w:t>
      </w:r>
    </w:p>
    <w:p w:rsidRPr="005F055E" w:rsidR="004D1243" w:rsidP="00180EEB" w:rsidRDefault="004D1243" w14:paraId="425DA793" w14:textId="1043F4CA">
      <w:pPr>
        <w:tabs>
          <w:tab w:val="left" w:pos="2220"/>
        </w:tabs>
        <w:suppressAutoHyphens/>
        <w:spacing w:line="240" w:lineRule="atLeast"/>
        <w:rPr>
          <w:b/>
          <w:bCs/>
          <w:szCs w:val="18"/>
          <w:lang w:eastAsia="nl-NL"/>
        </w:rPr>
      </w:pPr>
      <w:r w:rsidRPr="005F055E">
        <w:rPr>
          <w:b/>
          <w:bCs/>
          <w:szCs w:val="18"/>
          <w:lang w:eastAsia="nl-NL"/>
        </w:rPr>
        <w:t>Geestelijke gezondheidszorg</w:t>
      </w:r>
      <w:r w:rsidRPr="005F055E">
        <w:rPr>
          <w:b/>
          <w:bCs/>
          <w:szCs w:val="18"/>
          <w:lang w:eastAsia="nl-NL"/>
        </w:rPr>
        <w:br/>
      </w:r>
      <w:r w:rsidRPr="005F055E">
        <w:rPr>
          <w:szCs w:val="18"/>
          <w:lang w:eastAsia="nl-NL"/>
        </w:rPr>
        <w:t>De Nederlandse Zorgautoriteit publiceert informatie over wacht</w:t>
      </w:r>
      <w:r w:rsidRPr="005F055E">
        <w:rPr>
          <w:szCs w:val="18"/>
          <w:u w:val="single"/>
          <w:lang w:eastAsia="nl-NL"/>
        </w:rPr>
        <w:t>tijden</w:t>
      </w:r>
      <w:r w:rsidRPr="005F055E">
        <w:rPr>
          <w:szCs w:val="18"/>
          <w:lang w:eastAsia="nl-NL"/>
        </w:rPr>
        <w:t xml:space="preserve"> sinds 2018 in de Informatiekaart wachttijden </w:t>
      </w:r>
      <w:r w:rsidR="00D55762">
        <w:rPr>
          <w:szCs w:val="18"/>
          <w:lang w:eastAsia="nl-NL"/>
        </w:rPr>
        <w:t>GGZ</w:t>
      </w:r>
      <w:r w:rsidRPr="005F055E">
        <w:rPr>
          <w:szCs w:val="18"/>
          <w:lang w:eastAsia="nl-NL"/>
        </w:rPr>
        <w:t>. Dit gaat om de geestelijke gezondheidszorg (</w:t>
      </w:r>
      <w:r w:rsidR="00D55762">
        <w:rPr>
          <w:szCs w:val="18"/>
          <w:lang w:eastAsia="nl-NL"/>
        </w:rPr>
        <w:t>GGZ</w:t>
      </w:r>
      <w:r w:rsidRPr="005F055E">
        <w:rPr>
          <w:szCs w:val="18"/>
          <w:lang w:eastAsia="nl-NL"/>
        </w:rPr>
        <w:t xml:space="preserve">) die valt onder zorgverzekeringswet. Vanaf 1 januari 2021 bevat de informatiekaart ook informatie over het aantal mensen op de wachtlijst bij zorgaanbieders met meer dan tien zorgverleners (Informatie kaart Wachttijden </w:t>
      </w:r>
      <w:r w:rsidR="00D55762">
        <w:rPr>
          <w:szCs w:val="18"/>
          <w:lang w:eastAsia="nl-NL"/>
        </w:rPr>
        <w:t>GGZ</w:t>
      </w:r>
      <w:r w:rsidRPr="005F055E">
        <w:rPr>
          <w:szCs w:val="18"/>
          <w:lang w:eastAsia="nl-NL"/>
        </w:rPr>
        <w:t xml:space="preserve"> 2021 – de Nederlandse Zorgautoriteit). Vanaf 2023 spreekt de informatiekaart over wachtplekken in plaats van het aantal wachtenden. Hier wordt het aantal plekken op de wachtlijst bij een </w:t>
      </w:r>
      <w:r w:rsidR="00D55762">
        <w:rPr>
          <w:szCs w:val="18"/>
          <w:lang w:eastAsia="nl-NL"/>
        </w:rPr>
        <w:t>GGZ</w:t>
      </w:r>
      <w:r w:rsidRPr="005F055E">
        <w:rPr>
          <w:szCs w:val="18"/>
          <w:lang w:eastAsia="nl-NL"/>
        </w:rPr>
        <w:t xml:space="preserve">-aanbieder voor aanvang van een intake of behandeling bedoeld, niet het aantal unieke personen dat op de wachtlijst staat. </w:t>
      </w:r>
    </w:p>
    <w:p w:rsidRPr="005F055E" w:rsidR="004D1243" w:rsidP="00180EEB" w:rsidRDefault="004D1243" w14:paraId="7D82121D" w14:textId="605A0597">
      <w:pPr>
        <w:tabs>
          <w:tab w:val="left" w:pos="2220"/>
        </w:tabs>
        <w:suppressAutoHyphens/>
        <w:spacing w:line="240" w:lineRule="atLeast"/>
        <w:rPr>
          <w:szCs w:val="18"/>
          <w:lang w:eastAsia="nl-NL"/>
        </w:rPr>
      </w:pPr>
      <w:r w:rsidRPr="005F055E">
        <w:rPr>
          <w:szCs w:val="18"/>
          <w:lang w:eastAsia="nl-NL"/>
        </w:rPr>
        <w:t xml:space="preserve">De website </w:t>
      </w:r>
      <w:hyperlink w:history="1" r:id="rId16">
        <w:r w:rsidRPr="005F055E">
          <w:rPr>
            <w:color w:val="0563C1" w:themeColor="hyperlink"/>
            <w:szCs w:val="18"/>
            <w:u w:val="single"/>
            <w:lang w:eastAsia="nl-NL"/>
          </w:rPr>
          <w:t>Nederlandse Zorgautoriteit</w:t>
        </w:r>
      </w:hyperlink>
      <w:r w:rsidRPr="005F055E">
        <w:rPr>
          <w:szCs w:val="18"/>
          <w:lang w:eastAsia="nl-NL"/>
        </w:rPr>
        <w:t xml:space="preserve"> bevat de informatiekaarten sinds 2018. Deze geven ook inzicht in het percentage wachtenden dat langer dan wacht dan de Treeknorm, tussen 2021-2024. Op basis hiervan lijkt het aantal wachtplekken sinds 2018 niet te dalen. </w:t>
      </w:r>
      <w:r w:rsidRPr="005F055E">
        <w:rPr>
          <w:szCs w:val="20"/>
          <w:lang w:eastAsia="nl-NL"/>
        </w:rPr>
        <w:t>Toch behoeven deze cijfers ook enige nuance. De stijging komt ook voort uit het gegeven dat we steeds beter inzicht hebben in het aantal wachtplekken omdat steeds meer zorgaanbieders cijfers aanleveren. Dat resulteert ook in een hoger aantal wachtplekken.</w:t>
      </w:r>
      <w:r w:rsidRPr="005F055E">
        <w:rPr>
          <w:szCs w:val="18"/>
          <w:lang w:eastAsia="nl-NL"/>
        </w:rPr>
        <w:br/>
      </w:r>
    </w:p>
    <w:p w:rsidRPr="005F055E" w:rsidR="004D1243" w:rsidP="00180EEB" w:rsidRDefault="004D1243" w14:paraId="580D49A9" w14:textId="3F13A353">
      <w:pPr>
        <w:tabs>
          <w:tab w:val="left" w:pos="2220"/>
        </w:tabs>
        <w:suppressAutoHyphens/>
        <w:spacing w:line="240" w:lineRule="atLeast"/>
        <w:rPr>
          <w:kern w:val="2"/>
          <w:szCs w:val="18"/>
          <w14:ligatures w14:val="standardContextual"/>
        </w:rPr>
      </w:pPr>
      <w:r w:rsidRPr="005F055E">
        <w:rPr>
          <w:b/>
          <w:bCs/>
          <w:szCs w:val="18"/>
          <w:lang w:eastAsia="nl-NL"/>
        </w:rPr>
        <w:t>Langdurige zorg</w:t>
      </w:r>
      <w:bookmarkStart w:name="_Hlk210893218" w:id="23"/>
      <w:r w:rsidRPr="005F055E">
        <w:rPr>
          <w:b/>
          <w:bCs/>
          <w:szCs w:val="18"/>
          <w:lang w:eastAsia="nl-NL"/>
        </w:rPr>
        <w:br/>
      </w:r>
      <w:r w:rsidRPr="005F055E">
        <w:rPr>
          <w:kern w:val="2"/>
          <w:szCs w:val="18"/>
          <w14:ligatures w14:val="standardContextual"/>
        </w:rPr>
        <w:t xml:space="preserve">Het ministerie van VWS beschikt over wachtlijstcijfers voor </w:t>
      </w:r>
      <w:proofErr w:type="spellStart"/>
      <w:r w:rsidRPr="005F055E">
        <w:rPr>
          <w:kern w:val="2"/>
          <w:szCs w:val="18"/>
          <w14:ligatures w14:val="standardContextual"/>
        </w:rPr>
        <w:t>Wlz</w:t>
      </w:r>
      <w:proofErr w:type="spellEnd"/>
      <w:r w:rsidRPr="005F055E">
        <w:rPr>
          <w:kern w:val="2"/>
          <w:szCs w:val="18"/>
          <w14:ligatures w14:val="standardContextual"/>
        </w:rPr>
        <w:t xml:space="preserve"> zorg vanaf 2015. </w:t>
      </w:r>
      <w:bookmarkEnd w:id="23"/>
      <w:r w:rsidRPr="005F055E">
        <w:rPr>
          <w:kern w:val="2"/>
          <w:szCs w:val="18"/>
          <w14:ligatures w14:val="standardContextual"/>
        </w:rPr>
        <w:t xml:space="preserve">In onderstaande tabel treft u deze gegevens aan per sector. Deze gegevens treft u aan op: </w:t>
      </w:r>
      <w:proofErr w:type="spellStart"/>
      <w:r w:rsidRPr="005F055E">
        <w:rPr>
          <w:kern w:val="2"/>
          <w:szCs w:val="18"/>
          <w14:ligatures w14:val="standardContextual"/>
        </w:rPr>
        <w:t>StatLine</w:t>
      </w:r>
      <w:proofErr w:type="spellEnd"/>
      <w:r w:rsidRPr="005F055E">
        <w:rPr>
          <w:kern w:val="2"/>
          <w:szCs w:val="18"/>
          <w14:ligatures w14:val="standardContextual"/>
        </w:rPr>
        <w:t xml:space="preserve"> - Wachtenden in de langdurige zorg; sector, kwartaal (cbs.nl) Meer achtergrondinformatie over deze gegevens treft u aan bij de toelichting op deze tabel op de website van </w:t>
      </w:r>
      <w:proofErr w:type="spellStart"/>
      <w:r w:rsidRPr="005F055E">
        <w:rPr>
          <w:kern w:val="2"/>
          <w:szCs w:val="18"/>
          <w14:ligatures w14:val="standardContextual"/>
        </w:rPr>
        <w:t>StatLine</w:t>
      </w:r>
      <w:proofErr w:type="spellEnd"/>
      <w:r w:rsidRPr="005F055E">
        <w:rPr>
          <w:kern w:val="2"/>
          <w:szCs w:val="18"/>
          <w14:ligatures w14:val="standardContextual"/>
        </w:rPr>
        <w:t>.</w:t>
      </w:r>
    </w:p>
    <w:tbl>
      <w:tblPr>
        <w:tblStyle w:val="TableGrid4"/>
        <w:tblW w:w="8359" w:type="dxa"/>
        <w:tblLayout w:type="fixed"/>
        <w:tblLook w:val="04A0" w:firstRow="1" w:lastRow="0" w:firstColumn="1" w:lastColumn="0" w:noHBand="0" w:noVBand="1"/>
      </w:tblPr>
      <w:tblGrid>
        <w:gridCol w:w="1980"/>
        <w:gridCol w:w="1594"/>
        <w:gridCol w:w="1595"/>
        <w:gridCol w:w="1595"/>
        <w:gridCol w:w="1595"/>
      </w:tblGrid>
      <w:tr w:rsidRPr="005F055E" w:rsidR="004D1243" w:rsidTr="005E2643" w14:paraId="309424B5" w14:textId="77777777">
        <w:tc>
          <w:tcPr>
            <w:tcW w:w="1980" w:type="dxa"/>
          </w:tcPr>
          <w:p w:rsidRPr="005F055E" w:rsidR="004D1243" w:rsidP="00180EEB" w:rsidRDefault="004D1243" w14:paraId="10CFB201" w14:textId="77777777">
            <w:pPr>
              <w:suppressAutoHyphens/>
              <w:spacing w:line="276" w:lineRule="auto"/>
              <w:rPr>
                <w:rFonts w:ascii="Verdana" w:hAnsi="Verdana"/>
                <w:kern w:val="2"/>
                <w:sz w:val="18"/>
                <w:szCs w:val="18"/>
                <w14:ligatures w14:val="standardContextual"/>
              </w:rPr>
            </w:pPr>
          </w:p>
        </w:tc>
        <w:tc>
          <w:tcPr>
            <w:tcW w:w="1594" w:type="dxa"/>
          </w:tcPr>
          <w:p w:rsidRPr="005F055E" w:rsidR="004D1243" w:rsidP="00180EEB" w:rsidRDefault="004D1243" w14:paraId="0AEC7DD9"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 xml:space="preserve">Totaal wachtenden </w:t>
            </w:r>
            <w:proofErr w:type="spellStart"/>
            <w:r w:rsidRPr="005F055E">
              <w:rPr>
                <w:rFonts w:ascii="Verdana" w:hAnsi="Verdana"/>
                <w:b/>
                <w:bCs/>
                <w:kern w:val="2"/>
                <w:sz w:val="18"/>
                <w:szCs w:val="18"/>
                <w14:ligatures w14:val="standardContextual"/>
              </w:rPr>
              <w:t>Wlz</w:t>
            </w:r>
            <w:proofErr w:type="spellEnd"/>
          </w:p>
        </w:tc>
        <w:tc>
          <w:tcPr>
            <w:tcW w:w="1595" w:type="dxa"/>
          </w:tcPr>
          <w:p w:rsidRPr="005F055E" w:rsidR="004D1243" w:rsidP="00180EEB" w:rsidRDefault="004D1243" w14:paraId="2DA4AB20"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Totaal wachtenden zzp Verpleging en verzorging</w:t>
            </w:r>
          </w:p>
        </w:tc>
        <w:tc>
          <w:tcPr>
            <w:tcW w:w="1595" w:type="dxa"/>
          </w:tcPr>
          <w:p w:rsidRPr="005F055E" w:rsidR="004D1243" w:rsidP="00180EEB" w:rsidRDefault="004D1243" w14:paraId="2145B46E"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Totaal wachtenden zzp Gehandicaptenzorg</w:t>
            </w:r>
          </w:p>
        </w:tc>
        <w:tc>
          <w:tcPr>
            <w:tcW w:w="1595" w:type="dxa"/>
          </w:tcPr>
          <w:p w:rsidRPr="005F055E" w:rsidR="004D1243" w:rsidP="00180EEB" w:rsidRDefault="004D1243" w14:paraId="0A27B695"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Totaal wachtenden zzp Geestelijke gezondheidszorg</w:t>
            </w:r>
          </w:p>
        </w:tc>
      </w:tr>
      <w:tr w:rsidRPr="005F055E" w:rsidR="004D1243" w:rsidTr="005E2643" w14:paraId="1166A288" w14:textId="77777777">
        <w:tc>
          <w:tcPr>
            <w:tcW w:w="1980" w:type="dxa"/>
          </w:tcPr>
          <w:p w:rsidRPr="005F055E" w:rsidR="004D1243" w:rsidP="00180EEB" w:rsidRDefault="004D1243" w14:paraId="3E50FE88"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2015 3</w:t>
            </w:r>
            <w:r w:rsidRPr="005F055E">
              <w:rPr>
                <w:rFonts w:ascii="Verdana" w:hAnsi="Verdana"/>
                <w:b/>
                <w:bCs/>
                <w:kern w:val="2"/>
                <w:sz w:val="18"/>
                <w:szCs w:val="18"/>
                <w:vertAlign w:val="superscript"/>
                <w14:ligatures w14:val="standardContextual"/>
              </w:rPr>
              <w:t>e</w:t>
            </w:r>
            <w:r w:rsidRPr="005F055E">
              <w:rPr>
                <w:rFonts w:ascii="Verdana" w:hAnsi="Verdana"/>
                <w:b/>
                <w:bCs/>
                <w:kern w:val="2"/>
                <w:sz w:val="18"/>
                <w:szCs w:val="18"/>
                <w14:ligatures w14:val="standardContextual"/>
              </w:rPr>
              <w:t xml:space="preserve"> kwartaal</w:t>
            </w:r>
          </w:p>
        </w:tc>
        <w:tc>
          <w:tcPr>
            <w:tcW w:w="1594" w:type="dxa"/>
          </w:tcPr>
          <w:p w:rsidRPr="005F055E" w:rsidR="004D1243" w:rsidP="00180EEB" w:rsidRDefault="004D1243" w14:paraId="44418BE3"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13.593</w:t>
            </w:r>
          </w:p>
        </w:tc>
        <w:tc>
          <w:tcPr>
            <w:tcW w:w="1595" w:type="dxa"/>
          </w:tcPr>
          <w:p w:rsidRPr="005F055E" w:rsidR="004D1243" w:rsidP="00180EEB" w:rsidRDefault="004D1243" w14:paraId="21A04D32"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8.860</w:t>
            </w:r>
          </w:p>
        </w:tc>
        <w:tc>
          <w:tcPr>
            <w:tcW w:w="1595" w:type="dxa"/>
          </w:tcPr>
          <w:p w:rsidRPr="005F055E" w:rsidR="004D1243" w:rsidP="00180EEB" w:rsidRDefault="004D1243" w14:paraId="1DBE46D1"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4.628</w:t>
            </w:r>
          </w:p>
        </w:tc>
        <w:tc>
          <w:tcPr>
            <w:tcW w:w="1595" w:type="dxa"/>
          </w:tcPr>
          <w:p w:rsidRPr="005F055E" w:rsidR="004D1243" w:rsidP="00180EEB" w:rsidRDefault="004D1243" w14:paraId="27AF76A0"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105</w:t>
            </w:r>
          </w:p>
        </w:tc>
      </w:tr>
      <w:tr w:rsidRPr="005F055E" w:rsidR="004D1243" w:rsidTr="005E2643" w14:paraId="0E13798D" w14:textId="77777777">
        <w:tc>
          <w:tcPr>
            <w:tcW w:w="1980" w:type="dxa"/>
          </w:tcPr>
          <w:p w:rsidRPr="005F055E" w:rsidR="004D1243" w:rsidP="00180EEB" w:rsidRDefault="004D1243" w14:paraId="2975FD0C"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2016 3</w:t>
            </w:r>
            <w:r w:rsidRPr="005F055E">
              <w:rPr>
                <w:rFonts w:ascii="Verdana" w:hAnsi="Verdana"/>
                <w:b/>
                <w:bCs/>
                <w:kern w:val="2"/>
                <w:sz w:val="18"/>
                <w:szCs w:val="18"/>
                <w:vertAlign w:val="superscript"/>
                <w14:ligatures w14:val="standardContextual"/>
              </w:rPr>
              <w:t>e</w:t>
            </w:r>
            <w:r w:rsidRPr="005F055E">
              <w:rPr>
                <w:rFonts w:ascii="Verdana" w:hAnsi="Verdana"/>
                <w:b/>
                <w:bCs/>
                <w:kern w:val="2"/>
                <w:sz w:val="18"/>
                <w:szCs w:val="18"/>
                <w14:ligatures w14:val="standardContextual"/>
              </w:rPr>
              <w:t xml:space="preserve"> kwartaal</w:t>
            </w:r>
          </w:p>
        </w:tc>
        <w:tc>
          <w:tcPr>
            <w:tcW w:w="1594" w:type="dxa"/>
          </w:tcPr>
          <w:p w:rsidRPr="005F055E" w:rsidR="004D1243" w:rsidP="00180EEB" w:rsidRDefault="004D1243" w14:paraId="2E796D55"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14.767</w:t>
            </w:r>
          </w:p>
        </w:tc>
        <w:tc>
          <w:tcPr>
            <w:tcW w:w="1595" w:type="dxa"/>
          </w:tcPr>
          <w:p w:rsidRPr="005F055E" w:rsidR="004D1243" w:rsidP="00180EEB" w:rsidRDefault="004D1243" w14:paraId="036423A9"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9.775</w:t>
            </w:r>
          </w:p>
        </w:tc>
        <w:tc>
          <w:tcPr>
            <w:tcW w:w="1595" w:type="dxa"/>
          </w:tcPr>
          <w:p w:rsidRPr="005F055E" w:rsidR="004D1243" w:rsidP="00180EEB" w:rsidRDefault="004D1243" w14:paraId="33B8AC57"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4.910</w:t>
            </w:r>
          </w:p>
        </w:tc>
        <w:tc>
          <w:tcPr>
            <w:tcW w:w="1595" w:type="dxa"/>
          </w:tcPr>
          <w:p w:rsidRPr="005F055E" w:rsidR="004D1243" w:rsidP="00180EEB" w:rsidRDefault="004D1243" w14:paraId="4EB843F2"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82</w:t>
            </w:r>
          </w:p>
        </w:tc>
      </w:tr>
      <w:tr w:rsidRPr="005F055E" w:rsidR="004D1243" w:rsidTr="005E2643" w14:paraId="140B48FB" w14:textId="77777777">
        <w:tc>
          <w:tcPr>
            <w:tcW w:w="1980" w:type="dxa"/>
          </w:tcPr>
          <w:p w:rsidRPr="005F055E" w:rsidR="004D1243" w:rsidP="00180EEB" w:rsidRDefault="004D1243" w14:paraId="1C2AD983"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2017 3</w:t>
            </w:r>
            <w:r w:rsidRPr="005F055E">
              <w:rPr>
                <w:rFonts w:ascii="Verdana" w:hAnsi="Verdana"/>
                <w:b/>
                <w:bCs/>
                <w:kern w:val="2"/>
                <w:sz w:val="18"/>
                <w:szCs w:val="18"/>
                <w:vertAlign w:val="superscript"/>
                <w14:ligatures w14:val="standardContextual"/>
              </w:rPr>
              <w:t>e</w:t>
            </w:r>
            <w:r w:rsidRPr="005F055E">
              <w:rPr>
                <w:rFonts w:ascii="Verdana" w:hAnsi="Verdana"/>
                <w:b/>
                <w:bCs/>
                <w:kern w:val="2"/>
                <w:sz w:val="18"/>
                <w:szCs w:val="18"/>
                <w14:ligatures w14:val="standardContextual"/>
              </w:rPr>
              <w:t xml:space="preserve"> kwartaal</w:t>
            </w:r>
          </w:p>
        </w:tc>
        <w:tc>
          <w:tcPr>
            <w:tcW w:w="1594" w:type="dxa"/>
          </w:tcPr>
          <w:p w:rsidRPr="005F055E" w:rsidR="004D1243" w:rsidP="00180EEB" w:rsidRDefault="004D1243" w14:paraId="32E72E6A"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13.507</w:t>
            </w:r>
          </w:p>
        </w:tc>
        <w:tc>
          <w:tcPr>
            <w:tcW w:w="1595" w:type="dxa"/>
          </w:tcPr>
          <w:p w:rsidRPr="005F055E" w:rsidR="004D1243" w:rsidP="00180EEB" w:rsidRDefault="004D1243" w14:paraId="69EC5858"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9.403</w:t>
            </w:r>
          </w:p>
        </w:tc>
        <w:tc>
          <w:tcPr>
            <w:tcW w:w="1595" w:type="dxa"/>
          </w:tcPr>
          <w:p w:rsidRPr="005F055E" w:rsidR="004D1243" w:rsidP="00180EEB" w:rsidRDefault="004D1243" w14:paraId="2B061EE2"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4.039</w:t>
            </w:r>
          </w:p>
        </w:tc>
        <w:tc>
          <w:tcPr>
            <w:tcW w:w="1595" w:type="dxa"/>
          </w:tcPr>
          <w:p w:rsidRPr="005F055E" w:rsidR="004D1243" w:rsidP="00180EEB" w:rsidRDefault="004D1243" w14:paraId="24DB81B2"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65</w:t>
            </w:r>
          </w:p>
        </w:tc>
      </w:tr>
      <w:tr w:rsidRPr="005F055E" w:rsidR="004D1243" w:rsidTr="005E2643" w14:paraId="2D1BD92B" w14:textId="77777777">
        <w:tc>
          <w:tcPr>
            <w:tcW w:w="1980" w:type="dxa"/>
          </w:tcPr>
          <w:p w:rsidRPr="005F055E" w:rsidR="004D1243" w:rsidP="00180EEB" w:rsidRDefault="004D1243" w14:paraId="0FFB8B52"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2018 3</w:t>
            </w:r>
            <w:r w:rsidRPr="005F055E">
              <w:rPr>
                <w:rFonts w:ascii="Verdana" w:hAnsi="Verdana"/>
                <w:b/>
                <w:bCs/>
                <w:kern w:val="2"/>
                <w:sz w:val="18"/>
                <w:szCs w:val="18"/>
                <w:vertAlign w:val="superscript"/>
                <w14:ligatures w14:val="standardContextual"/>
              </w:rPr>
              <w:t>e</w:t>
            </w:r>
            <w:r w:rsidRPr="005F055E">
              <w:rPr>
                <w:rFonts w:ascii="Verdana" w:hAnsi="Verdana"/>
                <w:b/>
                <w:bCs/>
                <w:kern w:val="2"/>
                <w:sz w:val="18"/>
                <w:szCs w:val="18"/>
                <w14:ligatures w14:val="standardContextual"/>
              </w:rPr>
              <w:t xml:space="preserve"> kwartaal</w:t>
            </w:r>
          </w:p>
        </w:tc>
        <w:tc>
          <w:tcPr>
            <w:tcW w:w="1594" w:type="dxa"/>
          </w:tcPr>
          <w:p w:rsidRPr="005F055E" w:rsidR="004D1243" w:rsidP="00180EEB" w:rsidRDefault="004D1243" w14:paraId="401C7CDD"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w:t>
            </w:r>
          </w:p>
        </w:tc>
        <w:tc>
          <w:tcPr>
            <w:tcW w:w="1595" w:type="dxa"/>
          </w:tcPr>
          <w:p w:rsidRPr="005F055E" w:rsidR="004D1243" w:rsidP="00180EEB" w:rsidRDefault="004D1243" w14:paraId="1FEF0D58"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w:t>
            </w:r>
          </w:p>
        </w:tc>
        <w:tc>
          <w:tcPr>
            <w:tcW w:w="1595" w:type="dxa"/>
          </w:tcPr>
          <w:p w:rsidRPr="005F055E" w:rsidR="004D1243" w:rsidP="00180EEB" w:rsidRDefault="004D1243" w14:paraId="30DFA164"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w:t>
            </w:r>
          </w:p>
        </w:tc>
        <w:tc>
          <w:tcPr>
            <w:tcW w:w="1595" w:type="dxa"/>
          </w:tcPr>
          <w:p w:rsidRPr="005F055E" w:rsidR="004D1243" w:rsidP="00180EEB" w:rsidRDefault="004D1243" w14:paraId="0E3F4A8E"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w:t>
            </w:r>
          </w:p>
        </w:tc>
      </w:tr>
      <w:tr w:rsidRPr="005F055E" w:rsidR="004D1243" w:rsidTr="005E2643" w14:paraId="504196ED" w14:textId="77777777">
        <w:tc>
          <w:tcPr>
            <w:tcW w:w="1980" w:type="dxa"/>
          </w:tcPr>
          <w:p w:rsidRPr="005F055E" w:rsidR="004D1243" w:rsidP="00180EEB" w:rsidRDefault="004D1243" w14:paraId="20670736"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2019 3</w:t>
            </w:r>
            <w:r w:rsidRPr="005F055E">
              <w:rPr>
                <w:rFonts w:ascii="Verdana" w:hAnsi="Verdana"/>
                <w:b/>
                <w:bCs/>
                <w:kern w:val="2"/>
                <w:sz w:val="18"/>
                <w:szCs w:val="18"/>
                <w:vertAlign w:val="superscript"/>
                <w14:ligatures w14:val="standardContextual"/>
              </w:rPr>
              <w:t>e</w:t>
            </w:r>
            <w:r w:rsidRPr="005F055E">
              <w:rPr>
                <w:rFonts w:ascii="Verdana" w:hAnsi="Verdana"/>
                <w:b/>
                <w:bCs/>
                <w:kern w:val="2"/>
                <w:sz w:val="18"/>
                <w:szCs w:val="18"/>
                <w14:ligatures w14:val="standardContextual"/>
              </w:rPr>
              <w:t xml:space="preserve"> kwartaal</w:t>
            </w:r>
          </w:p>
        </w:tc>
        <w:tc>
          <w:tcPr>
            <w:tcW w:w="1594" w:type="dxa"/>
          </w:tcPr>
          <w:p w:rsidRPr="005F055E" w:rsidR="004D1243" w:rsidP="00180EEB" w:rsidRDefault="004D1243" w14:paraId="2B8C6C20"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18.998</w:t>
            </w:r>
          </w:p>
        </w:tc>
        <w:tc>
          <w:tcPr>
            <w:tcW w:w="1595" w:type="dxa"/>
          </w:tcPr>
          <w:p w:rsidRPr="005F055E" w:rsidR="004D1243" w:rsidP="00180EEB" w:rsidRDefault="004D1243" w14:paraId="451CC25E"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16.424</w:t>
            </w:r>
          </w:p>
        </w:tc>
        <w:tc>
          <w:tcPr>
            <w:tcW w:w="1595" w:type="dxa"/>
          </w:tcPr>
          <w:p w:rsidRPr="005F055E" w:rsidR="004D1243" w:rsidP="00180EEB" w:rsidRDefault="004D1243" w14:paraId="7B597992"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2.558</w:t>
            </w:r>
          </w:p>
        </w:tc>
        <w:tc>
          <w:tcPr>
            <w:tcW w:w="1595" w:type="dxa"/>
          </w:tcPr>
          <w:p w:rsidRPr="005F055E" w:rsidR="004D1243" w:rsidP="00180EEB" w:rsidRDefault="004D1243" w14:paraId="3299C5AF"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16</w:t>
            </w:r>
          </w:p>
        </w:tc>
      </w:tr>
      <w:tr w:rsidRPr="005F055E" w:rsidR="004D1243" w:rsidTr="005E2643" w14:paraId="370BE34C" w14:textId="77777777">
        <w:tc>
          <w:tcPr>
            <w:tcW w:w="1980" w:type="dxa"/>
          </w:tcPr>
          <w:p w:rsidRPr="005F055E" w:rsidR="004D1243" w:rsidP="00180EEB" w:rsidRDefault="004D1243" w14:paraId="7F47DF74"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2020 3</w:t>
            </w:r>
            <w:r w:rsidRPr="005F055E">
              <w:rPr>
                <w:rFonts w:ascii="Verdana" w:hAnsi="Verdana"/>
                <w:b/>
                <w:bCs/>
                <w:kern w:val="2"/>
                <w:sz w:val="18"/>
                <w:szCs w:val="18"/>
                <w:vertAlign w:val="superscript"/>
                <w14:ligatures w14:val="standardContextual"/>
              </w:rPr>
              <w:t>e</w:t>
            </w:r>
            <w:r w:rsidRPr="005F055E">
              <w:rPr>
                <w:rFonts w:ascii="Verdana" w:hAnsi="Verdana"/>
                <w:b/>
                <w:bCs/>
                <w:kern w:val="2"/>
                <w:sz w:val="18"/>
                <w:szCs w:val="18"/>
                <w14:ligatures w14:val="standardContextual"/>
              </w:rPr>
              <w:t xml:space="preserve"> kwartaal</w:t>
            </w:r>
          </w:p>
        </w:tc>
        <w:tc>
          <w:tcPr>
            <w:tcW w:w="1594" w:type="dxa"/>
          </w:tcPr>
          <w:p w:rsidRPr="005F055E" w:rsidR="004D1243" w:rsidP="00180EEB" w:rsidRDefault="004D1243" w14:paraId="035471C9"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23.282</w:t>
            </w:r>
          </w:p>
        </w:tc>
        <w:tc>
          <w:tcPr>
            <w:tcW w:w="1595" w:type="dxa"/>
          </w:tcPr>
          <w:p w:rsidRPr="005F055E" w:rsidR="004D1243" w:rsidP="00180EEB" w:rsidRDefault="004D1243" w14:paraId="599DDD3F"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20.661</w:t>
            </w:r>
          </w:p>
        </w:tc>
        <w:tc>
          <w:tcPr>
            <w:tcW w:w="1595" w:type="dxa"/>
          </w:tcPr>
          <w:p w:rsidRPr="005F055E" w:rsidR="004D1243" w:rsidP="00180EEB" w:rsidRDefault="004D1243" w14:paraId="183DA0B2"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2.558</w:t>
            </w:r>
          </w:p>
        </w:tc>
        <w:tc>
          <w:tcPr>
            <w:tcW w:w="1595" w:type="dxa"/>
          </w:tcPr>
          <w:p w:rsidRPr="005F055E" w:rsidR="004D1243" w:rsidP="00180EEB" w:rsidRDefault="004D1243" w14:paraId="0F4A78E0"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33</w:t>
            </w:r>
          </w:p>
        </w:tc>
      </w:tr>
      <w:tr w:rsidRPr="005F055E" w:rsidR="004D1243" w:rsidTr="005E2643" w14:paraId="7DA746D1" w14:textId="77777777">
        <w:tc>
          <w:tcPr>
            <w:tcW w:w="1980" w:type="dxa"/>
          </w:tcPr>
          <w:p w:rsidRPr="005F055E" w:rsidR="004D1243" w:rsidP="00180EEB" w:rsidRDefault="004D1243" w14:paraId="5E1B9DBE"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2021 3</w:t>
            </w:r>
            <w:r w:rsidRPr="005F055E">
              <w:rPr>
                <w:rFonts w:ascii="Verdana" w:hAnsi="Verdana"/>
                <w:b/>
                <w:bCs/>
                <w:kern w:val="2"/>
                <w:sz w:val="18"/>
                <w:szCs w:val="18"/>
                <w:vertAlign w:val="superscript"/>
                <w14:ligatures w14:val="standardContextual"/>
              </w:rPr>
              <w:t>e</w:t>
            </w:r>
            <w:r w:rsidRPr="005F055E">
              <w:rPr>
                <w:rFonts w:ascii="Verdana" w:hAnsi="Verdana"/>
                <w:b/>
                <w:bCs/>
                <w:kern w:val="2"/>
                <w:sz w:val="18"/>
                <w:szCs w:val="18"/>
                <w14:ligatures w14:val="standardContextual"/>
              </w:rPr>
              <w:t xml:space="preserve"> kwartaal</w:t>
            </w:r>
          </w:p>
        </w:tc>
        <w:tc>
          <w:tcPr>
            <w:tcW w:w="1594" w:type="dxa"/>
          </w:tcPr>
          <w:p w:rsidRPr="005F055E" w:rsidR="004D1243" w:rsidP="00180EEB" w:rsidRDefault="004D1243" w14:paraId="647F78A2"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18.001</w:t>
            </w:r>
          </w:p>
        </w:tc>
        <w:tc>
          <w:tcPr>
            <w:tcW w:w="1595" w:type="dxa"/>
          </w:tcPr>
          <w:p w:rsidRPr="005F055E" w:rsidR="004D1243" w:rsidP="00180EEB" w:rsidRDefault="004D1243" w14:paraId="0943CD4D"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15.735</w:t>
            </w:r>
          </w:p>
        </w:tc>
        <w:tc>
          <w:tcPr>
            <w:tcW w:w="1595" w:type="dxa"/>
          </w:tcPr>
          <w:p w:rsidRPr="005F055E" w:rsidR="004D1243" w:rsidP="00180EEB" w:rsidRDefault="004D1243" w14:paraId="0927AC69"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1.821</w:t>
            </w:r>
          </w:p>
        </w:tc>
        <w:tc>
          <w:tcPr>
            <w:tcW w:w="1595" w:type="dxa"/>
          </w:tcPr>
          <w:p w:rsidRPr="005F055E" w:rsidR="004D1243" w:rsidP="00180EEB" w:rsidRDefault="004D1243" w14:paraId="520DFCC7"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445</w:t>
            </w:r>
          </w:p>
        </w:tc>
      </w:tr>
      <w:tr w:rsidRPr="005F055E" w:rsidR="004D1243" w:rsidTr="005E2643" w14:paraId="361EC45C" w14:textId="77777777">
        <w:tc>
          <w:tcPr>
            <w:tcW w:w="1980" w:type="dxa"/>
          </w:tcPr>
          <w:p w:rsidRPr="005F055E" w:rsidR="004D1243" w:rsidP="00180EEB" w:rsidRDefault="004D1243" w14:paraId="1554A8AE"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2022 3</w:t>
            </w:r>
            <w:r w:rsidRPr="005F055E">
              <w:rPr>
                <w:rFonts w:ascii="Verdana" w:hAnsi="Verdana"/>
                <w:b/>
                <w:bCs/>
                <w:kern w:val="2"/>
                <w:sz w:val="18"/>
                <w:szCs w:val="18"/>
                <w:vertAlign w:val="superscript"/>
                <w14:ligatures w14:val="standardContextual"/>
              </w:rPr>
              <w:t>e</w:t>
            </w:r>
            <w:r w:rsidRPr="005F055E">
              <w:rPr>
                <w:rFonts w:ascii="Verdana" w:hAnsi="Verdana"/>
                <w:b/>
                <w:bCs/>
                <w:kern w:val="2"/>
                <w:sz w:val="18"/>
                <w:szCs w:val="18"/>
                <w14:ligatures w14:val="standardContextual"/>
              </w:rPr>
              <w:t xml:space="preserve"> kwartaal</w:t>
            </w:r>
          </w:p>
        </w:tc>
        <w:tc>
          <w:tcPr>
            <w:tcW w:w="1594" w:type="dxa"/>
          </w:tcPr>
          <w:p w:rsidRPr="005F055E" w:rsidR="004D1243" w:rsidP="00180EEB" w:rsidRDefault="004D1243" w14:paraId="6BD7CC49"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21.653</w:t>
            </w:r>
          </w:p>
        </w:tc>
        <w:tc>
          <w:tcPr>
            <w:tcW w:w="1595" w:type="dxa"/>
          </w:tcPr>
          <w:p w:rsidRPr="005F055E" w:rsidR="004D1243" w:rsidP="00180EEB" w:rsidRDefault="004D1243" w14:paraId="50C50BBF"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19.192</w:t>
            </w:r>
          </w:p>
        </w:tc>
        <w:tc>
          <w:tcPr>
            <w:tcW w:w="1595" w:type="dxa"/>
          </w:tcPr>
          <w:p w:rsidRPr="005F055E" w:rsidR="004D1243" w:rsidP="00180EEB" w:rsidRDefault="004D1243" w14:paraId="326088B6"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1.770</w:t>
            </w:r>
          </w:p>
        </w:tc>
        <w:tc>
          <w:tcPr>
            <w:tcW w:w="1595" w:type="dxa"/>
          </w:tcPr>
          <w:p w:rsidRPr="005F055E" w:rsidR="004D1243" w:rsidP="00180EEB" w:rsidRDefault="004D1243" w14:paraId="3C697E4A"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691</w:t>
            </w:r>
          </w:p>
        </w:tc>
      </w:tr>
      <w:tr w:rsidRPr="005F055E" w:rsidR="004D1243" w:rsidTr="005E2643" w14:paraId="4426E380" w14:textId="77777777">
        <w:tc>
          <w:tcPr>
            <w:tcW w:w="1980" w:type="dxa"/>
          </w:tcPr>
          <w:p w:rsidRPr="005F055E" w:rsidR="004D1243" w:rsidP="00180EEB" w:rsidRDefault="004D1243" w14:paraId="555FD157"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2023 3</w:t>
            </w:r>
            <w:r w:rsidRPr="005F055E">
              <w:rPr>
                <w:rFonts w:ascii="Verdana" w:hAnsi="Verdana"/>
                <w:b/>
                <w:bCs/>
                <w:kern w:val="2"/>
                <w:sz w:val="18"/>
                <w:szCs w:val="18"/>
                <w:vertAlign w:val="superscript"/>
                <w14:ligatures w14:val="standardContextual"/>
              </w:rPr>
              <w:t>e</w:t>
            </w:r>
            <w:r w:rsidRPr="005F055E">
              <w:rPr>
                <w:rFonts w:ascii="Verdana" w:hAnsi="Verdana"/>
                <w:b/>
                <w:bCs/>
                <w:kern w:val="2"/>
                <w:sz w:val="18"/>
                <w:szCs w:val="18"/>
                <w14:ligatures w14:val="standardContextual"/>
              </w:rPr>
              <w:t xml:space="preserve"> kwartaal</w:t>
            </w:r>
          </w:p>
        </w:tc>
        <w:tc>
          <w:tcPr>
            <w:tcW w:w="1594" w:type="dxa"/>
          </w:tcPr>
          <w:p w:rsidRPr="005F055E" w:rsidR="004D1243" w:rsidP="00180EEB" w:rsidRDefault="004D1243" w14:paraId="57EEE13A"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23.679</w:t>
            </w:r>
          </w:p>
        </w:tc>
        <w:tc>
          <w:tcPr>
            <w:tcW w:w="1595" w:type="dxa"/>
          </w:tcPr>
          <w:p w:rsidRPr="005F055E" w:rsidR="004D1243" w:rsidP="00180EEB" w:rsidRDefault="004D1243" w14:paraId="02435A1F"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21.209</w:t>
            </w:r>
          </w:p>
        </w:tc>
        <w:tc>
          <w:tcPr>
            <w:tcW w:w="1595" w:type="dxa"/>
          </w:tcPr>
          <w:p w:rsidRPr="005F055E" w:rsidR="004D1243" w:rsidP="00180EEB" w:rsidRDefault="004D1243" w14:paraId="6CE507E3"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1.808</w:t>
            </w:r>
          </w:p>
        </w:tc>
        <w:tc>
          <w:tcPr>
            <w:tcW w:w="1595" w:type="dxa"/>
          </w:tcPr>
          <w:p w:rsidRPr="005F055E" w:rsidR="004D1243" w:rsidP="00180EEB" w:rsidRDefault="004D1243" w14:paraId="296C8B40"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662</w:t>
            </w:r>
          </w:p>
        </w:tc>
      </w:tr>
      <w:tr w:rsidRPr="005F055E" w:rsidR="004D1243" w:rsidTr="005E2643" w14:paraId="4108108B" w14:textId="77777777">
        <w:tc>
          <w:tcPr>
            <w:tcW w:w="1980" w:type="dxa"/>
          </w:tcPr>
          <w:p w:rsidRPr="005F055E" w:rsidR="004D1243" w:rsidP="00180EEB" w:rsidRDefault="004D1243" w14:paraId="22F289C2"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2024 3</w:t>
            </w:r>
            <w:r w:rsidRPr="005F055E">
              <w:rPr>
                <w:rFonts w:ascii="Verdana" w:hAnsi="Verdana"/>
                <w:b/>
                <w:bCs/>
                <w:kern w:val="2"/>
                <w:sz w:val="18"/>
                <w:szCs w:val="18"/>
                <w:vertAlign w:val="superscript"/>
                <w14:ligatures w14:val="standardContextual"/>
              </w:rPr>
              <w:t>e</w:t>
            </w:r>
            <w:r w:rsidRPr="005F055E">
              <w:rPr>
                <w:rFonts w:ascii="Verdana" w:hAnsi="Verdana"/>
                <w:b/>
                <w:bCs/>
                <w:kern w:val="2"/>
                <w:sz w:val="18"/>
                <w:szCs w:val="18"/>
                <w14:ligatures w14:val="standardContextual"/>
              </w:rPr>
              <w:t xml:space="preserve"> kwartaal</w:t>
            </w:r>
          </w:p>
        </w:tc>
        <w:tc>
          <w:tcPr>
            <w:tcW w:w="1594" w:type="dxa"/>
          </w:tcPr>
          <w:p w:rsidRPr="005F055E" w:rsidR="004D1243" w:rsidP="00180EEB" w:rsidRDefault="004D1243" w14:paraId="4D9B8C4D"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22.745</w:t>
            </w:r>
          </w:p>
        </w:tc>
        <w:tc>
          <w:tcPr>
            <w:tcW w:w="1595" w:type="dxa"/>
          </w:tcPr>
          <w:p w:rsidRPr="005F055E" w:rsidR="004D1243" w:rsidP="00180EEB" w:rsidRDefault="004D1243" w14:paraId="636241FC"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20.304</w:t>
            </w:r>
          </w:p>
        </w:tc>
        <w:tc>
          <w:tcPr>
            <w:tcW w:w="1595" w:type="dxa"/>
          </w:tcPr>
          <w:p w:rsidRPr="005F055E" w:rsidR="004D1243" w:rsidP="00180EEB" w:rsidRDefault="004D1243" w14:paraId="4B8A3C7C"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1.771</w:t>
            </w:r>
          </w:p>
        </w:tc>
        <w:tc>
          <w:tcPr>
            <w:tcW w:w="1595" w:type="dxa"/>
          </w:tcPr>
          <w:p w:rsidRPr="005F055E" w:rsidR="004D1243" w:rsidP="00180EEB" w:rsidRDefault="004D1243" w14:paraId="113F3605"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670</w:t>
            </w:r>
          </w:p>
        </w:tc>
      </w:tr>
      <w:tr w:rsidRPr="005F055E" w:rsidR="004D1243" w:rsidTr="005E2643" w14:paraId="081D773B" w14:textId="77777777">
        <w:tc>
          <w:tcPr>
            <w:tcW w:w="1980" w:type="dxa"/>
          </w:tcPr>
          <w:p w:rsidRPr="005F055E" w:rsidR="004D1243" w:rsidP="00180EEB" w:rsidRDefault="004D1243" w14:paraId="6D6F7D35"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2025 3</w:t>
            </w:r>
            <w:r w:rsidRPr="005F055E">
              <w:rPr>
                <w:rFonts w:ascii="Verdana" w:hAnsi="Verdana"/>
                <w:b/>
                <w:bCs/>
                <w:kern w:val="2"/>
                <w:sz w:val="18"/>
                <w:szCs w:val="18"/>
                <w:vertAlign w:val="superscript"/>
                <w14:ligatures w14:val="standardContextual"/>
              </w:rPr>
              <w:t>e</w:t>
            </w:r>
            <w:r w:rsidRPr="005F055E">
              <w:rPr>
                <w:rFonts w:ascii="Verdana" w:hAnsi="Verdana"/>
                <w:b/>
                <w:bCs/>
                <w:kern w:val="2"/>
                <w:sz w:val="18"/>
                <w:szCs w:val="18"/>
                <w14:ligatures w14:val="standardContextual"/>
              </w:rPr>
              <w:t xml:space="preserve"> kwartaal</w:t>
            </w:r>
          </w:p>
        </w:tc>
        <w:tc>
          <w:tcPr>
            <w:tcW w:w="1594" w:type="dxa"/>
          </w:tcPr>
          <w:p w:rsidRPr="005F055E" w:rsidR="004D1243" w:rsidP="00180EEB" w:rsidRDefault="004D1243" w14:paraId="69235CDA"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19.991</w:t>
            </w:r>
          </w:p>
        </w:tc>
        <w:tc>
          <w:tcPr>
            <w:tcW w:w="1595" w:type="dxa"/>
          </w:tcPr>
          <w:p w:rsidRPr="005F055E" w:rsidR="004D1243" w:rsidP="00180EEB" w:rsidRDefault="004D1243" w14:paraId="0CAE081E"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17.638</w:t>
            </w:r>
          </w:p>
        </w:tc>
        <w:tc>
          <w:tcPr>
            <w:tcW w:w="1595" w:type="dxa"/>
          </w:tcPr>
          <w:p w:rsidRPr="005F055E" w:rsidR="004D1243" w:rsidP="00180EEB" w:rsidRDefault="004D1243" w14:paraId="0B7A101D"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1.711</w:t>
            </w:r>
          </w:p>
        </w:tc>
        <w:tc>
          <w:tcPr>
            <w:tcW w:w="1595" w:type="dxa"/>
          </w:tcPr>
          <w:p w:rsidRPr="005F055E" w:rsidR="004D1243" w:rsidP="00180EEB" w:rsidRDefault="004D1243" w14:paraId="64C8D843"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642</w:t>
            </w:r>
          </w:p>
        </w:tc>
      </w:tr>
    </w:tbl>
    <w:p w:rsidRPr="005F055E" w:rsidR="004D1243" w:rsidP="00180EEB" w:rsidRDefault="004D1243" w14:paraId="6D73D3B2" w14:textId="77777777">
      <w:pPr>
        <w:suppressAutoHyphens/>
        <w:spacing w:line="276" w:lineRule="auto"/>
        <w:rPr>
          <w:kern w:val="2"/>
          <w:szCs w:val="18"/>
          <w14:ligatures w14:val="standardContextual"/>
        </w:rPr>
      </w:pPr>
    </w:p>
    <w:p w:rsidRPr="005F055E" w:rsidR="004D1243" w:rsidP="00180EEB" w:rsidRDefault="004D1243" w14:paraId="42E41446" w14:textId="42EA93B3">
      <w:pPr>
        <w:suppressAutoHyphens/>
        <w:spacing w:line="276" w:lineRule="auto"/>
        <w:rPr>
          <w:kern w:val="2"/>
          <w:szCs w:val="18"/>
          <w14:ligatures w14:val="standardContextual"/>
        </w:rPr>
      </w:pPr>
      <w:r w:rsidRPr="005F055E">
        <w:rPr>
          <w:kern w:val="2"/>
          <w:szCs w:val="18"/>
          <w14:ligatures w14:val="standardContextual"/>
        </w:rPr>
        <w:t>De cijfers van het derde kwartaal in 2025 zijn voorlopige cijfers.</w:t>
      </w:r>
    </w:p>
    <w:p w:rsidRPr="005F055E" w:rsidR="00912A7D" w:rsidP="00180EEB" w:rsidRDefault="00912A7D" w14:paraId="242604F8" w14:textId="77777777">
      <w:pPr>
        <w:suppressAutoHyphens/>
      </w:pPr>
    </w:p>
    <w:p w:rsidRPr="005F055E" w:rsidR="00912A7D" w:rsidP="00180EEB" w:rsidRDefault="003E7003" w14:paraId="5322D0F8" w14:textId="77777777">
      <w:pPr>
        <w:suppressAutoHyphens/>
      </w:pPr>
      <w:r w:rsidRPr="005F055E">
        <w:t>Vraag 105</w:t>
      </w:r>
      <w:r w:rsidRPr="005F055E">
        <w:tab/>
      </w:r>
    </w:p>
    <w:p w:rsidRPr="005F055E" w:rsidR="00912A7D" w:rsidP="00180EEB" w:rsidRDefault="003E7003" w14:paraId="11379A92" w14:textId="77777777">
      <w:pPr>
        <w:suppressAutoHyphens/>
      </w:pPr>
      <w:r w:rsidRPr="005F055E">
        <w:t>Hoeveel mensen staan er momenteel op de wachtlijst voor het verpleeghuis?</w:t>
      </w:r>
      <w:r w:rsidRPr="005F055E">
        <w:tab/>
      </w:r>
    </w:p>
    <w:p w:rsidRPr="005F055E" w:rsidR="003E7003" w:rsidP="00180EEB" w:rsidRDefault="003E7003" w14:paraId="4866D732" w14:textId="79B78A0A">
      <w:pPr>
        <w:suppressAutoHyphens/>
      </w:pPr>
      <w:r w:rsidRPr="005F055E">
        <w:t>Antwoord</w:t>
      </w:r>
    </w:p>
    <w:p w:rsidRPr="005F055E" w:rsidR="004D1243" w:rsidP="00180EEB" w:rsidRDefault="004D1243" w14:paraId="445DA018" w14:textId="3EAB6952">
      <w:pPr>
        <w:suppressAutoHyphens/>
        <w:spacing w:line="276" w:lineRule="auto"/>
        <w:rPr>
          <w:kern w:val="2"/>
          <w:szCs w:val="18"/>
          <w14:ligatures w14:val="standardContextual"/>
        </w:rPr>
      </w:pPr>
      <w:r w:rsidRPr="005F055E">
        <w:rPr>
          <w:kern w:val="2"/>
          <w:szCs w:val="18"/>
          <w14:ligatures w14:val="standardContextual"/>
        </w:rPr>
        <w:t>De meest recente wachtlijstinformatie voor verpleging en verzorging is van 1 augustus 2025. In de wachtlijstmonitor wordt onderscheid gemaakt tussen drie categorieën wachtenden: Urgent plaatsen; Actief plaatsen; Wachten op voorkeur. Het merendeel van de wachtenden wacht op voorkeur en ontvangt momenteel zorg thuis en er is ook geen dringende noodzaak tot opname in het verpleeghuis. Dit geldt wel voor de urgent wachtenden en de actief te plaatsen cliënten. Voor deze cliënten is er een actief beleid van zorgkantoren om binnen de geldende termijnen, een plek in een verpleeghuis te regelen.</w:t>
      </w:r>
    </w:p>
    <w:tbl>
      <w:tblPr>
        <w:tblStyle w:val="TableGrid5"/>
        <w:tblW w:w="0" w:type="auto"/>
        <w:tblLook w:val="04A0" w:firstRow="1" w:lastRow="0" w:firstColumn="1" w:lastColumn="0" w:noHBand="0" w:noVBand="1"/>
      </w:tblPr>
      <w:tblGrid>
        <w:gridCol w:w="2507"/>
        <w:gridCol w:w="1457"/>
      </w:tblGrid>
      <w:tr w:rsidRPr="005F055E" w:rsidR="004D1243" w:rsidTr="005E2643" w14:paraId="1821FA56" w14:textId="77777777">
        <w:tc>
          <w:tcPr>
            <w:tcW w:w="2507" w:type="dxa"/>
          </w:tcPr>
          <w:p w:rsidRPr="005F055E" w:rsidR="004D1243" w:rsidP="00180EEB" w:rsidRDefault="004D1243" w14:paraId="56D38778" w14:textId="77777777">
            <w:pPr>
              <w:suppressAutoHyphens/>
              <w:spacing w:line="276" w:lineRule="auto"/>
              <w:rPr>
                <w:rFonts w:ascii="Verdana" w:hAnsi="Verdana"/>
                <w:b/>
                <w:bCs/>
                <w:kern w:val="2"/>
                <w:sz w:val="18"/>
                <w:szCs w:val="18"/>
                <w14:ligatures w14:val="standardContextual"/>
              </w:rPr>
            </w:pPr>
          </w:p>
        </w:tc>
        <w:tc>
          <w:tcPr>
            <w:tcW w:w="1457" w:type="dxa"/>
          </w:tcPr>
          <w:p w:rsidRPr="005F055E" w:rsidR="004D1243" w:rsidP="00180EEB" w:rsidRDefault="004D1243" w14:paraId="0C00DCC4"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1-8-2025</w:t>
            </w:r>
          </w:p>
        </w:tc>
      </w:tr>
      <w:tr w:rsidRPr="005F055E" w:rsidR="004D1243" w:rsidTr="005E2643" w14:paraId="2FEEF93D" w14:textId="77777777">
        <w:tc>
          <w:tcPr>
            <w:tcW w:w="2507" w:type="dxa"/>
          </w:tcPr>
          <w:p w:rsidRPr="005F055E" w:rsidR="004D1243" w:rsidP="00180EEB" w:rsidRDefault="004D1243" w14:paraId="6A8D7262"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Urgent plaatsen</w:t>
            </w:r>
          </w:p>
        </w:tc>
        <w:tc>
          <w:tcPr>
            <w:tcW w:w="1457" w:type="dxa"/>
          </w:tcPr>
          <w:p w:rsidRPr="005F055E" w:rsidR="004D1243" w:rsidP="00180EEB" w:rsidRDefault="004D1243" w14:paraId="4F69FBD5"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312</w:t>
            </w:r>
          </w:p>
        </w:tc>
      </w:tr>
      <w:tr w:rsidRPr="005F055E" w:rsidR="004D1243" w:rsidTr="005E2643" w14:paraId="3BC4BE48" w14:textId="77777777">
        <w:tc>
          <w:tcPr>
            <w:tcW w:w="2507" w:type="dxa"/>
          </w:tcPr>
          <w:p w:rsidRPr="005F055E" w:rsidR="004D1243" w:rsidP="00180EEB" w:rsidRDefault="004D1243" w14:paraId="7DDC7159"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Actief plaatsen</w:t>
            </w:r>
          </w:p>
        </w:tc>
        <w:tc>
          <w:tcPr>
            <w:tcW w:w="1457" w:type="dxa"/>
          </w:tcPr>
          <w:p w:rsidRPr="005F055E" w:rsidR="004D1243" w:rsidP="00180EEB" w:rsidRDefault="004D1243" w14:paraId="0CF55B85"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3.852</w:t>
            </w:r>
          </w:p>
        </w:tc>
      </w:tr>
      <w:tr w:rsidRPr="005F055E" w:rsidR="004D1243" w:rsidTr="005E2643" w14:paraId="381CAC10" w14:textId="77777777">
        <w:tc>
          <w:tcPr>
            <w:tcW w:w="2507" w:type="dxa"/>
          </w:tcPr>
          <w:p w:rsidRPr="005F055E" w:rsidR="004D1243" w:rsidP="00180EEB" w:rsidRDefault="004D1243" w14:paraId="05C49625"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Wachten op voorkeur</w:t>
            </w:r>
          </w:p>
        </w:tc>
        <w:tc>
          <w:tcPr>
            <w:tcW w:w="1457" w:type="dxa"/>
          </w:tcPr>
          <w:p w:rsidRPr="005F055E" w:rsidR="004D1243" w:rsidP="00180EEB" w:rsidRDefault="004D1243" w14:paraId="61C0AF94"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13.763</w:t>
            </w:r>
          </w:p>
        </w:tc>
      </w:tr>
      <w:tr w:rsidRPr="005F055E" w:rsidR="004D1243" w:rsidTr="005E2643" w14:paraId="79BB57DE" w14:textId="77777777">
        <w:tc>
          <w:tcPr>
            <w:tcW w:w="2507" w:type="dxa"/>
          </w:tcPr>
          <w:p w:rsidRPr="005F055E" w:rsidR="004D1243" w:rsidP="00180EEB" w:rsidRDefault="004D1243" w14:paraId="3F01BFD9"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Totaal</w:t>
            </w:r>
          </w:p>
        </w:tc>
        <w:tc>
          <w:tcPr>
            <w:tcW w:w="1457" w:type="dxa"/>
          </w:tcPr>
          <w:p w:rsidRPr="005F055E" w:rsidR="004D1243" w:rsidP="00180EEB" w:rsidRDefault="004D1243" w14:paraId="4129C019"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17.927</w:t>
            </w:r>
          </w:p>
        </w:tc>
      </w:tr>
    </w:tbl>
    <w:p w:rsidRPr="005F055E" w:rsidR="00912A7D" w:rsidP="00180EEB" w:rsidRDefault="00912A7D" w14:paraId="4A438E05" w14:textId="77777777">
      <w:pPr>
        <w:suppressAutoHyphens/>
      </w:pPr>
    </w:p>
    <w:p w:rsidRPr="005F055E" w:rsidR="00912A7D" w:rsidP="00180EEB" w:rsidRDefault="003E7003" w14:paraId="17DD6CFA" w14:textId="77777777">
      <w:pPr>
        <w:suppressAutoHyphens/>
      </w:pPr>
      <w:r w:rsidRPr="005F055E">
        <w:t>Vraag 106</w:t>
      </w:r>
      <w:r w:rsidRPr="005F055E">
        <w:tab/>
      </w:r>
    </w:p>
    <w:p w:rsidRPr="005F055E" w:rsidR="00912A7D" w:rsidP="00180EEB" w:rsidRDefault="003E7003" w14:paraId="3AE66378" w14:textId="77777777">
      <w:pPr>
        <w:suppressAutoHyphens/>
      </w:pPr>
      <w:r w:rsidRPr="005F055E">
        <w:t>Hoeveel mensen staan er momenteel op de wachtlijst voor een behandeling in het ziekenhuis?</w:t>
      </w:r>
      <w:r w:rsidRPr="005F055E">
        <w:tab/>
      </w:r>
    </w:p>
    <w:p w:rsidRPr="005F055E" w:rsidR="003E7003" w:rsidP="00180EEB" w:rsidRDefault="003E7003" w14:paraId="2C5A7F98" w14:textId="24AA78BB">
      <w:pPr>
        <w:suppressAutoHyphens/>
      </w:pPr>
      <w:r w:rsidRPr="005F055E">
        <w:t>Antwoord</w:t>
      </w:r>
    </w:p>
    <w:p w:rsidRPr="005F055E" w:rsidR="004D1243" w:rsidP="00180EEB" w:rsidRDefault="004D1243" w14:paraId="5AD8F3B5" w14:textId="3E348428">
      <w:pPr>
        <w:suppressAutoHyphens/>
        <w:spacing w:line="240" w:lineRule="atLeast"/>
        <w:rPr>
          <w:szCs w:val="18"/>
          <w:lang w:eastAsia="nl-NL"/>
        </w:rPr>
      </w:pPr>
      <w:r w:rsidRPr="005F055E">
        <w:rPr>
          <w:szCs w:val="18"/>
          <w:lang w:eastAsia="nl-NL"/>
        </w:rPr>
        <w:t>Er bestaat momenteel geen landelijke registratie van het aantal mensen dat op een wachtlijst voor een behandeling in het ziekenhuis staat. Via de Nederlandse Zorgautoriteit (</w:t>
      </w:r>
      <w:proofErr w:type="spellStart"/>
      <w:r w:rsidRPr="005F055E">
        <w:rPr>
          <w:szCs w:val="18"/>
          <w:lang w:eastAsia="nl-NL"/>
        </w:rPr>
        <w:t>NZa</w:t>
      </w:r>
      <w:proofErr w:type="spellEnd"/>
      <w:r w:rsidRPr="005F055E">
        <w:rPr>
          <w:szCs w:val="18"/>
          <w:lang w:eastAsia="nl-NL"/>
        </w:rPr>
        <w:t xml:space="preserve">) worden onder andere de wachttijden per behandeling verzameld, welke inzichtelijk zijn op </w:t>
      </w:r>
      <w:proofErr w:type="spellStart"/>
      <w:r w:rsidRPr="005F055E">
        <w:rPr>
          <w:szCs w:val="18"/>
          <w:lang w:eastAsia="nl-NL"/>
        </w:rPr>
        <w:t>ZorgkaartNederland</w:t>
      </w:r>
      <w:proofErr w:type="spellEnd"/>
      <w:r w:rsidRPr="005F055E">
        <w:rPr>
          <w:szCs w:val="18"/>
          <w:lang w:eastAsia="nl-NL"/>
        </w:rPr>
        <w:t>.</w:t>
      </w:r>
    </w:p>
    <w:p w:rsidRPr="005F055E" w:rsidR="00912A7D" w:rsidP="00180EEB" w:rsidRDefault="004D1243" w14:paraId="3965ACF7" w14:textId="7FBED821">
      <w:pPr>
        <w:suppressAutoHyphens/>
        <w:spacing w:line="240" w:lineRule="atLeast"/>
        <w:rPr>
          <w:szCs w:val="18"/>
          <w:lang w:eastAsia="nl-NL"/>
        </w:rPr>
      </w:pPr>
      <w:r w:rsidRPr="005F055E">
        <w:rPr>
          <w:szCs w:val="18"/>
          <w:lang w:eastAsia="nl-NL"/>
        </w:rPr>
        <w:t>In het Aanvullend Zorg en Welzijnsakkoord hebben partijen afgesproken dat aanbieders per 1 januari 2026 het aantal wachtenden periodiek gaan aanleveren bij de Nederlandse Zorgautoriteit (</w:t>
      </w:r>
      <w:proofErr w:type="spellStart"/>
      <w:r w:rsidRPr="005F055E">
        <w:rPr>
          <w:szCs w:val="18"/>
          <w:lang w:eastAsia="nl-NL"/>
        </w:rPr>
        <w:t>NZa</w:t>
      </w:r>
      <w:proofErr w:type="spellEnd"/>
      <w:r w:rsidRPr="005F055E">
        <w:rPr>
          <w:szCs w:val="18"/>
          <w:lang w:eastAsia="nl-NL"/>
        </w:rPr>
        <w:t>) om inzicht te geven in het aantal wachtenden per specialisme per zorgverzekeraar.</w:t>
      </w:r>
    </w:p>
    <w:p w:rsidRPr="005F055E" w:rsidR="00912A7D" w:rsidP="00180EEB" w:rsidRDefault="00912A7D" w14:paraId="5828C459" w14:textId="77777777">
      <w:pPr>
        <w:suppressAutoHyphens/>
      </w:pPr>
    </w:p>
    <w:p w:rsidRPr="005F055E" w:rsidR="00912A7D" w:rsidP="00180EEB" w:rsidRDefault="003E7003" w14:paraId="648C30B9" w14:textId="77777777">
      <w:pPr>
        <w:suppressAutoHyphens/>
      </w:pPr>
      <w:r w:rsidRPr="005F055E">
        <w:t>Vraag 107</w:t>
      </w:r>
      <w:r w:rsidRPr="005F055E">
        <w:tab/>
      </w:r>
    </w:p>
    <w:p w:rsidRPr="005F055E" w:rsidR="00912A7D" w:rsidP="00180EEB" w:rsidRDefault="003E7003" w14:paraId="4189E4BD" w14:textId="77777777">
      <w:pPr>
        <w:suppressAutoHyphens/>
      </w:pPr>
      <w:r w:rsidRPr="005F055E">
        <w:t>Hoeveel mensen hebben momenteel geen huisarts?</w:t>
      </w:r>
      <w:r w:rsidRPr="005F055E">
        <w:tab/>
      </w:r>
    </w:p>
    <w:p w:rsidRPr="005F055E" w:rsidR="003E7003" w:rsidP="00180EEB" w:rsidRDefault="003E7003" w14:paraId="26DDA94F" w14:textId="71360C7C">
      <w:pPr>
        <w:suppressAutoHyphens/>
      </w:pPr>
      <w:r w:rsidRPr="005F055E">
        <w:t>Antwoord</w:t>
      </w:r>
    </w:p>
    <w:p w:rsidRPr="005F055E" w:rsidR="00912A7D" w:rsidP="00180EEB" w:rsidRDefault="00BE5CD4" w14:paraId="17168567" w14:textId="40BF324F">
      <w:pPr>
        <w:suppressAutoHyphens/>
        <w:spacing w:line="240" w:lineRule="atLeast"/>
        <w:rPr>
          <w:szCs w:val="18"/>
          <w:lang w:eastAsia="nl-NL"/>
        </w:rPr>
      </w:pPr>
      <w:r w:rsidRPr="005F055E">
        <w:rPr>
          <w:szCs w:val="18"/>
          <w:lang w:eastAsia="nl-NL"/>
        </w:rPr>
        <w:t>Op basis van bestaande onderzoeken, onder andere van het NIVEL, heeft de Algemene Rekenkamer geconcludeerd dat er tussen de 45.000 en 194.000 mensen zonder huisarts zijn</w:t>
      </w:r>
      <w:r w:rsidRPr="005F055E">
        <w:rPr>
          <w:szCs w:val="18"/>
          <w:vertAlign w:val="superscript"/>
          <w:lang w:eastAsia="nl-NL"/>
        </w:rPr>
        <w:footnoteReference w:id="36"/>
      </w:r>
      <w:r w:rsidRPr="005F055E">
        <w:rPr>
          <w:szCs w:val="18"/>
          <w:lang w:eastAsia="nl-NL"/>
        </w:rPr>
        <w:t>. Daarnaast is er een groep van ongeveer 600.000 volwassenen die wel bij een huisarts staan ingeschreven, maar willen overstappen, bijvoorbeeld vanwege een verhuizing of ontevredenheid over hun huidige praktijk</w:t>
      </w:r>
      <w:r w:rsidRPr="005F055E">
        <w:rPr>
          <w:szCs w:val="18"/>
          <w:vertAlign w:val="superscript"/>
          <w:lang w:eastAsia="nl-NL"/>
        </w:rPr>
        <w:footnoteReference w:id="37"/>
      </w:r>
      <w:r w:rsidRPr="005F055E">
        <w:rPr>
          <w:szCs w:val="18"/>
          <w:lang w:eastAsia="nl-NL"/>
        </w:rPr>
        <w:t xml:space="preserve">. </w:t>
      </w:r>
    </w:p>
    <w:p w:rsidRPr="005F055E" w:rsidR="00573CF1" w:rsidP="00180EEB" w:rsidRDefault="00573CF1" w14:paraId="7564BB40" w14:textId="77777777">
      <w:pPr>
        <w:suppressAutoHyphens/>
      </w:pPr>
    </w:p>
    <w:p w:rsidRPr="005F055E" w:rsidR="00912A7D" w:rsidP="00180EEB" w:rsidRDefault="003E7003" w14:paraId="204CA798" w14:textId="77777777">
      <w:pPr>
        <w:suppressAutoHyphens/>
      </w:pPr>
      <w:r w:rsidRPr="005F055E">
        <w:t>Vraag 108</w:t>
      </w:r>
      <w:r w:rsidRPr="005F055E">
        <w:tab/>
      </w:r>
    </w:p>
    <w:p w:rsidRPr="005F055E" w:rsidR="00912A7D" w:rsidP="00180EEB" w:rsidRDefault="003E7003" w14:paraId="4AA06CCE" w14:textId="29FC49BC">
      <w:pPr>
        <w:suppressAutoHyphens/>
      </w:pPr>
      <w:r w:rsidRPr="005F055E">
        <w:t xml:space="preserve">Hoeveel mensen staan momenteel op de wachtlijst voor de </w:t>
      </w:r>
      <w:r w:rsidR="00D55762">
        <w:t>GGZ</w:t>
      </w:r>
      <w:r w:rsidRPr="005F055E">
        <w:t>?</w:t>
      </w:r>
      <w:r w:rsidRPr="005F055E">
        <w:tab/>
      </w:r>
    </w:p>
    <w:p w:rsidRPr="005F055E" w:rsidR="003E7003" w:rsidP="00180EEB" w:rsidRDefault="003E7003" w14:paraId="20B5134B" w14:textId="37C639B3">
      <w:pPr>
        <w:suppressAutoHyphens/>
      </w:pPr>
      <w:r w:rsidRPr="005F055E">
        <w:t>Antwoord</w:t>
      </w:r>
    </w:p>
    <w:p w:rsidRPr="005F055E" w:rsidR="00573CF1" w:rsidP="00180EEB" w:rsidRDefault="00573CF1" w14:paraId="03FF6D6C" w14:textId="44142E48">
      <w:pPr>
        <w:suppressAutoHyphens/>
      </w:pPr>
      <w:r w:rsidRPr="005F055E">
        <w:rPr>
          <w:szCs w:val="18"/>
        </w:rPr>
        <w:t xml:space="preserve">Volgens de laatste cijfers die de </w:t>
      </w:r>
      <w:proofErr w:type="spellStart"/>
      <w:r w:rsidRPr="005F055E">
        <w:rPr>
          <w:szCs w:val="18"/>
        </w:rPr>
        <w:t>NZa</w:t>
      </w:r>
      <w:proofErr w:type="spellEnd"/>
      <w:r w:rsidRPr="005F055E">
        <w:rPr>
          <w:szCs w:val="18"/>
        </w:rPr>
        <w:t xml:space="preserve"> heeft gepubliceerd waren er 1 oktober 2024 108.878 wacht</w:t>
      </w:r>
      <w:r w:rsidRPr="005F055E">
        <w:rPr>
          <w:szCs w:val="18"/>
          <w:u w:val="single"/>
        </w:rPr>
        <w:t>plekken</w:t>
      </w:r>
      <w:r w:rsidRPr="005F055E">
        <w:rPr>
          <w:szCs w:val="18"/>
        </w:rPr>
        <w:t xml:space="preserve"> voor de geestelijke gezondheidszorg (Informatiekaart Wachttijden en wachtplekken </w:t>
      </w:r>
      <w:r w:rsidR="00D55762">
        <w:rPr>
          <w:szCs w:val="18"/>
        </w:rPr>
        <w:t>GGZ</w:t>
      </w:r>
      <w:r w:rsidRPr="005F055E">
        <w:rPr>
          <w:szCs w:val="18"/>
        </w:rPr>
        <w:t xml:space="preserve"> – oktober 2024 – Nederlandse Zorgautoriteit). Hierbij gaat het om 62.598 wachtplekken buiten de treeknorm. Omdat mensen op meerdere wachtlijsten kunnen staan, is het aantal wachtplekken niet gelijk aan het aantal unieke personen dat wacht op </w:t>
      </w:r>
      <w:r w:rsidR="00D55762">
        <w:rPr>
          <w:szCs w:val="18"/>
        </w:rPr>
        <w:t>GGZ</w:t>
      </w:r>
      <w:r w:rsidRPr="005F055E">
        <w:rPr>
          <w:szCs w:val="18"/>
        </w:rPr>
        <w:t xml:space="preserve">. Dit jaar publiceert de </w:t>
      </w:r>
      <w:proofErr w:type="spellStart"/>
      <w:r w:rsidRPr="005F055E">
        <w:rPr>
          <w:szCs w:val="18"/>
        </w:rPr>
        <w:t>NZa</w:t>
      </w:r>
      <w:proofErr w:type="spellEnd"/>
      <w:r w:rsidRPr="005F055E">
        <w:rPr>
          <w:szCs w:val="18"/>
        </w:rPr>
        <w:t xml:space="preserve"> een openbaar dashboard dat actuele </w:t>
      </w:r>
      <w:r w:rsidR="00D55762">
        <w:rPr>
          <w:szCs w:val="18"/>
        </w:rPr>
        <w:t>GGZ</w:t>
      </w:r>
      <w:r w:rsidRPr="005F055E">
        <w:rPr>
          <w:szCs w:val="18"/>
        </w:rPr>
        <w:t>-wachttijdgegevens op één plek samenbrengt</w:t>
      </w:r>
      <w:r w:rsidRPr="005F055E">
        <w:t>. D</w:t>
      </w:r>
      <w:r w:rsidRPr="005F055E">
        <w:rPr>
          <w:szCs w:val="18"/>
        </w:rPr>
        <w:t>it dashboard gaat voorzien in een frequent, completer en actueler inzicht in wachttijden instroomaantallen dan de huidige informatiekaarten. Wachtplekken worden hierin niet meer geregistreerd en gepubliceerd.</w:t>
      </w:r>
    </w:p>
    <w:p w:rsidRPr="005F055E" w:rsidR="00912A7D" w:rsidP="00180EEB" w:rsidRDefault="00912A7D" w14:paraId="571F5AD0" w14:textId="77777777">
      <w:pPr>
        <w:suppressAutoHyphens/>
      </w:pPr>
    </w:p>
    <w:p w:rsidRPr="005F055E" w:rsidR="00912A7D" w:rsidP="00180EEB" w:rsidRDefault="003E7003" w14:paraId="372C8D7A" w14:textId="77777777">
      <w:pPr>
        <w:suppressAutoHyphens/>
      </w:pPr>
      <w:r w:rsidRPr="005F055E">
        <w:t>Vraag 109</w:t>
      </w:r>
      <w:r w:rsidRPr="005F055E">
        <w:tab/>
      </w:r>
    </w:p>
    <w:p w:rsidRPr="005F055E" w:rsidR="00912A7D" w:rsidP="00180EEB" w:rsidRDefault="003E7003" w14:paraId="7CA4AF85" w14:textId="77777777">
      <w:pPr>
        <w:suppressAutoHyphens/>
      </w:pPr>
      <w:r w:rsidRPr="005F055E">
        <w:t>Hoeveel mensen staan momenteel op de wachtlijst voor transzorg?</w:t>
      </w:r>
      <w:r w:rsidRPr="005F055E">
        <w:tab/>
      </w:r>
    </w:p>
    <w:p w:rsidRPr="005F055E" w:rsidR="003E7003" w:rsidP="00180EEB" w:rsidRDefault="003E7003" w14:paraId="5DB1E4AF" w14:textId="433C5564">
      <w:pPr>
        <w:suppressAutoHyphens/>
      </w:pPr>
      <w:r w:rsidRPr="005F055E">
        <w:t>Antwoord</w:t>
      </w:r>
    </w:p>
    <w:p w:rsidRPr="005F055E" w:rsidR="007E044A" w:rsidP="00180EEB" w:rsidRDefault="007E044A" w14:paraId="06F47EC1" w14:textId="77777777">
      <w:pPr>
        <w:shd w:val="clear" w:color="auto" w:fill="FFFFFF"/>
        <w:suppressAutoHyphens/>
        <w:spacing w:after="240" w:line="240" w:lineRule="atLeast"/>
        <w:rPr>
          <w:szCs w:val="18"/>
          <w:lang w:eastAsia="nl-NL"/>
        </w:rPr>
      </w:pPr>
      <w:r w:rsidRPr="005F055E">
        <w:rPr>
          <w:szCs w:val="18"/>
          <w:lang w:eastAsia="nl-NL"/>
        </w:rPr>
        <w:t>Cijfers over het aantal mensen dat op de wachtlijst staat voor transgenderzorg worden niet apart bijgehouden. Volgens onderzoek dat in opdracht van het ministerie van VWS heeft plaatsgevonden in 2022 (Tweede Kamer, vergaderjaar 2022–2023, 31 016, nr. 352) stonden er in 2022 ruim 7000 mensen op de wachtlijst voor indicatiestelling voor somatische transgenderzorg. Het bovengenoemde aantal wachtenden kan afwijken van het aantal mensen dat daadwerkelijk wacht op zorg, bijvoorbeeld doordat sommige mensen op meerdere wachtlijsten staan en mensen op de wachtlijst staan die geen zorgvraag meer hebben. In het Aanvullend Zorg en Welzijnsakkoord hebben partijen afgesproken dat aanbieders wachtlijsten opschonen en partijen actieve zorgbemiddeling gaan invoeren.</w:t>
      </w:r>
    </w:p>
    <w:p w:rsidRPr="005F055E" w:rsidR="00912A7D" w:rsidP="00180EEB" w:rsidRDefault="007E044A" w14:paraId="5E69EBC9" w14:textId="6B300356">
      <w:pPr>
        <w:shd w:val="clear" w:color="auto" w:fill="FFFFFF"/>
        <w:suppressAutoHyphens/>
        <w:spacing w:after="240" w:line="240" w:lineRule="atLeast"/>
        <w:rPr>
          <w:szCs w:val="18"/>
          <w:lang w:eastAsia="nl-NL"/>
        </w:rPr>
      </w:pPr>
      <w:r w:rsidRPr="005F055E">
        <w:rPr>
          <w:szCs w:val="18"/>
          <w:lang w:eastAsia="nl-NL"/>
        </w:rPr>
        <w:t>Het Landelijk Platform Transgenderzorg (LPT) is op 9 februari 2025 officieel opgericht. Het LPT werkt aan het verbeteren van de toegankelijkheid en kwaliteit van de transgenderzorg en ontvangt hiervoor vanuit VWS een subsidie. Bij dit Platform is zowel de eerste, tweede als derde lijn betrokken en wordt ook naar wachttijden gekeken.</w:t>
      </w:r>
    </w:p>
    <w:p w:rsidRPr="005F055E" w:rsidR="00573CF1" w:rsidP="00180EEB" w:rsidRDefault="00573CF1" w14:paraId="58118DDB" w14:textId="77777777">
      <w:pPr>
        <w:suppressAutoHyphens/>
      </w:pPr>
    </w:p>
    <w:p w:rsidRPr="005F055E" w:rsidR="00912A7D" w:rsidP="00180EEB" w:rsidRDefault="003E7003" w14:paraId="0FCE4BB2" w14:textId="77777777">
      <w:pPr>
        <w:suppressAutoHyphens/>
      </w:pPr>
      <w:r w:rsidRPr="005F055E">
        <w:t>Vraag 110</w:t>
      </w:r>
      <w:r w:rsidRPr="005F055E">
        <w:tab/>
      </w:r>
    </w:p>
    <w:p w:rsidRPr="005F055E" w:rsidR="00912A7D" w:rsidP="00180EEB" w:rsidRDefault="003E7003" w14:paraId="7A1DAF16" w14:textId="77777777">
      <w:pPr>
        <w:suppressAutoHyphens/>
      </w:pPr>
      <w:r w:rsidRPr="005F055E">
        <w:t>Hoeveel mensen staan momenteel op de wachtlijst voor de gehandicaptenzorg?</w:t>
      </w:r>
      <w:r w:rsidRPr="005F055E">
        <w:tab/>
      </w:r>
    </w:p>
    <w:p w:rsidR="009873CE" w:rsidP="00180EEB" w:rsidRDefault="009873CE" w14:paraId="7DC67E1D" w14:textId="77777777">
      <w:pPr>
        <w:suppressAutoHyphens/>
      </w:pPr>
    </w:p>
    <w:p w:rsidRPr="005F055E" w:rsidR="003E7003" w:rsidP="00180EEB" w:rsidRDefault="003E7003" w14:paraId="0C9EEF82" w14:textId="21BA2913">
      <w:pPr>
        <w:suppressAutoHyphens/>
      </w:pPr>
      <w:r w:rsidRPr="005F055E">
        <w:t>Antwoord</w:t>
      </w:r>
    </w:p>
    <w:p w:rsidRPr="005F055E" w:rsidR="004D1243" w:rsidP="00180EEB" w:rsidRDefault="004D1243" w14:paraId="50AE8129" w14:textId="77777777">
      <w:pPr>
        <w:suppressAutoHyphens/>
        <w:spacing w:line="240" w:lineRule="atLeast"/>
        <w:rPr>
          <w:szCs w:val="20"/>
          <w:lang w:eastAsia="nl-NL"/>
        </w:rPr>
      </w:pPr>
      <w:r w:rsidRPr="005F055E">
        <w:rPr>
          <w:szCs w:val="20"/>
          <w:lang w:eastAsia="nl-NL"/>
        </w:rPr>
        <w:t xml:space="preserve">Volgens de wachtlijstregistratie van het Zorginstituut wachtten er op 1 augustus 2025 1.738 cliënten op een plek in een instelling voor gehandicaptenzorg. U treft de maandelijkse rapportages aan op: </w:t>
      </w:r>
      <w:hyperlink w:history="1" r:id="rId17">
        <w:r w:rsidRPr="005F055E">
          <w:rPr>
            <w:color w:val="0563C1" w:themeColor="hyperlink"/>
            <w:szCs w:val="20"/>
            <w:u w:val="single"/>
            <w:lang w:eastAsia="nl-NL"/>
          </w:rPr>
          <w:t>Wachtlijsten landelijk niveau | Zorgcijfersdatabank.nl</w:t>
        </w:r>
      </w:hyperlink>
    </w:p>
    <w:p w:rsidRPr="005F055E" w:rsidR="00F36E36" w:rsidP="00180EEB" w:rsidRDefault="00F36E36" w14:paraId="172F6C15" w14:textId="77777777">
      <w:pPr>
        <w:suppressAutoHyphens/>
      </w:pPr>
    </w:p>
    <w:p w:rsidRPr="005F055E" w:rsidR="00912A7D" w:rsidP="00180EEB" w:rsidRDefault="003E7003" w14:paraId="11C7FD53" w14:textId="57E4AF88">
      <w:pPr>
        <w:suppressAutoHyphens/>
      </w:pPr>
      <w:r w:rsidRPr="005F055E">
        <w:t>Vraag 111</w:t>
      </w:r>
      <w:r w:rsidRPr="005F055E">
        <w:tab/>
      </w:r>
    </w:p>
    <w:p w:rsidRPr="005F055E" w:rsidR="00912A7D" w:rsidP="00180EEB" w:rsidRDefault="003E7003" w14:paraId="10410BE4" w14:textId="77777777">
      <w:pPr>
        <w:suppressAutoHyphens/>
      </w:pPr>
      <w:r w:rsidRPr="005F055E">
        <w:t>Hoeveel mensen staan momenteel op de wachtlijst voor de jeugdzorg?</w:t>
      </w:r>
    </w:p>
    <w:p w:rsidRPr="005F055E" w:rsidR="003E7003" w:rsidP="00180EEB" w:rsidRDefault="003E7003" w14:paraId="48571136" w14:textId="2A71F150">
      <w:pPr>
        <w:suppressAutoHyphens/>
      </w:pPr>
      <w:r w:rsidRPr="005F055E">
        <w:t>Antwoord</w:t>
      </w:r>
    </w:p>
    <w:p w:rsidRPr="005F055E" w:rsidR="00575A49" w:rsidP="00180EEB" w:rsidRDefault="00575A49" w14:paraId="074E3ADE" w14:textId="77777777">
      <w:pPr>
        <w:suppressAutoHyphens/>
        <w:spacing w:line="240" w:lineRule="atLeast"/>
        <w:rPr>
          <w:szCs w:val="18"/>
          <w:lang w:eastAsia="nl-NL"/>
        </w:rPr>
      </w:pPr>
      <w:r w:rsidRPr="005F055E">
        <w:rPr>
          <w:szCs w:val="18"/>
          <w:lang w:eastAsia="nl-NL"/>
        </w:rPr>
        <w:t>Gemeenten zijn verantwoordelijk voor het organiseren van jeugdhulp. Inzicht in wachttijden gebeurt dus in eerste instantie op gemeentelijk en regionaal niveau.</w:t>
      </w:r>
    </w:p>
    <w:p w:rsidRPr="005F055E" w:rsidR="00575A49" w:rsidP="00180EEB" w:rsidRDefault="00575A49" w14:paraId="0FE3AA09" w14:textId="1A15B607">
      <w:pPr>
        <w:suppressAutoHyphens/>
        <w:spacing w:line="240" w:lineRule="atLeast"/>
        <w:rPr>
          <w:szCs w:val="18"/>
          <w:lang w:eastAsia="nl-NL"/>
        </w:rPr>
      </w:pPr>
      <w:r w:rsidRPr="005F055E">
        <w:rPr>
          <w:szCs w:val="18"/>
          <w:lang w:eastAsia="nl-NL"/>
        </w:rPr>
        <w:t xml:space="preserve">Cijfers over wachttijden zijn nu nog niet op landelijk niveau beschikbaar. Dit komt onder andere omdat gemeenten en regio’s op hun eigen manier aanmelding en start van een traject registreren, en er geen eenduidige definitie ligt van wat wachttijd precies is. </w:t>
      </w:r>
    </w:p>
    <w:p w:rsidRPr="005F055E" w:rsidR="00912A7D" w:rsidP="00180EEB" w:rsidRDefault="00575A49" w14:paraId="604055EC" w14:textId="24F57E4E">
      <w:pPr>
        <w:suppressAutoHyphens/>
        <w:spacing w:line="240" w:lineRule="atLeast"/>
        <w:rPr>
          <w:szCs w:val="18"/>
          <w:lang w:eastAsia="nl-NL"/>
        </w:rPr>
      </w:pPr>
      <w:r w:rsidRPr="005F055E">
        <w:rPr>
          <w:szCs w:val="18"/>
          <w:lang w:eastAsia="nl-NL"/>
        </w:rPr>
        <w:t xml:space="preserve">Het ministerie van Volksgezondheid, Welzijn en Sport werkt aan het verbeteren van inzicht in wachttijden op landelijk niveau. Dit doen we door in te zetten op het verbeteren van het (uniform) gebruik van het Berichtenverkeer (standaardisatie). Dit is conform de afspraak uit de Hervormingsagenda om middels data en monitoring inzicht in het functioneren van het jeugdstelsel te verbeteren. </w:t>
      </w:r>
    </w:p>
    <w:p w:rsidRPr="005F055E" w:rsidR="00912A7D" w:rsidP="00180EEB" w:rsidRDefault="00912A7D" w14:paraId="21D4FCE7" w14:textId="77777777">
      <w:pPr>
        <w:suppressAutoHyphens/>
      </w:pPr>
    </w:p>
    <w:p w:rsidRPr="005F055E" w:rsidR="00912A7D" w:rsidP="00180EEB" w:rsidRDefault="003E7003" w14:paraId="54EB6E1A" w14:textId="77777777">
      <w:pPr>
        <w:suppressAutoHyphens/>
      </w:pPr>
      <w:r w:rsidRPr="005F055E">
        <w:t>Vraag 112</w:t>
      </w:r>
      <w:r w:rsidRPr="005F055E">
        <w:tab/>
      </w:r>
    </w:p>
    <w:p w:rsidRPr="005F055E" w:rsidR="00912A7D" w:rsidP="00180EEB" w:rsidRDefault="003E7003" w14:paraId="3B5E7796" w14:textId="135FEB16">
      <w:pPr>
        <w:suppressAutoHyphens/>
      </w:pPr>
      <w:r w:rsidRPr="005F055E">
        <w:t xml:space="preserve">Welk deel van de geplande bezuinigingen op de langdurige zorg komt naar verwachting neer bij de gehandicaptenzorg, welk deel bij de ouderenzorg en welk deel bij de langdurige </w:t>
      </w:r>
      <w:r w:rsidR="00D55762">
        <w:t>GGZ</w:t>
      </w:r>
      <w:r w:rsidRPr="005F055E">
        <w:t>?</w:t>
      </w:r>
    </w:p>
    <w:p w:rsidRPr="005F055E" w:rsidR="003E7003" w:rsidP="00180EEB" w:rsidRDefault="003E7003" w14:paraId="4F3C2D4B" w14:textId="321E7CE6">
      <w:pPr>
        <w:suppressAutoHyphens/>
      </w:pPr>
      <w:r w:rsidRPr="005F055E">
        <w:t>Antwoord</w:t>
      </w:r>
    </w:p>
    <w:p w:rsidRPr="005F055E" w:rsidR="00B63234" w:rsidP="00180EEB" w:rsidRDefault="00B63234" w14:paraId="60742047" w14:textId="6F453FB7">
      <w:pPr>
        <w:suppressAutoHyphens/>
        <w:rPr>
          <w:szCs w:val="18"/>
        </w:rPr>
      </w:pPr>
      <w:r w:rsidRPr="005F055E">
        <w:rPr>
          <w:szCs w:val="18"/>
        </w:rPr>
        <w:t xml:space="preserve">Bijgaande tabel geeft een overzicht van de tariefmaatregelen op het terrein van de langdurige zorg per sector zoals verwerkt in de ontwerpbegroting 2026 van het ministerie van VWS. Voor de ouderenzorg worden deze gerealiseerd op grond van de afspraken in het Hoofdlijnenakkoord Ouderenzorg (HLO). Voor de gehandicaptenzorg en langdurige </w:t>
      </w:r>
      <w:r w:rsidR="00D55762">
        <w:rPr>
          <w:szCs w:val="18"/>
        </w:rPr>
        <w:t>GGZ</w:t>
      </w:r>
      <w:r w:rsidRPr="005F055E">
        <w:rPr>
          <w:szCs w:val="18"/>
        </w:rPr>
        <w:t xml:space="preserve"> zijn deze gepland met ingang van 2027. Bij de gehandicaptenzorg gaat het om de som van de maatregelen op het terrein van meerjarig contracteren (€ 52 miljoen structureel), </w:t>
      </w:r>
      <w:proofErr w:type="spellStart"/>
      <w:r w:rsidRPr="005F055E">
        <w:rPr>
          <w:szCs w:val="18"/>
        </w:rPr>
        <w:t>Wlz</w:t>
      </w:r>
      <w:proofErr w:type="spellEnd"/>
      <w:r w:rsidRPr="005F055E">
        <w:rPr>
          <w:szCs w:val="18"/>
        </w:rPr>
        <w:t xml:space="preserve">-behandeling (€ 88 miljoen structureel) en opschaling digitale zorg (oplopend tot € 108 miljoen structureel). Bij de langdurige </w:t>
      </w:r>
      <w:r w:rsidR="00D55762">
        <w:rPr>
          <w:szCs w:val="18"/>
        </w:rPr>
        <w:t>GGZ</w:t>
      </w:r>
      <w:r w:rsidRPr="005F055E">
        <w:rPr>
          <w:szCs w:val="18"/>
        </w:rPr>
        <w:t xml:space="preserve"> gaat het om de maatregel op het terrein van meerjarig contracteren (€ 13 miljoen structureel). </w:t>
      </w:r>
    </w:p>
    <w:p w:rsidRPr="005F055E" w:rsidR="00B63234" w:rsidP="00180EEB" w:rsidRDefault="00B63234" w14:paraId="3C90BD05" w14:textId="40859F93">
      <w:pPr>
        <w:suppressAutoHyphens/>
        <w:rPr>
          <w:szCs w:val="18"/>
        </w:rPr>
      </w:pPr>
      <w:r w:rsidRPr="005F055E">
        <w:rPr>
          <w:noProof/>
        </w:rPr>
        <w:drawing>
          <wp:inline distT="0" distB="0" distL="0" distR="0" wp14:anchorId="17B0359F" wp14:editId="5E05CF34">
            <wp:extent cx="4784090" cy="511175"/>
            <wp:effectExtent l="0" t="0" r="0" b="3175"/>
            <wp:docPr id="13322051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84090" cy="511175"/>
                    </a:xfrm>
                    <a:prstGeom prst="rect">
                      <a:avLst/>
                    </a:prstGeom>
                    <a:noFill/>
                    <a:ln>
                      <a:noFill/>
                    </a:ln>
                  </pic:spPr>
                </pic:pic>
              </a:graphicData>
            </a:graphic>
          </wp:inline>
        </w:drawing>
      </w:r>
    </w:p>
    <w:p w:rsidRPr="005F055E" w:rsidR="00912A7D" w:rsidP="00180EEB" w:rsidRDefault="00912A7D" w14:paraId="05839153" w14:textId="77777777">
      <w:pPr>
        <w:suppressAutoHyphens/>
      </w:pPr>
    </w:p>
    <w:p w:rsidRPr="005F055E" w:rsidR="00912A7D" w:rsidP="00180EEB" w:rsidRDefault="003E7003" w14:paraId="527C718D" w14:textId="77777777">
      <w:pPr>
        <w:suppressAutoHyphens/>
      </w:pPr>
      <w:r w:rsidRPr="005F055E">
        <w:t>Vraag 113</w:t>
      </w:r>
      <w:r w:rsidRPr="005F055E">
        <w:tab/>
      </w:r>
    </w:p>
    <w:p w:rsidRPr="005F055E" w:rsidR="00912A7D" w:rsidP="00180EEB" w:rsidRDefault="003E7003" w14:paraId="1F5A3C31" w14:textId="63C3E5A9">
      <w:pPr>
        <w:suppressAutoHyphens/>
      </w:pPr>
      <w:r w:rsidRPr="005F055E">
        <w:t>Hoeveel gemeenten bieden een meerkostenregeling voor chronisch zieken of mensen met een beperking aan? Wat is de gemiddelde hoogte van de bedragen die beschikbaar zijn voor mensen via deze regelingen?</w:t>
      </w:r>
      <w:r w:rsidRPr="005F055E">
        <w:tab/>
      </w:r>
    </w:p>
    <w:p w:rsidRPr="005F055E" w:rsidR="003E7003" w:rsidP="00180EEB" w:rsidRDefault="003E7003" w14:paraId="52A26692" w14:textId="0B1CFF4C">
      <w:pPr>
        <w:suppressAutoHyphens/>
      </w:pPr>
      <w:r w:rsidRPr="005F055E">
        <w:t>Antwoord</w:t>
      </w:r>
    </w:p>
    <w:p w:rsidRPr="005F055E" w:rsidR="00912A7D" w:rsidP="00180EEB" w:rsidRDefault="00912A7D" w14:paraId="1CCC27DF" w14:textId="77777777">
      <w:pPr>
        <w:suppressAutoHyphens/>
        <w:spacing w:line="240" w:lineRule="atLeast"/>
        <w:rPr>
          <w:szCs w:val="18"/>
          <w:lang w:eastAsia="nl-NL"/>
        </w:rPr>
      </w:pPr>
      <w:r w:rsidRPr="005F055E">
        <w:rPr>
          <w:szCs w:val="18"/>
          <w:lang w:eastAsia="nl-NL"/>
        </w:rPr>
        <w:t>Cijfers uit 2021</w:t>
      </w:r>
      <w:r w:rsidRPr="005F055E">
        <w:rPr>
          <w:szCs w:val="18"/>
          <w:vertAlign w:val="superscript"/>
          <w:lang w:eastAsia="nl-NL"/>
        </w:rPr>
        <w:footnoteReference w:id="38"/>
      </w:r>
      <w:r w:rsidRPr="005F055E">
        <w:rPr>
          <w:szCs w:val="18"/>
          <w:lang w:eastAsia="nl-NL"/>
        </w:rPr>
        <w:t xml:space="preserve"> laten zien dat 59% van de gemeenten een meerkostenregeling heeft in de vorm van individuele bijzondere bijstand en 47% van de gemeenten in de vorm van een individuele tegemoetkoming (o.a. voor mensen met een chronische ziekte en/of een beperking). We hebben geen inzicht in de gemiddelde hoogte van deze gemeentelijke regelingen.</w:t>
      </w:r>
    </w:p>
    <w:p w:rsidRPr="005F055E" w:rsidR="00F36E36" w:rsidP="00180EEB" w:rsidRDefault="00F36E36" w14:paraId="19252EC3" w14:textId="77777777">
      <w:pPr>
        <w:suppressAutoHyphens/>
      </w:pPr>
    </w:p>
    <w:p w:rsidRPr="005F055E" w:rsidR="00912A7D" w:rsidP="00180EEB" w:rsidRDefault="003E7003" w14:paraId="35E295EE" w14:textId="77777777">
      <w:pPr>
        <w:suppressAutoHyphens/>
      </w:pPr>
      <w:r w:rsidRPr="005F055E">
        <w:t>Vraag 114</w:t>
      </w:r>
      <w:r w:rsidRPr="005F055E">
        <w:tab/>
      </w:r>
    </w:p>
    <w:p w:rsidRPr="005F055E" w:rsidR="00912A7D" w:rsidP="00180EEB" w:rsidRDefault="003E7003" w14:paraId="6F3B8388" w14:textId="503070D2">
      <w:pPr>
        <w:suppressAutoHyphens/>
      </w:pPr>
      <w:r w:rsidRPr="005F055E">
        <w:t xml:space="preserve">Hoe vaak worden er budgetplafonds opgelegd aan </w:t>
      </w:r>
      <w:r w:rsidR="00D55762">
        <w:t>GGZ</w:t>
      </w:r>
      <w:r w:rsidRPr="005F055E">
        <w:t>-aanbieders?</w:t>
      </w:r>
      <w:r w:rsidRPr="005F055E">
        <w:tab/>
      </w:r>
    </w:p>
    <w:p w:rsidRPr="005F055E" w:rsidR="003E7003" w:rsidP="00180EEB" w:rsidRDefault="003E7003" w14:paraId="3B45BE17" w14:textId="509E9809">
      <w:pPr>
        <w:suppressAutoHyphens/>
      </w:pPr>
      <w:r w:rsidRPr="005F055E">
        <w:t>Antwoord</w:t>
      </w:r>
    </w:p>
    <w:p w:rsidRPr="00F36E36" w:rsidR="001F2E04" w:rsidP="00180EEB" w:rsidRDefault="004D1243" w14:paraId="6D95BC16" w14:textId="427FAFBA">
      <w:pPr>
        <w:suppressAutoHyphens/>
        <w:spacing w:line="240" w:lineRule="atLeast"/>
        <w:rPr>
          <w:szCs w:val="18"/>
          <w:lang w:eastAsia="nl-NL"/>
        </w:rPr>
      </w:pPr>
      <w:r w:rsidRPr="005F055E">
        <w:rPr>
          <w:szCs w:val="18"/>
          <w:lang w:eastAsia="nl-NL"/>
        </w:rPr>
        <w:br/>
        <w:t>Er is geen zicht op hoe vaak omzetplafonds worden afgesproken tussen zorgaanbieders en zorgverzekeraars. Het maken van afspraken, ook over omzetplafonds, is een zaak tussen individuele aanbieders en individuele zorgverzekeraars.</w:t>
      </w:r>
    </w:p>
    <w:p w:rsidRPr="005F055E" w:rsidR="001F2E04" w:rsidP="00180EEB" w:rsidRDefault="001F2E04" w14:paraId="318E36FD" w14:textId="77777777">
      <w:pPr>
        <w:suppressAutoHyphens/>
      </w:pPr>
    </w:p>
    <w:p w:rsidRPr="005F055E" w:rsidR="00912A7D" w:rsidP="00180EEB" w:rsidRDefault="003E7003" w14:paraId="5E2CC41D" w14:textId="77777777">
      <w:pPr>
        <w:suppressAutoHyphens/>
      </w:pPr>
      <w:r w:rsidRPr="005F055E">
        <w:t>Vraag 115</w:t>
      </w:r>
      <w:r w:rsidRPr="005F055E">
        <w:tab/>
      </w:r>
    </w:p>
    <w:p w:rsidRPr="005F055E" w:rsidR="00912A7D" w:rsidP="00180EEB" w:rsidRDefault="003E7003" w14:paraId="391311DD" w14:textId="026D9CCD">
      <w:pPr>
        <w:suppressAutoHyphens/>
      </w:pPr>
      <w:r w:rsidRPr="005F055E">
        <w:t xml:space="preserve">Welke concrete plannen zijn er tot dusverre bekend om de wachtlijsten in de </w:t>
      </w:r>
      <w:r w:rsidR="00D55762">
        <w:t>GGZ</w:t>
      </w:r>
      <w:r w:rsidRPr="005F055E">
        <w:t xml:space="preserve"> op korte termijn terug te dringen?</w:t>
      </w:r>
      <w:r w:rsidRPr="005F055E">
        <w:tab/>
      </w:r>
    </w:p>
    <w:p w:rsidRPr="005F055E" w:rsidR="003E7003" w:rsidP="00180EEB" w:rsidRDefault="003E7003" w14:paraId="7D9A4408" w14:textId="766C7009">
      <w:pPr>
        <w:suppressAutoHyphens/>
      </w:pPr>
      <w:r w:rsidRPr="005F055E">
        <w:t>Antwoord</w:t>
      </w:r>
    </w:p>
    <w:p w:rsidRPr="005F055E" w:rsidR="00573CF1" w:rsidP="00180EEB" w:rsidRDefault="00573CF1" w14:paraId="13014254" w14:textId="7B5D6932">
      <w:pPr>
        <w:suppressAutoHyphens/>
        <w:rPr>
          <w:szCs w:val="18"/>
        </w:rPr>
      </w:pPr>
      <w:r w:rsidRPr="005F055E">
        <w:rPr>
          <w:szCs w:val="18"/>
        </w:rPr>
        <w:t xml:space="preserve">Er lopen verschillende maatregelen om de wachttijden in de </w:t>
      </w:r>
      <w:r w:rsidR="00D55762">
        <w:rPr>
          <w:szCs w:val="18"/>
        </w:rPr>
        <w:t>GGZ</w:t>
      </w:r>
      <w:r w:rsidRPr="005F055E">
        <w:rPr>
          <w:szCs w:val="18"/>
        </w:rPr>
        <w:t xml:space="preserve"> terug te dringen. Binnen het Integraal Zorgakkoord (IZA) zijn onder meer het verkennend gesprek ingevoerd, extra uren beschikbaar gesteld voor de POH-</w:t>
      </w:r>
      <w:r w:rsidR="00D55762">
        <w:rPr>
          <w:szCs w:val="18"/>
        </w:rPr>
        <w:t>GGZ</w:t>
      </w:r>
      <w:r w:rsidRPr="005F055E">
        <w:rPr>
          <w:szCs w:val="18"/>
        </w:rPr>
        <w:t>, en wordt gewerkt aan beter regionaal inzicht in wachttijden zodat beschikbare capaciteit optimaal wordt benut. Ook wordt een landelijk netwerk van laagdrempelige steunpunten opgebouwd; inmiddels zijn er circa 278 locaties waar mensen snel terechtkunnen voor ondersteuning dicht bij huis.</w:t>
      </w:r>
    </w:p>
    <w:p w:rsidRPr="005F055E" w:rsidR="00573CF1" w:rsidP="00180EEB" w:rsidRDefault="00573CF1" w14:paraId="4CAFDBC8" w14:textId="2473DC81">
      <w:pPr>
        <w:suppressAutoHyphens/>
        <w:rPr>
          <w:szCs w:val="18"/>
        </w:rPr>
      </w:pPr>
      <w:bookmarkStart w:name="_Hlk211262218" w:id="24"/>
      <w:r w:rsidRPr="005F055E">
        <w:rPr>
          <w:szCs w:val="18"/>
        </w:rPr>
        <w:t xml:space="preserve">Daarnaast bevat het Aanvullend Zorg- en Welzijnsakkoord (AZWA) aanvullende maatregelen gericht op het voorkomen van instroom, bevorderen van door- en uitstroom en het wegnemen van ongewenste prikkels in het stelsel. Zo wordt gewerkt aan kortere en passender behandelvormen (zoals groeps- en online-behandeling), actieve zorgbemiddeling, het afschaffen van exclusiecriteria en een passender bekostiging van onderdelen van de cruciale </w:t>
      </w:r>
      <w:r w:rsidR="00D55762">
        <w:rPr>
          <w:szCs w:val="18"/>
        </w:rPr>
        <w:t>GGZ</w:t>
      </w:r>
      <w:r w:rsidRPr="005F055E">
        <w:rPr>
          <w:szCs w:val="18"/>
        </w:rPr>
        <w:t>.</w:t>
      </w:r>
    </w:p>
    <w:p w:rsidRPr="005F055E" w:rsidR="00573CF1" w:rsidP="00180EEB" w:rsidRDefault="00573CF1" w14:paraId="118F6821" w14:textId="4B94F361">
      <w:pPr>
        <w:suppressAutoHyphens/>
        <w:rPr>
          <w:szCs w:val="18"/>
        </w:rPr>
      </w:pPr>
      <w:r w:rsidRPr="005F055E">
        <w:rPr>
          <w:szCs w:val="18"/>
        </w:rPr>
        <w:t xml:space="preserve">Met deze aanpak wordt ingezet op het sneller en passender helpen van mensen met psychische problematiek, terwijl de capaciteit in de </w:t>
      </w:r>
      <w:r w:rsidR="00D55762">
        <w:rPr>
          <w:szCs w:val="18"/>
        </w:rPr>
        <w:t>GGZ</w:t>
      </w:r>
      <w:r w:rsidRPr="005F055E">
        <w:rPr>
          <w:szCs w:val="18"/>
        </w:rPr>
        <w:t xml:space="preserve"> beter wordt benut.</w:t>
      </w:r>
    </w:p>
    <w:bookmarkEnd w:id="24"/>
    <w:p w:rsidR="009873CE" w:rsidP="00180EEB" w:rsidRDefault="009873CE" w14:paraId="4F798072" w14:textId="77777777">
      <w:pPr>
        <w:suppressAutoHyphens/>
      </w:pPr>
    </w:p>
    <w:p w:rsidRPr="005F055E" w:rsidR="00912A7D" w:rsidP="00180EEB" w:rsidRDefault="003E7003" w14:paraId="2FB89945" w14:textId="42E111ED">
      <w:pPr>
        <w:suppressAutoHyphens/>
      </w:pPr>
      <w:r w:rsidRPr="005F055E">
        <w:t>Vraag 116</w:t>
      </w:r>
      <w:r w:rsidRPr="005F055E">
        <w:tab/>
      </w:r>
    </w:p>
    <w:p w:rsidRPr="005F055E" w:rsidR="00912A7D" w:rsidP="00180EEB" w:rsidRDefault="003E7003" w14:paraId="48C707CD" w14:textId="77777777">
      <w:pPr>
        <w:suppressAutoHyphens/>
      </w:pPr>
      <w:r w:rsidRPr="005F055E">
        <w:t>Hoeveel jongeren kregen er in 2024 jeugdzorg? Hoe is dit aantal verdeeld over de verschillende vormen van jeugdzorg?</w:t>
      </w:r>
      <w:r w:rsidRPr="005F055E">
        <w:tab/>
      </w:r>
    </w:p>
    <w:p w:rsidRPr="005F055E" w:rsidR="003E7003" w:rsidP="00180EEB" w:rsidRDefault="003E7003" w14:paraId="2230D248" w14:textId="57DCB2DF">
      <w:pPr>
        <w:suppressAutoHyphens/>
      </w:pPr>
      <w:r w:rsidRPr="005F055E">
        <w:t>Antwoord</w:t>
      </w:r>
    </w:p>
    <w:p w:rsidR="00DD1271" w:rsidP="00180EEB" w:rsidRDefault="00DD1271" w14:paraId="68F57A0A" w14:textId="1707FD90">
      <w:pPr>
        <w:suppressAutoHyphens/>
        <w:rPr>
          <w:szCs w:val="18"/>
        </w:rPr>
      </w:pPr>
      <w:r w:rsidRPr="00DD1271">
        <w:rPr>
          <w:szCs w:val="18"/>
        </w:rPr>
        <w:t xml:space="preserve">Antwoord: </w:t>
      </w:r>
      <w:r w:rsidRPr="00DD1271">
        <w:rPr>
          <w:szCs w:val="18"/>
        </w:rPr>
        <w:br/>
        <w:t xml:space="preserve">De definitieve cijfers van het CBS laten zien dat in 2024 491.025 jongeren (11.1%) een vorm van jeugdzorg kregen. Jongeren kunnen verschillende vormen van jeugdzorg tegelijk ontvangen. Onderstaande tabel laat per vorm van jeugdzorg zien hoeveel jongeren dit ontvangen. </w:t>
      </w:r>
    </w:p>
    <w:tbl>
      <w:tblPr>
        <w:tblStyle w:val="Tabelraster3"/>
        <w:tblW w:w="9560" w:type="dxa"/>
        <w:tblLook w:val="04A0" w:firstRow="1" w:lastRow="0" w:firstColumn="1" w:lastColumn="0" w:noHBand="0" w:noVBand="1"/>
      </w:tblPr>
      <w:tblGrid>
        <w:gridCol w:w="5700"/>
        <w:gridCol w:w="2380"/>
        <w:gridCol w:w="1480"/>
      </w:tblGrid>
      <w:tr w:rsidRPr="00DD1271" w:rsidR="00DD1271" w:rsidTr="00C3309B" w14:paraId="6B906EE6" w14:textId="77777777">
        <w:trPr>
          <w:trHeight w:val="300"/>
        </w:trPr>
        <w:tc>
          <w:tcPr>
            <w:tcW w:w="5700" w:type="dxa"/>
            <w:vMerge w:val="restart"/>
            <w:noWrap/>
            <w:hideMark/>
          </w:tcPr>
          <w:p w:rsidRPr="00DD1271" w:rsidR="00DD1271" w:rsidP="00180EEB" w:rsidRDefault="00DD1271" w14:paraId="2C57CFAA" w14:textId="77777777">
            <w:pPr>
              <w:suppressAutoHyphens/>
              <w:spacing w:after="160" w:line="259" w:lineRule="auto"/>
              <w:rPr>
                <w:b/>
                <w:bCs/>
                <w:szCs w:val="18"/>
              </w:rPr>
            </w:pPr>
            <w:r w:rsidRPr="00DD1271">
              <w:rPr>
                <w:b/>
                <w:bCs/>
                <w:szCs w:val="18"/>
              </w:rPr>
              <w:t>Perioden</w:t>
            </w:r>
          </w:p>
        </w:tc>
        <w:tc>
          <w:tcPr>
            <w:tcW w:w="2380" w:type="dxa"/>
            <w:noWrap/>
            <w:hideMark/>
          </w:tcPr>
          <w:p w:rsidRPr="00DD1271" w:rsidR="00DD1271" w:rsidP="00180EEB" w:rsidRDefault="00DD1271" w14:paraId="3FC6742A" w14:textId="77777777">
            <w:pPr>
              <w:suppressAutoHyphens/>
              <w:spacing w:after="160" w:line="259" w:lineRule="auto"/>
              <w:rPr>
                <w:b/>
                <w:bCs/>
                <w:szCs w:val="18"/>
              </w:rPr>
            </w:pPr>
            <w:r w:rsidRPr="00DD1271">
              <w:rPr>
                <w:b/>
                <w:bCs/>
                <w:szCs w:val="18"/>
              </w:rPr>
              <w:t>2024</w:t>
            </w:r>
          </w:p>
        </w:tc>
        <w:tc>
          <w:tcPr>
            <w:tcW w:w="1480" w:type="dxa"/>
            <w:noWrap/>
            <w:hideMark/>
          </w:tcPr>
          <w:p w:rsidRPr="00DD1271" w:rsidR="00DD1271" w:rsidP="00180EEB" w:rsidRDefault="00DD1271" w14:paraId="3B634D12" w14:textId="77777777">
            <w:pPr>
              <w:suppressAutoHyphens/>
              <w:spacing w:after="160" w:line="259" w:lineRule="auto"/>
              <w:rPr>
                <w:b/>
                <w:bCs/>
                <w:szCs w:val="18"/>
              </w:rPr>
            </w:pPr>
            <w:r w:rsidRPr="00DD1271">
              <w:rPr>
                <w:b/>
                <w:bCs/>
                <w:szCs w:val="18"/>
              </w:rPr>
              <w:t>2024</w:t>
            </w:r>
          </w:p>
        </w:tc>
      </w:tr>
      <w:tr w:rsidRPr="00DD1271" w:rsidR="00DD1271" w:rsidTr="00C3309B" w14:paraId="23ABAAF9" w14:textId="77777777">
        <w:trPr>
          <w:trHeight w:val="300"/>
        </w:trPr>
        <w:tc>
          <w:tcPr>
            <w:tcW w:w="5700" w:type="dxa"/>
            <w:vMerge/>
            <w:noWrap/>
            <w:hideMark/>
          </w:tcPr>
          <w:p w:rsidRPr="00DD1271" w:rsidR="00DD1271" w:rsidP="00180EEB" w:rsidRDefault="00DD1271" w14:paraId="1EFB52B6" w14:textId="77777777">
            <w:pPr>
              <w:suppressAutoHyphens/>
              <w:spacing w:after="160" w:line="259" w:lineRule="auto"/>
              <w:rPr>
                <w:b/>
                <w:bCs/>
                <w:szCs w:val="18"/>
              </w:rPr>
            </w:pPr>
          </w:p>
        </w:tc>
        <w:tc>
          <w:tcPr>
            <w:tcW w:w="2380" w:type="dxa"/>
            <w:noWrap/>
            <w:hideMark/>
          </w:tcPr>
          <w:p w:rsidRPr="00DD1271" w:rsidR="00DD1271" w:rsidP="00180EEB" w:rsidRDefault="00DD1271" w14:paraId="2AA0CBFD" w14:textId="77777777">
            <w:pPr>
              <w:suppressAutoHyphens/>
              <w:spacing w:after="160" w:line="259" w:lineRule="auto"/>
              <w:rPr>
                <w:szCs w:val="18"/>
              </w:rPr>
            </w:pPr>
            <w:r w:rsidRPr="00DD1271">
              <w:rPr>
                <w:szCs w:val="18"/>
              </w:rPr>
              <w:t>Jongeren (aantallen)</w:t>
            </w:r>
          </w:p>
        </w:tc>
        <w:tc>
          <w:tcPr>
            <w:tcW w:w="1480" w:type="dxa"/>
            <w:noWrap/>
            <w:hideMark/>
          </w:tcPr>
          <w:p w:rsidRPr="00DD1271" w:rsidR="00DD1271" w:rsidP="00180EEB" w:rsidRDefault="00DD1271" w14:paraId="75BE6167" w14:textId="77777777">
            <w:pPr>
              <w:suppressAutoHyphens/>
              <w:spacing w:after="160" w:line="259" w:lineRule="auto"/>
              <w:rPr>
                <w:szCs w:val="18"/>
              </w:rPr>
            </w:pPr>
            <w:r w:rsidRPr="00DD1271">
              <w:rPr>
                <w:szCs w:val="18"/>
              </w:rPr>
              <w:t>Jongeren (%)</w:t>
            </w:r>
          </w:p>
        </w:tc>
      </w:tr>
      <w:tr w:rsidRPr="00DD1271" w:rsidR="00DD1271" w:rsidTr="00C64B91" w14:paraId="0ECA0399" w14:textId="77777777">
        <w:trPr>
          <w:trHeight w:val="300"/>
        </w:trPr>
        <w:tc>
          <w:tcPr>
            <w:tcW w:w="5700" w:type="dxa"/>
            <w:noWrap/>
            <w:hideMark/>
          </w:tcPr>
          <w:p w:rsidRPr="00DD1271" w:rsidR="00DD1271" w:rsidP="00180EEB" w:rsidRDefault="00DD1271" w14:paraId="0BCAE45B" w14:textId="77777777">
            <w:pPr>
              <w:suppressAutoHyphens/>
              <w:spacing w:after="160" w:line="259" w:lineRule="auto"/>
              <w:rPr>
                <w:szCs w:val="18"/>
              </w:rPr>
            </w:pPr>
            <w:r w:rsidRPr="00DD1271">
              <w:rPr>
                <w:szCs w:val="18"/>
              </w:rPr>
              <w:t>Totaal jeugdzorg (natura &amp; PGB)</w:t>
            </w:r>
          </w:p>
        </w:tc>
        <w:tc>
          <w:tcPr>
            <w:tcW w:w="2380" w:type="dxa"/>
            <w:noWrap/>
            <w:hideMark/>
          </w:tcPr>
          <w:p w:rsidRPr="00DD1271" w:rsidR="00DD1271" w:rsidP="00180EEB" w:rsidRDefault="00DD1271" w14:paraId="01A73EFE" w14:textId="77777777">
            <w:pPr>
              <w:suppressAutoHyphens/>
              <w:spacing w:after="160" w:line="259" w:lineRule="auto"/>
              <w:rPr>
                <w:szCs w:val="18"/>
              </w:rPr>
            </w:pPr>
            <w:r w:rsidRPr="00DD1271">
              <w:rPr>
                <w:szCs w:val="18"/>
              </w:rPr>
              <w:t>491025</w:t>
            </w:r>
          </w:p>
        </w:tc>
        <w:tc>
          <w:tcPr>
            <w:tcW w:w="1480" w:type="dxa"/>
            <w:noWrap/>
            <w:hideMark/>
          </w:tcPr>
          <w:p w:rsidRPr="00DD1271" w:rsidR="00DD1271" w:rsidP="00180EEB" w:rsidRDefault="00DD1271" w14:paraId="08285824" w14:textId="77777777">
            <w:pPr>
              <w:suppressAutoHyphens/>
              <w:spacing w:after="160" w:line="259" w:lineRule="auto"/>
              <w:rPr>
                <w:szCs w:val="18"/>
              </w:rPr>
            </w:pPr>
            <w:r w:rsidRPr="00DD1271">
              <w:rPr>
                <w:szCs w:val="18"/>
              </w:rPr>
              <w:t>11,1</w:t>
            </w:r>
          </w:p>
        </w:tc>
      </w:tr>
      <w:tr w:rsidRPr="00DD1271" w:rsidR="00DD1271" w:rsidTr="00C64B91" w14:paraId="6846F0D9" w14:textId="77777777">
        <w:trPr>
          <w:trHeight w:val="300"/>
        </w:trPr>
        <w:tc>
          <w:tcPr>
            <w:tcW w:w="5700" w:type="dxa"/>
            <w:noWrap/>
            <w:hideMark/>
          </w:tcPr>
          <w:p w:rsidRPr="00DD1271" w:rsidR="00DD1271" w:rsidP="00180EEB" w:rsidRDefault="00DD1271" w14:paraId="76F8AB21" w14:textId="77777777">
            <w:pPr>
              <w:suppressAutoHyphens/>
              <w:spacing w:after="160" w:line="259" w:lineRule="auto"/>
              <w:rPr>
                <w:szCs w:val="18"/>
              </w:rPr>
            </w:pPr>
            <w:r w:rsidRPr="00DD1271">
              <w:rPr>
                <w:szCs w:val="18"/>
              </w:rPr>
              <w:t>Totaal jeugdhulp (natura &amp; PGB)</w:t>
            </w:r>
          </w:p>
        </w:tc>
        <w:tc>
          <w:tcPr>
            <w:tcW w:w="2380" w:type="dxa"/>
            <w:noWrap/>
            <w:hideMark/>
          </w:tcPr>
          <w:p w:rsidRPr="00DD1271" w:rsidR="00DD1271" w:rsidP="00180EEB" w:rsidRDefault="00DD1271" w14:paraId="3CCA0F6E" w14:textId="77777777">
            <w:pPr>
              <w:suppressAutoHyphens/>
              <w:spacing w:after="160" w:line="259" w:lineRule="auto"/>
              <w:rPr>
                <w:szCs w:val="18"/>
              </w:rPr>
            </w:pPr>
            <w:r w:rsidRPr="00DD1271">
              <w:rPr>
                <w:szCs w:val="18"/>
              </w:rPr>
              <w:t>482740</w:t>
            </w:r>
          </w:p>
        </w:tc>
        <w:tc>
          <w:tcPr>
            <w:tcW w:w="1480" w:type="dxa"/>
            <w:noWrap/>
            <w:hideMark/>
          </w:tcPr>
          <w:p w:rsidRPr="00DD1271" w:rsidR="00DD1271" w:rsidP="00180EEB" w:rsidRDefault="00DD1271" w14:paraId="2EBEC98D" w14:textId="77777777">
            <w:pPr>
              <w:suppressAutoHyphens/>
              <w:spacing w:after="160" w:line="259" w:lineRule="auto"/>
              <w:rPr>
                <w:szCs w:val="18"/>
              </w:rPr>
            </w:pPr>
            <w:r w:rsidRPr="00DD1271">
              <w:rPr>
                <w:szCs w:val="18"/>
              </w:rPr>
              <w:t>10,9</w:t>
            </w:r>
          </w:p>
        </w:tc>
      </w:tr>
      <w:tr w:rsidRPr="00DD1271" w:rsidR="00DD1271" w:rsidTr="00C64B91" w14:paraId="1BC703DB" w14:textId="77777777">
        <w:trPr>
          <w:trHeight w:val="300"/>
        </w:trPr>
        <w:tc>
          <w:tcPr>
            <w:tcW w:w="5700" w:type="dxa"/>
            <w:noWrap/>
            <w:hideMark/>
          </w:tcPr>
          <w:p w:rsidRPr="00DD1271" w:rsidR="00DD1271" w:rsidP="00180EEB" w:rsidRDefault="00DD1271" w14:paraId="0492B1BE" w14:textId="77777777">
            <w:pPr>
              <w:suppressAutoHyphens/>
              <w:spacing w:after="160" w:line="259" w:lineRule="auto"/>
              <w:rPr>
                <w:szCs w:val="18"/>
              </w:rPr>
            </w:pPr>
            <w:r w:rsidRPr="00DD1271">
              <w:rPr>
                <w:szCs w:val="18"/>
              </w:rPr>
              <w:t>Totaal jeugdhulp (natura)</w:t>
            </w:r>
          </w:p>
        </w:tc>
        <w:tc>
          <w:tcPr>
            <w:tcW w:w="2380" w:type="dxa"/>
            <w:noWrap/>
            <w:hideMark/>
          </w:tcPr>
          <w:p w:rsidRPr="00DD1271" w:rsidR="00DD1271" w:rsidP="00180EEB" w:rsidRDefault="00DD1271" w14:paraId="0AB971A3" w14:textId="77777777">
            <w:pPr>
              <w:suppressAutoHyphens/>
              <w:spacing w:after="160" w:line="259" w:lineRule="auto"/>
              <w:rPr>
                <w:szCs w:val="18"/>
              </w:rPr>
            </w:pPr>
            <w:r w:rsidRPr="00DD1271">
              <w:rPr>
                <w:szCs w:val="18"/>
              </w:rPr>
              <w:t>478655</w:t>
            </w:r>
          </w:p>
        </w:tc>
        <w:tc>
          <w:tcPr>
            <w:tcW w:w="1480" w:type="dxa"/>
            <w:noWrap/>
            <w:hideMark/>
          </w:tcPr>
          <w:p w:rsidRPr="00DD1271" w:rsidR="00DD1271" w:rsidP="00180EEB" w:rsidRDefault="00DD1271" w14:paraId="074922C1" w14:textId="77777777">
            <w:pPr>
              <w:suppressAutoHyphens/>
              <w:spacing w:after="160" w:line="259" w:lineRule="auto"/>
              <w:rPr>
                <w:szCs w:val="18"/>
              </w:rPr>
            </w:pPr>
            <w:r w:rsidRPr="00DD1271">
              <w:rPr>
                <w:szCs w:val="18"/>
              </w:rPr>
              <w:t>10,8</w:t>
            </w:r>
          </w:p>
        </w:tc>
      </w:tr>
      <w:tr w:rsidRPr="00DD1271" w:rsidR="00DD1271" w:rsidTr="00C64B91" w14:paraId="0EA51588" w14:textId="77777777">
        <w:trPr>
          <w:trHeight w:val="300"/>
        </w:trPr>
        <w:tc>
          <w:tcPr>
            <w:tcW w:w="5700" w:type="dxa"/>
            <w:noWrap/>
            <w:hideMark/>
          </w:tcPr>
          <w:p w:rsidRPr="00DD1271" w:rsidR="00DD1271" w:rsidP="00180EEB" w:rsidRDefault="00DD1271" w14:paraId="3CEBB5CF" w14:textId="77777777">
            <w:pPr>
              <w:suppressAutoHyphens/>
              <w:spacing w:after="160" w:line="259" w:lineRule="auto"/>
              <w:rPr>
                <w:szCs w:val="18"/>
              </w:rPr>
            </w:pPr>
            <w:r w:rsidRPr="00DD1271">
              <w:rPr>
                <w:szCs w:val="18"/>
              </w:rPr>
              <w:t>Totaal jeugdhulp zonder verblijf (natura)</w:t>
            </w:r>
          </w:p>
        </w:tc>
        <w:tc>
          <w:tcPr>
            <w:tcW w:w="2380" w:type="dxa"/>
            <w:noWrap/>
            <w:hideMark/>
          </w:tcPr>
          <w:p w:rsidRPr="00DD1271" w:rsidR="00DD1271" w:rsidP="00180EEB" w:rsidRDefault="00DD1271" w14:paraId="39AAAA74" w14:textId="77777777">
            <w:pPr>
              <w:suppressAutoHyphens/>
              <w:spacing w:after="160" w:line="259" w:lineRule="auto"/>
              <w:rPr>
                <w:szCs w:val="18"/>
              </w:rPr>
            </w:pPr>
            <w:r w:rsidRPr="00DD1271">
              <w:rPr>
                <w:szCs w:val="18"/>
              </w:rPr>
              <w:t>461890</w:t>
            </w:r>
          </w:p>
        </w:tc>
        <w:tc>
          <w:tcPr>
            <w:tcW w:w="1480" w:type="dxa"/>
            <w:noWrap/>
            <w:hideMark/>
          </w:tcPr>
          <w:p w:rsidRPr="00DD1271" w:rsidR="00DD1271" w:rsidP="00180EEB" w:rsidRDefault="00DD1271" w14:paraId="6359FF54" w14:textId="77777777">
            <w:pPr>
              <w:suppressAutoHyphens/>
              <w:spacing w:after="160" w:line="259" w:lineRule="auto"/>
              <w:rPr>
                <w:szCs w:val="18"/>
              </w:rPr>
            </w:pPr>
            <w:r w:rsidRPr="00DD1271">
              <w:rPr>
                <w:szCs w:val="18"/>
              </w:rPr>
              <w:t>10,4</w:t>
            </w:r>
          </w:p>
        </w:tc>
      </w:tr>
      <w:tr w:rsidRPr="00DD1271" w:rsidR="00DD1271" w:rsidTr="00C64B91" w14:paraId="6100DE6E" w14:textId="77777777">
        <w:trPr>
          <w:trHeight w:val="300"/>
        </w:trPr>
        <w:tc>
          <w:tcPr>
            <w:tcW w:w="5700" w:type="dxa"/>
            <w:noWrap/>
            <w:hideMark/>
          </w:tcPr>
          <w:p w:rsidRPr="00DD1271" w:rsidR="00DD1271" w:rsidP="00180EEB" w:rsidRDefault="00DD1271" w14:paraId="6E37B7FA" w14:textId="77777777">
            <w:pPr>
              <w:suppressAutoHyphens/>
              <w:spacing w:after="160" w:line="259" w:lineRule="auto"/>
              <w:rPr>
                <w:szCs w:val="18"/>
              </w:rPr>
            </w:pPr>
            <w:r w:rsidRPr="00DD1271">
              <w:rPr>
                <w:szCs w:val="18"/>
              </w:rPr>
              <w:t>Totaal jeugdhulp met verblijf (natura)</w:t>
            </w:r>
          </w:p>
        </w:tc>
        <w:tc>
          <w:tcPr>
            <w:tcW w:w="2380" w:type="dxa"/>
            <w:noWrap/>
            <w:hideMark/>
          </w:tcPr>
          <w:p w:rsidRPr="00DD1271" w:rsidR="00DD1271" w:rsidP="00180EEB" w:rsidRDefault="00DD1271" w14:paraId="6A99ED26" w14:textId="77777777">
            <w:pPr>
              <w:suppressAutoHyphens/>
              <w:spacing w:after="160" w:line="259" w:lineRule="auto"/>
              <w:rPr>
                <w:szCs w:val="18"/>
              </w:rPr>
            </w:pPr>
            <w:r w:rsidRPr="00DD1271">
              <w:rPr>
                <w:szCs w:val="18"/>
              </w:rPr>
              <w:t>41775</w:t>
            </w:r>
          </w:p>
        </w:tc>
        <w:tc>
          <w:tcPr>
            <w:tcW w:w="1480" w:type="dxa"/>
            <w:noWrap/>
            <w:hideMark/>
          </w:tcPr>
          <w:p w:rsidRPr="00DD1271" w:rsidR="00DD1271" w:rsidP="00180EEB" w:rsidRDefault="00DD1271" w14:paraId="2E2BCA69" w14:textId="77777777">
            <w:pPr>
              <w:suppressAutoHyphens/>
              <w:spacing w:after="160" w:line="259" w:lineRule="auto"/>
              <w:rPr>
                <w:szCs w:val="18"/>
              </w:rPr>
            </w:pPr>
            <w:r w:rsidRPr="00DD1271">
              <w:rPr>
                <w:szCs w:val="18"/>
              </w:rPr>
              <w:t>0,9</w:t>
            </w:r>
          </w:p>
        </w:tc>
      </w:tr>
      <w:tr w:rsidRPr="00DD1271" w:rsidR="00DD1271" w:rsidTr="00C64B91" w14:paraId="7F26469A" w14:textId="77777777">
        <w:trPr>
          <w:trHeight w:val="300"/>
        </w:trPr>
        <w:tc>
          <w:tcPr>
            <w:tcW w:w="5700" w:type="dxa"/>
            <w:noWrap/>
            <w:hideMark/>
          </w:tcPr>
          <w:p w:rsidRPr="00DD1271" w:rsidR="00DD1271" w:rsidP="00180EEB" w:rsidRDefault="00DD1271" w14:paraId="79621C51" w14:textId="77777777">
            <w:pPr>
              <w:suppressAutoHyphens/>
              <w:spacing w:after="160" w:line="259" w:lineRule="auto"/>
              <w:rPr>
                <w:szCs w:val="18"/>
              </w:rPr>
            </w:pPr>
            <w:r w:rsidRPr="00DD1271">
              <w:rPr>
                <w:szCs w:val="18"/>
              </w:rPr>
              <w:t>Totaal jeugdbescherming (natura)</w:t>
            </w:r>
          </w:p>
        </w:tc>
        <w:tc>
          <w:tcPr>
            <w:tcW w:w="2380" w:type="dxa"/>
            <w:noWrap/>
            <w:hideMark/>
          </w:tcPr>
          <w:p w:rsidRPr="00DD1271" w:rsidR="00DD1271" w:rsidP="00180EEB" w:rsidRDefault="00DD1271" w14:paraId="43E54104" w14:textId="77777777">
            <w:pPr>
              <w:suppressAutoHyphens/>
              <w:spacing w:after="160" w:line="259" w:lineRule="auto"/>
              <w:rPr>
                <w:szCs w:val="18"/>
              </w:rPr>
            </w:pPr>
            <w:r w:rsidRPr="00DD1271">
              <w:rPr>
                <w:szCs w:val="18"/>
              </w:rPr>
              <w:t>33940</w:t>
            </w:r>
          </w:p>
        </w:tc>
        <w:tc>
          <w:tcPr>
            <w:tcW w:w="1480" w:type="dxa"/>
            <w:noWrap/>
            <w:hideMark/>
          </w:tcPr>
          <w:p w:rsidRPr="00DD1271" w:rsidR="00DD1271" w:rsidP="00180EEB" w:rsidRDefault="00DD1271" w14:paraId="4CFC1E61" w14:textId="77777777">
            <w:pPr>
              <w:suppressAutoHyphens/>
              <w:spacing w:after="160" w:line="259" w:lineRule="auto"/>
              <w:rPr>
                <w:szCs w:val="18"/>
              </w:rPr>
            </w:pPr>
            <w:r w:rsidRPr="00DD1271">
              <w:rPr>
                <w:szCs w:val="18"/>
              </w:rPr>
              <w:t>1</w:t>
            </w:r>
          </w:p>
        </w:tc>
      </w:tr>
      <w:tr w:rsidRPr="00DD1271" w:rsidR="00DD1271" w:rsidTr="00C64B91" w14:paraId="760A8A9C" w14:textId="77777777">
        <w:trPr>
          <w:trHeight w:val="300"/>
        </w:trPr>
        <w:tc>
          <w:tcPr>
            <w:tcW w:w="5700" w:type="dxa"/>
            <w:noWrap/>
            <w:hideMark/>
          </w:tcPr>
          <w:p w:rsidRPr="00DD1271" w:rsidR="00DD1271" w:rsidP="00180EEB" w:rsidRDefault="00DD1271" w14:paraId="7A6F7A34" w14:textId="77777777">
            <w:pPr>
              <w:suppressAutoHyphens/>
              <w:spacing w:after="160" w:line="259" w:lineRule="auto"/>
              <w:rPr>
                <w:szCs w:val="18"/>
              </w:rPr>
            </w:pPr>
            <w:r w:rsidRPr="00DD1271">
              <w:rPr>
                <w:szCs w:val="18"/>
              </w:rPr>
              <w:t>Totaal jeugdreclassering (natura)</w:t>
            </w:r>
          </w:p>
        </w:tc>
        <w:tc>
          <w:tcPr>
            <w:tcW w:w="2380" w:type="dxa"/>
            <w:noWrap/>
            <w:hideMark/>
          </w:tcPr>
          <w:p w:rsidRPr="00DD1271" w:rsidR="00DD1271" w:rsidP="00180EEB" w:rsidRDefault="00DD1271" w14:paraId="21B00B43" w14:textId="77777777">
            <w:pPr>
              <w:suppressAutoHyphens/>
              <w:spacing w:after="160" w:line="259" w:lineRule="auto"/>
              <w:rPr>
                <w:szCs w:val="18"/>
              </w:rPr>
            </w:pPr>
            <w:r w:rsidRPr="00DD1271">
              <w:rPr>
                <w:szCs w:val="18"/>
              </w:rPr>
              <w:t>8290</w:t>
            </w:r>
          </w:p>
        </w:tc>
        <w:tc>
          <w:tcPr>
            <w:tcW w:w="1480" w:type="dxa"/>
            <w:noWrap/>
            <w:hideMark/>
          </w:tcPr>
          <w:p w:rsidRPr="00DD1271" w:rsidR="00DD1271" w:rsidP="00180EEB" w:rsidRDefault="00DD1271" w14:paraId="79ACD23E" w14:textId="77777777">
            <w:pPr>
              <w:suppressAutoHyphens/>
              <w:spacing w:after="160" w:line="259" w:lineRule="auto"/>
              <w:rPr>
                <w:szCs w:val="18"/>
              </w:rPr>
            </w:pPr>
            <w:r w:rsidRPr="00DD1271">
              <w:rPr>
                <w:szCs w:val="18"/>
              </w:rPr>
              <w:t>0,4</w:t>
            </w:r>
          </w:p>
        </w:tc>
      </w:tr>
    </w:tbl>
    <w:p w:rsidRPr="00DD1271" w:rsidR="00DD1271" w:rsidP="00180EEB" w:rsidRDefault="00DD1271" w14:paraId="148367A1" w14:textId="1DA5C857">
      <w:pPr>
        <w:suppressAutoHyphens/>
        <w:rPr>
          <w:szCs w:val="18"/>
        </w:rPr>
      </w:pPr>
      <w:proofErr w:type="spellStart"/>
      <w:r w:rsidRPr="00DD1271">
        <w:rPr>
          <w:szCs w:val="18"/>
        </w:rPr>
        <w:t>Note</w:t>
      </w:r>
      <w:proofErr w:type="spellEnd"/>
      <w:r w:rsidRPr="00DD1271">
        <w:rPr>
          <w:szCs w:val="18"/>
        </w:rPr>
        <w:t>: de gegevens van de SVB (over jeugdhulpontvangers met een PGB) bevatten geen zorginhoudelijke informatie. Om die reden worden cijfers over jeugdhulpzorgvormen alleen in natura weergegeven.</w:t>
      </w:r>
    </w:p>
    <w:p w:rsidRPr="00DD1271" w:rsidR="00DD1271" w:rsidP="00180EEB" w:rsidRDefault="00DD1271" w14:paraId="102B451D" w14:textId="77777777">
      <w:pPr>
        <w:suppressAutoHyphens/>
        <w:rPr>
          <w:i/>
          <w:iCs/>
          <w:szCs w:val="18"/>
        </w:rPr>
      </w:pPr>
      <w:r w:rsidRPr="00DD1271">
        <w:rPr>
          <w:i/>
          <w:iCs/>
          <w:szCs w:val="18"/>
        </w:rPr>
        <w:t xml:space="preserve">Bron: CBS </w:t>
      </w:r>
      <w:hyperlink w:history="1" w:anchor="/CBS/nl/dataset/85099NED/table?ts=1762510812327" r:id="rId19">
        <w:proofErr w:type="spellStart"/>
        <w:r w:rsidRPr="00DD1271">
          <w:rPr>
            <w:rStyle w:val="Hyperlink"/>
            <w:i/>
            <w:iCs/>
            <w:szCs w:val="18"/>
          </w:rPr>
          <w:t>StatLine</w:t>
        </w:r>
        <w:proofErr w:type="spellEnd"/>
        <w:r w:rsidRPr="00DD1271">
          <w:rPr>
            <w:rStyle w:val="Hyperlink"/>
            <w:i/>
            <w:iCs/>
            <w:szCs w:val="18"/>
          </w:rPr>
          <w:t xml:space="preserve"> - Kerncijfers over jeugdzorg</w:t>
        </w:r>
      </w:hyperlink>
    </w:p>
    <w:p w:rsidR="00F36E36" w:rsidP="00180EEB" w:rsidRDefault="00F36E36" w14:paraId="41EC214B" w14:textId="77777777">
      <w:pPr>
        <w:suppressAutoHyphens/>
      </w:pPr>
    </w:p>
    <w:p w:rsidRPr="005F055E" w:rsidR="00912A7D" w:rsidP="00180EEB" w:rsidRDefault="003E7003" w14:paraId="52916F0B" w14:textId="77777777">
      <w:pPr>
        <w:suppressAutoHyphens/>
      </w:pPr>
      <w:r w:rsidRPr="005F055E">
        <w:t>Vraag 117</w:t>
      </w:r>
      <w:r w:rsidRPr="005F055E">
        <w:tab/>
      </w:r>
    </w:p>
    <w:p w:rsidRPr="005F055E" w:rsidR="00912A7D" w:rsidP="00180EEB" w:rsidRDefault="003E7003" w14:paraId="1B964019" w14:textId="77777777">
      <w:pPr>
        <w:suppressAutoHyphens/>
      </w:pPr>
      <w:r w:rsidRPr="005F055E">
        <w:t>Hoeveel jongeren zitten er momenteel in de gesloten jeugdzorg?</w:t>
      </w:r>
      <w:r w:rsidRPr="005F055E">
        <w:tab/>
      </w:r>
    </w:p>
    <w:p w:rsidR="00F36E36" w:rsidP="00180EEB" w:rsidRDefault="003E7003" w14:paraId="74791AC1" w14:textId="77777777">
      <w:pPr>
        <w:suppressAutoHyphens/>
      </w:pPr>
      <w:r w:rsidRPr="005F055E">
        <w:t>Antwoord</w:t>
      </w:r>
    </w:p>
    <w:p w:rsidRPr="00F36E36" w:rsidR="00912A7D" w:rsidP="00180EEB" w:rsidRDefault="00460C7F" w14:paraId="4FA9185B" w14:textId="1AC62492">
      <w:pPr>
        <w:suppressAutoHyphens/>
        <w:rPr>
          <w:szCs w:val="18"/>
        </w:rPr>
      </w:pPr>
      <w:r w:rsidRPr="005F055E">
        <w:rPr>
          <w:szCs w:val="18"/>
        </w:rPr>
        <w:t>Volgens de meest recente monitor van de Jeugdautoriteit verblijven er 408 jeugdigen in een instelling voor gesloten jeugdhulp.</w:t>
      </w:r>
      <w:r w:rsidRPr="005F055E">
        <w:rPr>
          <w:szCs w:val="18"/>
          <w:vertAlign w:val="superscript"/>
        </w:rPr>
        <w:footnoteReference w:id="39"/>
      </w:r>
    </w:p>
    <w:p w:rsidRPr="005F055E" w:rsidR="001F2E04" w:rsidP="00180EEB" w:rsidRDefault="001F2E04" w14:paraId="15E675E2" w14:textId="77777777">
      <w:pPr>
        <w:suppressAutoHyphens/>
      </w:pPr>
    </w:p>
    <w:p w:rsidRPr="005F055E" w:rsidR="00912A7D" w:rsidP="00180EEB" w:rsidRDefault="003E7003" w14:paraId="2D4D663F" w14:textId="77777777">
      <w:pPr>
        <w:suppressAutoHyphens/>
      </w:pPr>
      <w:r w:rsidRPr="005F055E">
        <w:t>Vraag 118</w:t>
      </w:r>
      <w:r w:rsidRPr="005F055E">
        <w:tab/>
      </w:r>
    </w:p>
    <w:p w:rsidRPr="005F055E" w:rsidR="00912A7D" w:rsidP="00180EEB" w:rsidRDefault="003E7003" w14:paraId="0CA4DF0C" w14:textId="77777777">
      <w:pPr>
        <w:suppressAutoHyphens/>
      </w:pPr>
      <w:r w:rsidRPr="005F055E">
        <w:t>Hoeveel jongeren kregen er in 2025 jeugdzorg? Hoe is dit aantal verdeeld over de verschillende vormen van jeugdzorg?</w:t>
      </w:r>
      <w:r w:rsidRPr="005F055E">
        <w:tab/>
      </w:r>
    </w:p>
    <w:p w:rsidRPr="005F055E" w:rsidR="003E7003" w:rsidP="00180EEB" w:rsidRDefault="003E7003" w14:paraId="02499021" w14:textId="0D58398F">
      <w:pPr>
        <w:suppressAutoHyphens/>
      </w:pPr>
      <w:r w:rsidRPr="005F055E">
        <w:t>Antwoord</w:t>
      </w:r>
    </w:p>
    <w:p w:rsidRPr="00DD1271" w:rsidR="00DD1271" w:rsidP="00180EEB" w:rsidRDefault="00DD1271" w14:paraId="29B9FFB5" w14:textId="77777777">
      <w:pPr>
        <w:suppressAutoHyphens/>
      </w:pPr>
      <w:r w:rsidRPr="00DD1271">
        <w:t>Cijfers over 2025 zijn nog niet beschikbaar. Wel zijn de voorlopige cijfers over het eerste halfjaar van 2025 beschikbaar. In het eerste halfjaar van 2025 kregen 402.620 jongeren (9,1%) een vorm van jeugdzorg. Jongeren kunnen verschillende vormen van jeugdzorg tegelijk ontvangen. Onderstaande tabel laat per vorm van jeugdzorg zien hoeveel jongeren dit ontvangen.</w:t>
      </w:r>
    </w:p>
    <w:p w:rsidRPr="00DD1271" w:rsidR="00DD1271" w:rsidP="00180EEB" w:rsidRDefault="00DD1271" w14:paraId="5F93971F" w14:textId="77777777">
      <w:pPr>
        <w:suppressAutoHyphens/>
      </w:pPr>
    </w:p>
    <w:tbl>
      <w:tblPr>
        <w:tblStyle w:val="Tabelraster3"/>
        <w:tblW w:w="8789" w:type="dxa"/>
        <w:tblLook w:val="04A0" w:firstRow="1" w:lastRow="0" w:firstColumn="1" w:lastColumn="0" w:noHBand="0" w:noVBand="1"/>
      </w:tblPr>
      <w:tblGrid>
        <w:gridCol w:w="4253"/>
        <w:gridCol w:w="1984"/>
        <w:gridCol w:w="2552"/>
      </w:tblGrid>
      <w:tr w:rsidRPr="00DD1271" w:rsidR="00DD1271" w:rsidTr="00DB6C4C" w14:paraId="46FAE4DB" w14:textId="77777777">
        <w:trPr>
          <w:trHeight w:val="300"/>
        </w:trPr>
        <w:tc>
          <w:tcPr>
            <w:tcW w:w="4253" w:type="dxa"/>
            <w:vMerge w:val="restart"/>
            <w:noWrap/>
            <w:hideMark/>
          </w:tcPr>
          <w:p w:rsidRPr="00DD1271" w:rsidR="00DD1271" w:rsidP="00180EEB" w:rsidRDefault="00DD1271" w14:paraId="3C196E55" w14:textId="77777777">
            <w:pPr>
              <w:suppressAutoHyphens/>
              <w:spacing w:after="160" w:line="259" w:lineRule="auto"/>
              <w:rPr>
                <w:b/>
                <w:bCs/>
              </w:rPr>
            </w:pPr>
            <w:r w:rsidRPr="00DD1271">
              <w:rPr>
                <w:b/>
                <w:bCs/>
              </w:rPr>
              <w:t>Perioden</w:t>
            </w:r>
          </w:p>
        </w:tc>
        <w:tc>
          <w:tcPr>
            <w:tcW w:w="1984" w:type="dxa"/>
            <w:noWrap/>
            <w:hideMark/>
          </w:tcPr>
          <w:p w:rsidRPr="00DD1271" w:rsidR="00DD1271" w:rsidP="00180EEB" w:rsidRDefault="00DD1271" w14:paraId="36AA8633" w14:textId="77777777">
            <w:pPr>
              <w:suppressAutoHyphens/>
              <w:spacing w:after="160" w:line="259" w:lineRule="auto"/>
              <w:rPr>
                <w:b/>
                <w:bCs/>
              </w:rPr>
            </w:pPr>
            <w:r w:rsidRPr="00DD1271">
              <w:rPr>
                <w:b/>
                <w:bCs/>
              </w:rPr>
              <w:t>1e halfjaar 2025*</w:t>
            </w:r>
          </w:p>
        </w:tc>
        <w:tc>
          <w:tcPr>
            <w:tcW w:w="2552" w:type="dxa"/>
            <w:noWrap/>
            <w:hideMark/>
          </w:tcPr>
          <w:p w:rsidRPr="00DD1271" w:rsidR="00DD1271" w:rsidP="00180EEB" w:rsidRDefault="00DD1271" w14:paraId="46EB2BC4" w14:textId="77777777">
            <w:pPr>
              <w:suppressAutoHyphens/>
              <w:spacing w:after="160" w:line="259" w:lineRule="auto"/>
              <w:rPr>
                <w:b/>
                <w:bCs/>
              </w:rPr>
            </w:pPr>
            <w:r w:rsidRPr="00DD1271">
              <w:rPr>
                <w:b/>
                <w:bCs/>
              </w:rPr>
              <w:t>1e halfjaar 2025*</w:t>
            </w:r>
          </w:p>
        </w:tc>
      </w:tr>
      <w:tr w:rsidRPr="00DD1271" w:rsidR="00DD1271" w:rsidTr="00C64B91" w14:paraId="7C5AF8C6" w14:textId="77777777">
        <w:trPr>
          <w:trHeight w:val="502"/>
        </w:trPr>
        <w:tc>
          <w:tcPr>
            <w:tcW w:w="4253" w:type="dxa"/>
            <w:vMerge/>
            <w:noWrap/>
            <w:hideMark/>
          </w:tcPr>
          <w:p w:rsidRPr="00DD1271" w:rsidR="00DD1271" w:rsidP="00180EEB" w:rsidRDefault="00DD1271" w14:paraId="222A798E" w14:textId="77777777">
            <w:pPr>
              <w:suppressAutoHyphens/>
              <w:spacing w:after="160" w:line="259" w:lineRule="auto"/>
              <w:rPr>
                <w:b/>
                <w:bCs/>
              </w:rPr>
            </w:pPr>
          </w:p>
        </w:tc>
        <w:tc>
          <w:tcPr>
            <w:tcW w:w="1984" w:type="dxa"/>
            <w:noWrap/>
            <w:hideMark/>
          </w:tcPr>
          <w:p w:rsidRPr="00DD1271" w:rsidR="00DD1271" w:rsidP="00180EEB" w:rsidRDefault="00DD1271" w14:paraId="528607D0" w14:textId="77777777">
            <w:pPr>
              <w:suppressAutoHyphens/>
              <w:spacing w:after="160" w:line="259" w:lineRule="auto"/>
            </w:pPr>
            <w:r w:rsidRPr="00DD1271">
              <w:t>Jongeren (aantallen)</w:t>
            </w:r>
          </w:p>
        </w:tc>
        <w:tc>
          <w:tcPr>
            <w:tcW w:w="2552" w:type="dxa"/>
            <w:noWrap/>
            <w:hideMark/>
          </w:tcPr>
          <w:p w:rsidRPr="00DD1271" w:rsidR="00DD1271" w:rsidP="00180EEB" w:rsidRDefault="00DD1271" w14:paraId="7AE69E7C" w14:textId="77777777">
            <w:pPr>
              <w:suppressAutoHyphens/>
              <w:spacing w:after="160" w:line="259" w:lineRule="auto"/>
            </w:pPr>
            <w:r w:rsidRPr="00DD1271">
              <w:t>Jongeren (%)</w:t>
            </w:r>
          </w:p>
        </w:tc>
      </w:tr>
      <w:tr w:rsidRPr="00DD1271" w:rsidR="00DD1271" w:rsidTr="00C64B91" w14:paraId="63D57511" w14:textId="77777777">
        <w:trPr>
          <w:trHeight w:val="300"/>
        </w:trPr>
        <w:tc>
          <w:tcPr>
            <w:tcW w:w="4253" w:type="dxa"/>
            <w:noWrap/>
            <w:hideMark/>
          </w:tcPr>
          <w:p w:rsidRPr="00DD1271" w:rsidR="00DD1271" w:rsidP="00180EEB" w:rsidRDefault="00DD1271" w14:paraId="4906BC57" w14:textId="77777777">
            <w:pPr>
              <w:suppressAutoHyphens/>
              <w:spacing w:after="160" w:line="259" w:lineRule="auto"/>
            </w:pPr>
            <w:r w:rsidRPr="00DD1271">
              <w:t>Totaal jeugdzorg (natura &amp; PGB)</w:t>
            </w:r>
          </w:p>
        </w:tc>
        <w:tc>
          <w:tcPr>
            <w:tcW w:w="1984" w:type="dxa"/>
            <w:noWrap/>
            <w:hideMark/>
          </w:tcPr>
          <w:p w:rsidRPr="00DD1271" w:rsidR="00DD1271" w:rsidP="00180EEB" w:rsidRDefault="00DD1271" w14:paraId="22742B8D" w14:textId="77777777">
            <w:pPr>
              <w:suppressAutoHyphens/>
              <w:spacing w:after="160" w:line="259" w:lineRule="auto"/>
            </w:pPr>
            <w:r w:rsidRPr="00DD1271">
              <w:t>402620</w:t>
            </w:r>
          </w:p>
        </w:tc>
        <w:tc>
          <w:tcPr>
            <w:tcW w:w="2552" w:type="dxa"/>
            <w:noWrap/>
            <w:hideMark/>
          </w:tcPr>
          <w:p w:rsidRPr="00DD1271" w:rsidR="00DD1271" w:rsidP="00180EEB" w:rsidRDefault="00DD1271" w14:paraId="5DB780CF" w14:textId="77777777">
            <w:pPr>
              <w:suppressAutoHyphens/>
              <w:spacing w:after="160" w:line="259" w:lineRule="auto"/>
            </w:pPr>
            <w:r w:rsidRPr="00DD1271">
              <w:t>9,1</w:t>
            </w:r>
          </w:p>
        </w:tc>
      </w:tr>
      <w:tr w:rsidRPr="00DD1271" w:rsidR="00DD1271" w:rsidTr="00C64B91" w14:paraId="6DBB427E" w14:textId="77777777">
        <w:trPr>
          <w:trHeight w:val="300"/>
        </w:trPr>
        <w:tc>
          <w:tcPr>
            <w:tcW w:w="4253" w:type="dxa"/>
            <w:noWrap/>
            <w:hideMark/>
          </w:tcPr>
          <w:p w:rsidRPr="00DD1271" w:rsidR="00DD1271" w:rsidP="00180EEB" w:rsidRDefault="00DD1271" w14:paraId="0EF8EE49" w14:textId="77777777">
            <w:pPr>
              <w:suppressAutoHyphens/>
              <w:spacing w:after="160" w:line="259" w:lineRule="auto"/>
            </w:pPr>
            <w:r w:rsidRPr="00DD1271">
              <w:t>Totaal jeugdhulp (natura &amp; PGB)</w:t>
            </w:r>
          </w:p>
        </w:tc>
        <w:tc>
          <w:tcPr>
            <w:tcW w:w="1984" w:type="dxa"/>
            <w:noWrap/>
            <w:hideMark/>
          </w:tcPr>
          <w:p w:rsidRPr="00DD1271" w:rsidR="00DD1271" w:rsidP="00180EEB" w:rsidRDefault="00DD1271" w14:paraId="7EDA2994" w14:textId="77777777">
            <w:pPr>
              <w:suppressAutoHyphens/>
              <w:spacing w:after="160" w:line="259" w:lineRule="auto"/>
            </w:pPr>
            <w:r w:rsidRPr="00DD1271">
              <w:t>393765</w:t>
            </w:r>
          </w:p>
        </w:tc>
        <w:tc>
          <w:tcPr>
            <w:tcW w:w="2552" w:type="dxa"/>
            <w:noWrap/>
            <w:hideMark/>
          </w:tcPr>
          <w:p w:rsidRPr="00DD1271" w:rsidR="00DD1271" w:rsidP="00180EEB" w:rsidRDefault="00DD1271" w14:paraId="127A0269" w14:textId="77777777">
            <w:pPr>
              <w:suppressAutoHyphens/>
              <w:spacing w:after="160" w:line="259" w:lineRule="auto"/>
            </w:pPr>
            <w:r w:rsidRPr="00DD1271">
              <w:t>8,9</w:t>
            </w:r>
          </w:p>
        </w:tc>
      </w:tr>
      <w:tr w:rsidRPr="00DD1271" w:rsidR="00DD1271" w:rsidTr="00C64B91" w14:paraId="646464CB" w14:textId="77777777">
        <w:trPr>
          <w:trHeight w:val="300"/>
        </w:trPr>
        <w:tc>
          <w:tcPr>
            <w:tcW w:w="4253" w:type="dxa"/>
            <w:noWrap/>
            <w:hideMark/>
          </w:tcPr>
          <w:p w:rsidRPr="00DD1271" w:rsidR="00DD1271" w:rsidP="00180EEB" w:rsidRDefault="00DD1271" w14:paraId="43F2DF7F" w14:textId="77777777">
            <w:pPr>
              <w:suppressAutoHyphens/>
              <w:spacing w:after="160" w:line="259" w:lineRule="auto"/>
            </w:pPr>
            <w:r w:rsidRPr="00DD1271">
              <w:t>Totaal jeugdhulp (natura)</w:t>
            </w:r>
          </w:p>
        </w:tc>
        <w:tc>
          <w:tcPr>
            <w:tcW w:w="1984" w:type="dxa"/>
            <w:noWrap/>
            <w:hideMark/>
          </w:tcPr>
          <w:p w:rsidRPr="00DD1271" w:rsidR="00DD1271" w:rsidP="00180EEB" w:rsidRDefault="00DD1271" w14:paraId="5774F190" w14:textId="77777777">
            <w:pPr>
              <w:suppressAutoHyphens/>
              <w:spacing w:after="160" w:line="259" w:lineRule="auto"/>
            </w:pPr>
            <w:r w:rsidRPr="00DD1271">
              <w:t>390100</w:t>
            </w:r>
          </w:p>
        </w:tc>
        <w:tc>
          <w:tcPr>
            <w:tcW w:w="2552" w:type="dxa"/>
            <w:noWrap/>
            <w:hideMark/>
          </w:tcPr>
          <w:p w:rsidRPr="00DD1271" w:rsidR="00DD1271" w:rsidP="00180EEB" w:rsidRDefault="00DD1271" w14:paraId="3C6406C4" w14:textId="77777777">
            <w:pPr>
              <w:suppressAutoHyphens/>
              <w:spacing w:after="160" w:line="259" w:lineRule="auto"/>
            </w:pPr>
            <w:r w:rsidRPr="00DD1271">
              <w:t>8,8</w:t>
            </w:r>
          </w:p>
        </w:tc>
      </w:tr>
      <w:tr w:rsidRPr="00DD1271" w:rsidR="00DD1271" w:rsidTr="00C64B91" w14:paraId="23CB7E8E" w14:textId="77777777">
        <w:trPr>
          <w:trHeight w:val="300"/>
        </w:trPr>
        <w:tc>
          <w:tcPr>
            <w:tcW w:w="4253" w:type="dxa"/>
            <w:noWrap/>
            <w:hideMark/>
          </w:tcPr>
          <w:p w:rsidRPr="00DD1271" w:rsidR="00DD1271" w:rsidP="00180EEB" w:rsidRDefault="00DD1271" w14:paraId="7A7BA68B" w14:textId="77777777">
            <w:pPr>
              <w:suppressAutoHyphens/>
              <w:spacing w:after="160" w:line="259" w:lineRule="auto"/>
            </w:pPr>
            <w:r w:rsidRPr="00DD1271">
              <w:t>Totaal jeugdhulp zonder verblijf (natura)</w:t>
            </w:r>
          </w:p>
        </w:tc>
        <w:tc>
          <w:tcPr>
            <w:tcW w:w="1984" w:type="dxa"/>
            <w:noWrap/>
            <w:hideMark/>
          </w:tcPr>
          <w:p w:rsidRPr="00DD1271" w:rsidR="00DD1271" w:rsidP="00180EEB" w:rsidRDefault="00DD1271" w14:paraId="74B12ACA" w14:textId="77777777">
            <w:pPr>
              <w:suppressAutoHyphens/>
              <w:spacing w:after="160" w:line="259" w:lineRule="auto"/>
            </w:pPr>
            <w:r w:rsidRPr="00DD1271">
              <w:t>373015</w:t>
            </w:r>
          </w:p>
        </w:tc>
        <w:tc>
          <w:tcPr>
            <w:tcW w:w="2552" w:type="dxa"/>
            <w:noWrap/>
            <w:hideMark/>
          </w:tcPr>
          <w:p w:rsidRPr="00DD1271" w:rsidR="00DD1271" w:rsidP="00180EEB" w:rsidRDefault="00DD1271" w14:paraId="4BC370CE" w14:textId="77777777">
            <w:pPr>
              <w:suppressAutoHyphens/>
              <w:spacing w:after="160" w:line="259" w:lineRule="auto"/>
            </w:pPr>
            <w:r w:rsidRPr="00DD1271">
              <w:t>8,4</w:t>
            </w:r>
          </w:p>
        </w:tc>
      </w:tr>
      <w:tr w:rsidRPr="00DD1271" w:rsidR="00DD1271" w:rsidTr="00C64B91" w14:paraId="641806AE" w14:textId="77777777">
        <w:trPr>
          <w:trHeight w:val="300"/>
        </w:trPr>
        <w:tc>
          <w:tcPr>
            <w:tcW w:w="4253" w:type="dxa"/>
            <w:noWrap/>
            <w:hideMark/>
          </w:tcPr>
          <w:p w:rsidRPr="00DD1271" w:rsidR="00DD1271" w:rsidP="00180EEB" w:rsidRDefault="00DD1271" w14:paraId="50C2E0C1" w14:textId="77777777">
            <w:pPr>
              <w:suppressAutoHyphens/>
              <w:spacing w:after="160" w:line="259" w:lineRule="auto"/>
            </w:pPr>
            <w:r w:rsidRPr="00DD1271">
              <w:t>Totaal jeugdhulp met verblijf (natura)</w:t>
            </w:r>
          </w:p>
        </w:tc>
        <w:tc>
          <w:tcPr>
            <w:tcW w:w="1984" w:type="dxa"/>
            <w:noWrap/>
            <w:hideMark/>
          </w:tcPr>
          <w:p w:rsidRPr="00DD1271" w:rsidR="00DD1271" w:rsidP="00180EEB" w:rsidRDefault="00DD1271" w14:paraId="5F353DC7" w14:textId="77777777">
            <w:pPr>
              <w:suppressAutoHyphens/>
              <w:spacing w:after="160" w:line="259" w:lineRule="auto"/>
            </w:pPr>
            <w:r w:rsidRPr="00DD1271">
              <w:t>33865</w:t>
            </w:r>
          </w:p>
        </w:tc>
        <w:tc>
          <w:tcPr>
            <w:tcW w:w="2552" w:type="dxa"/>
            <w:noWrap/>
            <w:hideMark/>
          </w:tcPr>
          <w:p w:rsidRPr="00DD1271" w:rsidR="00DD1271" w:rsidP="00180EEB" w:rsidRDefault="00DD1271" w14:paraId="188FEA31" w14:textId="77777777">
            <w:pPr>
              <w:suppressAutoHyphens/>
              <w:spacing w:after="160" w:line="259" w:lineRule="auto"/>
            </w:pPr>
            <w:r w:rsidRPr="00DD1271">
              <w:t>0,8</w:t>
            </w:r>
          </w:p>
        </w:tc>
      </w:tr>
      <w:tr w:rsidRPr="00DD1271" w:rsidR="00DD1271" w:rsidTr="00C64B91" w14:paraId="3264AE31" w14:textId="77777777">
        <w:trPr>
          <w:trHeight w:val="300"/>
        </w:trPr>
        <w:tc>
          <w:tcPr>
            <w:tcW w:w="4253" w:type="dxa"/>
            <w:noWrap/>
            <w:hideMark/>
          </w:tcPr>
          <w:p w:rsidRPr="00DD1271" w:rsidR="00DD1271" w:rsidP="00180EEB" w:rsidRDefault="00DD1271" w14:paraId="08C539D9" w14:textId="77777777">
            <w:pPr>
              <w:suppressAutoHyphens/>
              <w:spacing w:after="160" w:line="259" w:lineRule="auto"/>
            </w:pPr>
            <w:r w:rsidRPr="00DD1271">
              <w:t>Totaal jeugdbescherming (natura)</w:t>
            </w:r>
          </w:p>
        </w:tc>
        <w:tc>
          <w:tcPr>
            <w:tcW w:w="1984" w:type="dxa"/>
            <w:noWrap/>
            <w:hideMark/>
          </w:tcPr>
          <w:p w:rsidRPr="00DD1271" w:rsidR="00DD1271" w:rsidP="00180EEB" w:rsidRDefault="00DD1271" w14:paraId="1148FE3F" w14:textId="77777777">
            <w:pPr>
              <w:suppressAutoHyphens/>
              <w:spacing w:after="160" w:line="259" w:lineRule="auto"/>
            </w:pPr>
            <w:r w:rsidRPr="00DD1271">
              <w:t>29425</w:t>
            </w:r>
          </w:p>
        </w:tc>
        <w:tc>
          <w:tcPr>
            <w:tcW w:w="2552" w:type="dxa"/>
            <w:noWrap/>
            <w:hideMark/>
          </w:tcPr>
          <w:p w:rsidRPr="00DD1271" w:rsidR="00DD1271" w:rsidP="00180EEB" w:rsidRDefault="00DD1271" w14:paraId="384E6425" w14:textId="77777777">
            <w:pPr>
              <w:suppressAutoHyphens/>
              <w:spacing w:after="160" w:line="259" w:lineRule="auto"/>
            </w:pPr>
            <w:r w:rsidRPr="00DD1271">
              <w:t>0,9</w:t>
            </w:r>
          </w:p>
        </w:tc>
      </w:tr>
      <w:tr w:rsidRPr="00DD1271" w:rsidR="00DD1271" w:rsidTr="00C64B91" w14:paraId="031F07DF" w14:textId="77777777">
        <w:trPr>
          <w:trHeight w:val="300"/>
        </w:trPr>
        <w:tc>
          <w:tcPr>
            <w:tcW w:w="4253" w:type="dxa"/>
            <w:noWrap/>
            <w:hideMark/>
          </w:tcPr>
          <w:p w:rsidRPr="00DD1271" w:rsidR="00DD1271" w:rsidP="00180EEB" w:rsidRDefault="00DD1271" w14:paraId="5B7B63F8" w14:textId="77777777">
            <w:pPr>
              <w:suppressAutoHyphens/>
              <w:spacing w:after="160" w:line="259" w:lineRule="auto"/>
            </w:pPr>
            <w:r w:rsidRPr="00DD1271">
              <w:t>Totaal jeugdreclassering (natura)</w:t>
            </w:r>
          </w:p>
        </w:tc>
        <w:tc>
          <w:tcPr>
            <w:tcW w:w="1984" w:type="dxa"/>
            <w:noWrap/>
            <w:hideMark/>
          </w:tcPr>
          <w:p w:rsidRPr="00DD1271" w:rsidR="00DD1271" w:rsidP="00180EEB" w:rsidRDefault="00DD1271" w14:paraId="27B6F697" w14:textId="77777777">
            <w:pPr>
              <w:suppressAutoHyphens/>
              <w:spacing w:after="160" w:line="259" w:lineRule="auto"/>
            </w:pPr>
            <w:r w:rsidRPr="00DD1271">
              <w:t>7200</w:t>
            </w:r>
          </w:p>
        </w:tc>
        <w:tc>
          <w:tcPr>
            <w:tcW w:w="2552" w:type="dxa"/>
            <w:noWrap/>
            <w:hideMark/>
          </w:tcPr>
          <w:p w:rsidRPr="00DD1271" w:rsidR="00DD1271" w:rsidP="00180EEB" w:rsidRDefault="00DD1271" w14:paraId="311EBC00" w14:textId="77777777">
            <w:pPr>
              <w:suppressAutoHyphens/>
              <w:spacing w:after="160" w:line="259" w:lineRule="auto"/>
            </w:pPr>
            <w:r w:rsidRPr="00DD1271">
              <w:t>0,3</w:t>
            </w:r>
          </w:p>
        </w:tc>
      </w:tr>
    </w:tbl>
    <w:p w:rsidRPr="00DD1271" w:rsidR="00DD1271" w:rsidP="00180EEB" w:rsidRDefault="00DD1271" w14:paraId="5850B6B2" w14:textId="262DDC0E">
      <w:pPr>
        <w:suppressAutoHyphens/>
      </w:pPr>
      <w:r w:rsidRPr="00DD1271">
        <w:rPr>
          <w:b/>
          <w:bCs/>
        </w:rPr>
        <w:t xml:space="preserve">* </w:t>
      </w:r>
      <w:r w:rsidRPr="00DD1271">
        <w:t xml:space="preserve">Voorlopige cijfers </w:t>
      </w:r>
      <w:r>
        <w:br/>
      </w:r>
      <w:proofErr w:type="spellStart"/>
      <w:r w:rsidRPr="00DD1271">
        <w:t>Note</w:t>
      </w:r>
      <w:proofErr w:type="spellEnd"/>
      <w:r w:rsidRPr="00DD1271">
        <w:t>: de gegevens van de SVB (over jeugdhulpontvangers met een PGB) bevatten geen zorginhoudelijke informatie. Om die reden worden cijfers over jeugdhulp</w:t>
      </w:r>
      <w:r w:rsidRPr="00DD1271">
        <w:rPr>
          <w:u w:val="single"/>
        </w:rPr>
        <w:t>zorgvormen</w:t>
      </w:r>
      <w:r w:rsidRPr="00DD1271">
        <w:t xml:space="preserve"> alleen in natura weergegeven.</w:t>
      </w:r>
    </w:p>
    <w:p w:rsidRPr="00DD1271" w:rsidR="00DD1271" w:rsidP="00180EEB" w:rsidRDefault="00DD1271" w14:paraId="0EC652E9" w14:textId="77777777">
      <w:pPr>
        <w:suppressAutoHyphens/>
        <w:rPr>
          <w:i/>
          <w:iCs/>
        </w:rPr>
      </w:pPr>
      <w:r w:rsidRPr="00DD1271">
        <w:rPr>
          <w:i/>
          <w:iCs/>
        </w:rPr>
        <w:t xml:space="preserve">Bron: CBS </w:t>
      </w:r>
      <w:hyperlink w:history="1" w:anchor="/CBS/nl/dataset/85099NED/table?ts=1762510812327" r:id="rId20">
        <w:proofErr w:type="spellStart"/>
        <w:r w:rsidRPr="00DD1271">
          <w:rPr>
            <w:rStyle w:val="Hyperlink"/>
            <w:i/>
            <w:iCs/>
          </w:rPr>
          <w:t>StatLine</w:t>
        </w:r>
        <w:proofErr w:type="spellEnd"/>
        <w:r w:rsidRPr="00DD1271">
          <w:rPr>
            <w:rStyle w:val="Hyperlink"/>
            <w:i/>
            <w:iCs/>
          </w:rPr>
          <w:t xml:space="preserve"> - Kerncijfers over jeugdzorg</w:t>
        </w:r>
      </w:hyperlink>
    </w:p>
    <w:p w:rsidRPr="005F055E" w:rsidR="00575B14" w:rsidP="00180EEB" w:rsidRDefault="00575B14" w14:paraId="6313A16C" w14:textId="77777777">
      <w:pPr>
        <w:suppressAutoHyphens/>
      </w:pPr>
    </w:p>
    <w:p w:rsidRPr="005F055E" w:rsidR="00912A7D" w:rsidP="00180EEB" w:rsidRDefault="003E7003" w14:paraId="6317DABA" w14:textId="77777777">
      <w:pPr>
        <w:suppressAutoHyphens/>
      </w:pPr>
      <w:r w:rsidRPr="005F055E">
        <w:t>Vraag 119</w:t>
      </w:r>
      <w:r w:rsidRPr="005F055E">
        <w:tab/>
      </w:r>
    </w:p>
    <w:p w:rsidRPr="005F055E" w:rsidR="00912A7D" w:rsidP="00180EEB" w:rsidRDefault="003E7003" w14:paraId="15883B9E" w14:textId="77777777">
      <w:pPr>
        <w:suppressAutoHyphens/>
      </w:pPr>
      <w:r w:rsidRPr="005F055E">
        <w:t>Hoeveel jongeren zitten er momenteel in de residentiële jeugdzorg?</w:t>
      </w:r>
      <w:r w:rsidRPr="005F055E">
        <w:tab/>
      </w:r>
    </w:p>
    <w:p w:rsidRPr="005F055E" w:rsidR="003E7003" w:rsidP="00180EEB" w:rsidRDefault="003E7003" w14:paraId="5B2AF0AB" w14:textId="252EF560">
      <w:pPr>
        <w:suppressAutoHyphens/>
      </w:pPr>
      <w:r w:rsidRPr="005F055E">
        <w:t>Antwoord</w:t>
      </w:r>
    </w:p>
    <w:p w:rsidRPr="005F055E" w:rsidR="00912A7D" w:rsidP="00180EEB" w:rsidRDefault="00575B14" w14:paraId="6232879E" w14:textId="4545210A">
      <w:pPr>
        <w:suppressAutoHyphens/>
        <w:rPr>
          <w:szCs w:val="18"/>
        </w:rPr>
      </w:pPr>
      <w:r w:rsidRPr="005F055E">
        <w:rPr>
          <w:szCs w:val="18"/>
        </w:rPr>
        <w:t>In 2024 kregen 41.260 jeugdigen van 0 tot 22 jaar jeugdhulp met verblijf. Dit zijn de meest recente cijfers over 2024 van het CBS.</w:t>
      </w:r>
      <w:r w:rsidRPr="005F055E">
        <w:rPr>
          <w:rStyle w:val="Voetnootmarkering"/>
          <w:szCs w:val="18"/>
        </w:rPr>
        <w:footnoteReference w:id="40"/>
      </w:r>
      <w:r w:rsidRPr="005F055E">
        <w:rPr>
          <w:szCs w:val="18"/>
        </w:rPr>
        <w:t xml:space="preserve"> Hier vallen diverse vormen van voltijd en deeltijd verblijf onder, zoals pleegzorg, gezinshuizen en residentiële instellingen, inclusief gesloten jeugdhulp. Er zijn geen andere actuele landelijke cijfers over jeugdigen in residentiële jeugdzorg.</w:t>
      </w:r>
    </w:p>
    <w:p w:rsidRPr="005F055E" w:rsidR="00912A7D" w:rsidP="00180EEB" w:rsidRDefault="00912A7D" w14:paraId="062BC3C6" w14:textId="77777777">
      <w:pPr>
        <w:suppressAutoHyphens/>
      </w:pPr>
    </w:p>
    <w:p w:rsidRPr="005F055E" w:rsidR="00912A7D" w:rsidP="00180EEB" w:rsidRDefault="003E7003" w14:paraId="6613BACA" w14:textId="77777777">
      <w:pPr>
        <w:suppressAutoHyphens/>
      </w:pPr>
      <w:r w:rsidRPr="005F055E">
        <w:t>Vraag 120</w:t>
      </w:r>
      <w:r w:rsidRPr="005F055E">
        <w:tab/>
      </w:r>
    </w:p>
    <w:p w:rsidRPr="005F055E" w:rsidR="00912A7D" w:rsidP="00180EEB" w:rsidRDefault="003E7003" w14:paraId="6041DA2C" w14:textId="77777777">
      <w:pPr>
        <w:suppressAutoHyphens/>
      </w:pPr>
      <w:r w:rsidRPr="005F055E">
        <w:t>Hoeveel budget komt er beschikbaar voor alternatieven voor de gesloten jeugdzorg?</w:t>
      </w:r>
      <w:r w:rsidRPr="005F055E">
        <w:tab/>
      </w:r>
    </w:p>
    <w:p w:rsidRPr="005F055E" w:rsidR="003E7003" w:rsidP="00180EEB" w:rsidRDefault="003E7003" w14:paraId="195FB02F" w14:textId="1DF1CC93">
      <w:pPr>
        <w:suppressAutoHyphens/>
      </w:pPr>
      <w:r w:rsidRPr="005F055E">
        <w:t>Antwoord</w:t>
      </w:r>
    </w:p>
    <w:p w:rsidRPr="005F055E" w:rsidR="00575B14" w:rsidP="00180EEB" w:rsidRDefault="00575B14" w14:paraId="18B698F3" w14:textId="4A545E96">
      <w:pPr>
        <w:suppressAutoHyphens/>
        <w:rPr>
          <w:szCs w:val="18"/>
        </w:rPr>
      </w:pPr>
      <w:r w:rsidRPr="005F055E">
        <w:rPr>
          <w:szCs w:val="18"/>
        </w:rPr>
        <w:t>Voor de transformatie van de gesloten jeugdhulp wordt over de periode 2024-2028 in totaal € 176 miljoen beschikbaar gesteld aan de zeven coördinerende gemeenten, conform de bestuurlijke afspraken tussen het Rijk, de VNG en Jeugdzorg Nederland. Deze middelen voor gesloten jeugdhulp zijn primair bedoeld voor de afbouw van gesloten jeugdhulp en ombouw naar kleinschalig gesloten jeugdhulp om zo te komen tot een gelijk speelveld te creëren voor alternatieven voor gesloten jeugdhulp. In gevallen waar men al verder is in de transformatie</w:t>
      </w:r>
      <w:r w:rsidR="002830DA">
        <w:rPr>
          <w:szCs w:val="18"/>
        </w:rPr>
        <w:t xml:space="preserve">, </w:t>
      </w:r>
      <w:r w:rsidRPr="005F055E">
        <w:rPr>
          <w:szCs w:val="18"/>
        </w:rPr>
        <w:t xml:space="preserve">kunnen middelen ook voor alternatieven ingezet worden. </w:t>
      </w:r>
    </w:p>
    <w:p w:rsidRPr="005F055E" w:rsidR="00575B14" w:rsidP="00180EEB" w:rsidRDefault="00575B14" w14:paraId="6671216D" w14:textId="1DE71998">
      <w:pPr>
        <w:suppressAutoHyphens/>
        <w:rPr>
          <w:szCs w:val="18"/>
        </w:rPr>
      </w:pPr>
      <w:r w:rsidRPr="005F055E">
        <w:rPr>
          <w:szCs w:val="18"/>
        </w:rPr>
        <w:t xml:space="preserve">Ook is er budget beschikbaar voor de landelijke ondersteuning van deze transformatie. Voor de structurele meerkosten van kleinschalige gesloten voorzieningen is structureel € 74 miljoen beschikbaar. </w:t>
      </w:r>
    </w:p>
    <w:p w:rsidRPr="005F055E" w:rsidR="00575B14" w:rsidP="00180EEB" w:rsidRDefault="00575B14" w14:paraId="6059CE65" w14:textId="45CDAD84">
      <w:pPr>
        <w:suppressAutoHyphens/>
        <w:rPr>
          <w:szCs w:val="18"/>
        </w:rPr>
      </w:pPr>
      <w:r w:rsidRPr="005F055E">
        <w:rPr>
          <w:szCs w:val="18"/>
        </w:rPr>
        <w:t>Voor de opbouw van alternatieven kunnen gemeenten ook ondersteuning krijgen vanuit acht bovenregionale expertisenetwerken die via een SPUK-regeling structureel bekostiging ontvangen en onder andere tot doel hebben om bij te dragen aan passende oplossingen voor jongeren met complexe en meervoudige problematiek die vastlopen in de zorg.</w:t>
      </w:r>
    </w:p>
    <w:p w:rsidRPr="005F055E" w:rsidR="00575B14" w:rsidP="00180EEB" w:rsidRDefault="00575B14" w14:paraId="45DE6871" w14:textId="08976A1F">
      <w:pPr>
        <w:suppressAutoHyphens/>
        <w:rPr>
          <w:szCs w:val="18"/>
        </w:rPr>
      </w:pPr>
      <w:r w:rsidRPr="005F055E">
        <w:rPr>
          <w:szCs w:val="18"/>
        </w:rPr>
        <w:t xml:space="preserve">Over de eenmalige kosten voor de opbouw van alternatieven is in de Hervormingsagenda Jeugd afgesproken dat alle gemeenten investeren met de jeugdhulppartners in alternatieve vormen van zorg/hulp om inzet van residentieel verblijf te voorkomen en een succesvolle terugkeer naar huis te bevorderen. </w:t>
      </w:r>
    </w:p>
    <w:p w:rsidRPr="005F055E" w:rsidR="00912A7D" w:rsidP="00180EEB" w:rsidRDefault="003E7003" w14:paraId="274DDB04" w14:textId="77777777">
      <w:pPr>
        <w:suppressAutoHyphens/>
      </w:pPr>
      <w:r w:rsidRPr="005F055E">
        <w:t>Vraag 121</w:t>
      </w:r>
      <w:r w:rsidRPr="005F055E">
        <w:tab/>
      </w:r>
    </w:p>
    <w:p w:rsidRPr="005F055E" w:rsidR="00912A7D" w:rsidP="00180EEB" w:rsidRDefault="003E7003" w14:paraId="27F41EE8" w14:textId="77777777">
      <w:pPr>
        <w:suppressAutoHyphens/>
      </w:pPr>
      <w:r w:rsidRPr="005F055E">
        <w:t>Hoe groot is de loonkloof tussen de zorg enerzijds en de rest van de publieke sector en de marktsector anderzijds?</w:t>
      </w:r>
      <w:r w:rsidRPr="005F055E">
        <w:tab/>
      </w:r>
    </w:p>
    <w:p w:rsidRPr="005F055E" w:rsidR="003E7003" w:rsidP="00180EEB" w:rsidRDefault="003E7003" w14:paraId="06F6C050" w14:textId="70D7F58D">
      <w:pPr>
        <w:suppressAutoHyphens/>
      </w:pPr>
      <w:r w:rsidRPr="005F055E">
        <w:t>Antwoord</w:t>
      </w:r>
    </w:p>
    <w:p w:rsidRPr="005F055E" w:rsidR="00912A7D" w:rsidP="00180EEB" w:rsidRDefault="00BE5CD4" w14:paraId="03539C99" w14:textId="08DAC7B5">
      <w:pPr>
        <w:suppressAutoHyphens/>
        <w:spacing w:line="240" w:lineRule="atLeast"/>
        <w:rPr>
          <w:rFonts w:cs="Calibri"/>
          <w:color w:val="000000"/>
          <w:szCs w:val="18"/>
          <w:lang w:eastAsia="nl-NL"/>
        </w:rPr>
      </w:pPr>
      <w:r w:rsidRPr="005F055E">
        <w:rPr>
          <w:rFonts w:cs="Calibri"/>
          <w:color w:val="000000"/>
          <w:szCs w:val="18"/>
          <w:lang w:eastAsia="nl-NL"/>
        </w:rPr>
        <w:t>Uit onderzoek dat de voormalig minister voor Langdurige Zorg en Sport eind 2023 naar uw Kamer heeft gestuurd</w:t>
      </w:r>
      <w:r w:rsidRPr="005F055E">
        <w:rPr>
          <w:rFonts w:cs="Calibri"/>
          <w:color w:val="000000"/>
          <w:szCs w:val="18"/>
          <w:vertAlign w:val="superscript"/>
          <w:lang w:eastAsia="nl-NL"/>
        </w:rPr>
        <w:footnoteReference w:id="41"/>
      </w:r>
      <w:r w:rsidRPr="005F055E">
        <w:rPr>
          <w:rFonts w:cs="Calibri"/>
          <w:color w:val="000000"/>
          <w:szCs w:val="18"/>
          <w:lang w:eastAsia="nl-NL"/>
        </w:rPr>
        <w:t xml:space="preserve"> blijkt dat het gemiddelde uurloon van medewerkers in de zorg redelijk vergelijkbaar is met de vergelijkbare medewerkers in de marktsector en wat achter loopt ten opzichte van andere (semi-)publieke sectoren. Daarnaast blijkt dat de marktconformiteit van de salarissen in de zorg verschilt tussen zorgbranches en ook tussen verschillende groepen binnen dezelfde branche. Zo ligt het gemiddelde uurloon in de </w:t>
      </w:r>
      <w:proofErr w:type="spellStart"/>
      <w:r w:rsidRPr="005F055E">
        <w:rPr>
          <w:rFonts w:cs="Calibri"/>
          <w:color w:val="000000"/>
          <w:szCs w:val="18"/>
          <w:lang w:eastAsia="nl-NL"/>
        </w:rPr>
        <w:t>umc’s</w:t>
      </w:r>
      <w:proofErr w:type="spellEnd"/>
      <w:r w:rsidRPr="005F055E">
        <w:rPr>
          <w:rFonts w:cs="Calibri"/>
          <w:color w:val="000000"/>
          <w:szCs w:val="18"/>
          <w:lang w:eastAsia="nl-NL"/>
        </w:rPr>
        <w:t xml:space="preserve"> ruim boven het uurloon van vergelijkbare werknemers zowel in de marktsector als de publieke sector, terwijl bijvoorbeeld het uurloon in de gehandicaptensector of sociaal werk eronder ligt. Daarnaast zien we dat in de sector zorg en welzijn de hoogte van de beloning meer dan in andere sectoren samenhangt met opleidingsniveau en werkervaring. Voor mensen met een mbo-opleiding of zonder startkwalificatie geldt dat ze in zorg en welzijn in de meeste branches minder verdienen dan vergelijkbare werknemers in andere sectoren. Het beeld voor medewerkers met een hbo-opleiding verschilt sterk per branche, maar gemiddeld genomen voor de hele sector zorg en welzijn blijft de beloning iets achter ten opzichte van vergelijkbare werknemers in andere sectoren. Medewerkers met wo-niveau verdienen relatief meer dan in andere sectoren in Nederland (behalve in het sociaal domein). Een compleet beeld van de uitkomsten kan uw Kamer vinden in de hierboven genoemde onderzoeken die eind 2023 naar uw Kamer zijn gestuurd.</w:t>
      </w:r>
    </w:p>
    <w:p w:rsidRPr="005F055E" w:rsidR="00912A7D" w:rsidP="00180EEB" w:rsidRDefault="00912A7D" w14:paraId="7D16BA58" w14:textId="77777777">
      <w:pPr>
        <w:suppressAutoHyphens/>
      </w:pPr>
    </w:p>
    <w:p w:rsidRPr="005F055E" w:rsidR="00912A7D" w:rsidP="00180EEB" w:rsidRDefault="003E7003" w14:paraId="17E72615" w14:textId="77777777">
      <w:pPr>
        <w:suppressAutoHyphens/>
      </w:pPr>
      <w:r w:rsidRPr="005F055E">
        <w:t>Vraag 122</w:t>
      </w:r>
      <w:r w:rsidRPr="005F055E">
        <w:tab/>
      </w:r>
    </w:p>
    <w:p w:rsidRPr="005F055E" w:rsidR="00912A7D" w:rsidP="00180EEB" w:rsidRDefault="003E7003" w14:paraId="0E8B1462" w14:textId="77777777">
      <w:pPr>
        <w:suppressAutoHyphens/>
      </w:pPr>
      <w:r w:rsidRPr="005F055E">
        <w:t>Hoeveel zou het kosten om de lonen van alle zorgverleners te verhogen naar het niveau van vergelijkbare functies in de publieke sector en de marktsector?</w:t>
      </w:r>
      <w:r w:rsidRPr="005F055E">
        <w:tab/>
      </w:r>
    </w:p>
    <w:p w:rsidRPr="005F055E" w:rsidR="003E7003" w:rsidP="00180EEB" w:rsidRDefault="003E7003" w14:paraId="433C6A3F" w14:textId="19ACA037">
      <w:pPr>
        <w:suppressAutoHyphens/>
      </w:pPr>
      <w:r w:rsidRPr="005F055E">
        <w:t>Antwoord</w:t>
      </w:r>
    </w:p>
    <w:p w:rsidRPr="005F055E" w:rsidR="00912A7D" w:rsidP="00180EEB" w:rsidRDefault="00BE5CD4" w14:paraId="5784719B" w14:textId="0740853D">
      <w:pPr>
        <w:suppressAutoHyphens/>
        <w:spacing w:line="240" w:lineRule="atLeast"/>
        <w:rPr>
          <w:szCs w:val="18"/>
          <w:lang w:eastAsia="nl-NL"/>
        </w:rPr>
      </w:pPr>
      <w:r w:rsidRPr="005F055E">
        <w:rPr>
          <w:rFonts w:cs="Calibri"/>
          <w:color w:val="000000"/>
          <w:szCs w:val="18"/>
          <w:lang w:eastAsia="nl-NL"/>
        </w:rPr>
        <w:t>Dat hangt af van de wijze waarop deze verhoging ingevuld wordt en welke aannames daarbij worden gehanteerd. Voor een beeld van de verschillende opties om de lonen binnen zorg en welzijn te verhogen naar het niveau van vergelijkbare functies in de publieke sector en de marktsector met bijbehorende kosten, wordt u verwezen naar de brief die op 27 juni 2024 naar uw Kamer is gestuurd</w:t>
      </w:r>
      <w:r w:rsidRPr="005F055E">
        <w:rPr>
          <w:rFonts w:cs="Calibri"/>
          <w:color w:val="000000"/>
          <w:szCs w:val="18"/>
          <w:vertAlign w:val="superscript"/>
          <w:lang w:eastAsia="nl-NL"/>
        </w:rPr>
        <w:footnoteReference w:id="42"/>
      </w:r>
      <w:r w:rsidRPr="005F055E">
        <w:rPr>
          <w:rFonts w:cs="Calibri"/>
          <w:color w:val="000000"/>
          <w:szCs w:val="18"/>
          <w:lang w:eastAsia="nl-NL"/>
        </w:rPr>
        <w:t>.</w:t>
      </w:r>
    </w:p>
    <w:p w:rsidRPr="005F055E" w:rsidR="00575B14" w:rsidP="00180EEB" w:rsidRDefault="00575B14" w14:paraId="1F48F1C0" w14:textId="77777777">
      <w:pPr>
        <w:suppressAutoHyphens/>
      </w:pPr>
    </w:p>
    <w:p w:rsidRPr="005F055E" w:rsidR="00912A7D" w:rsidP="00180EEB" w:rsidRDefault="003E7003" w14:paraId="238912B2" w14:textId="77777777">
      <w:pPr>
        <w:suppressAutoHyphens/>
      </w:pPr>
      <w:r w:rsidRPr="005F055E">
        <w:t>Vraag 123</w:t>
      </w:r>
      <w:r w:rsidRPr="005F055E">
        <w:tab/>
      </w:r>
    </w:p>
    <w:p w:rsidRPr="005F055E" w:rsidR="00912A7D" w:rsidP="00180EEB" w:rsidRDefault="003E7003" w14:paraId="5D0F791F" w14:textId="77777777">
      <w:pPr>
        <w:suppressAutoHyphens/>
      </w:pPr>
      <w:r w:rsidRPr="005F055E">
        <w:t>Hoeveel zou het op termijn opleveren om alle nieuwe medisch specialisten in loondienst te laten gaan?</w:t>
      </w:r>
      <w:r w:rsidRPr="005F055E">
        <w:tab/>
      </w:r>
    </w:p>
    <w:p w:rsidRPr="005F055E" w:rsidR="003E7003" w:rsidP="00180EEB" w:rsidRDefault="003E7003" w14:paraId="7FC4BAAA" w14:textId="5C9F0F01">
      <w:pPr>
        <w:suppressAutoHyphens/>
      </w:pPr>
      <w:r w:rsidRPr="005F055E">
        <w:t>Antwoord</w:t>
      </w:r>
    </w:p>
    <w:p w:rsidRPr="005F055E" w:rsidR="006D64E4" w:rsidP="00180EEB" w:rsidRDefault="006D64E4" w14:paraId="59236F48" w14:textId="3D241AF8">
      <w:pPr>
        <w:suppressAutoHyphens/>
        <w:spacing w:line="240" w:lineRule="atLeast"/>
        <w:rPr>
          <w:szCs w:val="18"/>
          <w:lang w:eastAsia="nl-NL"/>
        </w:rPr>
      </w:pPr>
      <w:r w:rsidRPr="005F055E">
        <w:rPr>
          <w:szCs w:val="18"/>
          <w:lang w:eastAsia="nl-NL"/>
        </w:rPr>
        <w:t>In ‘Zorgkeuzes in Kaart’ (</w:t>
      </w:r>
      <w:proofErr w:type="spellStart"/>
      <w:r w:rsidRPr="005F055E">
        <w:rPr>
          <w:szCs w:val="18"/>
          <w:lang w:eastAsia="nl-NL"/>
        </w:rPr>
        <w:t>ZiK</w:t>
      </w:r>
      <w:proofErr w:type="spellEnd"/>
      <w:r w:rsidRPr="005F055E">
        <w:rPr>
          <w:szCs w:val="18"/>
          <w:lang w:eastAsia="nl-NL"/>
        </w:rPr>
        <w:t>, 2020) is een berekening gemaakt voor de financiële effecten van regelgeving waardoor medisch specialisten in loondienst gaan.</w:t>
      </w:r>
      <w:r w:rsidRPr="005F055E">
        <w:rPr>
          <w:rStyle w:val="Voetnootmarkering"/>
          <w:szCs w:val="18"/>
          <w:lang w:eastAsia="nl-NL"/>
        </w:rPr>
        <w:footnoteReference w:id="43"/>
      </w:r>
      <w:r w:rsidRPr="005F055E">
        <w:rPr>
          <w:szCs w:val="18"/>
          <w:lang w:eastAsia="nl-NL"/>
        </w:rPr>
        <w:t>Daarin is een raming gemaakt van de besparing op personeelskosten van structureel € 240 miljoen, een besparing als gevolg van een lagere productieprikkel van € 100 miljoen en van de investering van € 10 miljoen voor transitiekosten gedurende vijf jaar en een incidentele investering tot € 2.000 miljoen voor compensatie van goodwill. Wanneer deze maatregel alleen wordt toegepast op ‘nieuwe’ artsen, zal het aantal artsen in loondienst geleidelijk toenemen volgens een groeipad. Het zal daarom lang (30 jaar) duren voor de genoemde opbrengsten zich volledig manifesteren. Daarnaast zijn de berekeningen gebaseerd op aannames en dusdanig met onzekerheden omgeven, dat een nadere berekening nodig is in geval een dergelijke maatregel wordt overwogen. In het recent gepubliceerde Keuzes in Kaart heeft het CPB dit ook in verschillende varianten doorgerekend.</w:t>
      </w:r>
      <w:r w:rsidRPr="005F055E" w:rsidR="00715958">
        <w:rPr>
          <w:rStyle w:val="Voetnootmarkering"/>
          <w:szCs w:val="18"/>
          <w:lang w:eastAsia="nl-NL"/>
        </w:rPr>
        <w:footnoteReference w:id="44"/>
      </w:r>
      <w:r w:rsidRPr="005F055E">
        <w:rPr>
          <w:szCs w:val="18"/>
          <w:lang w:eastAsia="nl-NL"/>
        </w:rPr>
        <w:t xml:space="preserve">  Het veld, de medisch specialisten, hebben zich kritisch uitgelaten over de onderbouwing van deze doorrekening.</w:t>
      </w:r>
    </w:p>
    <w:p w:rsidRPr="005F055E" w:rsidR="00575B14" w:rsidP="00180EEB" w:rsidRDefault="006D64E4" w14:paraId="5EAFBE4E" w14:textId="2E4CC03B">
      <w:pPr>
        <w:suppressAutoHyphens/>
      </w:pPr>
      <w:r w:rsidRPr="005F055E">
        <w:rPr>
          <w:szCs w:val="18"/>
          <w:lang w:eastAsia="nl-NL"/>
        </w:rPr>
        <w:t>Tot slot vergt een maatregel om nieuwe specialisten in loondienst te brengen ook een gedegen juridische onderbouwing. Het (verplicht) in loondienst nemen van nieuwe medisch specialisten betreft wetgeving die ingrijpt in eigendom. De maatregel moet worden getoetst aan het Europees Verdrag voor de Rechten van de Mens en het Verdrag Werking Europese Unie in verband met het recht op eigendom. De maatregel moet noodzakelijk, geschikt en proportioneel zijn om het doel te behalen. Eerder heeft de Landsadvocaat aanzienlijke risico’s geconstateerd bij de uitvoerbaarheid van een maatregel om alle specialisten in loondienst te brengen. Dezelfde voorbehouden gelden voor het in loondienst brengen van nieuwe medisch specialisten.</w:t>
      </w:r>
    </w:p>
    <w:p w:rsidRPr="005F055E" w:rsidR="00912A7D" w:rsidP="00180EEB" w:rsidRDefault="003E7003" w14:paraId="155AD487" w14:textId="77777777">
      <w:pPr>
        <w:suppressAutoHyphens/>
      </w:pPr>
      <w:r w:rsidRPr="005F055E">
        <w:t>Vraag 124</w:t>
      </w:r>
      <w:r w:rsidRPr="005F055E">
        <w:tab/>
      </w:r>
    </w:p>
    <w:p w:rsidRPr="005F055E" w:rsidR="00912A7D" w:rsidP="00180EEB" w:rsidRDefault="003E7003" w14:paraId="5BB50228" w14:textId="77777777">
      <w:pPr>
        <w:suppressAutoHyphens/>
      </w:pPr>
      <w:r w:rsidRPr="005F055E">
        <w:t>Welk percentage van de Nederlandse werkenden werkte in 2024 en 2025 in de zorg?</w:t>
      </w:r>
      <w:r w:rsidRPr="005F055E">
        <w:tab/>
      </w:r>
    </w:p>
    <w:p w:rsidRPr="005F055E" w:rsidR="003E7003" w:rsidP="00180EEB" w:rsidRDefault="003E7003" w14:paraId="393A0C69" w14:textId="58980998">
      <w:pPr>
        <w:suppressAutoHyphens/>
      </w:pPr>
      <w:r w:rsidRPr="005F055E">
        <w:t>Antwoord</w:t>
      </w:r>
    </w:p>
    <w:p w:rsidRPr="005F055E" w:rsidR="00912A7D" w:rsidP="00180EEB" w:rsidRDefault="00BE5CD4" w14:paraId="2E8FA552" w14:textId="51442304">
      <w:pPr>
        <w:suppressAutoHyphens/>
        <w:spacing w:line="240" w:lineRule="atLeast"/>
        <w:rPr>
          <w:szCs w:val="18"/>
          <w:lang w:eastAsia="nl-NL"/>
        </w:rPr>
      </w:pPr>
      <w:r w:rsidRPr="005F055E">
        <w:rPr>
          <w:rFonts w:cs="Calibri"/>
          <w:color w:val="000000"/>
          <w:szCs w:val="18"/>
          <w:lang w:eastAsia="nl-NL"/>
        </w:rPr>
        <w:t>In het vierde kwartaal van 2024 werkte 15,8% van alle werkenden in de sector Zorg en Welzijn (exclusief kinderopvang, bron: CBS, AZW Statline). Het percentage voor 2025 kan nog niet worden vastgesteld, aangezien we nog in 2025 zitten.</w:t>
      </w:r>
    </w:p>
    <w:p w:rsidRPr="005F055E" w:rsidR="00575B14" w:rsidP="00180EEB" w:rsidRDefault="00575B14" w14:paraId="0992007D" w14:textId="77777777">
      <w:pPr>
        <w:suppressAutoHyphens/>
      </w:pPr>
    </w:p>
    <w:p w:rsidRPr="005F055E" w:rsidR="00912A7D" w:rsidP="00180EEB" w:rsidRDefault="003E7003" w14:paraId="609A29A1" w14:textId="77777777">
      <w:pPr>
        <w:suppressAutoHyphens/>
      </w:pPr>
      <w:r w:rsidRPr="005F055E">
        <w:t>Vraag 125</w:t>
      </w:r>
      <w:r w:rsidRPr="005F055E">
        <w:tab/>
      </w:r>
    </w:p>
    <w:p w:rsidRPr="005F055E" w:rsidR="00912A7D" w:rsidP="00180EEB" w:rsidRDefault="003E7003" w14:paraId="3937BA0B" w14:textId="77777777">
      <w:pPr>
        <w:suppressAutoHyphens/>
      </w:pPr>
      <w:r w:rsidRPr="005F055E">
        <w:t>Hoeveel uur werkte de gemiddelde werknemer in de zorg in 2024 en 2025 per week en hoe verhoudt dat zich tot het gemiddelde aantal uur van alle werkenden in Nederland?</w:t>
      </w:r>
    </w:p>
    <w:p w:rsidRPr="005F055E" w:rsidR="003E7003" w:rsidP="00180EEB" w:rsidRDefault="003E7003" w14:paraId="02FAED58" w14:textId="29E91848">
      <w:pPr>
        <w:suppressAutoHyphens/>
      </w:pPr>
      <w:r w:rsidRPr="005F055E">
        <w:t>Antwoord</w:t>
      </w:r>
    </w:p>
    <w:p w:rsidRPr="005F055E" w:rsidR="00575B14" w:rsidP="00180EEB" w:rsidRDefault="00575B14" w14:paraId="78015D5D" w14:textId="77777777">
      <w:pPr>
        <w:suppressAutoHyphens/>
        <w:rPr>
          <w:szCs w:val="18"/>
        </w:rPr>
      </w:pPr>
      <w:r w:rsidRPr="005F055E">
        <w:rPr>
          <w:szCs w:val="18"/>
        </w:rPr>
        <w:t>Gemiddeld werkten werknemers in de zorg in 2024 21,8 uur per week, voor alle werkenden in Nederland was dat 26,3 uur (bron: CBS Statline). Dat is het aantal gewerkte uren per jaar gedeeld door 52 weken, het gemiddelde per week dat men werkt ligt hoger. Omdat het aantal weken dat iemand vakantie heeft echter verschilt per branche en sector is een gemiddelde per gewerkte week niet te berekenen voor alle werkenden in Nederland. Voor 2025 zijn nog geen cijfers beschikbaar.</w:t>
      </w:r>
    </w:p>
    <w:p w:rsidRPr="005F055E" w:rsidR="00605490" w:rsidP="00180EEB" w:rsidRDefault="00605490" w14:paraId="2213F819" w14:textId="77777777">
      <w:pPr>
        <w:suppressAutoHyphens/>
      </w:pPr>
    </w:p>
    <w:p w:rsidRPr="005F055E" w:rsidR="00912A7D" w:rsidP="00180EEB" w:rsidRDefault="003E7003" w14:paraId="4A8683A1" w14:textId="77777777">
      <w:pPr>
        <w:suppressAutoHyphens/>
      </w:pPr>
      <w:r w:rsidRPr="005F055E">
        <w:t>Vraag 126</w:t>
      </w:r>
      <w:r w:rsidRPr="005F055E">
        <w:tab/>
      </w:r>
    </w:p>
    <w:p w:rsidRPr="005F055E" w:rsidR="00912A7D" w:rsidP="00180EEB" w:rsidRDefault="003E7003" w14:paraId="05AD0189" w14:textId="77777777">
      <w:pPr>
        <w:suppressAutoHyphens/>
      </w:pPr>
      <w:r w:rsidRPr="005F055E">
        <w:t>Welk deel van het totaal aantal fte in de Nederlandse economie wordt geleverd door zorgverleners?</w:t>
      </w:r>
      <w:r w:rsidRPr="005F055E">
        <w:tab/>
      </w:r>
    </w:p>
    <w:p w:rsidRPr="005F055E" w:rsidR="003E7003" w:rsidP="00180EEB" w:rsidRDefault="003E7003" w14:paraId="6F6FEA3C" w14:textId="25749CB8">
      <w:pPr>
        <w:suppressAutoHyphens/>
      </w:pPr>
      <w:r w:rsidRPr="005F055E">
        <w:t>Antwoord</w:t>
      </w:r>
    </w:p>
    <w:p w:rsidRPr="005F055E" w:rsidR="00912A7D" w:rsidP="00180EEB" w:rsidRDefault="00575B14" w14:paraId="3CCFE98D" w14:textId="5FEF67B5">
      <w:pPr>
        <w:suppressAutoHyphens/>
      </w:pPr>
      <w:r w:rsidRPr="005F055E">
        <w:t>In het 1</w:t>
      </w:r>
      <w:r w:rsidRPr="005F055E">
        <w:rPr>
          <w:vertAlign w:val="superscript"/>
        </w:rPr>
        <w:t>e</w:t>
      </w:r>
      <w:r w:rsidRPr="005F055E">
        <w:t xml:space="preserve"> kwartaal van 2025 betrof het aantal fte in zorg en welzijn (excl. kinderopvang) 980.800. Dit is ruim 14% van het totaal fte in de Nederlandse economie. In aantal werknemers ligt het aandeel van zorg en welzijn hoger, namelijk op 16% (1 op 6,4).</w:t>
      </w:r>
    </w:p>
    <w:p w:rsidRPr="005F055E" w:rsidR="00F36E36" w:rsidP="00180EEB" w:rsidRDefault="00F36E36" w14:paraId="7E18A3D6" w14:textId="77777777">
      <w:pPr>
        <w:suppressAutoHyphens/>
      </w:pPr>
    </w:p>
    <w:p w:rsidRPr="005F055E" w:rsidR="00912A7D" w:rsidP="00180EEB" w:rsidRDefault="003E7003" w14:paraId="50895110" w14:textId="77777777">
      <w:pPr>
        <w:suppressAutoHyphens/>
      </w:pPr>
      <w:r w:rsidRPr="005F055E">
        <w:t>Vraag 127</w:t>
      </w:r>
      <w:r w:rsidRPr="005F055E">
        <w:tab/>
      </w:r>
    </w:p>
    <w:p w:rsidRPr="005F055E" w:rsidR="00912A7D" w:rsidP="00180EEB" w:rsidRDefault="003E7003" w14:paraId="6A7092F4" w14:textId="77777777">
      <w:pPr>
        <w:suppressAutoHyphens/>
      </w:pPr>
      <w:r w:rsidRPr="005F055E">
        <w:t>Welk deel van de werknemers in de zorg leeft onder de armoedegrens?</w:t>
      </w:r>
      <w:r w:rsidRPr="005F055E">
        <w:tab/>
      </w:r>
    </w:p>
    <w:p w:rsidRPr="005F055E" w:rsidR="003E7003" w:rsidP="00180EEB" w:rsidRDefault="003E7003" w14:paraId="3379F284" w14:textId="00557B87">
      <w:pPr>
        <w:suppressAutoHyphens/>
      </w:pPr>
      <w:r w:rsidRPr="005F055E">
        <w:t>Antwoord</w:t>
      </w:r>
    </w:p>
    <w:p w:rsidRPr="00F36E36" w:rsidR="00575B14" w:rsidP="00180EEB" w:rsidRDefault="00BE5CD4" w14:paraId="589F304B" w14:textId="125234CB">
      <w:pPr>
        <w:suppressAutoHyphens/>
        <w:spacing w:line="240" w:lineRule="atLeast"/>
        <w:rPr>
          <w:rFonts w:cs="Calibri"/>
          <w:color w:val="000000"/>
          <w:szCs w:val="18"/>
          <w:lang w:eastAsia="nl-NL"/>
        </w:rPr>
      </w:pPr>
      <w:r w:rsidRPr="005F055E">
        <w:rPr>
          <w:rFonts w:cs="Calibri"/>
          <w:color w:val="000000"/>
          <w:szCs w:val="18"/>
          <w:lang w:eastAsia="nl-NL"/>
        </w:rPr>
        <w:t xml:space="preserve">Er zijn geen specifieke statistieken die precies in kaart brengen hoeveel zorgmedewerkers onder de armoedegrens leven. Er wordt bij armoede- en koopkrachtramingen gekeken naar de gehele bevolking waarbij het niet mogelijk is de specifieke gegevens over alleen zorgmedewerkers daaruit te halen. </w:t>
      </w:r>
      <w:r w:rsidRPr="005F055E" w:rsidR="008D1697">
        <w:rPr>
          <w:rFonts w:cs="Calibri"/>
          <w:color w:val="000000"/>
          <w:szCs w:val="18"/>
          <w:lang w:eastAsia="nl-NL"/>
        </w:rPr>
        <w:t>Daarnaast is armoede niet alleen een kwestie van inkomen. Sommige mensen en dus ook zorgmedewerkers kunnen bijvoorbeeld schulden hebben of kampen met hoge vaste lasten, waardoor ze financieel kwetsbaarder zijn dan hun salaris op het eerste gezicht doet vermoeden. Deze ‘onzichtbare’ armoede wordt vaak niet goed vastgelegd in statistieken.</w:t>
      </w:r>
      <w:r w:rsidRPr="005F055E">
        <w:rPr>
          <w:rFonts w:cs="Calibri"/>
          <w:color w:val="000000"/>
          <w:szCs w:val="18"/>
          <w:lang w:eastAsia="nl-NL"/>
        </w:rPr>
        <w:br/>
      </w:r>
    </w:p>
    <w:p w:rsidRPr="005F055E" w:rsidR="00912A7D" w:rsidP="00180EEB" w:rsidRDefault="003E7003" w14:paraId="7F619531" w14:textId="77777777">
      <w:pPr>
        <w:suppressAutoHyphens/>
      </w:pPr>
      <w:r w:rsidRPr="005F055E">
        <w:t>Vraag 128</w:t>
      </w:r>
      <w:r w:rsidRPr="005F055E">
        <w:tab/>
      </w:r>
    </w:p>
    <w:p w:rsidRPr="005F055E" w:rsidR="00912A7D" w:rsidP="00180EEB" w:rsidRDefault="003E7003" w14:paraId="2D09709A" w14:textId="77777777">
      <w:pPr>
        <w:suppressAutoHyphens/>
      </w:pPr>
      <w:r w:rsidRPr="005F055E">
        <w:t>Hoe groot zijn de personeelstekorten in de totale zorg momenteel? Kunt u dit in een tabel uitsplitsen per sector?</w:t>
      </w:r>
      <w:r w:rsidRPr="005F055E">
        <w:tab/>
      </w:r>
    </w:p>
    <w:p w:rsidRPr="005F055E" w:rsidR="003E7003" w:rsidP="00180EEB" w:rsidRDefault="003E7003" w14:paraId="68597FF4" w14:textId="5E318BBA">
      <w:pPr>
        <w:suppressAutoHyphens/>
      </w:pPr>
      <w:r w:rsidRPr="005F055E">
        <w:t>Antwoord</w:t>
      </w:r>
    </w:p>
    <w:p w:rsidRPr="005F055E" w:rsidR="00575B14" w:rsidP="00180EEB" w:rsidRDefault="00575B14" w14:paraId="1100E6F9" w14:textId="77777777">
      <w:pPr>
        <w:suppressAutoHyphens/>
      </w:pPr>
      <w:r w:rsidRPr="005F055E">
        <w:t xml:space="preserve">Er zijn geen cijfers beschikbaar over de actuele tekorten per branche. Wel zijn er cijfers beschikbaar op basis van de laatste prognose van najaar 2024. </w:t>
      </w:r>
    </w:p>
    <w:p w:rsidRPr="005F055E" w:rsidR="00575B14" w:rsidP="00180EEB" w:rsidRDefault="00575B14" w14:paraId="6AA99D9F" w14:textId="77777777">
      <w:pPr>
        <w:suppressAutoHyphens/>
      </w:pPr>
      <w:r w:rsidRPr="005F055E">
        <w:t xml:space="preserve">In onderstaande tabel is weergegeven wat het verwachte tekort in 2025 per branche is. </w:t>
      </w:r>
    </w:p>
    <w:tbl>
      <w:tblPr>
        <w:tblStyle w:val="Tabelraster"/>
        <w:tblW w:w="8217" w:type="dxa"/>
        <w:tblLook w:val="04A0" w:firstRow="1" w:lastRow="0" w:firstColumn="1" w:lastColumn="0" w:noHBand="0" w:noVBand="1"/>
      </w:tblPr>
      <w:tblGrid>
        <w:gridCol w:w="3920"/>
        <w:gridCol w:w="1842"/>
        <w:gridCol w:w="2455"/>
      </w:tblGrid>
      <w:tr w:rsidRPr="005F055E" w:rsidR="00575B14" w:rsidTr="005E2643" w14:paraId="15DED963" w14:textId="77777777">
        <w:trPr>
          <w:trHeight w:val="300"/>
        </w:trPr>
        <w:tc>
          <w:tcPr>
            <w:tcW w:w="3920" w:type="dxa"/>
            <w:noWrap/>
            <w:hideMark/>
          </w:tcPr>
          <w:p w:rsidRPr="005F055E" w:rsidR="00575B14" w:rsidP="00180EEB" w:rsidRDefault="00575B14" w14:paraId="0810BB53" w14:textId="77777777">
            <w:pPr>
              <w:suppressAutoHyphens/>
              <w:rPr>
                <w:rFonts w:ascii="Verdana" w:hAnsi="Verdana" w:cs="Arial"/>
                <w:sz w:val="20"/>
              </w:rPr>
            </w:pPr>
            <w:r w:rsidRPr="005F055E">
              <w:rPr>
                <w:rFonts w:ascii="Verdana" w:hAnsi="Verdana" w:cs="Arial"/>
                <w:sz w:val="20"/>
              </w:rPr>
              <w:t> </w:t>
            </w:r>
          </w:p>
        </w:tc>
        <w:tc>
          <w:tcPr>
            <w:tcW w:w="1842" w:type="dxa"/>
            <w:noWrap/>
            <w:hideMark/>
          </w:tcPr>
          <w:p w:rsidRPr="005F055E" w:rsidR="00575B14" w:rsidP="00180EEB" w:rsidRDefault="00575B14" w14:paraId="04EF1B79" w14:textId="77777777">
            <w:pPr>
              <w:suppressAutoHyphens/>
              <w:rPr>
                <w:rFonts w:ascii="Verdana" w:hAnsi="Verdana" w:cs="Arial"/>
                <w:sz w:val="20"/>
              </w:rPr>
            </w:pPr>
            <w:r w:rsidRPr="005F055E">
              <w:rPr>
                <w:rFonts w:ascii="Verdana" w:hAnsi="Verdana" w:cs="Arial"/>
                <w:sz w:val="20"/>
              </w:rPr>
              <w:t>Verwachte tekorten 2025 in aantal werknemers</w:t>
            </w:r>
          </w:p>
        </w:tc>
        <w:tc>
          <w:tcPr>
            <w:tcW w:w="2455" w:type="dxa"/>
          </w:tcPr>
          <w:p w:rsidRPr="005F055E" w:rsidR="00575B14" w:rsidP="00180EEB" w:rsidRDefault="00575B14" w14:paraId="63FDACE6" w14:textId="77777777">
            <w:pPr>
              <w:suppressAutoHyphens/>
              <w:rPr>
                <w:rFonts w:ascii="Verdana" w:hAnsi="Verdana" w:cs="Arial"/>
                <w:sz w:val="20"/>
              </w:rPr>
            </w:pPr>
            <w:r w:rsidRPr="005F055E">
              <w:rPr>
                <w:rFonts w:ascii="Verdana" w:hAnsi="Verdana" w:cs="Arial"/>
                <w:sz w:val="20"/>
              </w:rPr>
              <w:t>Verwachte tekort in 2025 in % van het aantal werkzame werknemers</w:t>
            </w:r>
          </w:p>
        </w:tc>
      </w:tr>
      <w:tr w:rsidRPr="005F055E" w:rsidR="00575B14" w:rsidTr="005E2643" w14:paraId="1B843C32" w14:textId="77777777">
        <w:trPr>
          <w:trHeight w:val="300"/>
        </w:trPr>
        <w:tc>
          <w:tcPr>
            <w:tcW w:w="3920" w:type="dxa"/>
            <w:noWrap/>
          </w:tcPr>
          <w:p w:rsidRPr="005F055E" w:rsidR="00575B14" w:rsidP="00180EEB" w:rsidRDefault="00575B14" w14:paraId="214658AC" w14:textId="77777777">
            <w:pPr>
              <w:suppressAutoHyphens/>
              <w:rPr>
                <w:rFonts w:ascii="Verdana" w:hAnsi="Verdana" w:cs="Arial"/>
                <w:sz w:val="20"/>
              </w:rPr>
            </w:pPr>
            <w:r w:rsidRPr="005F055E">
              <w:rPr>
                <w:rFonts w:ascii="Verdana" w:hAnsi="Verdana" w:cs="Arial"/>
                <w:sz w:val="20"/>
              </w:rPr>
              <w:t>Zorg en welzijn totaal</w:t>
            </w:r>
          </w:p>
        </w:tc>
        <w:tc>
          <w:tcPr>
            <w:tcW w:w="1842" w:type="dxa"/>
            <w:noWrap/>
          </w:tcPr>
          <w:p w:rsidRPr="005F055E" w:rsidR="00575B14" w:rsidP="00180EEB" w:rsidRDefault="00575B14" w14:paraId="22C490AF" w14:textId="77777777">
            <w:pPr>
              <w:suppressAutoHyphens/>
              <w:ind w:left="720"/>
              <w:rPr>
                <w:rFonts w:ascii="Verdana" w:hAnsi="Verdana" w:cs="Arial"/>
                <w:sz w:val="20"/>
              </w:rPr>
            </w:pPr>
            <w:r w:rsidRPr="005F055E">
              <w:rPr>
                <w:rFonts w:ascii="Verdana" w:hAnsi="Verdana" w:cs="Arial"/>
                <w:sz w:val="20"/>
              </w:rPr>
              <w:t>66.300</w:t>
            </w:r>
          </w:p>
        </w:tc>
        <w:tc>
          <w:tcPr>
            <w:tcW w:w="2455" w:type="dxa"/>
          </w:tcPr>
          <w:p w:rsidRPr="005F055E" w:rsidR="00575B14" w:rsidP="00180EEB" w:rsidRDefault="00575B14" w14:paraId="69EF4703" w14:textId="77777777">
            <w:pPr>
              <w:suppressAutoHyphens/>
              <w:ind w:left="720"/>
              <w:rPr>
                <w:rFonts w:ascii="Verdana" w:hAnsi="Verdana"/>
              </w:rPr>
            </w:pPr>
            <w:r w:rsidRPr="005F055E">
              <w:rPr>
                <w:rFonts w:ascii="Verdana" w:hAnsi="Verdana"/>
              </w:rPr>
              <w:t>4,8%</w:t>
            </w:r>
          </w:p>
        </w:tc>
      </w:tr>
      <w:tr w:rsidRPr="005F055E" w:rsidR="00575B14" w:rsidTr="005E2643" w14:paraId="09A3C89A" w14:textId="77777777">
        <w:trPr>
          <w:trHeight w:val="300"/>
        </w:trPr>
        <w:tc>
          <w:tcPr>
            <w:tcW w:w="3920" w:type="dxa"/>
            <w:noWrap/>
            <w:hideMark/>
          </w:tcPr>
          <w:p w:rsidRPr="005F055E" w:rsidR="00575B14" w:rsidP="00180EEB" w:rsidRDefault="00575B14" w14:paraId="3B06188A" w14:textId="77777777">
            <w:pPr>
              <w:suppressAutoHyphens/>
              <w:rPr>
                <w:rFonts w:ascii="Verdana" w:hAnsi="Verdana" w:cs="Arial"/>
                <w:sz w:val="20"/>
              </w:rPr>
            </w:pPr>
            <w:r w:rsidRPr="005F055E">
              <w:rPr>
                <w:rFonts w:ascii="Verdana" w:hAnsi="Verdana" w:cs="Arial"/>
                <w:sz w:val="20"/>
              </w:rPr>
              <w:t>Universitair medische centra</w:t>
            </w:r>
          </w:p>
        </w:tc>
        <w:tc>
          <w:tcPr>
            <w:tcW w:w="1842" w:type="dxa"/>
            <w:noWrap/>
            <w:hideMark/>
          </w:tcPr>
          <w:p w:rsidRPr="005F055E" w:rsidR="00575B14" w:rsidP="00180EEB" w:rsidRDefault="00575B14" w14:paraId="73E83FD2" w14:textId="77777777">
            <w:pPr>
              <w:suppressAutoHyphens/>
              <w:ind w:left="720"/>
              <w:rPr>
                <w:rFonts w:ascii="Verdana" w:hAnsi="Verdana" w:cs="Arial"/>
                <w:sz w:val="20"/>
              </w:rPr>
            </w:pPr>
            <w:r w:rsidRPr="005F055E">
              <w:rPr>
                <w:rFonts w:ascii="Verdana" w:hAnsi="Verdana" w:cs="Arial"/>
                <w:sz w:val="20"/>
              </w:rPr>
              <w:t>2.600</w:t>
            </w:r>
          </w:p>
        </w:tc>
        <w:tc>
          <w:tcPr>
            <w:tcW w:w="2455" w:type="dxa"/>
          </w:tcPr>
          <w:p w:rsidRPr="005F055E" w:rsidR="00575B14" w:rsidP="00180EEB" w:rsidRDefault="00575B14" w14:paraId="2FE54564" w14:textId="77777777">
            <w:pPr>
              <w:suppressAutoHyphens/>
              <w:ind w:left="720"/>
              <w:rPr>
                <w:rFonts w:ascii="Verdana" w:hAnsi="Verdana" w:cs="Arial"/>
                <w:sz w:val="20"/>
              </w:rPr>
            </w:pPr>
            <w:r w:rsidRPr="005F055E">
              <w:rPr>
                <w:rFonts w:ascii="Verdana" w:hAnsi="Verdana"/>
              </w:rPr>
              <w:t>3,2%</w:t>
            </w:r>
          </w:p>
        </w:tc>
      </w:tr>
      <w:tr w:rsidRPr="005F055E" w:rsidR="00575B14" w:rsidTr="005E2643" w14:paraId="63B1F732" w14:textId="77777777">
        <w:trPr>
          <w:trHeight w:val="300"/>
        </w:trPr>
        <w:tc>
          <w:tcPr>
            <w:tcW w:w="3920" w:type="dxa"/>
            <w:noWrap/>
            <w:hideMark/>
          </w:tcPr>
          <w:p w:rsidRPr="005F055E" w:rsidR="00575B14" w:rsidP="00180EEB" w:rsidRDefault="00575B14" w14:paraId="6B53630E" w14:textId="77777777">
            <w:pPr>
              <w:suppressAutoHyphens/>
              <w:rPr>
                <w:rFonts w:ascii="Verdana" w:hAnsi="Verdana" w:cs="Arial"/>
                <w:sz w:val="20"/>
              </w:rPr>
            </w:pPr>
            <w:r w:rsidRPr="005F055E">
              <w:rPr>
                <w:rFonts w:ascii="Verdana" w:hAnsi="Verdana" w:cs="Arial"/>
                <w:sz w:val="20"/>
              </w:rPr>
              <w:t xml:space="preserve">Ziekenhuizen en overige </w:t>
            </w:r>
            <w:proofErr w:type="spellStart"/>
            <w:r w:rsidRPr="005F055E">
              <w:rPr>
                <w:rFonts w:ascii="Verdana" w:hAnsi="Verdana" w:cs="Arial"/>
                <w:sz w:val="20"/>
              </w:rPr>
              <w:t>med</w:t>
            </w:r>
            <w:proofErr w:type="spellEnd"/>
            <w:r w:rsidRPr="005F055E">
              <w:rPr>
                <w:rFonts w:ascii="Verdana" w:hAnsi="Verdana" w:cs="Arial"/>
                <w:sz w:val="20"/>
              </w:rPr>
              <w:t xml:space="preserve">. </w:t>
            </w:r>
            <w:proofErr w:type="spellStart"/>
            <w:r w:rsidRPr="005F055E">
              <w:rPr>
                <w:rFonts w:ascii="Verdana" w:hAnsi="Verdana" w:cs="Arial"/>
                <w:sz w:val="20"/>
              </w:rPr>
              <w:t>spec</w:t>
            </w:r>
            <w:proofErr w:type="spellEnd"/>
            <w:r w:rsidRPr="005F055E">
              <w:rPr>
                <w:rFonts w:ascii="Verdana" w:hAnsi="Verdana" w:cs="Arial"/>
                <w:sz w:val="20"/>
              </w:rPr>
              <w:t>. zorg</w:t>
            </w:r>
          </w:p>
        </w:tc>
        <w:tc>
          <w:tcPr>
            <w:tcW w:w="1842" w:type="dxa"/>
            <w:noWrap/>
            <w:hideMark/>
          </w:tcPr>
          <w:p w:rsidRPr="005F055E" w:rsidR="00575B14" w:rsidP="00180EEB" w:rsidRDefault="00575B14" w14:paraId="790C093E" w14:textId="77777777">
            <w:pPr>
              <w:suppressAutoHyphens/>
              <w:rPr>
                <w:rFonts w:ascii="Verdana" w:hAnsi="Verdana" w:cs="Arial"/>
                <w:sz w:val="20"/>
              </w:rPr>
            </w:pPr>
            <w:r w:rsidRPr="005F055E">
              <w:rPr>
                <w:rFonts w:ascii="Verdana" w:hAnsi="Verdana" w:cs="Arial"/>
                <w:sz w:val="20"/>
              </w:rPr>
              <w:t>7.800</w:t>
            </w:r>
          </w:p>
        </w:tc>
        <w:tc>
          <w:tcPr>
            <w:tcW w:w="2455" w:type="dxa"/>
          </w:tcPr>
          <w:p w:rsidRPr="005F055E" w:rsidR="00575B14" w:rsidP="00180EEB" w:rsidRDefault="00575B14" w14:paraId="5DCB84C9" w14:textId="77777777">
            <w:pPr>
              <w:suppressAutoHyphens/>
              <w:rPr>
                <w:rFonts w:ascii="Verdana" w:hAnsi="Verdana" w:cs="Arial"/>
                <w:sz w:val="20"/>
              </w:rPr>
            </w:pPr>
            <w:r w:rsidRPr="005F055E">
              <w:rPr>
                <w:rFonts w:ascii="Verdana" w:hAnsi="Verdana"/>
              </w:rPr>
              <w:t>3,5%</w:t>
            </w:r>
          </w:p>
        </w:tc>
      </w:tr>
      <w:tr w:rsidRPr="005F055E" w:rsidR="00575B14" w:rsidTr="005E2643" w14:paraId="57174B61" w14:textId="77777777">
        <w:trPr>
          <w:trHeight w:val="300"/>
        </w:trPr>
        <w:tc>
          <w:tcPr>
            <w:tcW w:w="3920" w:type="dxa"/>
            <w:noWrap/>
            <w:hideMark/>
          </w:tcPr>
          <w:p w:rsidRPr="005F055E" w:rsidR="00575B14" w:rsidP="00180EEB" w:rsidRDefault="00575B14" w14:paraId="3D6533BF" w14:textId="77777777">
            <w:pPr>
              <w:suppressAutoHyphens/>
              <w:rPr>
                <w:rFonts w:ascii="Verdana" w:hAnsi="Verdana" w:cs="Arial"/>
                <w:sz w:val="20"/>
              </w:rPr>
            </w:pPr>
            <w:r w:rsidRPr="005F055E">
              <w:rPr>
                <w:rFonts w:ascii="Verdana" w:hAnsi="Verdana" w:cs="Arial"/>
                <w:sz w:val="20"/>
              </w:rPr>
              <w:t>Geestelijke gezondheidszorg</w:t>
            </w:r>
          </w:p>
        </w:tc>
        <w:tc>
          <w:tcPr>
            <w:tcW w:w="1842" w:type="dxa"/>
            <w:noWrap/>
            <w:hideMark/>
          </w:tcPr>
          <w:p w:rsidRPr="005F055E" w:rsidR="00575B14" w:rsidP="00180EEB" w:rsidRDefault="00575B14" w14:paraId="6E7F0684" w14:textId="77777777">
            <w:pPr>
              <w:suppressAutoHyphens/>
              <w:rPr>
                <w:rFonts w:ascii="Verdana" w:hAnsi="Verdana" w:cs="Arial"/>
                <w:sz w:val="20"/>
              </w:rPr>
            </w:pPr>
            <w:r w:rsidRPr="005F055E">
              <w:rPr>
                <w:rFonts w:ascii="Verdana" w:hAnsi="Verdana" w:cs="Arial"/>
                <w:sz w:val="20"/>
              </w:rPr>
              <w:t>8.600</w:t>
            </w:r>
          </w:p>
        </w:tc>
        <w:tc>
          <w:tcPr>
            <w:tcW w:w="2455" w:type="dxa"/>
          </w:tcPr>
          <w:p w:rsidRPr="005F055E" w:rsidR="00575B14" w:rsidP="00180EEB" w:rsidRDefault="00575B14" w14:paraId="1A29F7E2" w14:textId="77777777">
            <w:pPr>
              <w:suppressAutoHyphens/>
              <w:rPr>
                <w:rFonts w:ascii="Verdana" w:hAnsi="Verdana" w:cs="Arial"/>
                <w:sz w:val="20"/>
              </w:rPr>
            </w:pPr>
            <w:r w:rsidRPr="005F055E">
              <w:rPr>
                <w:rFonts w:ascii="Verdana" w:hAnsi="Verdana"/>
              </w:rPr>
              <w:t>7,7%</w:t>
            </w:r>
          </w:p>
        </w:tc>
      </w:tr>
      <w:tr w:rsidRPr="005F055E" w:rsidR="00575B14" w:rsidTr="005E2643" w14:paraId="6C9BE99F" w14:textId="77777777">
        <w:trPr>
          <w:trHeight w:val="300"/>
        </w:trPr>
        <w:tc>
          <w:tcPr>
            <w:tcW w:w="3920" w:type="dxa"/>
            <w:noWrap/>
            <w:hideMark/>
          </w:tcPr>
          <w:p w:rsidRPr="005F055E" w:rsidR="00575B14" w:rsidP="00180EEB" w:rsidRDefault="00575B14" w14:paraId="33B39D82" w14:textId="77777777">
            <w:pPr>
              <w:suppressAutoHyphens/>
              <w:rPr>
                <w:rFonts w:ascii="Verdana" w:hAnsi="Verdana" w:cs="Arial"/>
                <w:sz w:val="20"/>
              </w:rPr>
            </w:pPr>
            <w:r w:rsidRPr="005F055E">
              <w:rPr>
                <w:rFonts w:ascii="Verdana" w:hAnsi="Verdana" w:cs="Arial"/>
                <w:sz w:val="20"/>
              </w:rPr>
              <w:t>Huisartsen en gezondheidscentra</w:t>
            </w:r>
          </w:p>
        </w:tc>
        <w:tc>
          <w:tcPr>
            <w:tcW w:w="1842" w:type="dxa"/>
            <w:noWrap/>
            <w:hideMark/>
          </w:tcPr>
          <w:p w:rsidRPr="005F055E" w:rsidR="00575B14" w:rsidP="00180EEB" w:rsidRDefault="00575B14" w14:paraId="0CAE52D4" w14:textId="77777777">
            <w:pPr>
              <w:suppressAutoHyphens/>
              <w:rPr>
                <w:rFonts w:ascii="Verdana" w:hAnsi="Verdana" w:cs="Arial"/>
                <w:sz w:val="20"/>
              </w:rPr>
            </w:pPr>
            <w:r w:rsidRPr="005F055E">
              <w:rPr>
                <w:rFonts w:ascii="Verdana" w:hAnsi="Verdana" w:cs="Arial"/>
                <w:sz w:val="20"/>
              </w:rPr>
              <w:t>1.600</w:t>
            </w:r>
          </w:p>
        </w:tc>
        <w:tc>
          <w:tcPr>
            <w:tcW w:w="2455" w:type="dxa"/>
          </w:tcPr>
          <w:p w:rsidRPr="005F055E" w:rsidR="00575B14" w:rsidP="00180EEB" w:rsidRDefault="00575B14" w14:paraId="16AC5740" w14:textId="77777777">
            <w:pPr>
              <w:suppressAutoHyphens/>
              <w:rPr>
                <w:rFonts w:ascii="Verdana" w:hAnsi="Verdana" w:cs="Arial"/>
                <w:sz w:val="20"/>
              </w:rPr>
            </w:pPr>
            <w:r w:rsidRPr="005F055E">
              <w:rPr>
                <w:rFonts w:ascii="Verdana" w:hAnsi="Verdana"/>
              </w:rPr>
              <w:t>4,4%</w:t>
            </w:r>
          </w:p>
        </w:tc>
      </w:tr>
      <w:tr w:rsidRPr="005F055E" w:rsidR="00575B14" w:rsidTr="005E2643" w14:paraId="3E814485" w14:textId="77777777">
        <w:trPr>
          <w:trHeight w:val="300"/>
        </w:trPr>
        <w:tc>
          <w:tcPr>
            <w:tcW w:w="3920" w:type="dxa"/>
            <w:noWrap/>
            <w:hideMark/>
          </w:tcPr>
          <w:p w:rsidRPr="005F055E" w:rsidR="00575B14" w:rsidP="00180EEB" w:rsidRDefault="00575B14" w14:paraId="345E5B85" w14:textId="77777777">
            <w:pPr>
              <w:suppressAutoHyphens/>
              <w:rPr>
                <w:rFonts w:ascii="Verdana" w:hAnsi="Verdana" w:cs="Arial"/>
                <w:sz w:val="20"/>
              </w:rPr>
            </w:pPr>
            <w:r w:rsidRPr="005F055E">
              <w:rPr>
                <w:rFonts w:ascii="Verdana" w:hAnsi="Verdana" w:cs="Arial"/>
                <w:sz w:val="20"/>
              </w:rPr>
              <w:t>Overige zorg en welzijn</w:t>
            </w:r>
          </w:p>
        </w:tc>
        <w:tc>
          <w:tcPr>
            <w:tcW w:w="1842" w:type="dxa"/>
            <w:noWrap/>
            <w:hideMark/>
          </w:tcPr>
          <w:p w:rsidRPr="005F055E" w:rsidR="00575B14" w:rsidP="00180EEB" w:rsidRDefault="00575B14" w14:paraId="22E9C061" w14:textId="77777777">
            <w:pPr>
              <w:suppressAutoHyphens/>
              <w:rPr>
                <w:rFonts w:ascii="Verdana" w:hAnsi="Verdana" w:cs="Arial"/>
                <w:sz w:val="20"/>
              </w:rPr>
            </w:pPr>
            <w:r w:rsidRPr="005F055E">
              <w:rPr>
                <w:rFonts w:ascii="Verdana" w:hAnsi="Verdana" w:cs="Arial"/>
                <w:sz w:val="20"/>
              </w:rPr>
              <w:t>8.300</w:t>
            </w:r>
          </w:p>
        </w:tc>
        <w:tc>
          <w:tcPr>
            <w:tcW w:w="2455" w:type="dxa"/>
          </w:tcPr>
          <w:p w:rsidRPr="005F055E" w:rsidR="00575B14" w:rsidP="00180EEB" w:rsidRDefault="00575B14" w14:paraId="7C861284" w14:textId="77777777">
            <w:pPr>
              <w:suppressAutoHyphens/>
              <w:rPr>
                <w:rFonts w:ascii="Verdana" w:hAnsi="Verdana" w:cs="Arial"/>
                <w:sz w:val="20"/>
              </w:rPr>
            </w:pPr>
            <w:r w:rsidRPr="005F055E">
              <w:rPr>
                <w:rFonts w:ascii="Verdana" w:hAnsi="Verdana"/>
              </w:rPr>
              <w:t>6,0%</w:t>
            </w:r>
          </w:p>
        </w:tc>
      </w:tr>
      <w:tr w:rsidRPr="005F055E" w:rsidR="00575B14" w:rsidTr="005E2643" w14:paraId="15E9BAC5" w14:textId="77777777">
        <w:trPr>
          <w:trHeight w:val="300"/>
        </w:trPr>
        <w:tc>
          <w:tcPr>
            <w:tcW w:w="3920" w:type="dxa"/>
            <w:noWrap/>
            <w:hideMark/>
          </w:tcPr>
          <w:p w:rsidRPr="005F055E" w:rsidR="00575B14" w:rsidP="00180EEB" w:rsidRDefault="00575B14" w14:paraId="002E71D2" w14:textId="77777777">
            <w:pPr>
              <w:suppressAutoHyphens/>
              <w:rPr>
                <w:rFonts w:ascii="Verdana" w:hAnsi="Verdana" w:cs="Arial"/>
                <w:sz w:val="20"/>
              </w:rPr>
            </w:pPr>
            <w:r w:rsidRPr="005F055E">
              <w:rPr>
                <w:rFonts w:ascii="Verdana" w:hAnsi="Verdana" w:cs="Arial"/>
                <w:sz w:val="20"/>
              </w:rPr>
              <w:t>Verpleging en verzorging</w:t>
            </w:r>
          </w:p>
        </w:tc>
        <w:tc>
          <w:tcPr>
            <w:tcW w:w="1842" w:type="dxa"/>
            <w:noWrap/>
            <w:hideMark/>
          </w:tcPr>
          <w:p w:rsidRPr="005F055E" w:rsidR="00575B14" w:rsidP="00180EEB" w:rsidRDefault="00575B14" w14:paraId="10D12E0E" w14:textId="77777777">
            <w:pPr>
              <w:suppressAutoHyphens/>
              <w:rPr>
                <w:rFonts w:ascii="Verdana" w:hAnsi="Verdana" w:cs="Arial"/>
                <w:sz w:val="20"/>
              </w:rPr>
            </w:pPr>
            <w:r w:rsidRPr="005F055E">
              <w:rPr>
                <w:rFonts w:ascii="Verdana" w:hAnsi="Verdana" w:cs="Arial"/>
                <w:sz w:val="20"/>
              </w:rPr>
              <w:t>16.100</w:t>
            </w:r>
          </w:p>
        </w:tc>
        <w:tc>
          <w:tcPr>
            <w:tcW w:w="2455" w:type="dxa"/>
          </w:tcPr>
          <w:p w:rsidRPr="005F055E" w:rsidR="00575B14" w:rsidP="00180EEB" w:rsidRDefault="00575B14" w14:paraId="43E07B5F" w14:textId="77777777">
            <w:pPr>
              <w:suppressAutoHyphens/>
              <w:rPr>
                <w:rFonts w:ascii="Verdana" w:hAnsi="Verdana" w:cs="Arial"/>
                <w:sz w:val="20"/>
              </w:rPr>
            </w:pPr>
            <w:r w:rsidRPr="005F055E">
              <w:rPr>
                <w:rFonts w:ascii="Verdana" w:hAnsi="Verdana"/>
              </w:rPr>
              <w:t>4,8%</w:t>
            </w:r>
          </w:p>
        </w:tc>
      </w:tr>
      <w:tr w:rsidRPr="005F055E" w:rsidR="00575B14" w:rsidTr="005E2643" w14:paraId="1369E25C" w14:textId="77777777">
        <w:trPr>
          <w:trHeight w:val="300"/>
        </w:trPr>
        <w:tc>
          <w:tcPr>
            <w:tcW w:w="3920" w:type="dxa"/>
            <w:noWrap/>
            <w:hideMark/>
          </w:tcPr>
          <w:p w:rsidRPr="005F055E" w:rsidR="00575B14" w:rsidP="00180EEB" w:rsidRDefault="00575B14" w14:paraId="42AED9A7" w14:textId="77777777">
            <w:pPr>
              <w:suppressAutoHyphens/>
              <w:rPr>
                <w:rFonts w:ascii="Verdana" w:hAnsi="Verdana" w:cs="Arial"/>
                <w:sz w:val="20"/>
              </w:rPr>
            </w:pPr>
            <w:r w:rsidRPr="005F055E">
              <w:rPr>
                <w:rFonts w:ascii="Verdana" w:hAnsi="Verdana" w:cs="Arial"/>
                <w:sz w:val="20"/>
              </w:rPr>
              <w:t>Thuiszorg</w:t>
            </w:r>
          </w:p>
        </w:tc>
        <w:tc>
          <w:tcPr>
            <w:tcW w:w="1842" w:type="dxa"/>
            <w:noWrap/>
            <w:hideMark/>
          </w:tcPr>
          <w:p w:rsidRPr="005F055E" w:rsidR="00575B14" w:rsidP="00180EEB" w:rsidRDefault="00575B14" w14:paraId="48E0BD73" w14:textId="77777777">
            <w:pPr>
              <w:suppressAutoHyphens/>
              <w:rPr>
                <w:rFonts w:ascii="Verdana" w:hAnsi="Verdana" w:cs="Arial"/>
                <w:sz w:val="20"/>
              </w:rPr>
            </w:pPr>
            <w:r w:rsidRPr="005F055E">
              <w:rPr>
                <w:rFonts w:ascii="Verdana" w:hAnsi="Verdana" w:cs="Arial"/>
                <w:sz w:val="20"/>
              </w:rPr>
              <w:t>6.300</w:t>
            </w:r>
          </w:p>
        </w:tc>
        <w:tc>
          <w:tcPr>
            <w:tcW w:w="2455" w:type="dxa"/>
          </w:tcPr>
          <w:p w:rsidRPr="005F055E" w:rsidR="00575B14" w:rsidP="00180EEB" w:rsidRDefault="00575B14" w14:paraId="70D0C030" w14:textId="77777777">
            <w:pPr>
              <w:suppressAutoHyphens/>
              <w:rPr>
                <w:rFonts w:ascii="Verdana" w:hAnsi="Verdana" w:cs="Arial"/>
                <w:sz w:val="20"/>
              </w:rPr>
            </w:pPr>
            <w:r w:rsidRPr="005F055E">
              <w:rPr>
                <w:rFonts w:ascii="Verdana" w:hAnsi="Verdana"/>
              </w:rPr>
              <w:t>4,0%</w:t>
            </w:r>
          </w:p>
        </w:tc>
      </w:tr>
      <w:tr w:rsidRPr="005F055E" w:rsidR="00575B14" w:rsidTr="005E2643" w14:paraId="3BAC4284" w14:textId="77777777">
        <w:trPr>
          <w:trHeight w:val="300"/>
        </w:trPr>
        <w:tc>
          <w:tcPr>
            <w:tcW w:w="3920" w:type="dxa"/>
            <w:noWrap/>
            <w:hideMark/>
          </w:tcPr>
          <w:p w:rsidRPr="005F055E" w:rsidR="00575B14" w:rsidP="00180EEB" w:rsidRDefault="00575B14" w14:paraId="601D8CB5" w14:textId="77777777">
            <w:pPr>
              <w:suppressAutoHyphens/>
              <w:rPr>
                <w:rFonts w:ascii="Verdana" w:hAnsi="Verdana" w:cs="Arial"/>
                <w:sz w:val="20"/>
              </w:rPr>
            </w:pPr>
            <w:r w:rsidRPr="005F055E">
              <w:rPr>
                <w:rFonts w:ascii="Verdana" w:hAnsi="Verdana" w:cs="Arial"/>
                <w:sz w:val="20"/>
              </w:rPr>
              <w:t>Gehandicaptenzorg</w:t>
            </w:r>
          </w:p>
        </w:tc>
        <w:tc>
          <w:tcPr>
            <w:tcW w:w="1842" w:type="dxa"/>
            <w:noWrap/>
            <w:hideMark/>
          </w:tcPr>
          <w:p w:rsidRPr="005F055E" w:rsidR="00575B14" w:rsidP="00180EEB" w:rsidRDefault="00575B14" w14:paraId="68ABD8D0" w14:textId="77777777">
            <w:pPr>
              <w:suppressAutoHyphens/>
              <w:rPr>
                <w:rFonts w:ascii="Verdana" w:hAnsi="Verdana" w:cs="Arial"/>
                <w:sz w:val="20"/>
              </w:rPr>
            </w:pPr>
            <w:r w:rsidRPr="005F055E">
              <w:rPr>
                <w:rFonts w:ascii="Verdana" w:hAnsi="Verdana" w:cs="Arial"/>
                <w:sz w:val="20"/>
              </w:rPr>
              <w:t>9.700</w:t>
            </w:r>
          </w:p>
        </w:tc>
        <w:tc>
          <w:tcPr>
            <w:tcW w:w="2455" w:type="dxa"/>
          </w:tcPr>
          <w:p w:rsidRPr="005F055E" w:rsidR="00575B14" w:rsidP="00180EEB" w:rsidRDefault="00575B14" w14:paraId="23A99455" w14:textId="77777777">
            <w:pPr>
              <w:suppressAutoHyphens/>
              <w:rPr>
                <w:rFonts w:ascii="Verdana" w:hAnsi="Verdana" w:cs="Arial"/>
                <w:sz w:val="20"/>
              </w:rPr>
            </w:pPr>
            <w:r w:rsidRPr="005F055E">
              <w:rPr>
                <w:rFonts w:ascii="Verdana" w:hAnsi="Verdana"/>
              </w:rPr>
              <w:t>5,2%</w:t>
            </w:r>
          </w:p>
        </w:tc>
      </w:tr>
      <w:tr w:rsidRPr="005F055E" w:rsidR="00575B14" w:rsidTr="005E2643" w14:paraId="469AAABB" w14:textId="77777777">
        <w:trPr>
          <w:trHeight w:val="300"/>
        </w:trPr>
        <w:tc>
          <w:tcPr>
            <w:tcW w:w="3920" w:type="dxa"/>
            <w:noWrap/>
            <w:hideMark/>
          </w:tcPr>
          <w:p w:rsidRPr="005F055E" w:rsidR="00575B14" w:rsidP="00180EEB" w:rsidRDefault="00575B14" w14:paraId="5A80A049" w14:textId="77777777">
            <w:pPr>
              <w:suppressAutoHyphens/>
              <w:rPr>
                <w:rFonts w:ascii="Verdana" w:hAnsi="Verdana" w:cs="Arial"/>
                <w:sz w:val="20"/>
              </w:rPr>
            </w:pPr>
            <w:r w:rsidRPr="005F055E">
              <w:rPr>
                <w:rFonts w:ascii="Verdana" w:hAnsi="Verdana" w:cs="Arial"/>
                <w:sz w:val="20"/>
              </w:rPr>
              <w:t>Jeugdzorg</w:t>
            </w:r>
          </w:p>
        </w:tc>
        <w:tc>
          <w:tcPr>
            <w:tcW w:w="1842" w:type="dxa"/>
            <w:noWrap/>
            <w:hideMark/>
          </w:tcPr>
          <w:p w:rsidRPr="005F055E" w:rsidR="00575B14" w:rsidP="00180EEB" w:rsidRDefault="00575B14" w14:paraId="139204A9" w14:textId="77777777">
            <w:pPr>
              <w:suppressAutoHyphens/>
              <w:rPr>
                <w:rFonts w:ascii="Verdana" w:hAnsi="Verdana" w:cs="Arial"/>
                <w:sz w:val="20"/>
              </w:rPr>
            </w:pPr>
            <w:r w:rsidRPr="005F055E">
              <w:rPr>
                <w:rFonts w:ascii="Verdana" w:hAnsi="Verdana" w:cs="Arial"/>
                <w:sz w:val="20"/>
              </w:rPr>
              <w:t>1.300</w:t>
            </w:r>
          </w:p>
        </w:tc>
        <w:tc>
          <w:tcPr>
            <w:tcW w:w="2455" w:type="dxa"/>
          </w:tcPr>
          <w:p w:rsidRPr="005F055E" w:rsidR="00575B14" w:rsidP="00180EEB" w:rsidRDefault="00575B14" w14:paraId="63C98FB3" w14:textId="77777777">
            <w:pPr>
              <w:suppressAutoHyphens/>
              <w:rPr>
                <w:rFonts w:ascii="Verdana" w:hAnsi="Verdana" w:cs="Arial"/>
                <w:sz w:val="20"/>
              </w:rPr>
            </w:pPr>
            <w:r w:rsidRPr="005F055E">
              <w:rPr>
                <w:rFonts w:ascii="Verdana" w:hAnsi="Verdana"/>
              </w:rPr>
              <w:t>3,4%</w:t>
            </w:r>
          </w:p>
        </w:tc>
      </w:tr>
      <w:tr w:rsidRPr="005F055E" w:rsidR="00575B14" w:rsidTr="005E2643" w14:paraId="76BD2184" w14:textId="77777777">
        <w:trPr>
          <w:trHeight w:val="300"/>
        </w:trPr>
        <w:tc>
          <w:tcPr>
            <w:tcW w:w="3920" w:type="dxa"/>
            <w:noWrap/>
            <w:hideMark/>
          </w:tcPr>
          <w:p w:rsidRPr="005F055E" w:rsidR="00575B14" w:rsidP="00180EEB" w:rsidRDefault="00575B14" w14:paraId="3694A692" w14:textId="77777777">
            <w:pPr>
              <w:suppressAutoHyphens/>
              <w:rPr>
                <w:rFonts w:ascii="Verdana" w:hAnsi="Verdana" w:cs="Arial"/>
                <w:sz w:val="20"/>
              </w:rPr>
            </w:pPr>
            <w:r w:rsidRPr="005F055E">
              <w:rPr>
                <w:rFonts w:ascii="Verdana" w:hAnsi="Verdana" w:cs="Arial"/>
                <w:sz w:val="20"/>
              </w:rPr>
              <w:t>Sociaal werk</w:t>
            </w:r>
          </w:p>
        </w:tc>
        <w:tc>
          <w:tcPr>
            <w:tcW w:w="1842" w:type="dxa"/>
            <w:noWrap/>
            <w:hideMark/>
          </w:tcPr>
          <w:p w:rsidRPr="005F055E" w:rsidR="00575B14" w:rsidP="00180EEB" w:rsidRDefault="00575B14" w14:paraId="7FC6F252" w14:textId="77777777">
            <w:pPr>
              <w:suppressAutoHyphens/>
              <w:rPr>
                <w:rFonts w:ascii="Verdana" w:hAnsi="Verdana" w:cs="Arial"/>
                <w:sz w:val="20"/>
              </w:rPr>
            </w:pPr>
            <w:r w:rsidRPr="005F055E">
              <w:rPr>
                <w:rFonts w:ascii="Verdana" w:hAnsi="Verdana" w:cs="Arial"/>
                <w:sz w:val="20"/>
              </w:rPr>
              <w:t>4.100</w:t>
            </w:r>
          </w:p>
        </w:tc>
        <w:tc>
          <w:tcPr>
            <w:tcW w:w="2455" w:type="dxa"/>
          </w:tcPr>
          <w:p w:rsidRPr="005F055E" w:rsidR="00575B14" w:rsidP="00180EEB" w:rsidRDefault="00575B14" w14:paraId="0E4B3857" w14:textId="77777777">
            <w:pPr>
              <w:suppressAutoHyphens/>
              <w:rPr>
                <w:rFonts w:ascii="Verdana" w:hAnsi="Verdana" w:cs="Arial"/>
                <w:sz w:val="20"/>
              </w:rPr>
            </w:pPr>
            <w:r w:rsidRPr="005F055E">
              <w:rPr>
                <w:rFonts w:ascii="Verdana" w:hAnsi="Verdana"/>
              </w:rPr>
              <w:t>6,1%</w:t>
            </w:r>
          </w:p>
        </w:tc>
      </w:tr>
    </w:tbl>
    <w:p w:rsidRPr="005F055E" w:rsidR="00575B14" w:rsidP="00180EEB" w:rsidRDefault="00575B14" w14:paraId="4E2E4536" w14:textId="44205084">
      <w:pPr>
        <w:suppressAutoHyphens/>
        <w:rPr>
          <w:szCs w:val="18"/>
        </w:rPr>
      </w:pPr>
      <w:r w:rsidRPr="005F055E">
        <w:rPr>
          <w:szCs w:val="18"/>
        </w:rPr>
        <w:t>Bron: ABF Research, Prognosemodel Zorg en Welzijn</w:t>
      </w:r>
    </w:p>
    <w:p w:rsidR="00F36E36" w:rsidP="00180EEB" w:rsidRDefault="00F36E36" w14:paraId="3EE0F809" w14:textId="77777777">
      <w:pPr>
        <w:suppressAutoHyphens/>
      </w:pPr>
    </w:p>
    <w:p w:rsidRPr="005F055E" w:rsidR="00912A7D" w:rsidP="00180EEB" w:rsidRDefault="003E7003" w14:paraId="4F715B6D" w14:textId="76C00085">
      <w:pPr>
        <w:suppressAutoHyphens/>
      </w:pPr>
      <w:r w:rsidRPr="005F055E">
        <w:t>Vraag 129</w:t>
      </w:r>
      <w:r w:rsidRPr="005F055E">
        <w:tab/>
      </w:r>
    </w:p>
    <w:p w:rsidRPr="005F055E" w:rsidR="00912A7D" w:rsidP="00180EEB" w:rsidRDefault="003E7003" w14:paraId="3F82191E" w14:textId="77777777">
      <w:pPr>
        <w:suppressAutoHyphens/>
      </w:pPr>
      <w:r w:rsidRPr="005F055E">
        <w:t>Wat is het huidige tekort aan personeel op de spoedeisende hulpposten?</w:t>
      </w:r>
      <w:r w:rsidRPr="005F055E">
        <w:tab/>
      </w:r>
    </w:p>
    <w:p w:rsidRPr="005F055E" w:rsidR="003E7003" w:rsidP="00180EEB" w:rsidRDefault="003E7003" w14:paraId="4C8E90DA" w14:textId="4ACD42A2">
      <w:pPr>
        <w:suppressAutoHyphens/>
      </w:pPr>
      <w:r w:rsidRPr="005F055E">
        <w:t>Antwoord</w:t>
      </w:r>
    </w:p>
    <w:p w:rsidRPr="005F055E" w:rsidR="00575B14" w:rsidP="00180EEB" w:rsidRDefault="00575B14" w14:paraId="53B57AA0" w14:textId="32804CB3">
      <w:pPr>
        <w:suppressAutoHyphens/>
        <w:rPr>
          <w:szCs w:val="18"/>
        </w:rPr>
      </w:pPr>
      <w:r w:rsidRPr="005F055E">
        <w:rPr>
          <w:szCs w:val="18"/>
        </w:rPr>
        <w:t>Er zijn geen cijfers beschikbaar over het totaal (landelijk) tekort aan personeel op de spoedeisende hulpposten. Het Capaciteitsorgaan heeft in haar adviezen wel aandacht voor de tekorten van IC- en SEH-verpleegkundigen. Het aantal IC-verpleegkundigen is de afgelopen jaren licht gedaald. Uit het laatst beschikbare advies van het Capaciteitsorgaan uit 2024 blijkt dat er in 2024 3.652 FTE aan IC-verpleegkundigen werkzaam was, met 207 FTE aan openstaande vacatures. De groei in vraag naar IC-verpleegkundigen neemt af, bijvoorbeeld omdat ook andere verpleegkundigen op de IC worden ingezet. Echter, door het achterblijven van de instroom op ten opzichte van de capaciteitsadviezen van afgelopen jaren, is een forse opleidingsinspanning nodig om in 2031 te kunnen voldoen aan de zorgvraag. Het aantal werkzame SEH-verpleegkundigen was in 2024 2.306 FTE, met 108 FTE aan openstaande vacatures. Het aantal SEH-verpleegkundigen is de afgelopen jaren gestegen, en al blijven er tekorten bestaan, zijn deze wel afgenomen daar ziekenhuizen ervoor kiezen de tekorten sneller in te lopen. De afgelopen jaren zijn er dan ook een flink aantal SEH-verpleegkundigen opgeleid, meer ook dan geadviseerd.</w:t>
      </w:r>
      <w:r w:rsidRPr="005F055E" w:rsidR="00D73F76">
        <w:rPr>
          <w:szCs w:val="18"/>
        </w:rPr>
        <w:t xml:space="preserve"> </w:t>
      </w:r>
    </w:p>
    <w:p w:rsidRPr="005F055E" w:rsidR="00912A7D" w:rsidP="00180EEB" w:rsidRDefault="00575B14" w14:paraId="13F87F25" w14:textId="0811507B">
      <w:pPr>
        <w:suppressAutoHyphens/>
        <w:rPr>
          <w:szCs w:val="18"/>
        </w:rPr>
      </w:pPr>
      <w:r w:rsidRPr="005F055E">
        <w:rPr>
          <w:szCs w:val="18"/>
        </w:rPr>
        <w:t>Het Capaciteitsorgaan adviseert VWS over de benodigde instroom bij een groot aantal (medische) vervolgopleidingen die worden bekostigd door VWS, waaronder de SEH-arts. Voor de SEH-arts is de afgelopen jaren budgettaire ruimte beschikbaar gesteld om het instroomadvies van het Capaciteitsorgaan van 42 opleidingsplaatsen over te nemen.</w:t>
      </w:r>
    </w:p>
    <w:p w:rsidRPr="005F055E" w:rsidR="00912A7D" w:rsidP="00180EEB" w:rsidRDefault="00912A7D" w14:paraId="0DB7A575" w14:textId="77777777">
      <w:pPr>
        <w:suppressAutoHyphens/>
      </w:pPr>
    </w:p>
    <w:p w:rsidRPr="005F055E" w:rsidR="00912A7D" w:rsidP="00180EEB" w:rsidRDefault="003E7003" w14:paraId="08CDBE0A" w14:textId="77777777">
      <w:pPr>
        <w:suppressAutoHyphens/>
      </w:pPr>
      <w:r w:rsidRPr="005F055E">
        <w:t>Vraag 130</w:t>
      </w:r>
      <w:r w:rsidRPr="005F055E">
        <w:tab/>
      </w:r>
    </w:p>
    <w:p w:rsidRPr="005F055E" w:rsidR="00912A7D" w:rsidP="00180EEB" w:rsidRDefault="003E7003" w14:paraId="1D6D63E5" w14:textId="77777777">
      <w:pPr>
        <w:suppressAutoHyphens/>
      </w:pPr>
      <w:r w:rsidRPr="005F055E">
        <w:t>Hoeveel uur is de gemiddelde zorgverlener per week gemiddeld kwijt aan administratie?</w:t>
      </w:r>
      <w:r w:rsidRPr="005F055E">
        <w:tab/>
      </w:r>
    </w:p>
    <w:p w:rsidRPr="005F055E" w:rsidR="003E7003" w:rsidP="00180EEB" w:rsidRDefault="003E7003" w14:paraId="1457D38A" w14:textId="5800453F">
      <w:pPr>
        <w:suppressAutoHyphens/>
      </w:pPr>
      <w:r w:rsidRPr="005F055E">
        <w:t>Antwoord</w:t>
      </w:r>
    </w:p>
    <w:p w:rsidRPr="005F055E" w:rsidR="004D1243" w:rsidP="00180EEB" w:rsidRDefault="004D1243" w14:paraId="38BECAFD" w14:textId="77777777">
      <w:pPr>
        <w:suppressAutoHyphens/>
        <w:spacing w:line="240" w:lineRule="atLeast"/>
        <w:rPr>
          <w:szCs w:val="20"/>
          <w:lang w:eastAsia="nl-NL"/>
        </w:rPr>
      </w:pPr>
      <w:r w:rsidRPr="005F055E">
        <w:rPr>
          <w:szCs w:val="20"/>
          <w:lang w:eastAsia="nl-NL"/>
        </w:rPr>
        <w:t>Volgens de meest recente cijfers (peildatum tweede kwartaal 2025, uitgevraagd door CBS</w:t>
      </w:r>
      <w:r w:rsidRPr="005F055E">
        <w:rPr>
          <w:szCs w:val="20"/>
          <w:vertAlign w:val="superscript"/>
          <w:lang w:eastAsia="nl-NL"/>
        </w:rPr>
        <w:footnoteReference w:id="45"/>
      </w:r>
      <w:r w:rsidRPr="005F055E">
        <w:rPr>
          <w:szCs w:val="20"/>
          <w:lang w:eastAsia="nl-NL"/>
        </w:rPr>
        <w:t xml:space="preserve">) waren zorgverleners gemiddeld 31,1 procent van hun werktijd kwijt aan verslaglegging. Bij een 40-urige werkweek komt dit neer op ongeveer 12,5 uur administratie per week. Tussen de zorgsectoren onderling is er wel variatie in de tijd die wordt besteed aan administratie. In de wijkverpleging is de administratieve tijd met ongeveer 28 procent het laagst, terwijl de administratietijd in de huisartsenzorg (36,9 procent) en jeugdzorg (38,1 procent) hoger ligt. </w:t>
      </w:r>
    </w:p>
    <w:p w:rsidRPr="005F055E" w:rsidR="00912A7D" w:rsidP="00180EEB" w:rsidRDefault="00912A7D" w14:paraId="3D3FBAC5" w14:textId="77777777">
      <w:pPr>
        <w:suppressAutoHyphens/>
      </w:pPr>
    </w:p>
    <w:p w:rsidRPr="005F055E" w:rsidR="00912A7D" w:rsidP="00180EEB" w:rsidRDefault="003E7003" w14:paraId="2D7FEE3F" w14:textId="77777777">
      <w:pPr>
        <w:suppressAutoHyphens/>
      </w:pPr>
      <w:r w:rsidRPr="005F055E">
        <w:t>Vraag 131</w:t>
      </w:r>
      <w:r w:rsidRPr="005F055E">
        <w:tab/>
      </w:r>
    </w:p>
    <w:p w:rsidRPr="005F055E" w:rsidR="00912A7D" w:rsidP="00180EEB" w:rsidRDefault="003E7003" w14:paraId="7E6E3C5C" w14:textId="77777777">
      <w:pPr>
        <w:suppressAutoHyphens/>
      </w:pPr>
      <w:r w:rsidRPr="005F055E">
        <w:t>Hoeveel uur is de gemiddelde zorgverlener per week gemiddeld kwijt aan administratieve handelingen die worden voorgeschreven door de zorgverzekeraars?</w:t>
      </w:r>
      <w:r w:rsidRPr="005F055E">
        <w:tab/>
      </w:r>
    </w:p>
    <w:p w:rsidRPr="005F055E" w:rsidR="003E7003" w:rsidP="00180EEB" w:rsidRDefault="003E7003" w14:paraId="085B0E88" w14:textId="1FE3BA49">
      <w:pPr>
        <w:suppressAutoHyphens/>
      </w:pPr>
      <w:r w:rsidRPr="005F055E">
        <w:t>Antwoord</w:t>
      </w:r>
    </w:p>
    <w:p w:rsidRPr="005F055E" w:rsidR="00912A7D" w:rsidP="00180EEB" w:rsidRDefault="004D1243" w14:paraId="59DC5DDE" w14:textId="7321ADEC">
      <w:pPr>
        <w:suppressAutoHyphens/>
        <w:spacing w:line="240" w:lineRule="atLeast"/>
        <w:rPr>
          <w:szCs w:val="20"/>
          <w:lang w:eastAsia="nl-NL"/>
        </w:rPr>
      </w:pPr>
      <w:r w:rsidRPr="005F055E">
        <w:rPr>
          <w:szCs w:val="20"/>
          <w:lang w:eastAsia="nl-NL"/>
        </w:rPr>
        <w:t xml:space="preserve">Het ministerie beschikt niet over de informatie waarnaar wordt gevraagd, omdat hier geen cijfers over bekend zijn. </w:t>
      </w:r>
    </w:p>
    <w:p w:rsidRPr="005F055E" w:rsidR="00912A7D" w:rsidP="00180EEB" w:rsidRDefault="00912A7D" w14:paraId="7915E922" w14:textId="77777777">
      <w:pPr>
        <w:suppressAutoHyphens/>
      </w:pPr>
    </w:p>
    <w:p w:rsidRPr="005F055E" w:rsidR="00912A7D" w:rsidP="00180EEB" w:rsidRDefault="003E7003" w14:paraId="36780298" w14:textId="77777777">
      <w:pPr>
        <w:suppressAutoHyphens/>
      </w:pPr>
      <w:r w:rsidRPr="005F055E">
        <w:t>Vraag 132</w:t>
      </w:r>
      <w:r w:rsidRPr="005F055E">
        <w:tab/>
      </w:r>
    </w:p>
    <w:p w:rsidRPr="005F055E" w:rsidR="00912A7D" w:rsidP="00180EEB" w:rsidRDefault="003E7003" w14:paraId="1910A8DD" w14:textId="77777777">
      <w:pPr>
        <w:suppressAutoHyphens/>
      </w:pPr>
      <w:r w:rsidRPr="005F055E">
        <w:t>Hoeveel mensen werken er in de zorg? Kunt u dit in een tabel uitsplitsen per deelsector?</w:t>
      </w:r>
      <w:r w:rsidRPr="005F055E">
        <w:tab/>
      </w:r>
    </w:p>
    <w:p w:rsidRPr="005F055E" w:rsidR="003E7003" w:rsidP="00180EEB" w:rsidRDefault="003E7003" w14:paraId="28493021" w14:textId="35084375">
      <w:pPr>
        <w:suppressAutoHyphens/>
      </w:pPr>
      <w:r w:rsidRPr="005F055E">
        <w:t>Antwoord</w:t>
      </w:r>
    </w:p>
    <w:p w:rsidRPr="005F055E" w:rsidR="00BE5CD4" w:rsidP="00180EEB" w:rsidRDefault="00BE5CD4" w14:paraId="7B76858A" w14:textId="1B493BFA">
      <w:pPr>
        <w:suppressAutoHyphens/>
        <w:spacing w:line="240" w:lineRule="atLeast"/>
        <w:rPr>
          <w:szCs w:val="20"/>
          <w:lang w:eastAsia="nl-NL"/>
        </w:rPr>
      </w:pPr>
      <w:r w:rsidRPr="005F055E">
        <w:rPr>
          <w:szCs w:val="20"/>
          <w:lang w:eastAsia="nl-NL"/>
        </w:rPr>
        <w:t>In het eerste kwartaal van 2025 werkten er 1.343.200 mensen als werknemer in de zorg. In de onderstaande tabel is dit per branche weergegeven (</w:t>
      </w:r>
      <w:proofErr w:type="spellStart"/>
      <w:r w:rsidRPr="005F055E">
        <w:rPr>
          <w:szCs w:val="20"/>
          <w:lang w:eastAsia="nl-NL"/>
        </w:rPr>
        <w:t>seizoensgecorrigeerde</w:t>
      </w:r>
      <w:proofErr w:type="spellEnd"/>
      <w:r w:rsidRPr="005F055E">
        <w:rPr>
          <w:szCs w:val="20"/>
          <w:lang w:eastAsia="nl-NL"/>
        </w:rPr>
        <w:t xml:space="preserve"> aantallen, m.u.v. Jeugdzorg).</w:t>
      </w:r>
    </w:p>
    <w:tbl>
      <w:tblPr>
        <w:tblStyle w:val="Rastertabel1licht"/>
        <w:tblW w:w="7792" w:type="dxa"/>
        <w:tblLook w:val="04A0" w:firstRow="1" w:lastRow="0" w:firstColumn="1" w:lastColumn="0" w:noHBand="0" w:noVBand="1"/>
      </w:tblPr>
      <w:tblGrid>
        <w:gridCol w:w="4531"/>
        <w:gridCol w:w="3261"/>
      </w:tblGrid>
      <w:tr w:rsidRPr="005F055E" w:rsidR="00BE5CD4" w:rsidTr="00BE5CD4" w14:paraId="26229F6E"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5F055E" w:rsidR="00BE5CD4" w:rsidP="00180EEB" w:rsidRDefault="00BE5CD4" w14:paraId="0CEE0615" w14:textId="77777777">
            <w:pPr>
              <w:suppressAutoHyphens/>
              <w:spacing w:line="240" w:lineRule="atLeast"/>
              <w:rPr>
                <w:b w:val="0"/>
                <w:bCs w:val="0"/>
                <w:szCs w:val="16"/>
                <w:lang w:eastAsia="nl-NL"/>
              </w:rPr>
            </w:pPr>
          </w:p>
        </w:tc>
        <w:tc>
          <w:tcPr>
            <w:tcW w:w="3261" w:type="dxa"/>
            <w:noWrap/>
            <w:hideMark/>
          </w:tcPr>
          <w:p w:rsidRPr="005F055E" w:rsidR="00BE5CD4" w:rsidP="00180EEB" w:rsidRDefault="00BE5CD4" w14:paraId="226C0C5A"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b w:val="0"/>
                <w:bCs w:val="0"/>
                <w:color w:val="000000"/>
                <w:szCs w:val="16"/>
                <w:lang w:eastAsia="nl-NL"/>
              </w:rPr>
            </w:pPr>
            <w:r w:rsidRPr="005F055E">
              <w:rPr>
                <w:color w:val="000000"/>
                <w:szCs w:val="16"/>
                <w:lang w:eastAsia="nl-NL"/>
              </w:rPr>
              <w:t>Aantal werknemers, Q1 2025</w:t>
            </w:r>
          </w:p>
        </w:tc>
      </w:tr>
      <w:tr w:rsidRPr="005F055E" w:rsidR="00BE5CD4" w:rsidTr="00BE5CD4" w14:paraId="7A3CDC91"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tcPr>
          <w:p w:rsidRPr="005F055E" w:rsidR="00BE5CD4" w:rsidP="00180EEB" w:rsidRDefault="00BE5CD4" w14:paraId="194B046C" w14:textId="77777777">
            <w:pPr>
              <w:suppressAutoHyphens/>
              <w:spacing w:line="240" w:lineRule="atLeast"/>
              <w:rPr>
                <w:b w:val="0"/>
                <w:bCs w:val="0"/>
                <w:color w:val="000000"/>
                <w:szCs w:val="16"/>
                <w:lang w:eastAsia="nl-NL"/>
              </w:rPr>
            </w:pPr>
          </w:p>
        </w:tc>
        <w:tc>
          <w:tcPr>
            <w:tcW w:w="3261" w:type="dxa"/>
            <w:noWrap/>
          </w:tcPr>
          <w:p w:rsidRPr="005F055E" w:rsidR="00BE5CD4" w:rsidP="00180EEB" w:rsidRDefault="00BE5CD4" w14:paraId="6DF56552"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6"/>
                <w:lang w:eastAsia="nl-NL"/>
              </w:rPr>
            </w:pPr>
          </w:p>
        </w:tc>
      </w:tr>
      <w:tr w:rsidRPr="005F055E" w:rsidR="00BE5CD4" w:rsidTr="00BE5CD4" w14:paraId="5810AA00"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5F055E" w:rsidR="00BE5CD4" w:rsidP="00180EEB" w:rsidRDefault="00BE5CD4" w14:paraId="0BE6A888" w14:textId="77777777">
            <w:pPr>
              <w:suppressAutoHyphens/>
              <w:spacing w:line="240" w:lineRule="atLeast"/>
              <w:rPr>
                <w:b w:val="0"/>
                <w:bCs w:val="0"/>
                <w:color w:val="000000"/>
                <w:szCs w:val="16"/>
                <w:lang w:eastAsia="nl-NL"/>
              </w:rPr>
            </w:pPr>
            <w:r w:rsidRPr="005F055E">
              <w:rPr>
                <w:color w:val="000000"/>
                <w:szCs w:val="16"/>
                <w:lang w:eastAsia="nl-NL"/>
              </w:rPr>
              <w:t>Universitair medische centra</w:t>
            </w:r>
          </w:p>
        </w:tc>
        <w:tc>
          <w:tcPr>
            <w:tcW w:w="3261" w:type="dxa"/>
            <w:noWrap/>
            <w:hideMark/>
          </w:tcPr>
          <w:p w:rsidRPr="005F055E" w:rsidR="00BE5CD4" w:rsidP="00180EEB" w:rsidRDefault="00BE5CD4" w14:paraId="2ADC14A4"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6"/>
                <w:lang w:eastAsia="nl-NL"/>
              </w:rPr>
            </w:pPr>
            <w:r w:rsidRPr="005F055E">
              <w:rPr>
                <w:color w:val="000000"/>
                <w:szCs w:val="16"/>
                <w:lang w:eastAsia="nl-NL"/>
              </w:rPr>
              <w:t>80.400</w:t>
            </w:r>
          </w:p>
        </w:tc>
      </w:tr>
      <w:tr w:rsidRPr="005F055E" w:rsidR="00BE5CD4" w:rsidTr="00BE5CD4" w14:paraId="11CA469F"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5F055E" w:rsidR="00BE5CD4" w:rsidP="00180EEB" w:rsidRDefault="00BE5CD4" w14:paraId="12569459" w14:textId="77777777">
            <w:pPr>
              <w:suppressAutoHyphens/>
              <w:spacing w:line="240" w:lineRule="atLeast"/>
              <w:rPr>
                <w:b w:val="0"/>
                <w:bCs w:val="0"/>
                <w:color w:val="000000"/>
                <w:szCs w:val="16"/>
                <w:lang w:eastAsia="nl-NL"/>
              </w:rPr>
            </w:pPr>
            <w:r w:rsidRPr="005F055E">
              <w:rPr>
                <w:color w:val="000000"/>
                <w:szCs w:val="16"/>
                <w:lang w:eastAsia="nl-NL"/>
              </w:rPr>
              <w:t xml:space="preserve">Ziekenhuizen en overige </w:t>
            </w:r>
            <w:proofErr w:type="spellStart"/>
            <w:r w:rsidRPr="005F055E">
              <w:rPr>
                <w:color w:val="000000"/>
                <w:szCs w:val="16"/>
                <w:lang w:eastAsia="nl-NL"/>
              </w:rPr>
              <w:t>med</w:t>
            </w:r>
            <w:proofErr w:type="spellEnd"/>
            <w:r w:rsidRPr="005F055E">
              <w:rPr>
                <w:color w:val="000000"/>
                <w:szCs w:val="16"/>
                <w:lang w:eastAsia="nl-NL"/>
              </w:rPr>
              <w:t xml:space="preserve">. </w:t>
            </w:r>
            <w:proofErr w:type="spellStart"/>
            <w:r w:rsidRPr="005F055E">
              <w:rPr>
                <w:color w:val="000000"/>
                <w:szCs w:val="16"/>
                <w:lang w:eastAsia="nl-NL"/>
              </w:rPr>
              <w:t>spec</w:t>
            </w:r>
            <w:proofErr w:type="spellEnd"/>
            <w:r w:rsidRPr="005F055E">
              <w:rPr>
                <w:color w:val="000000"/>
                <w:szCs w:val="16"/>
                <w:lang w:eastAsia="nl-NL"/>
              </w:rPr>
              <w:t>. zorg</w:t>
            </w:r>
          </w:p>
        </w:tc>
        <w:tc>
          <w:tcPr>
            <w:tcW w:w="3261" w:type="dxa"/>
            <w:noWrap/>
            <w:hideMark/>
          </w:tcPr>
          <w:p w:rsidRPr="005F055E" w:rsidR="00BE5CD4" w:rsidP="00180EEB" w:rsidRDefault="00BE5CD4" w14:paraId="1E85E5B6"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6"/>
                <w:lang w:eastAsia="nl-NL"/>
              </w:rPr>
            </w:pPr>
            <w:r w:rsidRPr="005F055E">
              <w:rPr>
                <w:color w:val="000000"/>
                <w:szCs w:val="16"/>
                <w:lang w:eastAsia="nl-NL"/>
              </w:rPr>
              <w:t>223.100</w:t>
            </w:r>
          </w:p>
        </w:tc>
      </w:tr>
      <w:tr w:rsidRPr="005F055E" w:rsidR="00BE5CD4" w:rsidTr="00BE5CD4" w14:paraId="2D2BFC68"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5F055E" w:rsidR="00BE5CD4" w:rsidP="00180EEB" w:rsidRDefault="00BE5CD4" w14:paraId="1803EA87" w14:textId="77777777">
            <w:pPr>
              <w:suppressAutoHyphens/>
              <w:spacing w:line="240" w:lineRule="atLeast"/>
              <w:rPr>
                <w:b w:val="0"/>
                <w:bCs w:val="0"/>
                <w:color w:val="000000"/>
                <w:szCs w:val="16"/>
                <w:lang w:eastAsia="nl-NL"/>
              </w:rPr>
            </w:pPr>
            <w:r w:rsidRPr="005F055E">
              <w:rPr>
                <w:color w:val="000000"/>
                <w:szCs w:val="16"/>
                <w:lang w:eastAsia="nl-NL"/>
              </w:rPr>
              <w:t>Geestelijke gezondheidszorg</w:t>
            </w:r>
          </w:p>
        </w:tc>
        <w:tc>
          <w:tcPr>
            <w:tcW w:w="3261" w:type="dxa"/>
            <w:noWrap/>
            <w:hideMark/>
          </w:tcPr>
          <w:p w:rsidRPr="005F055E" w:rsidR="00BE5CD4" w:rsidP="00180EEB" w:rsidRDefault="00BE5CD4" w14:paraId="6948E953"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6"/>
                <w:lang w:eastAsia="nl-NL"/>
              </w:rPr>
            </w:pPr>
            <w:r w:rsidRPr="005F055E">
              <w:rPr>
                <w:color w:val="000000"/>
                <w:szCs w:val="16"/>
                <w:lang w:eastAsia="nl-NL"/>
              </w:rPr>
              <w:t>110.500</w:t>
            </w:r>
          </w:p>
        </w:tc>
      </w:tr>
      <w:tr w:rsidRPr="005F055E" w:rsidR="00BE5CD4" w:rsidTr="00BE5CD4" w14:paraId="3C756ADB"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5F055E" w:rsidR="00BE5CD4" w:rsidP="00180EEB" w:rsidRDefault="00BE5CD4" w14:paraId="0B7EE0CD" w14:textId="77777777">
            <w:pPr>
              <w:suppressAutoHyphens/>
              <w:spacing w:line="240" w:lineRule="atLeast"/>
              <w:rPr>
                <w:b w:val="0"/>
                <w:bCs w:val="0"/>
                <w:color w:val="000000"/>
                <w:szCs w:val="16"/>
                <w:lang w:eastAsia="nl-NL"/>
              </w:rPr>
            </w:pPr>
            <w:r w:rsidRPr="005F055E">
              <w:rPr>
                <w:color w:val="000000"/>
                <w:szCs w:val="16"/>
                <w:lang w:eastAsia="nl-NL"/>
              </w:rPr>
              <w:t>Huisartsen en gezondheidscentra</w:t>
            </w:r>
          </w:p>
        </w:tc>
        <w:tc>
          <w:tcPr>
            <w:tcW w:w="3261" w:type="dxa"/>
            <w:noWrap/>
            <w:hideMark/>
          </w:tcPr>
          <w:p w:rsidRPr="005F055E" w:rsidR="00BE5CD4" w:rsidP="00180EEB" w:rsidRDefault="00BE5CD4" w14:paraId="1D82C2BC"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6"/>
                <w:lang w:eastAsia="nl-NL"/>
              </w:rPr>
            </w:pPr>
            <w:r w:rsidRPr="005F055E">
              <w:rPr>
                <w:color w:val="000000"/>
                <w:szCs w:val="16"/>
                <w:lang w:eastAsia="nl-NL"/>
              </w:rPr>
              <w:t>36.100</w:t>
            </w:r>
          </w:p>
        </w:tc>
      </w:tr>
      <w:tr w:rsidRPr="005F055E" w:rsidR="00BE5CD4" w:rsidTr="00BE5CD4" w14:paraId="68C41AC5"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5F055E" w:rsidR="00BE5CD4" w:rsidP="00180EEB" w:rsidRDefault="00BE5CD4" w14:paraId="7F91351D" w14:textId="77777777">
            <w:pPr>
              <w:suppressAutoHyphens/>
              <w:spacing w:line="240" w:lineRule="atLeast"/>
              <w:rPr>
                <w:b w:val="0"/>
                <w:bCs w:val="0"/>
                <w:color w:val="000000"/>
                <w:szCs w:val="16"/>
                <w:lang w:eastAsia="nl-NL"/>
              </w:rPr>
            </w:pPr>
            <w:r w:rsidRPr="005F055E">
              <w:rPr>
                <w:color w:val="000000"/>
                <w:szCs w:val="16"/>
                <w:lang w:eastAsia="nl-NL"/>
              </w:rPr>
              <w:t>Overige zorg en welzijn</w:t>
            </w:r>
          </w:p>
        </w:tc>
        <w:tc>
          <w:tcPr>
            <w:tcW w:w="3261" w:type="dxa"/>
            <w:noWrap/>
            <w:hideMark/>
          </w:tcPr>
          <w:p w:rsidRPr="005F055E" w:rsidR="00BE5CD4" w:rsidP="00180EEB" w:rsidRDefault="00BE5CD4" w14:paraId="00AF8669"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6"/>
                <w:lang w:eastAsia="nl-NL"/>
              </w:rPr>
            </w:pPr>
            <w:r w:rsidRPr="005F055E">
              <w:rPr>
                <w:color w:val="000000"/>
                <w:szCs w:val="16"/>
                <w:lang w:eastAsia="nl-NL"/>
              </w:rPr>
              <w:t>137.700</w:t>
            </w:r>
          </w:p>
        </w:tc>
      </w:tr>
      <w:tr w:rsidRPr="005F055E" w:rsidR="00BE5CD4" w:rsidTr="00BE5CD4" w14:paraId="7B96EC36"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5F055E" w:rsidR="00BE5CD4" w:rsidP="00180EEB" w:rsidRDefault="00BE5CD4" w14:paraId="4643F359" w14:textId="77777777">
            <w:pPr>
              <w:suppressAutoHyphens/>
              <w:spacing w:line="240" w:lineRule="atLeast"/>
              <w:rPr>
                <w:b w:val="0"/>
                <w:bCs w:val="0"/>
                <w:color w:val="000000"/>
                <w:szCs w:val="16"/>
                <w:lang w:eastAsia="nl-NL"/>
              </w:rPr>
            </w:pPr>
            <w:r w:rsidRPr="005F055E">
              <w:rPr>
                <w:color w:val="000000"/>
                <w:szCs w:val="16"/>
                <w:lang w:eastAsia="nl-NL"/>
              </w:rPr>
              <w:t>Verpleging, verzorging en thuiszorg</w:t>
            </w:r>
          </w:p>
        </w:tc>
        <w:tc>
          <w:tcPr>
            <w:tcW w:w="3261" w:type="dxa"/>
            <w:noWrap/>
            <w:hideMark/>
          </w:tcPr>
          <w:p w:rsidRPr="005F055E" w:rsidR="00BE5CD4" w:rsidP="00180EEB" w:rsidRDefault="00BE5CD4" w14:paraId="37DB8555"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6"/>
                <w:lang w:eastAsia="nl-NL"/>
              </w:rPr>
            </w:pPr>
            <w:r w:rsidRPr="005F055E">
              <w:rPr>
                <w:color w:val="000000"/>
                <w:szCs w:val="16"/>
                <w:lang w:eastAsia="nl-NL"/>
              </w:rPr>
              <w:t>471.200</w:t>
            </w:r>
          </w:p>
        </w:tc>
      </w:tr>
      <w:tr w:rsidRPr="005F055E" w:rsidR="00BE5CD4" w:rsidTr="00BE5CD4" w14:paraId="07B80E1B"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5F055E" w:rsidR="00BE5CD4" w:rsidP="00180EEB" w:rsidRDefault="00BE5CD4" w14:paraId="67F0C7C1" w14:textId="77777777">
            <w:pPr>
              <w:suppressAutoHyphens/>
              <w:spacing w:line="240" w:lineRule="atLeast"/>
              <w:rPr>
                <w:b w:val="0"/>
                <w:bCs w:val="0"/>
                <w:color w:val="000000"/>
                <w:szCs w:val="16"/>
                <w:lang w:eastAsia="nl-NL"/>
              </w:rPr>
            </w:pPr>
            <w:r w:rsidRPr="005F055E">
              <w:rPr>
                <w:color w:val="000000"/>
                <w:szCs w:val="16"/>
                <w:lang w:eastAsia="nl-NL"/>
              </w:rPr>
              <w:t>Gehandicaptenzorg</w:t>
            </w:r>
          </w:p>
        </w:tc>
        <w:tc>
          <w:tcPr>
            <w:tcW w:w="3261" w:type="dxa"/>
            <w:noWrap/>
            <w:hideMark/>
          </w:tcPr>
          <w:p w:rsidRPr="005F055E" w:rsidR="00BE5CD4" w:rsidP="00180EEB" w:rsidRDefault="00BE5CD4" w14:paraId="1B2C25EF"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6"/>
                <w:lang w:eastAsia="nl-NL"/>
              </w:rPr>
            </w:pPr>
            <w:r w:rsidRPr="005F055E">
              <w:rPr>
                <w:color w:val="000000"/>
                <w:szCs w:val="16"/>
                <w:lang w:eastAsia="nl-NL"/>
              </w:rPr>
              <w:t>184.400</w:t>
            </w:r>
          </w:p>
        </w:tc>
      </w:tr>
      <w:tr w:rsidRPr="005F055E" w:rsidR="00BE5CD4" w:rsidTr="00BE5CD4" w14:paraId="428BE138"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5F055E" w:rsidR="00BE5CD4" w:rsidP="00180EEB" w:rsidRDefault="00BE5CD4" w14:paraId="3B01D1D7" w14:textId="77777777">
            <w:pPr>
              <w:suppressAutoHyphens/>
              <w:spacing w:line="240" w:lineRule="atLeast"/>
              <w:rPr>
                <w:b w:val="0"/>
                <w:bCs w:val="0"/>
                <w:color w:val="000000"/>
                <w:szCs w:val="16"/>
                <w:lang w:eastAsia="nl-NL"/>
              </w:rPr>
            </w:pPr>
            <w:r w:rsidRPr="005F055E">
              <w:rPr>
                <w:color w:val="000000"/>
                <w:szCs w:val="16"/>
                <w:lang w:eastAsia="nl-NL"/>
              </w:rPr>
              <w:t>Jeugdzorg*</w:t>
            </w:r>
          </w:p>
        </w:tc>
        <w:tc>
          <w:tcPr>
            <w:tcW w:w="3261" w:type="dxa"/>
            <w:noWrap/>
            <w:hideMark/>
          </w:tcPr>
          <w:p w:rsidRPr="005F055E" w:rsidR="00BE5CD4" w:rsidP="00180EEB" w:rsidRDefault="00BE5CD4" w14:paraId="4FDBE924"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6"/>
                <w:lang w:eastAsia="nl-NL"/>
              </w:rPr>
            </w:pPr>
            <w:r w:rsidRPr="005F055E">
              <w:rPr>
                <w:color w:val="000000"/>
                <w:szCs w:val="16"/>
                <w:lang w:eastAsia="nl-NL"/>
              </w:rPr>
              <w:t>38.300</w:t>
            </w:r>
          </w:p>
        </w:tc>
      </w:tr>
      <w:tr w:rsidRPr="005F055E" w:rsidR="00BE5CD4" w:rsidTr="00BE5CD4" w14:paraId="54EDFFE4"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5F055E" w:rsidR="00BE5CD4" w:rsidP="00180EEB" w:rsidRDefault="00BE5CD4" w14:paraId="0B4C04B4" w14:textId="77777777">
            <w:pPr>
              <w:suppressAutoHyphens/>
              <w:spacing w:line="240" w:lineRule="atLeast"/>
              <w:rPr>
                <w:b w:val="0"/>
                <w:bCs w:val="0"/>
                <w:color w:val="000000"/>
                <w:szCs w:val="16"/>
                <w:lang w:eastAsia="nl-NL"/>
              </w:rPr>
            </w:pPr>
            <w:r w:rsidRPr="005F055E">
              <w:rPr>
                <w:color w:val="000000"/>
                <w:szCs w:val="16"/>
                <w:lang w:eastAsia="nl-NL"/>
              </w:rPr>
              <w:t>Sociaal werk</w:t>
            </w:r>
          </w:p>
        </w:tc>
        <w:tc>
          <w:tcPr>
            <w:tcW w:w="3261" w:type="dxa"/>
            <w:noWrap/>
            <w:hideMark/>
          </w:tcPr>
          <w:p w:rsidRPr="005F055E" w:rsidR="00BE5CD4" w:rsidP="00180EEB" w:rsidRDefault="00BE5CD4" w14:paraId="7E5D1B51"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6"/>
                <w:lang w:eastAsia="nl-NL"/>
              </w:rPr>
            </w:pPr>
            <w:r w:rsidRPr="005F055E">
              <w:rPr>
                <w:color w:val="000000"/>
                <w:szCs w:val="16"/>
                <w:lang w:eastAsia="nl-NL"/>
              </w:rPr>
              <w:t>64.600</w:t>
            </w:r>
          </w:p>
        </w:tc>
      </w:tr>
      <w:tr w:rsidRPr="005F055E" w:rsidR="00BE5CD4" w:rsidTr="00BE5CD4" w14:paraId="32D734A3"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tcPr>
          <w:p w:rsidRPr="005F055E" w:rsidR="00BE5CD4" w:rsidP="00180EEB" w:rsidRDefault="00BE5CD4" w14:paraId="497EA545" w14:textId="77777777">
            <w:pPr>
              <w:suppressAutoHyphens/>
              <w:spacing w:line="240" w:lineRule="atLeast"/>
              <w:rPr>
                <w:b w:val="0"/>
                <w:bCs w:val="0"/>
                <w:color w:val="000000"/>
                <w:szCs w:val="16"/>
                <w:lang w:eastAsia="nl-NL"/>
              </w:rPr>
            </w:pPr>
            <w:r w:rsidRPr="005F055E">
              <w:rPr>
                <w:color w:val="000000"/>
                <w:szCs w:val="16"/>
                <w:lang w:eastAsia="nl-NL"/>
              </w:rPr>
              <w:t>Zorg en Welzijn totaal</w:t>
            </w:r>
          </w:p>
        </w:tc>
        <w:tc>
          <w:tcPr>
            <w:tcW w:w="3261" w:type="dxa"/>
            <w:noWrap/>
          </w:tcPr>
          <w:p w:rsidRPr="005F055E" w:rsidR="00BE5CD4" w:rsidP="00180EEB" w:rsidRDefault="00BE5CD4" w14:paraId="1A9720EF"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6"/>
                <w:lang w:eastAsia="nl-NL"/>
              </w:rPr>
            </w:pPr>
            <w:r w:rsidRPr="005F055E">
              <w:rPr>
                <w:color w:val="000000"/>
                <w:szCs w:val="16"/>
                <w:lang w:eastAsia="nl-NL"/>
              </w:rPr>
              <w:t>1.343.200</w:t>
            </w:r>
          </w:p>
        </w:tc>
      </w:tr>
    </w:tbl>
    <w:p w:rsidRPr="005F055E" w:rsidR="00BE5CD4" w:rsidP="00180EEB" w:rsidRDefault="00BE5CD4" w14:paraId="050B1375" w14:textId="77777777">
      <w:pPr>
        <w:suppressAutoHyphens/>
        <w:spacing w:line="240" w:lineRule="atLeast"/>
        <w:rPr>
          <w:sz w:val="16"/>
          <w:szCs w:val="18"/>
          <w:lang w:eastAsia="nl-NL"/>
        </w:rPr>
      </w:pPr>
      <w:r w:rsidRPr="005F055E">
        <w:rPr>
          <w:sz w:val="16"/>
          <w:szCs w:val="18"/>
          <w:lang w:eastAsia="nl-NL"/>
        </w:rPr>
        <w:t>*Aantallen tellen niet op tot totaal omdat voor Jeugdzorg het niet-</w:t>
      </w:r>
      <w:proofErr w:type="spellStart"/>
      <w:r w:rsidRPr="005F055E">
        <w:rPr>
          <w:sz w:val="16"/>
          <w:szCs w:val="18"/>
          <w:lang w:eastAsia="nl-NL"/>
        </w:rPr>
        <w:t>seizoensgecorrigeerde</w:t>
      </w:r>
      <w:proofErr w:type="spellEnd"/>
      <w:r w:rsidRPr="005F055E">
        <w:rPr>
          <w:sz w:val="16"/>
          <w:szCs w:val="18"/>
          <w:lang w:eastAsia="nl-NL"/>
        </w:rPr>
        <w:t xml:space="preserve"> aantal is opgenomen (</w:t>
      </w:r>
      <w:proofErr w:type="spellStart"/>
      <w:r w:rsidRPr="005F055E">
        <w:rPr>
          <w:sz w:val="16"/>
          <w:szCs w:val="18"/>
          <w:lang w:eastAsia="nl-NL"/>
        </w:rPr>
        <w:t>seizoensgecorrigeerde</w:t>
      </w:r>
      <w:proofErr w:type="spellEnd"/>
      <w:r w:rsidRPr="005F055E">
        <w:rPr>
          <w:sz w:val="16"/>
          <w:szCs w:val="18"/>
          <w:lang w:eastAsia="nl-NL"/>
        </w:rPr>
        <w:t xml:space="preserve"> aantal is bij Jeugdzorg niet voorhanden)</w:t>
      </w:r>
    </w:p>
    <w:p w:rsidRPr="005F055E" w:rsidR="00BE5CD4" w:rsidP="00180EEB" w:rsidRDefault="00BE5CD4" w14:paraId="14F61280" w14:textId="77777777">
      <w:pPr>
        <w:suppressAutoHyphens/>
        <w:spacing w:line="240" w:lineRule="atLeast"/>
        <w:rPr>
          <w:sz w:val="16"/>
          <w:szCs w:val="16"/>
          <w:lang w:eastAsia="nl-NL"/>
        </w:rPr>
      </w:pPr>
      <w:r w:rsidRPr="005F055E">
        <w:rPr>
          <w:sz w:val="16"/>
          <w:szCs w:val="18"/>
          <w:lang w:eastAsia="nl-NL"/>
        </w:rPr>
        <w:t>Bron: CBS, AZW Statline</w:t>
      </w:r>
    </w:p>
    <w:p w:rsidRPr="005F055E" w:rsidR="00912A7D" w:rsidP="00180EEB" w:rsidRDefault="00912A7D" w14:paraId="3654F25D" w14:textId="77777777">
      <w:pPr>
        <w:suppressAutoHyphens/>
      </w:pPr>
    </w:p>
    <w:p w:rsidRPr="005F055E" w:rsidR="00912A7D" w:rsidP="00180EEB" w:rsidRDefault="003E7003" w14:paraId="59F25FBA" w14:textId="77777777">
      <w:pPr>
        <w:suppressAutoHyphens/>
      </w:pPr>
      <w:r w:rsidRPr="005F055E">
        <w:t>Vraag 133</w:t>
      </w:r>
      <w:r w:rsidRPr="005F055E">
        <w:tab/>
      </w:r>
    </w:p>
    <w:p w:rsidRPr="005F055E" w:rsidR="00912A7D" w:rsidP="00180EEB" w:rsidRDefault="003E7003" w14:paraId="79062930" w14:textId="7C670734">
      <w:pPr>
        <w:suppressAutoHyphens/>
      </w:pPr>
      <w:r w:rsidRPr="005F055E">
        <w:t>Hoeveel mensen werken er als zzp’er in de zorg? Kunt u dit in een tabel uitsplitsen per deelsector?</w:t>
      </w:r>
    </w:p>
    <w:p w:rsidRPr="005F055E" w:rsidR="003E7003" w:rsidP="00180EEB" w:rsidRDefault="003E7003" w14:paraId="1AC828B9" w14:textId="424F5895">
      <w:pPr>
        <w:suppressAutoHyphens/>
      </w:pPr>
      <w:r w:rsidRPr="005F055E">
        <w:t>Antwoord</w:t>
      </w:r>
    </w:p>
    <w:p w:rsidRPr="005F055E" w:rsidR="00BE5CD4" w:rsidP="00180EEB" w:rsidRDefault="00BE5CD4" w14:paraId="1D464593" w14:textId="77777777">
      <w:pPr>
        <w:suppressAutoHyphens/>
        <w:spacing w:line="240" w:lineRule="atLeast"/>
        <w:rPr>
          <w:szCs w:val="20"/>
          <w:lang w:eastAsia="nl-NL"/>
        </w:rPr>
      </w:pPr>
      <w:r w:rsidRPr="005F055E">
        <w:rPr>
          <w:szCs w:val="20"/>
          <w:lang w:eastAsia="nl-NL"/>
        </w:rPr>
        <w:t>In het tweede kwartaal van 2025 waren er 135.000 mensen actief als zzp’er in de zorg. In de onderstaande tabel is dit per branche weergegeven.</w:t>
      </w:r>
    </w:p>
    <w:p w:rsidR="00BE5CD4" w:rsidP="00180EEB" w:rsidRDefault="00BE5CD4" w14:paraId="2BE7E79A" w14:textId="77777777">
      <w:pPr>
        <w:suppressAutoHyphens/>
        <w:spacing w:line="240" w:lineRule="atLeast"/>
        <w:rPr>
          <w:szCs w:val="20"/>
          <w:lang w:eastAsia="nl-NL"/>
        </w:rPr>
      </w:pPr>
    </w:p>
    <w:p w:rsidRPr="005F055E" w:rsidR="006D333D" w:rsidP="00180EEB" w:rsidRDefault="006D333D" w14:paraId="56B0380F" w14:textId="77777777">
      <w:pPr>
        <w:suppressAutoHyphens/>
        <w:spacing w:line="240" w:lineRule="atLeast"/>
        <w:rPr>
          <w:szCs w:val="20"/>
          <w:lang w:eastAsia="nl-NL"/>
        </w:rPr>
      </w:pPr>
    </w:p>
    <w:tbl>
      <w:tblPr>
        <w:tblStyle w:val="GridTable1Light0"/>
        <w:tblW w:w="7366" w:type="dxa"/>
        <w:tblLook w:val="04A0" w:firstRow="1" w:lastRow="0" w:firstColumn="1" w:lastColumn="0" w:noHBand="0" w:noVBand="1"/>
      </w:tblPr>
      <w:tblGrid>
        <w:gridCol w:w="4248"/>
        <w:gridCol w:w="3118"/>
      </w:tblGrid>
      <w:tr w:rsidRPr="005F055E" w:rsidR="00BE5CD4" w:rsidTr="00BE5CD4" w14:paraId="23BAEA18"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5F055E" w:rsidR="00BE5CD4" w:rsidP="00180EEB" w:rsidRDefault="00BE5CD4" w14:paraId="7AACD88E" w14:textId="77777777">
            <w:pPr>
              <w:suppressAutoHyphens/>
              <w:spacing w:line="240" w:lineRule="atLeast"/>
              <w:rPr>
                <w:b w:val="0"/>
                <w:bCs w:val="0"/>
                <w:szCs w:val="18"/>
                <w:lang w:eastAsia="nl-NL"/>
              </w:rPr>
            </w:pPr>
          </w:p>
        </w:tc>
        <w:tc>
          <w:tcPr>
            <w:tcW w:w="3118" w:type="dxa"/>
            <w:noWrap/>
            <w:hideMark/>
          </w:tcPr>
          <w:p w:rsidRPr="005F055E" w:rsidR="00BE5CD4" w:rsidP="00180EEB" w:rsidRDefault="00BE5CD4" w14:paraId="53FCC914"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b w:val="0"/>
                <w:bCs w:val="0"/>
                <w:color w:val="000000"/>
                <w:szCs w:val="18"/>
                <w:lang w:eastAsia="nl-NL"/>
              </w:rPr>
            </w:pPr>
            <w:r w:rsidRPr="005F055E">
              <w:rPr>
                <w:color w:val="000000"/>
                <w:szCs w:val="18"/>
                <w:lang w:eastAsia="nl-NL"/>
              </w:rPr>
              <w:t>Aantal zzp'ers, Q2 2025</w:t>
            </w:r>
          </w:p>
        </w:tc>
      </w:tr>
      <w:tr w:rsidRPr="005F055E" w:rsidR="00BE5CD4" w:rsidTr="00BE5CD4" w14:paraId="6A4BCA91" w14:textId="777777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5F055E" w:rsidR="00BE5CD4" w:rsidP="00180EEB" w:rsidRDefault="00BE5CD4" w14:paraId="54B36ECA" w14:textId="77777777">
            <w:pPr>
              <w:suppressAutoHyphens/>
              <w:spacing w:line="240" w:lineRule="atLeast"/>
              <w:rPr>
                <w:b w:val="0"/>
                <w:bCs w:val="0"/>
                <w:color w:val="000000"/>
                <w:szCs w:val="18"/>
                <w:lang w:eastAsia="nl-NL"/>
              </w:rPr>
            </w:pPr>
            <w:r w:rsidRPr="005F055E">
              <w:rPr>
                <w:color w:val="000000"/>
                <w:szCs w:val="18"/>
                <w:lang w:eastAsia="nl-NL"/>
              </w:rPr>
              <w:t>Universitair medische centra</w:t>
            </w:r>
          </w:p>
        </w:tc>
        <w:tc>
          <w:tcPr>
            <w:tcW w:w="3118" w:type="dxa"/>
            <w:noWrap/>
            <w:hideMark/>
          </w:tcPr>
          <w:p w:rsidRPr="005F055E" w:rsidR="00BE5CD4" w:rsidP="00180EEB" w:rsidRDefault="00BE5CD4" w14:paraId="02AE0D95"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1.000</w:t>
            </w:r>
          </w:p>
        </w:tc>
      </w:tr>
      <w:tr w:rsidRPr="005F055E" w:rsidR="00BE5CD4" w:rsidTr="00BE5CD4" w14:paraId="55FA39F7" w14:textId="777777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5F055E" w:rsidR="00BE5CD4" w:rsidP="00180EEB" w:rsidRDefault="00BE5CD4" w14:paraId="78A71AC8" w14:textId="77777777">
            <w:pPr>
              <w:suppressAutoHyphens/>
              <w:spacing w:line="240" w:lineRule="atLeast"/>
              <w:rPr>
                <w:b w:val="0"/>
                <w:bCs w:val="0"/>
                <w:color w:val="000000"/>
                <w:szCs w:val="18"/>
                <w:lang w:eastAsia="nl-NL"/>
              </w:rPr>
            </w:pPr>
            <w:r w:rsidRPr="005F055E">
              <w:rPr>
                <w:color w:val="000000"/>
                <w:szCs w:val="18"/>
                <w:lang w:eastAsia="nl-NL"/>
              </w:rPr>
              <w:t xml:space="preserve">Ziekenhuizen en overige </w:t>
            </w:r>
            <w:proofErr w:type="spellStart"/>
            <w:r w:rsidRPr="005F055E">
              <w:rPr>
                <w:color w:val="000000"/>
                <w:szCs w:val="18"/>
                <w:lang w:eastAsia="nl-NL"/>
              </w:rPr>
              <w:t>med</w:t>
            </w:r>
            <w:proofErr w:type="spellEnd"/>
            <w:r w:rsidRPr="005F055E">
              <w:rPr>
                <w:color w:val="000000"/>
                <w:szCs w:val="18"/>
                <w:lang w:eastAsia="nl-NL"/>
              </w:rPr>
              <w:t xml:space="preserve">. </w:t>
            </w:r>
            <w:proofErr w:type="spellStart"/>
            <w:r w:rsidRPr="005F055E">
              <w:rPr>
                <w:color w:val="000000"/>
                <w:szCs w:val="18"/>
                <w:lang w:eastAsia="nl-NL"/>
              </w:rPr>
              <w:t>spec</w:t>
            </w:r>
            <w:proofErr w:type="spellEnd"/>
            <w:r w:rsidRPr="005F055E">
              <w:rPr>
                <w:color w:val="000000"/>
                <w:szCs w:val="18"/>
                <w:lang w:eastAsia="nl-NL"/>
              </w:rPr>
              <w:t>. zorg</w:t>
            </w:r>
          </w:p>
        </w:tc>
        <w:tc>
          <w:tcPr>
            <w:tcW w:w="3118" w:type="dxa"/>
            <w:noWrap/>
            <w:hideMark/>
          </w:tcPr>
          <w:p w:rsidRPr="005F055E" w:rsidR="00BE5CD4" w:rsidP="00180EEB" w:rsidRDefault="00BE5CD4" w14:paraId="3DBB5009"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10.000</w:t>
            </w:r>
          </w:p>
        </w:tc>
      </w:tr>
      <w:tr w:rsidRPr="005F055E" w:rsidR="00BE5CD4" w:rsidTr="00BE5CD4" w14:paraId="1634327D" w14:textId="777777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5F055E" w:rsidR="00BE5CD4" w:rsidP="00180EEB" w:rsidRDefault="00BE5CD4" w14:paraId="7B8EAA9E" w14:textId="77777777">
            <w:pPr>
              <w:suppressAutoHyphens/>
              <w:spacing w:line="240" w:lineRule="atLeast"/>
              <w:rPr>
                <w:b w:val="0"/>
                <w:bCs w:val="0"/>
                <w:color w:val="000000"/>
                <w:szCs w:val="18"/>
                <w:lang w:eastAsia="nl-NL"/>
              </w:rPr>
            </w:pPr>
            <w:r w:rsidRPr="005F055E">
              <w:rPr>
                <w:color w:val="000000"/>
                <w:szCs w:val="18"/>
                <w:lang w:eastAsia="nl-NL"/>
              </w:rPr>
              <w:t>Geestelijke gezondheidszorg</w:t>
            </w:r>
          </w:p>
        </w:tc>
        <w:tc>
          <w:tcPr>
            <w:tcW w:w="3118" w:type="dxa"/>
            <w:noWrap/>
            <w:hideMark/>
          </w:tcPr>
          <w:p w:rsidRPr="005F055E" w:rsidR="00BE5CD4" w:rsidP="00180EEB" w:rsidRDefault="00BE5CD4" w14:paraId="2B347333"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15.000</w:t>
            </w:r>
          </w:p>
        </w:tc>
      </w:tr>
      <w:tr w:rsidRPr="005F055E" w:rsidR="00BE5CD4" w:rsidTr="00BE5CD4" w14:paraId="70BF1369" w14:textId="777777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5F055E" w:rsidR="00BE5CD4" w:rsidP="00180EEB" w:rsidRDefault="00BE5CD4" w14:paraId="6B819968" w14:textId="77777777">
            <w:pPr>
              <w:suppressAutoHyphens/>
              <w:spacing w:line="240" w:lineRule="atLeast"/>
              <w:rPr>
                <w:b w:val="0"/>
                <w:bCs w:val="0"/>
                <w:color w:val="000000"/>
                <w:szCs w:val="18"/>
                <w:lang w:eastAsia="nl-NL"/>
              </w:rPr>
            </w:pPr>
            <w:r w:rsidRPr="005F055E">
              <w:rPr>
                <w:color w:val="000000"/>
                <w:szCs w:val="18"/>
                <w:lang w:eastAsia="nl-NL"/>
              </w:rPr>
              <w:t>Huisartsen en gezondheidscentra</w:t>
            </w:r>
          </w:p>
        </w:tc>
        <w:tc>
          <w:tcPr>
            <w:tcW w:w="3118" w:type="dxa"/>
            <w:noWrap/>
            <w:hideMark/>
          </w:tcPr>
          <w:p w:rsidRPr="005F055E" w:rsidR="00BE5CD4" w:rsidP="00180EEB" w:rsidRDefault="00BE5CD4" w14:paraId="65E72D3B"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11.000</w:t>
            </w:r>
          </w:p>
        </w:tc>
      </w:tr>
      <w:tr w:rsidRPr="005F055E" w:rsidR="00BE5CD4" w:rsidTr="00BE5CD4" w14:paraId="1BFF57C8" w14:textId="777777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5F055E" w:rsidR="00BE5CD4" w:rsidP="00180EEB" w:rsidRDefault="00BE5CD4" w14:paraId="6D58A152" w14:textId="77777777">
            <w:pPr>
              <w:suppressAutoHyphens/>
              <w:spacing w:line="240" w:lineRule="atLeast"/>
              <w:rPr>
                <w:b w:val="0"/>
                <w:bCs w:val="0"/>
                <w:color w:val="000000"/>
                <w:szCs w:val="18"/>
                <w:lang w:eastAsia="nl-NL"/>
              </w:rPr>
            </w:pPr>
            <w:r w:rsidRPr="005F055E">
              <w:rPr>
                <w:color w:val="000000"/>
                <w:szCs w:val="18"/>
                <w:lang w:eastAsia="nl-NL"/>
              </w:rPr>
              <w:t>Overige zorg en welzijn</w:t>
            </w:r>
          </w:p>
        </w:tc>
        <w:tc>
          <w:tcPr>
            <w:tcW w:w="3118" w:type="dxa"/>
            <w:noWrap/>
            <w:hideMark/>
          </w:tcPr>
          <w:p w:rsidRPr="005F055E" w:rsidR="00BE5CD4" w:rsidP="00180EEB" w:rsidRDefault="00BE5CD4" w14:paraId="7C31C27E"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56.000</w:t>
            </w:r>
          </w:p>
        </w:tc>
      </w:tr>
      <w:tr w:rsidRPr="005F055E" w:rsidR="00BE5CD4" w:rsidTr="00BE5CD4" w14:paraId="1EA83605" w14:textId="777777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5F055E" w:rsidR="00BE5CD4" w:rsidP="00180EEB" w:rsidRDefault="00BE5CD4" w14:paraId="2DD75ED0" w14:textId="77777777">
            <w:pPr>
              <w:suppressAutoHyphens/>
              <w:spacing w:line="240" w:lineRule="atLeast"/>
              <w:rPr>
                <w:b w:val="0"/>
                <w:bCs w:val="0"/>
                <w:color w:val="000000"/>
                <w:szCs w:val="18"/>
                <w:lang w:eastAsia="nl-NL"/>
              </w:rPr>
            </w:pPr>
            <w:r w:rsidRPr="005F055E">
              <w:rPr>
                <w:color w:val="000000"/>
                <w:szCs w:val="18"/>
                <w:lang w:eastAsia="nl-NL"/>
              </w:rPr>
              <w:t>Verpleging, verzorging en thuiszorg</w:t>
            </w:r>
          </w:p>
        </w:tc>
        <w:tc>
          <w:tcPr>
            <w:tcW w:w="3118" w:type="dxa"/>
            <w:noWrap/>
            <w:hideMark/>
          </w:tcPr>
          <w:p w:rsidRPr="005F055E" w:rsidR="00BE5CD4" w:rsidP="00180EEB" w:rsidRDefault="00BE5CD4" w14:paraId="3A5D0C28"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22.000</w:t>
            </w:r>
          </w:p>
        </w:tc>
      </w:tr>
      <w:tr w:rsidRPr="005F055E" w:rsidR="00BE5CD4" w:rsidTr="00BE5CD4" w14:paraId="3F3C5DEB" w14:textId="777777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5F055E" w:rsidR="00BE5CD4" w:rsidP="00180EEB" w:rsidRDefault="00BE5CD4" w14:paraId="362D2F57" w14:textId="77777777">
            <w:pPr>
              <w:suppressAutoHyphens/>
              <w:spacing w:line="240" w:lineRule="atLeast"/>
              <w:rPr>
                <w:b w:val="0"/>
                <w:bCs w:val="0"/>
                <w:color w:val="000000"/>
                <w:szCs w:val="18"/>
                <w:lang w:eastAsia="nl-NL"/>
              </w:rPr>
            </w:pPr>
            <w:r w:rsidRPr="005F055E">
              <w:rPr>
                <w:color w:val="000000"/>
                <w:szCs w:val="18"/>
                <w:lang w:eastAsia="nl-NL"/>
              </w:rPr>
              <w:t>Gehandicaptenzorg</w:t>
            </w:r>
          </w:p>
        </w:tc>
        <w:tc>
          <w:tcPr>
            <w:tcW w:w="3118" w:type="dxa"/>
            <w:noWrap/>
            <w:hideMark/>
          </w:tcPr>
          <w:p w:rsidRPr="005F055E" w:rsidR="00BE5CD4" w:rsidP="00180EEB" w:rsidRDefault="00BE5CD4" w14:paraId="7E7DE80E"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5.000</w:t>
            </w:r>
          </w:p>
        </w:tc>
      </w:tr>
      <w:tr w:rsidRPr="005F055E" w:rsidR="00BE5CD4" w:rsidTr="00BE5CD4" w14:paraId="2E7DACB4" w14:textId="777777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5F055E" w:rsidR="00BE5CD4" w:rsidP="00180EEB" w:rsidRDefault="00BE5CD4" w14:paraId="09EBCB87" w14:textId="77777777">
            <w:pPr>
              <w:suppressAutoHyphens/>
              <w:spacing w:line="240" w:lineRule="atLeast"/>
              <w:rPr>
                <w:b w:val="0"/>
                <w:bCs w:val="0"/>
                <w:color w:val="000000"/>
                <w:szCs w:val="18"/>
                <w:lang w:eastAsia="nl-NL"/>
              </w:rPr>
            </w:pPr>
            <w:r w:rsidRPr="005F055E">
              <w:rPr>
                <w:color w:val="000000"/>
                <w:szCs w:val="18"/>
                <w:lang w:eastAsia="nl-NL"/>
              </w:rPr>
              <w:t>Jeugdzorg</w:t>
            </w:r>
          </w:p>
        </w:tc>
        <w:tc>
          <w:tcPr>
            <w:tcW w:w="3118" w:type="dxa"/>
            <w:noWrap/>
            <w:hideMark/>
          </w:tcPr>
          <w:p w:rsidRPr="005F055E" w:rsidR="00BE5CD4" w:rsidP="00180EEB" w:rsidRDefault="00BE5CD4" w14:paraId="35EBB4A3"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4.000</w:t>
            </w:r>
          </w:p>
        </w:tc>
      </w:tr>
      <w:tr w:rsidRPr="005F055E" w:rsidR="00BE5CD4" w:rsidTr="00BE5CD4" w14:paraId="595D6755" w14:textId="777777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5F055E" w:rsidR="00BE5CD4" w:rsidP="00180EEB" w:rsidRDefault="00BE5CD4" w14:paraId="265746EA" w14:textId="77777777">
            <w:pPr>
              <w:suppressAutoHyphens/>
              <w:spacing w:line="240" w:lineRule="atLeast"/>
              <w:rPr>
                <w:b w:val="0"/>
                <w:bCs w:val="0"/>
                <w:color w:val="000000"/>
                <w:szCs w:val="18"/>
                <w:lang w:eastAsia="nl-NL"/>
              </w:rPr>
            </w:pPr>
            <w:r w:rsidRPr="005F055E">
              <w:rPr>
                <w:color w:val="000000"/>
                <w:szCs w:val="18"/>
                <w:lang w:eastAsia="nl-NL"/>
              </w:rPr>
              <w:t>Sociaal werk</w:t>
            </w:r>
          </w:p>
        </w:tc>
        <w:tc>
          <w:tcPr>
            <w:tcW w:w="3118" w:type="dxa"/>
            <w:noWrap/>
            <w:hideMark/>
          </w:tcPr>
          <w:p w:rsidRPr="005F055E" w:rsidR="00BE5CD4" w:rsidP="00180EEB" w:rsidRDefault="00BE5CD4" w14:paraId="7D484A75"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12.000</w:t>
            </w:r>
          </w:p>
        </w:tc>
      </w:tr>
      <w:tr w:rsidRPr="005F055E" w:rsidR="00BE5CD4" w:rsidTr="00BE5CD4" w14:paraId="47AF73F1" w14:textId="777777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5F055E" w:rsidR="00BE5CD4" w:rsidP="00180EEB" w:rsidRDefault="00BE5CD4" w14:paraId="6F521965" w14:textId="77777777">
            <w:pPr>
              <w:suppressAutoHyphens/>
              <w:spacing w:line="240" w:lineRule="atLeast"/>
              <w:rPr>
                <w:b w:val="0"/>
                <w:bCs w:val="0"/>
                <w:color w:val="000000"/>
                <w:szCs w:val="18"/>
                <w:lang w:eastAsia="nl-NL"/>
              </w:rPr>
            </w:pPr>
            <w:r w:rsidRPr="005F055E">
              <w:rPr>
                <w:color w:val="000000"/>
                <w:szCs w:val="18"/>
                <w:lang w:eastAsia="nl-NL"/>
              </w:rPr>
              <w:t>Zorg en Welzijn totaal</w:t>
            </w:r>
          </w:p>
        </w:tc>
        <w:tc>
          <w:tcPr>
            <w:tcW w:w="3118" w:type="dxa"/>
            <w:noWrap/>
            <w:hideMark/>
          </w:tcPr>
          <w:p w:rsidRPr="005F055E" w:rsidR="00BE5CD4" w:rsidP="00180EEB" w:rsidRDefault="00BE5CD4" w14:paraId="3BA518A6"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135.000</w:t>
            </w:r>
          </w:p>
        </w:tc>
      </w:tr>
    </w:tbl>
    <w:p w:rsidRPr="005F055E" w:rsidR="00912A7D" w:rsidP="00180EEB" w:rsidRDefault="00BE5CD4" w14:paraId="7A32121B" w14:textId="6E1A2494">
      <w:pPr>
        <w:suppressAutoHyphens/>
        <w:spacing w:line="240" w:lineRule="atLeast"/>
        <w:rPr>
          <w:sz w:val="16"/>
          <w:szCs w:val="18"/>
          <w:lang w:eastAsia="nl-NL"/>
        </w:rPr>
      </w:pPr>
      <w:r w:rsidRPr="005F055E">
        <w:rPr>
          <w:sz w:val="16"/>
          <w:szCs w:val="18"/>
          <w:lang w:eastAsia="nl-NL"/>
        </w:rPr>
        <w:t>Bron: CBS, AZW Statline</w:t>
      </w:r>
    </w:p>
    <w:p w:rsidRPr="005F055E" w:rsidR="00912A7D" w:rsidP="00180EEB" w:rsidRDefault="00912A7D" w14:paraId="4D3F32AB" w14:textId="77777777">
      <w:pPr>
        <w:suppressAutoHyphens/>
      </w:pPr>
    </w:p>
    <w:p w:rsidRPr="005F055E" w:rsidR="00912A7D" w:rsidP="00180EEB" w:rsidRDefault="003E7003" w14:paraId="4BD4D897" w14:textId="77777777">
      <w:pPr>
        <w:suppressAutoHyphens/>
      </w:pPr>
      <w:r w:rsidRPr="005F055E">
        <w:t>Vraag 134</w:t>
      </w:r>
      <w:r w:rsidRPr="005F055E">
        <w:tab/>
      </w:r>
    </w:p>
    <w:p w:rsidRPr="005F055E" w:rsidR="00912A7D" w:rsidP="00180EEB" w:rsidRDefault="003E7003" w14:paraId="0FAE347F" w14:textId="77777777">
      <w:pPr>
        <w:suppressAutoHyphens/>
      </w:pPr>
      <w:r w:rsidRPr="005F055E">
        <w:t>Hoeveel fysiotherapeuten zijn er in 2024 gestopt?</w:t>
      </w:r>
      <w:r w:rsidRPr="005F055E">
        <w:tab/>
      </w:r>
    </w:p>
    <w:p w:rsidRPr="005F055E" w:rsidR="003E7003" w:rsidP="00180EEB" w:rsidRDefault="003E7003" w14:paraId="0BCF06AB" w14:textId="3F85EBA7">
      <w:pPr>
        <w:suppressAutoHyphens/>
      </w:pPr>
      <w:r w:rsidRPr="005F055E">
        <w:t>Antwoord</w:t>
      </w:r>
    </w:p>
    <w:p w:rsidRPr="005F055E" w:rsidR="004D1243" w:rsidP="00180EEB" w:rsidRDefault="004D1243" w14:paraId="7D4ABAA3" w14:textId="76F5DD68">
      <w:pPr>
        <w:suppressAutoHyphens/>
        <w:spacing w:line="240" w:lineRule="atLeast"/>
        <w:rPr>
          <w:szCs w:val="20"/>
          <w:lang w:eastAsia="nl-NL"/>
        </w:rPr>
      </w:pPr>
      <w:r w:rsidRPr="005F055E">
        <w:rPr>
          <w:szCs w:val="20"/>
          <w:lang w:eastAsia="nl-NL"/>
        </w:rPr>
        <w:t xml:space="preserve">Het exacte aantal fysiotherapeuten dat in 2024 is gestopt, is niet bekend. </w:t>
      </w:r>
    </w:p>
    <w:p w:rsidRPr="005F055E" w:rsidR="004D1243" w:rsidP="00180EEB" w:rsidRDefault="004D1243" w14:paraId="5890AA38" w14:textId="513BDB76">
      <w:pPr>
        <w:suppressAutoHyphens/>
        <w:spacing w:line="240" w:lineRule="atLeast"/>
        <w:rPr>
          <w:szCs w:val="20"/>
          <w:lang w:eastAsia="nl-NL"/>
        </w:rPr>
      </w:pPr>
      <w:r w:rsidRPr="005F055E">
        <w:rPr>
          <w:szCs w:val="20"/>
          <w:lang w:eastAsia="nl-NL"/>
        </w:rPr>
        <w:t>De Nederlandse Zorgautoriteit (</w:t>
      </w:r>
      <w:proofErr w:type="spellStart"/>
      <w:r w:rsidRPr="005F055E">
        <w:rPr>
          <w:szCs w:val="20"/>
          <w:lang w:eastAsia="nl-NL"/>
        </w:rPr>
        <w:t>NZa</w:t>
      </w:r>
      <w:proofErr w:type="spellEnd"/>
      <w:r w:rsidRPr="005F055E">
        <w:rPr>
          <w:szCs w:val="20"/>
          <w:lang w:eastAsia="nl-NL"/>
        </w:rPr>
        <w:t xml:space="preserve">) doet momenteel onderzoek naar de fysiotherapeutische sector. In de tussentijdse rapportage maakt de </w:t>
      </w:r>
      <w:proofErr w:type="spellStart"/>
      <w:r w:rsidRPr="005F055E">
        <w:rPr>
          <w:szCs w:val="20"/>
          <w:lang w:eastAsia="nl-NL"/>
        </w:rPr>
        <w:t>NZa</w:t>
      </w:r>
      <w:proofErr w:type="spellEnd"/>
      <w:r w:rsidRPr="005F055E">
        <w:rPr>
          <w:szCs w:val="20"/>
          <w:lang w:eastAsia="nl-NL"/>
        </w:rPr>
        <w:t xml:space="preserve"> gebruik van gegevens van het Stichting Pensioenfonds Fysiotherapeuten (SPF). Dit fonds registreert jaarlijks hoeveel fysiotherapeuten toetreden of stoppen met werken. Uit de SPF-data blijkt dat de uitstroom de afgelopen jaren gestaag is toegenomen. </w:t>
      </w:r>
    </w:p>
    <w:p w:rsidRPr="005F055E" w:rsidR="004D1243" w:rsidP="00180EEB" w:rsidRDefault="004D1243" w14:paraId="466A38FF" w14:textId="005F214D">
      <w:pPr>
        <w:suppressAutoHyphens/>
        <w:spacing w:line="240" w:lineRule="atLeast"/>
        <w:rPr>
          <w:szCs w:val="20"/>
          <w:lang w:eastAsia="nl-NL"/>
        </w:rPr>
      </w:pPr>
      <w:r w:rsidRPr="005F055E">
        <w:rPr>
          <w:szCs w:val="20"/>
          <w:lang w:eastAsia="nl-NL"/>
        </w:rPr>
        <w:t xml:space="preserve">Waar jarenlang meer fysiotherapeuten instroomden dan uitstroomden, is in 2022 en 2023 voor het eerst sprake van een lichte ommekeer: er stoppen tegenwoordig iets meer fysiotherapeuten dan erbij komen. Deze trend sluit aan bij de cijfers uit het BIG-register. </w:t>
      </w:r>
    </w:p>
    <w:p w:rsidRPr="005F055E" w:rsidR="00912A7D" w:rsidP="00180EEB" w:rsidRDefault="004D1243" w14:paraId="64169604" w14:textId="313EBCFF">
      <w:pPr>
        <w:suppressAutoHyphens/>
        <w:spacing w:line="240" w:lineRule="atLeast"/>
      </w:pPr>
      <w:r w:rsidRPr="005F055E">
        <w:rPr>
          <w:szCs w:val="20"/>
          <w:lang w:eastAsia="nl-NL"/>
        </w:rPr>
        <w:t xml:space="preserve">De </w:t>
      </w:r>
      <w:proofErr w:type="spellStart"/>
      <w:r w:rsidRPr="005F055E">
        <w:rPr>
          <w:szCs w:val="20"/>
          <w:lang w:eastAsia="nl-NL"/>
        </w:rPr>
        <w:t>NZa</w:t>
      </w:r>
      <w:proofErr w:type="spellEnd"/>
      <w:r w:rsidRPr="005F055E">
        <w:rPr>
          <w:szCs w:val="20"/>
          <w:lang w:eastAsia="nl-NL"/>
        </w:rPr>
        <w:t xml:space="preserve"> komt eind december 2025 met haar eindrapport over de ontwikkelingen binnen de fysiotherapeutische markt, en bekijkt of het mogelijk is daarin ook de meest recente cijfers over in- en uitstroom op te nemen. </w:t>
      </w:r>
    </w:p>
    <w:p w:rsidR="006D333D" w:rsidP="00180EEB" w:rsidRDefault="006D333D" w14:paraId="20A7626B" w14:textId="77777777">
      <w:pPr>
        <w:suppressAutoHyphens/>
      </w:pPr>
    </w:p>
    <w:p w:rsidRPr="005F055E" w:rsidR="00912A7D" w:rsidP="00180EEB" w:rsidRDefault="003E7003" w14:paraId="3110853D" w14:textId="41637C61">
      <w:pPr>
        <w:suppressAutoHyphens/>
      </w:pPr>
      <w:r w:rsidRPr="005F055E">
        <w:t>Vraag 135</w:t>
      </w:r>
      <w:r w:rsidRPr="005F055E">
        <w:tab/>
      </w:r>
    </w:p>
    <w:p w:rsidRPr="005F055E" w:rsidR="00912A7D" w:rsidP="00180EEB" w:rsidRDefault="003E7003" w14:paraId="251630A5" w14:textId="77777777">
      <w:pPr>
        <w:suppressAutoHyphens/>
      </w:pPr>
      <w:r w:rsidRPr="005F055E">
        <w:t>Welk percentage van de fysiotherapeuten verlaat binnen vijf jaar het vak?</w:t>
      </w:r>
      <w:r w:rsidRPr="005F055E">
        <w:tab/>
      </w:r>
    </w:p>
    <w:p w:rsidRPr="005F055E" w:rsidR="003E7003" w:rsidP="00180EEB" w:rsidRDefault="003E7003" w14:paraId="203F9036" w14:textId="61D43586">
      <w:pPr>
        <w:suppressAutoHyphens/>
      </w:pPr>
      <w:r w:rsidRPr="005F055E">
        <w:t>Antwoord</w:t>
      </w:r>
    </w:p>
    <w:p w:rsidRPr="005F055E" w:rsidR="00632BAA" w:rsidP="00180EEB" w:rsidRDefault="00632BAA" w14:paraId="158C8F8F" w14:textId="7BFA26B1">
      <w:pPr>
        <w:suppressAutoHyphens/>
        <w:spacing w:line="240" w:lineRule="atLeast"/>
        <w:rPr>
          <w:szCs w:val="20"/>
          <w:lang w:eastAsia="nl-NL"/>
        </w:rPr>
      </w:pPr>
      <w:r w:rsidRPr="005F055E">
        <w:rPr>
          <w:szCs w:val="20"/>
          <w:lang w:eastAsia="nl-NL"/>
        </w:rPr>
        <w:t xml:space="preserve">Er zijn momenteel geen recente cijfers beschikbaar over het percentage fysiotherapeuten dat het vak binnen vijf jaar daadwerkelijk verlaat. </w:t>
      </w:r>
    </w:p>
    <w:p w:rsidRPr="005F055E" w:rsidR="00912A7D" w:rsidP="00180EEB" w:rsidRDefault="00781EF3" w14:paraId="58B041A9" w14:textId="7DE83697">
      <w:pPr>
        <w:suppressAutoHyphens/>
        <w:spacing w:line="240" w:lineRule="atLeast"/>
        <w:rPr>
          <w:szCs w:val="20"/>
          <w:lang w:eastAsia="nl-NL"/>
        </w:rPr>
      </w:pPr>
      <w:r>
        <w:rPr>
          <w:szCs w:val="20"/>
          <w:lang w:eastAsia="nl-NL"/>
        </w:rPr>
        <w:t xml:space="preserve">De staatssecretaris Langdurige en Maatschappelijke Zorg is </w:t>
      </w:r>
      <w:r w:rsidRPr="005F055E" w:rsidR="00632BAA">
        <w:rPr>
          <w:szCs w:val="20"/>
          <w:lang w:eastAsia="nl-NL"/>
        </w:rPr>
        <w:t>bekend met signalen dat fysiotherapeuten het vak vroegtijdig verlaten of dit overwegen. De Nederlandse Zorgautoriteit (</w:t>
      </w:r>
      <w:proofErr w:type="spellStart"/>
      <w:r w:rsidRPr="005F055E" w:rsidR="00632BAA">
        <w:rPr>
          <w:szCs w:val="20"/>
          <w:lang w:eastAsia="nl-NL"/>
        </w:rPr>
        <w:t>NZa</w:t>
      </w:r>
      <w:proofErr w:type="spellEnd"/>
      <w:r w:rsidRPr="005F055E" w:rsidR="00632BAA">
        <w:rPr>
          <w:szCs w:val="20"/>
          <w:lang w:eastAsia="nl-NL"/>
        </w:rPr>
        <w:t xml:space="preserve">) voert momenteel een marktonderzoek uit naar de fysiotherapeutische sector. De </w:t>
      </w:r>
      <w:proofErr w:type="spellStart"/>
      <w:r w:rsidRPr="005F055E" w:rsidR="00632BAA">
        <w:rPr>
          <w:szCs w:val="20"/>
          <w:lang w:eastAsia="nl-NL"/>
        </w:rPr>
        <w:t>NZa</w:t>
      </w:r>
      <w:proofErr w:type="spellEnd"/>
      <w:r w:rsidRPr="005F055E" w:rsidR="00632BAA">
        <w:rPr>
          <w:szCs w:val="20"/>
          <w:lang w:eastAsia="nl-NL"/>
        </w:rPr>
        <w:t xml:space="preserve"> komt eind december 2025 met haar eindrapport over de ontwikkelingen binnen de fysiotherapeutische markt, en bekijkt of het mogelijk is daarin ook meest recente cijfers over in- en uitstroom op te nemen.</w:t>
      </w:r>
    </w:p>
    <w:p w:rsidRPr="005F055E" w:rsidR="00575B14" w:rsidP="00180EEB" w:rsidRDefault="00575B14" w14:paraId="761CCDCF" w14:textId="77777777">
      <w:pPr>
        <w:suppressAutoHyphens/>
      </w:pPr>
    </w:p>
    <w:p w:rsidR="006D333D" w:rsidP="00180EEB" w:rsidRDefault="006D333D" w14:paraId="0DBCA00F" w14:textId="77777777">
      <w:pPr>
        <w:suppressAutoHyphens/>
      </w:pPr>
    </w:p>
    <w:p w:rsidR="006D333D" w:rsidP="00180EEB" w:rsidRDefault="006D333D" w14:paraId="1308DCAB" w14:textId="77777777">
      <w:pPr>
        <w:suppressAutoHyphens/>
      </w:pPr>
    </w:p>
    <w:p w:rsidRPr="005F055E" w:rsidR="00912A7D" w:rsidP="00180EEB" w:rsidRDefault="003E7003" w14:paraId="33EFBE4B" w14:textId="185514BA">
      <w:pPr>
        <w:suppressAutoHyphens/>
      </w:pPr>
      <w:r w:rsidRPr="005F055E">
        <w:t>Vraag 136</w:t>
      </w:r>
      <w:r w:rsidRPr="005F055E">
        <w:tab/>
      </w:r>
    </w:p>
    <w:p w:rsidRPr="005F055E" w:rsidR="00912A7D" w:rsidP="00180EEB" w:rsidRDefault="003E7003" w14:paraId="0D5DF672" w14:textId="77777777">
      <w:pPr>
        <w:suppressAutoHyphens/>
      </w:pPr>
      <w:r w:rsidRPr="005F055E">
        <w:t>Wat zijn de ziekteverzuimcijfers voor de gehele sector zorg &amp; welzijn voor 2025, voor de afgelopen vijf jaar en wat is de verwachting voor 2026?</w:t>
      </w:r>
      <w:r w:rsidRPr="005F055E">
        <w:tab/>
      </w:r>
    </w:p>
    <w:p w:rsidRPr="005F055E" w:rsidR="003E7003" w:rsidP="00180EEB" w:rsidRDefault="003E7003" w14:paraId="418C2309" w14:textId="0F6413F2">
      <w:pPr>
        <w:suppressAutoHyphens/>
      </w:pPr>
      <w:r w:rsidRPr="005F055E">
        <w:t>Antwoord</w:t>
      </w:r>
    </w:p>
    <w:p w:rsidRPr="005F055E" w:rsidR="00BE5CD4" w:rsidP="00180EEB" w:rsidRDefault="00BE5CD4" w14:paraId="0F80382C" w14:textId="77777777">
      <w:pPr>
        <w:suppressAutoHyphens/>
        <w:spacing w:line="240" w:lineRule="atLeast"/>
        <w:rPr>
          <w:szCs w:val="20"/>
          <w:lang w:eastAsia="nl-NL"/>
        </w:rPr>
      </w:pPr>
      <w:r w:rsidRPr="005F055E">
        <w:rPr>
          <w:szCs w:val="20"/>
          <w:lang w:eastAsia="nl-NL"/>
        </w:rPr>
        <w:t>In het tweede kwartaal van 2025 was het verzuimpercentage voor de sector Zorg en Welzijn 7,1%. In de vijf jaar daarvoor was dat:</w:t>
      </w:r>
    </w:p>
    <w:p w:rsidRPr="005F055E" w:rsidR="00BE5CD4" w:rsidP="00180EEB" w:rsidRDefault="00BE5CD4" w14:paraId="44F7A6AF" w14:textId="77777777">
      <w:pPr>
        <w:numPr>
          <w:ilvl w:val="0"/>
          <w:numId w:val="4"/>
        </w:numPr>
        <w:suppressAutoHyphens/>
        <w:contextualSpacing/>
        <w:rPr>
          <w:kern w:val="2"/>
          <w14:ligatures w14:val="standardContextual"/>
        </w:rPr>
      </w:pPr>
      <w:r w:rsidRPr="005F055E">
        <w:rPr>
          <w:kern w:val="2"/>
          <w14:ligatures w14:val="standardContextual"/>
        </w:rPr>
        <w:t>Q2 2020: 6,2%</w:t>
      </w:r>
    </w:p>
    <w:p w:rsidRPr="005F055E" w:rsidR="00BE5CD4" w:rsidP="00180EEB" w:rsidRDefault="00BE5CD4" w14:paraId="6BC251FA" w14:textId="77777777">
      <w:pPr>
        <w:numPr>
          <w:ilvl w:val="0"/>
          <w:numId w:val="4"/>
        </w:numPr>
        <w:suppressAutoHyphens/>
        <w:contextualSpacing/>
        <w:rPr>
          <w:kern w:val="2"/>
          <w14:ligatures w14:val="standardContextual"/>
        </w:rPr>
      </w:pPr>
      <w:r w:rsidRPr="005F055E">
        <w:rPr>
          <w:kern w:val="2"/>
          <w14:ligatures w14:val="standardContextual"/>
        </w:rPr>
        <w:t>Q2 2021: 6,5%</w:t>
      </w:r>
    </w:p>
    <w:p w:rsidRPr="005F055E" w:rsidR="00BE5CD4" w:rsidP="00180EEB" w:rsidRDefault="00BE5CD4" w14:paraId="18CFCBD3" w14:textId="77777777">
      <w:pPr>
        <w:numPr>
          <w:ilvl w:val="0"/>
          <w:numId w:val="4"/>
        </w:numPr>
        <w:suppressAutoHyphens/>
        <w:contextualSpacing/>
        <w:rPr>
          <w:kern w:val="2"/>
          <w14:ligatures w14:val="standardContextual"/>
        </w:rPr>
      </w:pPr>
      <w:r w:rsidRPr="005F055E">
        <w:rPr>
          <w:kern w:val="2"/>
          <w14:ligatures w14:val="standardContextual"/>
        </w:rPr>
        <w:t>Q2 2022: 7,5%</w:t>
      </w:r>
    </w:p>
    <w:p w:rsidRPr="005F055E" w:rsidR="00BE5CD4" w:rsidP="00180EEB" w:rsidRDefault="00BE5CD4" w14:paraId="76CB159F" w14:textId="77777777">
      <w:pPr>
        <w:numPr>
          <w:ilvl w:val="0"/>
          <w:numId w:val="4"/>
        </w:numPr>
        <w:suppressAutoHyphens/>
        <w:contextualSpacing/>
        <w:rPr>
          <w:kern w:val="2"/>
          <w14:ligatures w14:val="standardContextual"/>
        </w:rPr>
      </w:pPr>
      <w:r w:rsidRPr="005F055E">
        <w:rPr>
          <w:kern w:val="2"/>
          <w14:ligatures w14:val="standardContextual"/>
        </w:rPr>
        <w:t>Q2 2023: 7,0%</w:t>
      </w:r>
    </w:p>
    <w:p w:rsidRPr="005F055E" w:rsidR="00BE5CD4" w:rsidP="00180EEB" w:rsidRDefault="00BE5CD4" w14:paraId="680968E6" w14:textId="77777777">
      <w:pPr>
        <w:numPr>
          <w:ilvl w:val="0"/>
          <w:numId w:val="4"/>
        </w:numPr>
        <w:suppressAutoHyphens/>
        <w:contextualSpacing/>
        <w:rPr>
          <w:kern w:val="2"/>
          <w14:ligatures w14:val="standardContextual"/>
        </w:rPr>
      </w:pPr>
      <w:r w:rsidRPr="005F055E">
        <w:rPr>
          <w:kern w:val="2"/>
          <w14:ligatures w14:val="standardContextual"/>
        </w:rPr>
        <w:t>Q2 2024: 7,2%</w:t>
      </w:r>
    </w:p>
    <w:p w:rsidRPr="005F055E" w:rsidR="00BE5CD4" w:rsidP="00180EEB" w:rsidRDefault="00BE5CD4" w14:paraId="4C0A2E60" w14:textId="77777777">
      <w:pPr>
        <w:suppressAutoHyphens/>
        <w:spacing w:line="240" w:lineRule="atLeast"/>
        <w:rPr>
          <w:sz w:val="16"/>
          <w:szCs w:val="18"/>
          <w:lang w:eastAsia="nl-NL"/>
        </w:rPr>
      </w:pPr>
      <w:r w:rsidRPr="005F055E">
        <w:rPr>
          <w:sz w:val="16"/>
          <w:szCs w:val="18"/>
          <w:lang w:eastAsia="nl-NL"/>
        </w:rPr>
        <w:t>Bron: CBS, AZW Statline</w:t>
      </w:r>
    </w:p>
    <w:p w:rsidRPr="005F055E" w:rsidR="00912A7D" w:rsidP="00180EEB" w:rsidRDefault="00BE5CD4" w14:paraId="7C9F27C8" w14:textId="4FEB4587">
      <w:pPr>
        <w:suppressAutoHyphens/>
        <w:spacing w:line="240" w:lineRule="atLeast"/>
        <w:rPr>
          <w:szCs w:val="20"/>
          <w:lang w:eastAsia="nl-NL"/>
        </w:rPr>
      </w:pPr>
      <w:r w:rsidRPr="005F055E">
        <w:rPr>
          <w:szCs w:val="20"/>
          <w:lang w:eastAsia="nl-NL"/>
        </w:rPr>
        <w:t>Over het ziekteverzuim in 2026 kunnen geen uitspraken worden gedaan. De ontwikkeling van het ziekteverzuim is van veel onzekere factoren afhankelijk en daarmee moeilijk te prognosticeren.</w:t>
      </w:r>
    </w:p>
    <w:p w:rsidRPr="005F055E" w:rsidR="00575B14" w:rsidP="00180EEB" w:rsidRDefault="00575B14" w14:paraId="74D9B23B" w14:textId="77777777">
      <w:pPr>
        <w:suppressAutoHyphens/>
      </w:pPr>
    </w:p>
    <w:p w:rsidRPr="005F055E" w:rsidR="00912A7D" w:rsidP="00180EEB" w:rsidRDefault="003E7003" w14:paraId="4DA7F1AB" w14:textId="77777777">
      <w:pPr>
        <w:suppressAutoHyphens/>
      </w:pPr>
      <w:r w:rsidRPr="005F055E">
        <w:t>Vraag 137</w:t>
      </w:r>
      <w:r w:rsidRPr="005F055E">
        <w:tab/>
      </w:r>
    </w:p>
    <w:p w:rsidRPr="005F055E" w:rsidR="00912A7D" w:rsidP="00180EEB" w:rsidRDefault="003E7003" w14:paraId="713E9BC5" w14:textId="77777777">
      <w:pPr>
        <w:suppressAutoHyphens/>
      </w:pPr>
      <w:r w:rsidRPr="005F055E">
        <w:t>Hoeveel procent van de werknemers per sector in de zorg, verdienen minder dan een modaal salaris?</w:t>
      </w:r>
      <w:r w:rsidRPr="005F055E">
        <w:tab/>
      </w:r>
    </w:p>
    <w:p w:rsidRPr="005F055E" w:rsidR="003E7003" w:rsidP="00180EEB" w:rsidRDefault="003E7003" w14:paraId="3828EBAF" w14:textId="3EEEFBCC">
      <w:pPr>
        <w:suppressAutoHyphens/>
      </w:pPr>
      <w:r w:rsidRPr="005F055E">
        <w:t>Antwoord</w:t>
      </w:r>
    </w:p>
    <w:p w:rsidRPr="005F055E" w:rsidR="00912A7D" w:rsidP="00180EEB" w:rsidRDefault="00BE5CD4" w14:paraId="1BD83F09" w14:textId="638EAF9F">
      <w:pPr>
        <w:suppressAutoHyphens/>
        <w:spacing w:line="240" w:lineRule="atLeast"/>
        <w:rPr>
          <w:rFonts w:cs="Calibri"/>
          <w:color w:val="000000"/>
          <w:szCs w:val="18"/>
          <w:lang w:eastAsia="nl-NL"/>
        </w:rPr>
      </w:pPr>
      <w:r w:rsidRPr="005F055E">
        <w:rPr>
          <w:rFonts w:cs="Calibri"/>
          <w:color w:val="000000"/>
          <w:szCs w:val="18"/>
          <w:lang w:eastAsia="nl-NL"/>
        </w:rPr>
        <w:t xml:space="preserve">Volgens de laatste CPB-raming bedraagt het bruto modaal inkomen in 2025 circa 46,5 duizend euro. Op basis van gegevens van het Pensioenfonds zorg en welzijn (PFZW) over het bruto voltijdsjaarinkomen van medewerkers binnen zorg en welzijn (exclusief de branches </w:t>
      </w:r>
      <w:proofErr w:type="spellStart"/>
      <w:r w:rsidRPr="005F055E">
        <w:rPr>
          <w:rFonts w:cs="Calibri"/>
          <w:color w:val="000000"/>
          <w:szCs w:val="18"/>
          <w:lang w:eastAsia="nl-NL"/>
        </w:rPr>
        <w:t>umc’s</w:t>
      </w:r>
      <w:proofErr w:type="spellEnd"/>
      <w:r w:rsidRPr="005F055E">
        <w:rPr>
          <w:rFonts w:cs="Calibri"/>
          <w:color w:val="000000"/>
          <w:szCs w:val="18"/>
          <w:lang w:eastAsia="nl-NL"/>
        </w:rPr>
        <w:t xml:space="preserve"> en overige zorg en welzijn) verdient naar schatting zo’n 50% van die werknemers minder dan modaal. Een inkomensverdeling per branche binnen zorg en welzijn is niet voor handen en daarom is ook geen schatting te maken hoeveel werknemers minder verdienen dan modaal voor de afzonderlijke branches. Voor </w:t>
      </w:r>
      <w:proofErr w:type="spellStart"/>
      <w:r w:rsidRPr="005F055E">
        <w:rPr>
          <w:rFonts w:cs="Calibri"/>
          <w:color w:val="000000"/>
          <w:szCs w:val="18"/>
          <w:lang w:eastAsia="nl-NL"/>
        </w:rPr>
        <w:t>umc’s</w:t>
      </w:r>
      <w:proofErr w:type="spellEnd"/>
      <w:r w:rsidRPr="005F055E">
        <w:rPr>
          <w:rFonts w:cs="Calibri"/>
          <w:color w:val="000000"/>
          <w:szCs w:val="18"/>
          <w:lang w:eastAsia="nl-NL"/>
        </w:rPr>
        <w:t xml:space="preserve"> zijn geen recente gegevens bekend over de inkomensverdeling. Op basis van oude cijfers (over 2018) is wel de verwachting dat het aandeel werknemers dat minder dan een modaal inkomen verdient veel lager ligt dan het gemiddelde van circa 50% voor andere branches binnen zorg en welzijn.</w:t>
      </w:r>
    </w:p>
    <w:p w:rsidRPr="005F055E" w:rsidR="00F36E36" w:rsidP="00180EEB" w:rsidRDefault="00F36E36" w14:paraId="18C73CAA" w14:textId="77777777">
      <w:pPr>
        <w:suppressAutoHyphens/>
      </w:pPr>
    </w:p>
    <w:p w:rsidRPr="005F055E" w:rsidR="00912A7D" w:rsidP="00180EEB" w:rsidRDefault="003E7003" w14:paraId="0D99B30C" w14:textId="77777777">
      <w:pPr>
        <w:suppressAutoHyphens/>
      </w:pPr>
      <w:r w:rsidRPr="005F055E">
        <w:t>Vraag 138</w:t>
      </w:r>
      <w:r w:rsidRPr="005F055E">
        <w:tab/>
      </w:r>
    </w:p>
    <w:p w:rsidRPr="005F055E" w:rsidR="00912A7D" w:rsidP="00180EEB" w:rsidRDefault="003E7003" w14:paraId="4BB4DF2E" w14:textId="77777777">
      <w:pPr>
        <w:suppressAutoHyphens/>
      </w:pPr>
      <w:r w:rsidRPr="005F055E">
        <w:t>Hoe hoog is de uitstroom in de zorg uitgesplitst per sector?</w:t>
      </w:r>
      <w:r w:rsidRPr="005F055E">
        <w:tab/>
      </w:r>
    </w:p>
    <w:p w:rsidRPr="005F055E" w:rsidR="003E7003" w:rsidP="00180EEB" w:rsidRDefault="003E7003" w14:paraId="14E66321" w14:textId="5C769166">
      <w:pPr>
        <w:suppressAutoHyphens/>
      </w:pPr>
      <w:r w:rsidRPr="005F055E">
        <w:t>Antwoord</w:t>
      </w:r>
    </w:p>
    <w:p w:rsidRPr="005F055E" w:rsidR="00BE5CD4" w:rsidP="00180EEB" w:rsidRDefault="00BE5CD4" w14:paraId="5A439D82" w14:textId="3002592F">
      <w:pPr>
        <w:suppressAutoHyphens/>
        <w:spacing w:line="240" w:lineRule="atLeast"/>
        <w:rPr>
          <w:szCs w:val="20"/>
          <w:lang w:eastAsia="nl-NL"/>
        </w:rPr>
      </w:pPr>
      <w:r w:rsidRPr="005F055E">
        <w:rPr>
          <w:szCs w:val="20"/>
          <w:lang w:eastAsia="nl-NL"/>
        </w:rPr>
        <w:t>In onderstaande tabel is voor de sector Zorg en Welzijn totaal en voor de verschillende branches weergegeven wat de uitstroom was tussen het eerste kwartaal van 2024 en het eerste kwartaal van 2025. Voor de sector als totaal was de uitstroom 10,2%. Daarvan is 1,8 procentpunt uitstroom naar pensioen (oftewel: 1 op de 6 mensen die uitstroomt gaat met pensioen).</w:t>
      </w:r>
    </w:p>
    <w:p w:rsidR="00BE5CD4" w:rsidP="00180EEB" w:rsidRDefault="00BE5CD4" w14:paraId="311D9052" w14:textId="65241DBD">
      <w:pPr>
        <w:suppressAutoHyphens/>
        <w:spacing w:line="240" w:lineRule="atLeast"/>
        <w:rPr>
          <w:szCs w:val="20"/>
          <w:lang w:eastAsia="nl-NL"/>
        </w:rPr>
      </w:pPr>
      <w:r w:rsidRPr="005F055E">
        <w:rPr>
          <w:szCs w:val="20"/>
          <w:lang w:eastAsia="nl-NL"/>
        </w:rPr>
        <w:t>In de tabel is ook weergegeven wat de absolute uitstroom was, de absolute instroom en wat het saldo van in- en uitstroom was. Te zien is dat in elke branche de instroom groter was dan de uitstroom en dat het aantal werknemers in elke branche daarmee is toegenomen.</w:t>
      </w:r>
    </w:p>
    <w:p w:rsidR="006D333D" w:rsidP="00180EEB" w:rsidRDefault="006D333D" w14:paraId="4B1E4718" w14:textId="77777777">
      <w:pPr>
        <w:suppressAutoHyphens/>
        <w:spacing w:line="240" w:lineRule="atLeast"/>
        <w:rPr>
          <w:szCs w:val="20"/>
          <w:lang w:eastAsia="nl-NL"/>
        </w:rPr>
      </w:pPr>
    </w:p>
    <w:p w:rsidR="006D333D" w:rsidP="00180EEB" w:rsidRDefault="006D333D" w14:paraId="31B0CC2C" w14:textId="77777777">
      <w:pPr>
        <w:suppressAutoHyphens/>
        <w:spacing w:line="240" w:lineRule="atLeast"/>
        <w:rPr>
          <w:szCs w:val="20"/>
          <w:lang w:eastAsia="nl-NL"/>
        </w:rPr>
      </w:pPr>
    </w:p>
    <w:p w:rsidRPr="005F055E" w:rsidR="006D333D" w:rsidP="00180EEB" w:rsidRDefault="006D333D" w14:paraId="0EBA1401" w14:textId="77777777">
      <w:pPr>
        <w:suppressAutoHyphens/>
        <w:spacing w:line="240" w:lineRule="atLeast"/>
        <w:rPr>
          <w:szCs w:val="20"/>
          <w:lang w:eastAsia="nl-NL"/>
        </w:rPr>
      </w:pPr>
    </w:p>
    <w:tbl>
      <w:tblPr>
        <w:tblStyle w:val="GridTable1Light1"/>
        <w:tblW w:w="9017" w:type="dxa"/>
        <w:tblLook w:val="04A0" w:firstRow="1" w:lastRow="0" w:firstColumn="1" w:lastColumn="0" w:noHBand="0" w:noVBand="1"/>
      </w:tblPr>
      <w:tblGrid>
        <w:gridCol w:w="2996"/>
        <w:gridCol w:w="1957"/>
        <w:gridCol w:w="1279"/>
        <w:gridCol w:w="1277"/>
        <w:gridCol w:w="1508"/>
      </w:tblGrid>
      <w:tr w:rsidRPr="005F055E" w:rsidR="00BE5CD4" w:rsidTr="00EC7257" w14:paraId="6040DA03"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5F055E" w:rsidR="00BE5CD4" w:rsidP="00180EEB" w:rsidRDefault="00BE5CD4" w14:paraId="56366AC9" w14:textId="77777777">
            <w:pPr>
              <w:suppressAutoHyphens/>
              <w:spacing w:line="240" w:lineRule="atLeast"/>
              <w:rPr>
                <w:b w:val="0"/>
                <w:bCs w:val="0"/>
                <w:color w:val="000000"/>
                <w:szCs w:val="18"/>
                <w:lang w:eastAsia="nl-NL"/>
              </w:rPr>
            </w:pPr>
            <w:r w:rsidRPr="005F055E">
              <w:rPr>
                <w:color w:val="000000"/>
                <w:szCs w:val="18"/>
                <w:lang w:eastAsia="nl-NL"/>
              </w:rPr>
              <w:t> </w:t>
            </w:r>
          </w:p>
        </w:tc>
        <w:tc>
          <w:tcPr>
            <w:tcW w:w="1957" w:type="dxa"/>
            <w:noWrap/>
            <w:hideMark/>
          </w:tcPr>
          <w:p w:rsidRPr="005F055E" w:rsidR="00BE5CD4" w:rsidP="00180EEB" w:rsidRDefault="00BE5CD4" w14:paraId="00AB886D"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Uitstroom-percentage </w:t>
            </w:r>
          </w:p>
          <w:p w:rsidRPr="005F055E" w:rsidR="00BE5CD4" w:rsidP="00180EEB" w:rsidRDefault="00BE5CD4" w14:paraId="4F9D642F"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b w:val="0"/>
                <w:bCs w:val="0"/>
                <w:color w:val="000000"/>
                <w:szCs w:val="18"/>
                <w:lang w:eastAsia="nl-NL"/>
              </w:rPr>
            </w:pPr>
            <w:r w:rsidRPr="005F055E">
              <w:rPr>
                <w:color w:val="000000"/>
                <w:szCs w:val="18"/>
                <w:lang w:eastAsia="nl-NL"/>
              </w:rPr>
              <w:t>(absolute uitstroom in een jaar als aandeel van het aantal werknemers aan het begin van dat jaar)</w:t>
            </w:r>
          </w:p>
        </w:tc>
        <w:tc>
          <w:tcPr>
            <w:tcW w:w="1279" w:type="dxa"/>
            <w:noWrap/>
            <w:hideMark/>
          </w:tcPr>
          <w:p w:rsidRPr="005F055E" w:rsidR="00BE5CD4" w:rsidP="00180EEB" w:rsidRDefault="00BE5CD4" w14:paraId="64194DD1"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b w:val="0"/>
                <w:bCs w:val="0"/>
                <w:color w:val="000000"/>
                <w:szCs w:val="18"/>
                <w:lang w:eastAsia="nl-NL"/>
              </w:rPr>
            </w:pPr>
            <w:r w:rsidRPr="005F055E">
              <w:rPr>
                <w:color w:val="000000"/>
                <w:szCs w:val="18"/>
                <w:lang w:eastAsia="nl-NL"/>
              </w:rPr>
              <w:t>Uitstroom absoluut</w:t>
            </w:r>
          </w:p>
        </w:tc>
        <w:tc>
          <w:tcPr>
            <w:tcW w:w="1277" w:type="dxa"/>
            <w:noWrap/>
            <w:hideMark/>
          </w:tcPr>
          <w:p w:rsidRPr="005F055E" w:rsidR="00BE5CD4" w:rsidP="00180EEB" w:rsidRDefault="00BE5CD4" w14:paraId="39CB4210"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b w:val="0"/>
                <w:bCs w:val="0"/>
                <w:color w:val="000000"/>
                <w:szCs w:val="18"/>
                <w:lang w:eastAsia="nl-NL"/>
              </w:rPr>
            </w:pPr>
            <w:r w:rsidRPr="005F055E">
              <w:rPr>
                <w:color w:val="000000"/>
                <w:szCs w:val="18"/>
                <w:lang w:eastAsia="nl-NL"/>
              </w:rPr>
              <w:t>Instroom absoluut</w:t>
            </w:r>
          </w:p>
        </w:tc>
        <w:tc>
          <w:tcPr>
            <w:tcW w:w="1508" w:type="dxa"/>
            <w:noWrap/>
            <w:hideMark/>
          </w:tcPr>
          <w:p w:rsidRPr="005F055E" w:rsidR="00BE5CD4" w:rsidP="00180EEB" w:rsidRDefault="00BE5CD4" w14:paraId="45B2324F"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b w:val="0"/>
                <w:bCs w:val="0"/>
                <w:color w:val="000000"/>
                <w:szCs w:val="18"/>
                <w:lang w:eastAsia="nl-NL"/>
              </w:rPr>
            </w:pPr>
            <w:r w:rsidRPr="005F055E">
              <w:rPr>
                <w:color w:val="000000"/>
                <w:szCs w:val="18"/>
                <w:lang w:eastAsia="nl-NL"/>
              </w:rPr>
              <w:t>Saldo in- en uitstroom</w:t>
            </w:r>
          </w:p>
        </w:tc>
      </w:tr>
      <w:tr w:rsidRPr="005F055E" w:rsidR="00BE5CD4" w:rsidTr="00EC7257" w14:paraId="67D93EA4" w14:textId="77777777">
        <w:trPr>
          <w:trHeight w:val="312"/>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5F055E" w:rsidR="00BE5CD4" w:rsidP="00180EEB" w:rsidRDefault="00BE5CD4" w14:paraId="32F892B6" w14:textId="77777777">
            <w:pPr>
              <w:suppressAutoHyphens/>
              <w:spacing w:line="240" w:lineRule="atLeast"/>
              <w:rPr>
                <w:b w:val="0"/>
                <w:bCs w:val="0"/>
                <w:color w:val="000000"/>
                <w:szCs w:val="18"/>
                <w:lang w:eastAsia="nl-NL"/>
              </w:rPr>
            </w:pPr>
            <w:r w:rsidRPr="005F055E">
              <w:rPr>
                <w:color w:val="000000"/>
                <w:szCs w:val="18"/>
                <w:lang w:eastAsia="nl-NL"/>
              </w:rPr>
              <w:t>Universitair medische centra</w:t>
            </w:r>
          </w:p>
        </w:tc>
        <w:tc>
          <w:tcPr>
            <w:tcW w:w="1957" w:type="dxa"/>
            <w:noWrap/>
            <w:hideMark/>
          </w:tcPr>
          <w:p w:rsidRPr="005F055E" w:rsidR="00BE5CD4" w:rsidP="00180EEB" w:rsidRDefault="00BE5CD4" w14:paraId="05211FFF"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9,3%</w:t>
            </w:r>
          </w:p>
        </w:tc>
        <w:tc>
          <w:tcPr>
            <w:tcW w:w="1279" w:type="dxa"/>
            <w:noWrap/>
            <w:hideMark/>
          </w:tcPr>
          <w:p w:rsidRPr="005F055E" w:rsidR="00BE5CD4" w:rsidP="00180EEB" w:rsidRDefault="00BE5CD4" w14:paraId="62D51EE0"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7.480</w:t>
            </w:r>
          </w:p>
        </w:tc>
        <w:tc>
          <w:tcPr>
            <w:tcW w:w="1277" w:type="dxa"/>
            <w:noWrap/>
            <w:hideMark/>
          </w:tcPr>
          <w:p w:rsidRPr="005F055E" w:rsidR="00BE5CD4" w:rsidP="00180EEB" w:rsidRDefault="00BE5CD4" w14:paraId="250E5BC8"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8.510</w:t>
            </w:r>
          </w:p>
        </w:tc>
        <w:tc>
          <w:tcPr>
            <w:tcW w:w="1508" w:type="dxa"/>
            <w:noWrap/>
            <w:hideMark/>
          </w:tcPr>
          <w:p w:rsidRPr="005F055E" w:rsidR="00BE5CD4" w:rsidP="00180EEB" w:rsidRDefault="00BE5CD4" w14:paraId="32E3CA6B"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1.040</w:t>
            </w:r>
          </w:p>
        </w:tc>
      </w:tr>
      <w:tr w:rsidRPr="005F055E" w:rsidR="00BE5CD4" w:rsidTr="00EC7257" w14:paraId="20DBD183" w14:textId="77777777">
        <w:trPr>
          <w:trHeight w:val="300"/>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5F055E" w:rsidR="00BE5CD4" w:rsidP="00180EEB" w:rsidRDefault="00BE5CD4" w14:paraId="1444F644" w14:textId="77777777">
            <w:pPr>
              <w:suppressAutoHyphens/>
              <w:spacing w:line="240" w:lineRule="atLeast"/>
              <w:rPr>
                <w:b w:val="0"/>
                <w:bCs w:val="0"/>
                <w:color w:val="000000"/>
                <w:szCs w:val="18"/>
                <w:lang w:eastAsia="nl-NL"/>
              </w:rPr>
            </w:pPr>
            <w:r w:rsidRPr="005F055E">
              <w:rPr>
                <w:color w:val="000000"/>
                <w:szCs w:val="18"/>
                <w:lang w:eastAsia="nl-NL"/>
              </w:rPr>
              <w:t xml:space="preserve">Ziekenhuizen en overige </w:t>
            </w:r>
            <w:proofErr w:type="spellStart"/>
            <w:r w:rsidRPr="005F055E">
              <w:rPr>
                <w:color w:val="000000"/>
                <w:szCs w:val="18"/>
                <w:lang w:eastAsia="nl-NL"/>
              </w:rPr>
              <w:t>med</w:t>
            </w:r>
            <w:proofErr w:type="spellEnd"/>
            <w:r w:rsidRPr="005F055E">
              <w:rPr>
                <w:color w:val="000000"/>
                <w:szCs w:val="18"/>
                <w:lang w:eastAsia="nl-NL"/>
              </w:rPr>
              <w:t xml:space="preserve">. </w:t>
            </w:r>
            <w:proofErr w:type="spellStart"/>
            <w:r w:rsidRPr="005F055E">
              <w:rPr>
                <w:color w:val="000000"/>
                <w:szCs w:val="18"/>
                <w:lang w:eastAsia="nl-NL"/>
              </w:rPr>
              <w:t>spec</w:t>
            </w:r>
            <w:proofErr w:type="spellEnd"/>
            <w:r w:rsidRPr="005F055E">
              <w:rPr>
                <w:color w:val="000000"/>
                <w:szCs w:val="18"/>
                <w:lang w:eastAsia="nl-NL"/>
              </w:rPr>
              <w:t>. zorg</w:t>
            </w:r>
          </w:p>
        </w:tc>
        <w:tc>
          <w:tcPr>
            <w:tcW w:w="1957" w:type="dxa"/>
            <w:noWrap/>
            <w:hideMark/>
          </w:tcPr>
          <w:p w:rsidRPr="005F055E" w:rsidR="00BE5CD4" w:rsidP="00180EEB" w:rsidRDefault="00BE5CD4" w14:paraId="34A85CA1"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7,5%</w:t>
            </w:r>
          </w:p>
        </w:tc>
        <w:tc>
          <w:tcPr>
            <w:tcW w:w="1279" w:type="dxa"/>
            <w:noWrap/>
            <w:hideMark/>
          </w:tcPr>
          <w:p w:rsidRPr="005F055E" w:rsidR="00BE5CD4" w:rsidP="00180EEB" w:rsidRDefault="00BE5CD4" w14:paraId="39F662BB"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16.830</w:t>
            </w:r>
          </w:p>
        </w:tc>
        <w:tc>
          <w:tcPr>
            <w:tcW w:w="1277" w:type="dxa"/>
            <w:noWrap/>
            <w:hideMark/>
          </w:tcPr>
          <w:p w:rsidRPr="005F055E" w:rsidR="00BE5CD4" w:rsidP="00180EEB" w:rsidRDefault="00BE5CD4" w14:paraId="3C367C65"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17.700</w:t>
            </w:r>
          </w:p>
        </w:tc>
        <w:tc>
          <w:tcPr>
            <w:tcW w:w="1508" w:type="dxa"/>
            <w:noWrap/>
            <w:hideMark/>
          </w:tcPr>
          <w:p w:rsidRPr="005F055E" w:rsidR="00BE5CD4" w:rsidP="00180EEB" w:rsidRDefault="00BE5CD4" w14:paraId="114F0E14"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870</w:t>
            </w:r>
          </w:p>
        </w:tc>
      </w:tr>
      <w:tr w:rsidRPr="005F055E" w:rsidR="00BE5CD4" w:rsidTr="00EC7257" w14:paraId="6795D4DF" w14:textId="77777777">
        <w:trPr>
          <w:trHeight w:val="300"/>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5F055E" w:rsidR="00BE5CD4" w:rsidP="00180EEB" w:rsidRDefault="00BE5CD4" w14:paraId="2C014391" w14:textId="77777777">
            <w:pPr>
              <w:suppressAutoHyphens/>
              <w:spacing w:line="240" w:lineRule="atLeast"/>
              <w:rPr>
                <w:b w:val="0"/>
                <w:bCs w:val="0"/>
                <w:color w:val="000000"/>
                <w:szCs w:val="18"/>
                <w:lang w:eastAsia="nl-NL"/>
              </w:rPr>
            </w:pPr>
            <w:r w:rsidRPr="005F055E">
              <w:rPr>
                <w:color w:val="000000"/>
                <w:szCs w:val="18"/>
                <w:lang w:eastAsia="nl-NL"/>
              </w:rPr>
              <w:t>Geestelijke gezondheidszorg</w:t>
            </w:r>
          </w:p>
        </w:tc>
        <w:tc>
          <w:tcPr>
            <w:tcW w:w="1957" w:type="dxa"/>
            <w:noWrap/>
            <w:hideMark/>
          </w:tcPr>
          <w:p w:rsidRPr="005F055E" w:rsidR="00BE5CD4" w:rsidP="00180EEB" w:rsidRDefault="00BE5CD4" w14:paraId="4789D543"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8,6%</w:t>
            </w:r>
          </w:p>
        </w:tc>
        <w:tc>
          <w:tcPr>
            <w:tcW w:w="1279" w:type="dxa"/>
            <w:noWrap/>
            <w:hideMark/>
          </w:tcPr>
          <w:p w:rsidRPr="005F055E" w:rsidR="00BE5CD4" w:rsidP="00180EEB" w:rsidRDefault="00BE5CD4" w14:paraId="0DC73F0A"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9.490</w:t>
            </w:r>
          </w:p>
        </w:tc>
        <w:tc>
          <w:tcPr>
            <w:tcW w:w="1277" w:type="dxa"/>
            <w:noWrap/>
            <w:hideMark/>
          </w:tcPr>
          <w:p w:rsidRPr="005F055E" w:rsidR="00BE5CD4" w:rsidP="00180EEB" w:rsidRDefault="00BE5CD4" w14:paraId="2FCA11FD"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11.100</w:t>
            </w:r>
          </w:p>
        </w:tc>
        <w:tc>
          <w:tcPr>
            <w:tcW w:w="1508" w:type="dxa"/>
            <w:noWrap/>
            <w:hideMark/>
          </w:tcPr>
          <w:p w:rsidRPr="005F055E" w:rsidR="00BE5CD4" w:rsidP="00180EEB" w:rsidRDefault="00BE5CD4" w14:paraId="7620E8F4"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1.620</w:t>
            </w:r>
          </w:p>
        </w:tc>
      </w:tr>
      <w:tr w:rsidRPr="005F055E" w:rsidR="00BE5CD4" w:rsidTr="00EC7257" w14:paraId="5C3F5D22" w14:textId="77777777">
        <w:trPr>
          <w:trHeight w:val="300"/>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5F055E" w:rsidR="00BE5CD4" w:rsidP="00180EEB" w:rsidRDefault="00BE5CD4" w14:paraId="7A144F24" w14:textId="77777777">
            <w:pPr>
              <w:suppressAutoHyphens/>
              <w:spacing w:line="240" w:lineRule="atLeast"/>
              <w:rPr>
                <w:b w:val="0"/>
                <w:bCs w:val="0"/>
                <w:color w:val="000000"/>
                <w:szCs w:val="18"/>
                <w:lang w:eastAsia="nl-NL"/>
              </w:rPr>
            </w:pPr>
            <w:r w:rsidRPr="005F055E">
              <w:rPr>
                <w:color w:val="000000"/>
                <w:szCs w:val="18"/>
                <w:lang w:eastAsia="nl-NL"/>
              </w:rPr>
              <w:t>Huisartsen en gezondheidscentra</w:t>
            </w:r>
          </w:p>
        </w:tc>
        <w:tc>
          <w:tcPr>
            <w:tcW w:w="1957" w:type="dxa"/>
            <w:noWrap/>
            <w:hideMark/>
          </w:tcPr>
          <w:p w:rsidRPr="005F055E" w:rsidR="00BE5CD4" w:rsidP="00180EEB" w:rsidRDefault="00BE5CD4" w14:paraId="782D1A00"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8,3%</w:t>
            </w:r>
          </w:p>
        </w:tc>
        <w:tc>
          <w:tcPr>
            <w:tcW w:w="1279" w:type="dxa"/>
            <w:noWrap/>
            <w:hideMark/>
          </w:tcPr>
          <w:p w:rsidRPr="005F055E" w:rsidR="00BE5CD4" w:rsidP="00180EEB" w:rsidRDefault="00BE5CD4" w14:paraId="754B7100"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2.990</w:t>
            </w:r>
          </w:p>
        </w:tc>
        <w:tc>
          <w:tcPr>
            <w:tcW w:w="1277" w:type="dxa"/>
            <w:noWrap/>
            <w:hideMark/>
          </w:tcPr>
          <w:p w:rsidRPr="005F055E" w:rsidR="00BE5CD4" w:rsidP="00180EEB" w:rsidRDefault="00BE5CD4" w14:paraId="6A3B08B4"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4.140</w:t>
            </w:r>
          </w:p>
        </w:tc>
        <w:tc>
          <w:tcPr>
            <w:tcW w:w="1508" w:type="dxa"/>
            <w:noWrap/>
            <w:hideMark/>
          </w:tcPr>
          <w:p w:rsidRPr="005F055E" w:rsidR="00BE5CD4" w:rsidP="00180EEB" w:rsidRDefault="00BE5CD4" w14:paraId="75C9DD65"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1.150</w:t>
            </w:r>
          </w:p>
        </w:tc>
      </w:tr>
      <w:tr w:rsidRPr="005F055E" w:rsidR="00BE5CD4" w:rsidTr="00EC7257" w14:paraId="197C48FF" w14:textId="77777777">
        <w:trPr>
          <w:trHeight w:val="300"/>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5F055E" w:rsidR="00BE5CD4" w:rsidP="00180EEB" w:rsidRDefault="00BE5CD4" w14:paraId="05E4BB7F" w14:textId="77777777">
            <w:pPr>
              <w:suppressAutoHyphens/>
              <w:spacing w:line="240" w:lineRule="atLeast"/>
              <w:rPr>
                <w:b w:val="0"/>
                <w:bCs w:val="0"/>
                <w:color w:val="000000"/>
                <w:szCs w:val="18"/>
                <w:lang w:eastAsia="nl-NL"/>
              </w:rPr>
            </w:pPr>
            <w:r w:rsidRPr="005F055E">
              <w:rPr>
                <w:color w:val="000000"/>
                <w:szCs w:val="18"/>
                <w:lang w:eastAsia="nl-NL"/>
              </w:rPr>
              <w:t>Overige zorg en welzijn</w:t>
            </w:r>
          </w:p>
        </w:tc>
        <w:tc>
          <w:tcPr>
            <w:tcW w:w="1957" w:type="dxa"/>
            <w:noWrap/>
            <w:hideMark/>
          </w:tcPr>
          <w:p w:rsidRPr="005F055E" w:rsidR="00BE5CD4" w:rsidP="00180EEB" w:rsidRDefault="00BE5CD4" w14:paraId="32F997F5"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12,2%</w:t>
            </w:r>
          </w:p>
        </w:tc>
        <w:tc>
          <w:tcPr>
            <w:tcW w:w="1279" w:type="dxa"/>
            <w:noWrap/>
            <w:hideMark/>
          </w:tcPr>
          <w:p w:rsidRPr="005F055E" w:rsidR="00BE5CD4" w:rsidP="00180EEB" w:rsidRDefault="00BE5CD4" w14:paraId="2C475AE9"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16.730</w:t>
            </w:r>
          </w:p>
        </w:tc>
        <w:tc>
          <w:tcPr>
            <w:tcW w:w="1277" w:type="dxa"/>
            <w:noWrap/>
            <w:hideMark/>
          </w:tcPr>
          <w:p w:rsidRPr="005F055E" w:rsidR="00BE5CD4" w:rsidP="00180EEB" w:rsidRDefault="00BE5CD4" w14:paraId="48776C5E"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21.410</w:t>
            </w:r>
          </w:p>
        </w:tc>
        <w:tc>
          <w:tcPr>
            <w:tcW w:w="1508" w:type="dxa"/>
            <w:noWrap/>
            <w:hideMark/>
          </w:tcPr>
          <w:p w:rsidRPr="005F055E" w:rsidR="00BE5CD4" w:rsidP="00180EEB" w:rsidRDefault="00BE5CD4" w14:paraId="2885362E"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4.680</w:t>
            </w:r>
          </w:p>
        </w:tc>
      </w:tr>
      <w:tr w:rsidRPr="005F055E" w:rsidR="00BE5CD4" w:rsidTr="00EC7257" w14:paraId="2943B9B4" w14:textId="77777777">
        <w:trPr>
          <w:trHeight w:val="300"/>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5F055E" w:rsidR="00BE5CD4" w:rsidP="00180EEB" w:rsidRDefault="00BE5CD4" w14:paraId="500920A6" w14:textId="77777777">
            <w:pPr>
              <w:suppressAutoHyphens/>
              <w:spacing w:line="240" w:lineRule="atLeast"/>
              <w:rPr>
                <w:b w:val="0"/>
                <w:bCs w:val="0"/>
                <w:color w:val="000000"/>
                <w:szCs w:val="18"/>
                <w:lang w:eastAsia="nl-NL"/>
              </w:rPr>
            </w:pPr>
            <w:r w:rsidRPr="005F055E">
              <w:rPr>
                <w:color w:val="000000"/>
                <w:szCs w:val="18"/>
                <w:lang w:eastAsia="nl-NL"/>
              </w:rPr>
              <w:t>Verpleging, verzorging en thuiszorg</w:t>
            </w:r>
          </w:p>
        </w:tc>
        <w:tc>
          <w:tcPr>
            <w:tcW w:w="1957" w:type="dxa"/>
            <w:noWrap/>
            <w:hideMark/>
          </w:tcPr>
          <w:p w:rsidRPr="005F055E" w:rsidR="00BE5CD4" w:rsidP="00180EEB" w:rsidRDefault="00BE5CD4" w14:paraId="09365B1F"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11,2%</w:t>
            </w:r>
          </w:p>
        </w:tc>
        <w:tc>
          <w:tcPr>
            <w:tcW w:w="1279" w:type="dxa"/>
            <w:noWrap/>
            <w:hideMark/>
          </w:tcPr>
          <w:p w:rsidRPr="005F055E" w:rsidR="00BE5CD4" w:rsidP="00180EEB" w:rsidRDefault="00BE5CD4" w14:paraId="05526D70"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52.950</w:t>
            </w:r>
          </w:p>
        </w:tc>
        <w:tc>
          <w:tcPr>
            <w:tcW w:w="1277" w:type="dxa"/>
            <w:noWrap/>
            <w:hideMark/>
          </w:tcPr>
          <w:p w:rsidRPr="005F055E" w:rsidR="00BE5CD4" w:rsidP="00180EEB" w:rsidRDefault="00BE5CD4" w14:paraId="463D0581"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65.730</w:t>
            </w:r>
          </w:p>
        </w:tc>
        <w:tc>
          <w:tcPr>
            <w:tcW w:w="1508" w:type="dxa"/>
            <w:noWrap/>
            <w:hideMark/>
          </w:tcPr>
          <w:p w:rsidRPr="005F055E" w:rsidR="00BE5CD4" w:rsidP="00180EEB" w:rsidRDefault="00BE5CD4" w14:paraId="2E08F8F6"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12.780</w:t>
            </w:r>
          </w:p>
        </w:tc>
      </w:tr>
      <w:tr w:rsidRPr="005F055E" w:rsidR="00BE5CD4" w:rsidTr="00EC7257" w14:paraId="3212E818" w14:textId="77777777">
        <w:trPr>
          <w:trHeight w:val="300"/>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5F055E" w:rsidR="00BE5CD4" w:rsidP="00180EEB" w:rsidRDefault="00BE5CD4" w14:paraId="2637FB0B" w14:textId="77777777">
            <w:pPr>
              <w:suppressAutoHyphens/>
              <w:spacing w:line="240" w:lineRule="atLeast"/>
              <w:rPr>
                <w:b w:val="0"/>
                <w:bCs w:val="0"/>
                <w:color w:val="000000"/>
                <w:szCs w:val="18"/>
                <w:lang w:eastAsia="nl-NL"/>
              </w:rPr>
            </w:pPr>
            <w:r w:rsidRPr="005F055E">
              <w:rPr>
                <w:color w:val="000000"/>
                <w:szCs w:val="18"/>
                <w:lang w:eastAsia="nl-NL"/>
              </w:rPr>
              <w:t>Gehandicaptenzorg</w:t>
            </w:r>
          </w:p>
        </w:tc>
        <w:tc>
          <w:tcPr>
            <w:tcW w:w="1957" w:type="dxa"/>
            <w:noWrap/>
            <w:hideMark/>
          </w:tcPr>
          <w:p w:rsidRPr="005F055E" w:rsidR="00BE5CD4" w:rsidP="00180EEB" w:rsidRDefault="00BE5CD4" w14:paraId="4CA6A7DE"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9,3%</w:t>
            </w:r>
          </w:p>
        </w:tc>
        <w:tc>
          <w:tcPr>
            <w:tcW w:w="1279" w:type="dxa"/>
            <w:noWrap/>
            <w:hideMark/>
          </w:tcPr>
          <w:p w:rsidRPr="005F055E" w:rsidR="00BE5CD4" w:rsidP="00180EEB" w:rsidRDefault="00BE5CD4" w14:paraId="3082C571"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17.130</w:t>
            </w:r>
          </w:p>
        </w:tc>
        <w:tc>
          <w:tcPr>
            <w:tcW w:w="1277" w:type="dxa"/>
            <w:noWrap/>
            <w:hideMark/>
          </w:tcPr>
          <w:p w:rsidRPr="005F055E" w:rsidR="00BE5CD4" w:rsidP="00180EEB" w:rsidRDefault="00BE5CD4" w14:paraId="23DD5911"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19.750</w:t>
            </w:r>
          </w:p>
        </w:tc>
        <w:tc>
          <w:tcPr>
            <w:tcW w:w="1508" w:type="dxa"/>
            <w:noWrap/>
            <w:hideMark/>
          </w:tcPr>
          <w:p w:rsidRPr="005F055E" w:rsidR="00BE5CD4" w:rsidP="00180EEB" w:rsidRDefault="00BE5CD4" w14:paraId="7DAEB2EB"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2.620</w:t>
            </w:r>
          </w:p>
        </w:tc>
      </w:tr>
      <w:tr w:rsidRPr="005F055E" w:rsidR="00BE5CD4" w:rsidTr="00EC7257" w14:paraId="212B52DB" w14:textId="77777777">
        <w:trPr>
          <w:trHeight w:val="300"/>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5F055E" w:rsidR="00BE5CD4" w:rsidP="00180EEB" w:rsidRDefault="00BE5CD4" w14:paraId="1A5EAAFA" w14:textId="77777777">
            <w:pPr>
              <w:suppressAutoHyphens/>
              <w:spacing w:line="240" w:lineRule="atLeast"/>
              <w:rPr>
                <w:b w:val="0"/>
                <w:bCs w:val="0"/>
                <w:color w:val="000000"/>
                <w:szCs w:val="18"/>
                <w:lang w:eastAsia="nl-NL"/>
              </w:rPr>
            </w:pPr>
            <w:r w:rsidRPr="005F055E">
              <w:rPr>
                <w:color w:val="000000"/>
                <w:szCs w:val="18"/>
                <w:lang w:eastAsia="nl-NL"/>
              </w:rPr>
              <w:t>Jeugdzorg</w:t>
            </w:r>
          </w:p>
        </w:tc>
        <w:tc>
          <w:tcPr>
            <w:tcW w:w="1957" w:type="dxa"/>
            <w:noWrap/>
            <w:hideMark/>
          </w:tcPr>
          <w:p w:rsidRPr="005F055E" w:rsidR="00BE5CD4" w:rsidP="00180EEB" w:rsidRDefault="00BE5CD4" w14:paraId="3CD1EC85"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12,1%</w:t>
            </w:r>
          </w:p>
        </w:tc>
        <w:tc>
          <w:tcPr>
            <w:tcW w:w="1279" w:type="dxa"/>
            <w:noWrap/>
            <w:hideMark/>
          </w:tcPr>
          <w:p w:rsidRPr="005F055E" w:rsidR="00BE5CD4" w:rsidP="00180EEB" w:rsidRDefault="00BE5CD4" w14:paraId="5C6B90E4"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4.380</w:t>
            </w:r>
          </w:p>
        </w:tc>
        <w:tc>
          <w:tcPr>
            <w:tcW w:w="1277" w:type="dxa"/>
            <w:noWrap/>
            <w:hideMark/>
          </w:tcPr>
          <w:p w:rsidRPr="005F055E" w:rsidR="00BE5CD4" w:rsidP="00180EEB" w:rsidRDefault="00BE5CD4" w14:paraId="25A26E38"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5.680</w:t>
            </w:r>
          </w:p>
        </w:tc>
        <w:tc>
          <w:tcPr>
            <w:tcW w:w="1508" w:type="dxa"/>
            <w:noWrap/>
            <w:hideMark/>
          </w:tcPr>
          <w:p w:rsidRPr="005F055E" w:rsidR="00BE5CD4" w:rsidP="00180EEB" w:rsidRDefault="00BE5CD4" w14:paraId="636B29B1"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1.300</w:t>
            </w:r>
          </w:p>
        </w:tc>
      </w:tr>
      <w:tr w:rsidRPr="005F055E" w:rsidR="00BE5CD4" w:rsidTr="00EC7257" w14:paraId="1709CF12" w14:textId="77777777">
        <w:trPr>
          <w:trHeight w:val="300"/>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5F055E" w:rsidR="00BE5CD4" w:rsidP="00180EEB" w:rsidRDefault="00BE5CD4" w14:paraId="16165016" w14:textId="77777777">
            <w:pPr>
              <w:suppressAutoHyphens/>
              <w:spacing w:line="240" w:lineRule="atLeast"/>
              <w:rPr>
                <w:b w:val="0"/>
                <w:bCs w:val="0"/>
                <w:color w:val="000000"/>
                <w:szCs w:val="18"/>
                <w:lang w:eastAsia="nl-NL"/>
              </w:rPr>
            </w:pPr>
            <w:r w:rsidRPr="005F055E">
              <w:rPr>
                <w:color w:val="000000"/>
                <w:szCs w:val="18"/>
                <w:lang w:eastAsia="nl-NL"/>
              </w:rPr>
              <w:t>Sociaal werk</w:t>
            </w:r>
          </w:p>
        </w:tc>
        <w:tc>
          <w:tcPr>
            <w:tcW w:w="1957" w:type="dxa"/>
            <w:noWrap/>
            <w:hideMark/>
          </w:tcPr>
          <w:p w:rsidRPr="005F055E" w:rsidR="00BE5CD4" w:rsidP="00180EEB" w:rsidRDefault="00BE5CD4" w14:paraId="710B1C21"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15,4%</w:t>
            </w:r>
          </w:p>
        </w:tc>
        <w:tc>
          <w:tcPr>
            <w:tcW w:w="1279" w:type="dxa"/>
            <w:noWrap/>
            <w:hideMark/>
          </w:tcPr>
          <w:p w:rsidRPr="005F055E" w:rsidR="00BE5CD4" w:rsidP="00180EEB" w:rsidRDefault="00BE5CD4" w14:paraId="52430A69"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9.930</w:t>
            </w:r>
          </w:p>
        </w:tc>
        <w:tc>
          <w:tcPr>
            <w:tcW w:w="1277" w:type="dxa"/>
            <w:noWrap/>
            <w:hideMark/>
          </w:tcPr>
          <w:p w:rsidRPr="005F055E" w:rsidR="00BE5CD4" w:rsidP="00180EEB" w:rsidRDefault="00BE5CD4" w14:paraId="70F331B0"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13.150</w:t>
            </w:r>
          </w:p>
        </w:tc>
        <w:tc>
          <w:tcPr>
            <w:tcW w:w="1508" w:type="dxa"/>
            <w:noWrap/>
            <w:hideMark/>
          </w:tcPr>
          <w:p w:rsidRPr="005F055E" w:rsidR="00BE5CD4" w:rsidP="00180EEB" w:rsidRDefault="00BE5CD4" w14:paraId="3CC61B15"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3.230</w:t>
            </w:r>
          </w:p>
        </w:tc>
      </w:tr>
      <w:tr w:rsidRPr="005F055E" w:rsidR="00BE5CD4" w:rsidTr="00EC7257" w14:paraId="121A6D4C" w14:textId="77777777">
        <w:trPr>
          <w:trHeight w:val="300"/>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5F055E" w:rsidR="00BE5CD4" w:rsidP="00180EEB" w:rsidRDefault="00BE5CD4" w14:paraId="6E59A23A" w14:textId="77777777">
            <w:pPr>
              <w:suppressAutoHyphens/>
              <w:spacing w:line="240" w:lineRule="atLeast"/>
              <w:rPr>
                <w:b w:val="0"/>
                <w:bCs w:val="0"/>
                <w:color w:val="000000"/>
                <w:szCs w:val="18"/>
                <w:lang w:eastAsia="nl-NL"/>
              </w:rPr>
            </w:pPr>
            <w:r w:rsidRPr="005F055E">
              <w:rPr>
                <w:color w:val="000000"/>
                <w:szCs w:val="18"/>
                <w:lang w:eastAsia="nl-NL"/>
              </w:rPr>
              <w:t>Zorg en welzijn (smal)</w:t>
            </w:r>
          </w:p>
        </w:tc>
        <w:tc>
          <w:tcPr>
            <w:tcW w:w="1957" w:type="dxa"/>
            <w:noWrap/>
            <w:hideMark/>
          </w:tcPr>
          <w:p w:rsidRPr="005F055E" w:rsidR="00BE5CD4" w:rsidP="00180EEB" w:rsidRDefault="00BE5CD4" w14:paraId="7FB19037"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10,2%</w:t>
            </w:r>
          </w:p>
        </w:tc>
        <w:tc>
          <w:tcPr>
            <w:tcW w:w="1279" w:type="dxa"/>
            <w:noWrap/>
            <w:hideMark/>
          </w:tcPr>
          <w:p w:rsidRPr="005F055E" w:rsidR="00BE5CD4" w:rsidP="00180EEB" w:rsidRDefault="00BE5CD4" w14:paraId="59F685A4"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137.890</w:t>
            </w:r>
          </w:p>
        </w:tc>
        <w:tc>
          <w:tcPr>
            <w:tcW w:w="1277" w:type="dxa"/>
            <w:noWrap/>
            <w:hideMark/>
          </w:tcPr>
          <w:p w:rsidRPr="005F055E" w:rsidR="00BE5CD4" w:rsidP="00180EEB" w:rsidRDefault="00BE5CD4" w14:paraId="6171C190"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167.170</w:t>
            </w:r>
          </w:p>
        </w:tc>
        <w:tc>
          <w:tcPr>
            <w:tcW w:w="1508" w:type="dxa"/>
            <w:noWrap/>
            <w:hideMark/>
          </w:tcPr>
          <w:p w:rsidRPr="005F055E" w:rsidR="00BE5CD4" w:rsidP="00180EEB" w:rsidRDefault="00BE5CD4" w14:paraId="641B9B1C"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color w:val="000000"/>
                <w:szCs w:val="18"/>
                <w:lang w:eastAsia="nl-NL"/>
              </w:rPr>
            </w:pPr>
            <w:r w:rsidRPr="005F055E">
              <w:rPr>
                <w:color w:val="000000"/>
                <w:szCs w:val="18"/>
                <w:lang w:eastAsia="nl-NL"/>
              </w:rPr>
              <w:t>29.280</w:t>
            </w:r>
          </w:p>
        </w:tc>
      </w:tr>
    </w:tbl>
    <w:p w:rsidRPr="005F055E" w:rsidR="00BE5CD4" w:rsidP="00180EEB" w:rsidRDefault="00BE5CD4" w14:paraId="1ADFB435" w14:textId="77777777">
      <w:pPr>
        <w:suppressAutoHyphens/>
        <w:spacing w:line="240" w:lineRule="atLeast"/>
        <w:rPr>
          <w:i/>
          <w:iCs/>
          <w:sz w:val="16"/>
          <w:szCs w:val="16"/>
          <w:lang w:eastAsia="nl-NL"/>
        </w:rPr>
      </w:pPr>
      <w:r w:rsidRPr="005F055E">
        <w:rPr>
          <w:sz w:val="16"/>
          <w:szCs w:val="16"/>
          <w:lang w:eastAsia="nl-NL"/>
        </w:rPr>
        <w:t>Bron: CBS, AZW Statline. Vanwege de afronding op tientallen zit er soms een klein verschil tussen het totaal voor Zorg en Welzijn en de optelsom van de verschillende branches, en tussen het saldo van in- en uitstroom en de aftrek</w:t>
      </w:r>
      <w:r w:rsidRPr="005F055E">
        <w:rPr>
          <w:i/>
          <w:iCs/>
          <w:sz w:val="16"/>
          <w:szCs w:val="16"/>
          <w:lang w:eastAsia="nl-NL"/>
        </w:rPr>
        <w:t xml:space="preserve"> </w:t>
      </w:r>
    </w:p>
    <w:p w:rsidRPr="005F055E" w:rsidR="00575B14" w:rsidP="00180EEB" w:rsidRDefault="00575B14" w14:paraId="7C50E9FA" w14:textId="77777777">
      <w:pPr>
        <w:suppressAutoHyphens/>
        <w:spacing w:line="240" w:lineRule="atLeast"/>
        <w:rPr>
          <w:szCs w:val="18"/>
          <w:lang w:eastAsia="nl-NL"/>
        </w:rPr>
      </w:pPr>
    </w:p>
    <w:p w:rsidRPr="005F055E" w:rsidR="00912A7D" w:rsidP="00180EEB" w:rsidRDefault="003E7003" w14:paraId="0F33D553" w14:textId="77777777">
      <w:pPr>
        <w:suppressAutoHyphens/>
      </w:pPr>
      <w:r w:rsidRPr="005F055E">
        <w:t>Vraag 139</w:t>
      </w:r>
      <w:r w:rsidRPr="005F055E">
        <w:tab/>
      </w:r>
    </w:p>
    <w:p w:rsidRPr="005F055E" w:rsidR="00912A7D" w:rsidP="00180EEB" w:rsidRDefault="003E7003" w14:paraId="4E351D1B" w14:textId="77777777">
      <w:pPr>
        <w:suppressAutoHyphens/>
      </w:pPr>
      <w:r w:rsidRPr="005F055E">
        <w:t>Hoe groot is het aantal zorgmedewerkers dat binnen twee jaar na hun zorgopleiding uitstroomt naar een sector die geen onderdeel vormt van Zorg en Welzijn, uitgesplitst naar sector?</w:t>
      </w:r>
      <w:r w:rsidRPr="005F055E">
        <w:tab/>
      </w:r>
    </w:p>
    <w:p w:rsidRPr="005F055E" w:rsidR="003E7003" w:rsidP="00180EEB" w:rsidRDefault="003E7003" w14:paraId="6575B88F" w14:textId="528B89DF">
      <w:pPr>
        <w:suppressAutoHyphens/>
      </w:pPr>
      <w:r w:rsidRPr="005F055E">
        <w:t>Antwoord</w:t>
      </w:r>
    </w:p>
    <w:p w:rsidRPr="005F055E" w:rsidR="00912A7D" w:rsidP="00180EEB" w:rsidRDefault="00BE5CD4" w14:paraId="10504582" w14:textId="46AB47EA">
      <w:pPr>
        <w:suppressAutoHyphens/>
        <w:spacing w:line="240" w:lineRule="atLeast"/>
        <w:rPr>
          <w:szCs w:val="20"/>
          <w:lang w:eastAsia="nl-NL"/>
        </w:rPr>
      </w:pPr>
      <w:r w:rsidRPr="005F055E">
        <w:rPr>
          <w:szCs w:val="20"/>
          <w:lang w:eastAsia="nl-NL"/>
        </w:rPr>
        <w:t>Uit een onderzoek uit 2024 blijkt dat 12% van de werknemers binnen twee jaar na hun zorgopleiding uitstroomt uit de zorg (dat is inclusief degenen die tijdelijk vertrekken en binnen twee jaar weer in de zorg werkzaam zijn). De cijfers zijn afkomstig uit een onderzoek van SEO (2024; Voorkomen is beter dan genezen; Vroege uitval uit de zorgsector in kaart gebracht - SEO Economisch Onderzoek). Het gaat hier om werknemers, degenen die een overstap naar zzp-schap maken tellen mee als uitstroom. Daarnaast is in de afbakening van de zorg het welzijnswerk niet meegenomen. Degenen die uit bijvoorbeeld de jeugdzorg zijn overgestapt naar welzijnswerk tellen dus ook mee als uitstroom. Deze cijfers zijn niet uit te splitsen naar branche.</w:t>
      </w:r>
    </w:p>
    <w:p w:rsidRPr="005F055E" w:rsidR="00575B14" w:rsidP="00180EEB" w:rsidRDefault="00575B14" w14:paraId="2A8FED5F" w14:textId="77777777">
      <w:pPr>
        <w:suppressAutoHyphens/>
      </w:pPr>
    </w:p>
    <w:p w:rsidRPr="005F055E" w:rsidR="00912A7D" w:rsidP="00180EEB" w:rsidRDefault="003E7003" w14:paraId="4D19063B" w14:textId="77777777">
      <w:pPr>
        <w:suppressAutoHyphens/>
      </w:pPr>
      <w:r w:rsidRPr="005F055E">
        <w:t>Vraag 140</w:t>
      </w:r>
      <w:r w:rsidRPr="005F055E">
        <w:tab/>
      </w:r>
    </w:p>
    <w:p w:rsidRPr="005F055E" w:rsidR="00912A7D" w:rsidP="00180EEB" w:rsidRDefault="003E7003" w14:paraId="25C85850" w14:textId="77777777">
      <w:pPr>
        <w:suppressAutoHyphens/>
      </w:pPr>
      <w:r w:rsidRPr="005F055E">
        <w:t>Hoe groot is het aantal zorgmedewerkers dat binnen vijf jaar na hun zorgopleiding uitstroomt naar een sector die geen onderdeel vormt van Zorg en Welzijn, uitgesplitst naar sector?</w:t>
      </w:r>
      <w:r w:rsidRPr="005F055E">
        <w:tab/>
      </w:r>
    </w:p>
    <w:p w:rsidRPr="005F055E" w:rsidR="003E7003" w:rsidP="00180EEB" w:rsidRDefault="003E7003" w14:paraId="70364267" w14:textId="5410DBAD">
      <w:pPr>
        <w:suppressAutoHyphens/>
      </w:pPr>
      <w:r w:rsidRPr="005F055E">
        <w:t>Antwoord</w:t>
      </w:r>
    </w:p>
    <w:p w:rsidRPr="005F055E" w:rsidR="00BE5CD4" w:rsidP="00180EEB" w:rsidRDefault="00BE5CD4" w14:paraId="0BD151CC" w14:textId="45C96E3C">
      <w:pPr>
        <w:suppressAutoHyphens/>
        <w:spacing w:line="240" w:lineRule="atLeast"/>
        <w:rPr>
          <w:szCs w:val="20"/>
          <w:lang w:eastAsia="nl-NL"/>
        </w:rPr>
      </w:pPr>
      <w:r w:rsidRPr="005F055E">
        <w:rPr>
          <w:szCs w:val="20"/>
          <w:lang w:eastAsia="nl-NL"/>
        </w:rPr>
        <w:t xml:space="preserve">Uit een onderzoek uit 2024 blijkt dat 18% van de werknemers binnen vijf jaar na hun zorgopleiding uitstroomt uit de zorg (dat is inclusief degenen die tijdelijk vertrekken en binnen vijf jaar weer in de zorg werkzaam zijn). De cijfers zijn afkomstig uit een onderzoek van SEO (2024; Voorkomen is beter dan genezen; Vroege uitval uit de zorgsector in kaart gebracht - SEO Economisch Onderzoek). Het gaat hier om werknemers, degenen die een overstap naar zzp-schap maken tellen mee als uitstroom. Daarnaast is in de afbakening van de zorg het welzijnswerk niet meegenomen. Degenen die uit bijvoorbeeld de jeugdzorg zijn overgestapt naar welzijnswerk tellen dus ook mee als uitstroom. </w:t>
      </w:r>
    </w:p>
    <w:p w:rsidRPr="005F055E" w:rsidR="00BE5CD4" w:rsidP="00180EEB" w:rsidRDefault="00BE5CD4" w14:paraId="257E3352" w14:textId="5B96D86D">
      <w:pPr>
        <w:suppressAutoHyphens/>
        <w:spacing w:line="240" w:lineRule="atLeast"/>
        <w:rPr>
          <w:szCs w:val="20"/>
          <w:lang w:eastAsia="nl-NL"/>
        </w:rPr>
      </w:pPr>
      <w:r w:rsidRPr="005F055E">
        <w:rPr>
          <w:szCs w:val="20"/>
          <w:lang w:eastAsia="nl-NL"/>
        </w:rPr>
        <w:t xml:space="preserve">In het rapport van SEO zijn gegevens per branche opgenomen over degenen die binnen vijf jaar na diplomering vertrekken uit de sector. Hierbij zijn degenen die tijdelijk vertrekken en daarna weer in de zorg aan de slag gaan meegeteld. Deze cijfers geven daarmee een beeld van het aandeel werknemers dat binnen vijf jaar een vertrekbeweging maakt, maar niet van het aandeel dat na vijf jaar weg is uit de sector. Het onderzoek maakt op sectorniveau wel inzichtelijk hoeveel mensen er zijn vertrokken en weer teruggekomen, maar dit wordt niet gesplitst naar branche. Door dit aantal naar rato te verdelen over de branches, is een indicatie te geven van het aandeel mensen per branche dat binnen vijf jaar vertrekt uit de sector en in die periode niet meer terugkeert (zij zijn dus weg uit de sector). </w:t>
      </w:r>
    </w:p>
    <w:tbl>
      <w:tblPr>
        <w:tblStyle w:val="Tabelraster"/>
        <w:tblW w:w="5232" w:type="dxa"/>
        <w:tblLook w:val="04A0" w:firstRow="1" w:lastRow="0" w:firstColumn="1" w:lastColumn="0" w:noHBand="0" w:noVBand="1"/>
      </w:tblPr>
      <w:tblGrid>
        <w:gridCol w:w="4106"/>
        <w:gridCol w:w="1126"/>
      </w:tblGrid>
      <w:tr w:rsidRPr="005F055E" w:rsidR="00BE5CD4" w:rsidTr="00EC7257" w14:paraId="0D7DF76E" w14:textId="77777777">
        <w:trPr>
          <w:trHeight w:val="290"/>
        </w:trPr>
        <w:tc>
          <w:tcPr>
            <w:tcW w:w="4106" w:type="dxa"/>
            <w:noWrap/>
            <w:hideMark/>
          </w:tcPr>
          <w:p w:rsidRPr="005F055E" w:rsidR="00BE5CD4" w:rsidP="00180EEB" w:rsidRDefault="00BE5CD4" w14:paraId="75839C3D" w14:textId="77777777">
            <w:pPr>
              <w:suppressAutoHyphens/>
              <w:spacing w:line="240" w:lineRule="atLeast"/>
              <w:rPr>
                <w:rFonts w:ascii="Verdana" w:hAnsi="Verdana"/>
                <w:sz w:val="18"/>
                <w:szCs w:val="18"/>
                <w:lang w:eastAsia="nl-NL"/>
              </w:rPr>
            </w:pPr>
          </w:p>
        </w:tc>
        <w:tc>
          <w:tcPr>
            <w:tcW w:w="1126" w:type="dxa"/>
            <w:noWrap/>
            <w:hideMark/>
          </w:tcPr>
          <w:p w:rsidRPr="005F055E" w:rsidR="00BE5CD4" w:rsidP="00180EEB" w:rsidRDefault="00BE5CD4" w14:paraId="550DCCFD" w14:textId="77777777">
            <w:pPr>
              <w:suppressAutoHyphens/>
              <w:spacing w:line="240" w:lineRule="atLeast"/>
              <w:rPr>
                <w:rFonts w:ascii="Verdana" w:hAnsi="Verdana" w:cs="Calibri"/>
                <w:color w:val="000000"/>
                <w:sz w:val="18"/>
                <w:szCs w:val="18"/>
                <w:lang w:eastAsia="nl-NL"/>
              </w:rPr>
            </w:pPr>
            <w:r w:rsidRPr="005F055E">
              <w:rPr>
                <w:rFonts w:ascii="Verdana" w:hAnsi="Verdana" w:cs="Calibri"/>
                <w:color w:val="000000"/>
                <w:sz w:val="18"/>
                <w:szCs w:val="18"/>
                <w:lang w:eastAsia="nl-NL"/>
              </w:rPr>
              <w:t>Uitstroom</w:t>
            </w:r>
          </w:p>
        </w:tc>
      </w:tr>
      <w:tr w:rsidRPr="005F055E" w:rsidR="00BE5CD4" w:rsidTr="00EC7257" w14:paraId="6DE39A6C" w14:textId="77777777">
        <w:trPr>
          <w:trHeight w:val="290"/>
        </w:trPr>
        <w:tc>
          <w:tcPr>
            <w:tcW w:w="4106" w:type="dxa"/>
            <w:noWrap/>
            <w:hideMark/>
          </w:tcPr>
          <w:p w:rsidRPr="005F055E" w:rsidR="00BE5CD4" w:rsidP="00180EEB" w:rsidRDefault="00BE5CD4" w14:paraId="3489F18E" w14:textId="77777777">
            <w:pPr>
              <w:suppressAutoHyphens/>
              <w:spacing w:line="240" w:lineRule="atLeast"/>
              <w:rPr>
                <w:rFonts w:ascii="Verdana" w:hAnsi="Verdana" w:cs="Calibri"/>
                <w:color w:val="000000"/>
                <w:sz w:val="18"/>
                <w:szCs w:val="18"/>
                <w:lang w:eastAsia="nl-NL"/>
              </w:rPr>
            </w:pPr>
            <w:r w:rsidRPr="005F055E">
              <w:rPr>
                <w:rFonts w:ascii="Verdana" w:hAnsi="Verdana" w:cs="Calibri"/>
                <w:color w:val="000000"/>
                <w:sz w:val="18"/>
                <w:szCs w:val="18"/>
                <w:lang w:eastAsia="nl-NL"/>
              </w:rPr>
              <w:t>Zorg en welzijn (excl. sociaal domein)</w:t>
            </w:r>
          </w:p>
        </w:tc>
        <w:tc>
          <w:tcPr>
            <w:tcW w:w="1126" w:type="dxa"/>
            <w:noWrap/>
            <w:vAlign w:val="bottom"/>
          </w:tcPr>
          <w:p w:rsidRPr="005F055E" w:rsidR="00BE5CD4" w:rsidP="00180EEB" w:rsidRDefault="00BE5CD4" w14:paraId="2B04B013" w14:textId="77777777">
            <w:pPr>
              <w:suppressAutoHyphens/>
              <w:spacing w:line="240" w:lineRule="atLeast"/>
              <w:rPr>
                <w:rFonts w:ascii="Verdana" w:hAnsi="Verdana" w:cs="Calibri"/>
                <w:color w:val="000000"/>
                <w:sz w:val="18"/>
                <w:szCs w:val="18"/>
                <w:lang w:eastAsia="nl-NL"/>
              </w:rPr>
            </w:pPr>
            <w:r w:rsidRPr="005F055E">
              <w:rPr>
                <w:rFonts w:ascii="Verdana" w:hAnsi="Verdana" w:cs="Calibri"/>
                <w:color w:val="000000"/>
                <w:sz w:val="18"/>
                <w:szCs w:val="18"/>
                <w:lang w:eastAsia="nl-NL"/>
              </w:rPr>
              <w:t>18%</w:t>
            </w:r>
          </w:p>
        </w:tc>
      </w:tr>
      <w:tr w:rsidRPr="005F055E" w:rsidR="00BE5CD4" w:rsidTr="00EC7257" w14:paraId="6F49F2AC" w14:textId="77777777">
        <w:trPr>
          <w:trHeight w:val="290"/>
        </w:trPr>
        <w:tc>
          <w:tcPr>
            <w:tcW w:w="4106" w:type="dxa"/>
            <w:noWrap/>
            <w:hideMark/>
          </w:tcPr>
          <w:p w:rsidRPr="005F055E" w:rsidR="00BE5CD4" w:rsidP="00180EEB" w:rsidRDefault="00BE5CD4" w14:paraId="4FA8130D" w14:textId="77777777">
            <w:pPr>
              <w:suppressAutoHyphens/>
              <w:spacing w:line="240" w:lineRule="atLeast"/>
              <w:rPr>
                <w:rFonts w:ascii="Verdana" w:hAnsi="Verdana" w:cs="Calibri"/>
                <w:color w:val="000000"/>
                <w:sz w:val="18"/>
                <w:szCs w:val="18"/>
                <w:lang w:eastAsia="nl-NL"/>
              </w:rPr>
            </w:pPr>
            <w:r w:rsidRPr="005F055E">
              <w:rPr>
                <w:rFonts w:ascii="Verdana" w:hAnsi="Verdana" w:cs="Calibri"/>
                <w:color w:val="000000"/>
                <w:sz w:val="18"/>
                <w:szCs w:val="18"/>
                <w:lang w:eastAsia="nl-NL"/>
              </w:rPr>
              <w:t>Universitair medische centra</w:t>
            </w:r>
          </w:p>
        </w:tc>
        <w:tc>
          <w:tcPr>
            <w:tcW w:w="1126" w:type="dxa"/>
            <w:noWrap/>
            <w:vAlign w:val="bottom"/>
          </w:tcPr>
          <w:p w:rsidRPr="005F055E" w:rsidR="00BE5CD4" w:rsidP="00180EEB" w:rsidRDefault="00BE5CD4" w14:paraId="7DEFB043" w14:textId="77777777">
            <w:pPr>
              <w:suppressAutoHyphens/>
              <w:spacing w:line="240" w:lineRule="atLeast"/>
              <w:rPr>
                <w:rFonts w:ascii="Verdana" w:hAnsi="Verdana" w:cs="Calibri"/>
                <w:color w:val="000000"/>
                <w:sz w:val="18"/>
                <w:szCs w:val="18"/>
                <w:lang w:eastAsia="nl-NL"/>
              </w:rPr>
            </w:pPr>
            <w:r w:rsidRPr="005F055E">
              <w:rPr>
                <w:rFonts w:ascii="Verdana" w:hAnsi="Verdana" w:cs="Calibri"/>
                <w:color w:val="000000"/>
                <w:sz w:val="18"/>
                <w:szCs w:val="18"/>
                <w:lang w:eastAsia="nl-NL"/>
              </w:rPr>
              <w:t>19%</w:t>
            </w:r>
          </w:p>
        </w:tc>
      </w:tr>
      <w:tr w:rsidRPr="005F055E" w:rsidR="00BE5CD4" w:rsidTr="00EC7257" w14:paraId="552F86AE" w14:textId="77777777">
        <w:trPr>
          <w:trHeight w:val="290"/>
        </w:trPr>
        <w:tc>
          <w:tcPr>
            <w:tcW w:w="4106" w:type="dxa"/>
            <w:noWrap/>
            <w:hideMark/>
          </w:tcPr>
          <w:p w:rsidRPr="005F055E" w:rsidR="00BE5CD4" w:rsidP="00180EEB" w:rsidRDefault="00BE5CD4" w14:paraId="02EFA5E7" w14:textId="77777777">
            <w:pPr>
              <w:suppressAutoHyphens/>
              <w:spacing w:line="240" w:lineRule="atLeast"/>
              <w:rPr>
                <w:rFonts w:ascii="Verdana" w:hAnsi="Verdana" w:cs="Calibri"/>
                <w:color w:val="000000"/>
                <w:sz w:val="18"/>
                <w:szCs w:val="18"/>
                <w:lang w:eastAsia="nl-NL"/>
              </w:rPr>
            </w:pPr>
            <w:r w:rsidRPr="005F055E">
              <w:rPr>
                <w:rFonts w:ascii="Verdana" w:hAnsi="Verdana" w:cs="Calibri"/>
                <w:color w:val="000000"/>
                <w:sz w:val="18"/>
                <w:szCs w:val="18"/>
                <w:lang w:eastAsia="nl-NL"/>
              </w:rPr>
              <w:t xml:space="preserve">Ziekenhuizen en overige </w:t>
            </w:r>
            <w:proofErr w:type="spellStart"/>
            <w:r w:rsidRPr="005F055E">
              <w:rPr>
                <w:rFonts w:ascii="Verdana" w:hAnsi="Verdana" w:cs="Calibri"/>
                <w:color w:val="000000"/>
                <w:sz w:val="18"/>
                <w:szCs w:val="18"/>
                <w:lang w:eastAsia="nl-NL"/>
              </w:rPr>
              <w:t>med</w:t>
            </w:r>
            <w:proofErr w:type="spellEnd"/>
            <w:r w:rsidRPr="005F055E">
              <w:rPr>
                <w:rFonts w:ascii="Verdana" w:hAnsi="Verdana" w:cs="Calibri"/>
                <w:color w:val="000000"/>
                <w:sz w:val="18"/>
                <w:szCs w:val="18"/>
                <w:lang w:eastAsia="nl-NL"/>
              </w:rPr>
              <w:t xml:space="preserve">. </w:t>
            </w:r>
            <w:proofErr w:type="spellStart"/>
            <w:r w:rsidRPr="005F055E">
              <w:rPr>
                <w:rFonts w:ascii="Verdana" w:hAnsi="Verdana" w:cs="Calibri"/>
                <w:color w:val="000000"/>
                <w:sz w:val="18"/>
                <w:szCs w:val="18"/>
                <w:lang w:eastAsia="nl-NL"/>
              </w:rPr>
              <w:t>spec</w:t>
            </w:r>
            <w:proofErr w:type="spellEnd"/>
            <w:r w:rsidRPr="005F055E">
              <w:rPr>
                <w:rFonts w:ascii="Verdana" w:hAnsi="Verdana" w:cs="Calibri"/>
                <w:color w:val="000000"/>
                <w:sz w:val="18"/>
                <w:szCs w:val="18"/>
                <w:lang w:eastAsia="nl-NL"/>
              </w:rPr>
              <w:t>. zorg</w:t>
            </w:r>
          </w:p>
        </w:tc>
        <w:tc>
          <w:tcPr>
            <w:tcW w:w="1126" w:type="dxa"/>
            <w:noWrap/>
            <w:vAlign w:val="bottom"/>
          </w:tcPr>
          <w:p w:rsidRPr="005F055E" w:rsidR="00BE5CD4" w:rsidP="00180EEB" w:rsidRDefault="00BE5CD4" w14:paraId="3EBC344F" w14:textId="77777777">
            <w:pPr>
              <w:suppressAutoHyphens/>
              <w:spacing w:line="240" w:lineRule="atLeast"/>
              <w:rPr>
                <w:rFonts w:ascii="Verdana" w:hAnsi="Verdana" w:cs="Calibri"/>
                <w:color w:val="000000"/>
                <w:sz w:val="18"/>
                <w:szCs w:val="18"/>
                <w:lang w:eastAsia="nl-NL"/>
              </w:rPr>
            </w:pPr>
            <w:r w:rsidRPr="005F055E">
              <w:rPr>
                <w:rFonts w:ascii="Verdana" w:hAnsi="Verdana" w:cs="Calibri"/>
                <w:color w:val="000000"/>
                <w:sz w:val="18"/>
                <w:szCs w:val="18"/>
                <w:lang w:eastAsia="nl-NL"/>
              </w:rPr>
              <w:t>15%</w:t>
            </w:r>
          </w:p>
        </w:tc>
      </w:tr>
      <w:tr w:rsidRPr="005F055E" w:rsidR="00BE5CD4" w:rsidTr="00EC7257" w14:paraId="6E2FF937" w14:textId="77777777">
        <w:trPr>
          <w:trHeight w:val="290"/>
        </w:trPr>
        <w:tc>
          <w:tcPr>
            <w:tcW w:w="4106" w:type="dxa"/>
            <w:noWrap/>
            <w:hideMark/>
          </w:tcPr>
          <w:p w:rsidRPr="005F055E" w:rsidR="00BE5CD4" w:rsidP="00180EEB" w:rsidRDefault="00BE5CD4" w14:paraId="1B4E92BC" w14:textId="77777777">
            <w:pPr>
              <w:suppressAutoHyphens/>
              <w:spacing w:line="240" w:lineRule="atLeast"/>
              <w:rPr>
                <w:rFonts w:ascii="Verdana" w:hAnsi="Verdana" w:cs="Calibri"/>
                <w:color w:val="000000"/>
                <w:sz w:val="18"/>
                <w:szCs w:val="18"/>
                <w:lang w:eastAsia="nl-NL"/>
              </w:rPr>
            </w:pPr>
            <w:r w:rsidRPr="005F055E">
              <w:rPr>
                <w:rFonts w:ascii="Verdana" w:hAnsi="Verdana" w:cs="Calibri"/>
                <w:color w:val="000000"/>
                <w:sz w:val="18"/>
                <w:szCs w:val="18"/>
                <w:lang w:eastAsia="nl-NL"/>
              </w:rPr>
              <w:t>Geestelijke gezondheidszorg</w:t>
            </w:r>
          </w:p>
        </w:tc>
        <w:tc>
          <w:tcPr>
            <w:tcW w:w="1126" w:type="dxa"/>
            <w:noWrap/>
            <w:vAlign w:val="bottom"/>
          </w:tcPr>
          <w:p w:rsidRPr="005F055E" w:rsidR="00BE5CD4" w:rsidP="00180EEB" w:rsidRDefault="00BE5CD4" w14:paraId="306001C0" w14:textId="77777777">
            <w:pPr>
              <w:suppressAutoHyphens/>
              <w:spacing w:line="240" w:lineRule="atLeast"/>
              <w:rPr>
                <w:rFonts w:ascii="Verdana" w:hAnsi="Verdana" w:cs="Calibri"/>
                <w:color w:val="000000"/>
                <w:sz w:val="18"/>
                <w:szCs w:val="18"/>
                <w:lang w:eastAsia="nl-NL"/>
              </w:rPr>
            </w:pPr>
            <w:r w:rsidRPr="005F055E">
              <w:rPr>
                <w:rFonts w:ascii="Verdana" w:hAnsi="Verdana" w:cs="Calibri"/>
                <w:color w:val="000000"/>
                <w:sz w:val="18"/>
                <w:szCs w:val="18"/>
                <w:lang w:eastAsia="nl-NL"/>
              </w:rPr>
              <w:t>18%</w:t>
            </w:r>
          </w:p>
        </w:tc>
      </w:tr>
      <w:tr w:rsidRPr="005F055E" w:rsidR="00BE5CD4" w:rsidTr="00EC7257" w14:paraId="2A80E94C" w14:textId="77777777">
        <w:trPr>
          <w:trHeight w:val="290"/>
        </w:trPr>
        <w:tc>
          <w:tcPr>
            <w:tcW w:w="4106" w:type="dxa"/>
            <w:noWrap/>
            <w:hideMark/>
          </w:tcPr>
          <w:p w:rsidRPr="005F055E" w:rsidR="00BE5CD4" w:rsidP="00180EEB" w:rsidRDefault="00BE5CD4" w14:paraId="4178A459" w14:textId="77777777">
            <w:pPr>
              <w:suppressAutoHyphens/>
              <w:spacing w:line="240" w:lineRule="atLeast"/>
              <w:rPr>
                <w:rFonts w:ascii="Verdana" w:hAnsi="Verdana" w:cs="Calibri"/>
                <w:color w:val="000000"/>
                <w:sz w:val="18"/>
                <w:szCs w:val="18"/>
                <w:lang w:eastAsia="nl-NL"/>
              </w:rPr>
            </w:pPr>
            <w:r w:rsidRPr="005F055E">
              <w:rPr>
                <w:rFonts w:ascii="Verdana" w:hAnsi="Verdana" w:cs="Calibri"/>
                <w:color w:val="000000"/>
                <w:sz w:val="18"/>
                <w:szCs w:val="18"/>
                <w:lang w:eastAsia="nl-NL"/>
              </w:rPr>
              <w:t>Huisartsen en gezondheidscentra</w:t>
            </w:r>
          </w:p>
        </w:tc>
        <w:tc>
          <w:tcPr>
            <w:tcW w:w="1126" w:type="dxa"/>
            <w:noWrap/>
            <w:vAlign w:val="bottom"/>
          </w:tcPr>
          <w:p w:rsidRPr="005F055E" w:rsidR="00BE5CD4" w:rsidP="00180EEB" w:rsidRDefault="00BE5CD4" w14:paraId="4C45BD6D" w14:textId="77777777">
            <w:pPr>
              <w:suppressAutoHyphens/>
              <w:spacing w:line="240" w:lineRule="atLeast"/>
              <w:rPr>
                <w:rFonts w:ascii="Verdana" w:hAnsi="Verdana" w:cs="Calibri"/>
                <w:color w:val="000000"/>
                <w:sz w:val="18"/>
                <w:szCs w:val="18"/>
                <w:lang w:eastAsia="nl-NL"/>
              </w:rPr>
            </w:pPr>
            <w:r w:rsidRPr="005F055E">
              <w:rPr>
                <w:rFonts w:ascii="Verdana" w:hAnsi="Verdana" w:cs="Calibri"/>
                <w:color w:val="000000"/>
                <w:sz w:val="18"/>
                <w:szCs w:val="18"/>
                <w:lang w:eastAsia="nl-NL"/>
              </w:rPr>
              <w:t>10%</w:t>
            </w:r>
          </w:p>
        </w:tc>
      </w:tr>
      <w:tr w:rsidRPr="005F055E" w:rsidR="00BE5CD4" w:rsidTr="00EC7257" w14:paraId="5E2B7369" w14:textId="77777777">
        <w:trPr>
          <w:trHeight w:val="290"/>
        </w:trPr>
        <w:tc>
          <w:tcPr>
            <w:tcW w:w="4106" w:type="dxa"/>
            <w:noWrap/>
            <w:hideMark/>
          </w:tcPr>
          <w:p w:rsidRPr="005F055E" w:rsidR="00BE5CD4" w:rsidP="00180EEB" w:rsidRDefault="00BE5CD4" w14:paraId="2E82D543" w14:textId="77777777">
            <w:pPr>
              <w:suppressAutoHyphens/>
              <w:spacing w:line="240" w:lineRule="atLeast"/>
              <w:rPr>
                <w:rFonts w:ascii="Verdana" w:hAnsi="Verdana" w:cs="Calibri"/>
                <w:color w:val="000000"/>
                <w:sz w:val="18"/>
                <w:szCs w:val="18"/>
                <w:lang w:eastAsia="nl-NL"/>
              </w:rPr>
            </w:pPr>
            <w:r w:rsidRPr="005F055E">
              <w:rPr>
                <w:rFonts w:ascii="Verdana" w:hAnsi="Verdana" w:cs="Calibri"/>
                <w:color w:val="000000"/>
                <w:sz w:val="18"/>
                <w:szCs w:val="18"/>
                <w:lang w:eastAsia="nl-NL"/>
              </w:rPr>
              <w:t>Overige zorg en welzijn</w:t>
            </w:r>
          </w:p>
        </w:tc>
        <w:tc>
          <w:tcPr>
            <w:tcW w:w="1126" w:type="dxa"/>
            <w:noWrap/>
            <w:vAlign w:val="bottom"/>
          </w:tcPr>
          <w:p w:rsidRPr="005F055E" w:rsidR="00BE5CD4" w:rsidP="00180EEB" w:rsidRDefault="00BE5CD4" w14:paraId="6C3C3E35" w14:textId="77777777">
            <w:pPr>
              <w:suppressAutoHyphens/>
              <w:spacing w:line="240" w:lineRule="atLeast"/>
              <w:rPr>
                <w:rFonts w:ascii="Verdana" w:hAnsi="Verdana" w:cs="Calibri"/>
                <w:color w:val="000000"/>
                <w:sz w:val="18"/>
                <w:szCs w:val="18"/>
                <w:lang w:eastAsia="nl-NL"/>
              </w:rPr>
            </w:pPr>
            <w:r w:rsidRPr="005F055E">
              <w:rPr>
                <w:rFonts w:ascii="Verdana" w:hAnsi="Verdana" w:cs="Calibri"/>
                <w:color w:val="000000"/>
                <w:sz w:val="18"/>
                <w:szCs w:val="18"/>
                <w:lang w:eastAsia="nl-NL"/>
              </w:rPr>
              <w:t>28%</w:t>
            </w:r>
          </w:p>
        </w:tc>
      </w:tr>
      <w:tr w:rsidRPr="005F055E" w:rsidR="00BE5CD4" w:rsidTr="00EC7257" w14:paraId="4FF677D3" w14:textId="77777777">
        <w:trPr>
          <w:trHeight w:val="290"/>
        </w:trPr>
        <w:tc>
          <w:tcPr>
            <w:tcW w:w="4106" w:type="dxa"/>
            <w:noWrap/>
            <w:hideMark/>
          </w:tcPr>
          <w:p w:rsidRPr="005F055E" w:rsidR="00BE5CD4" w:rsidP="00180EEB" w:rsidRDefault="00BE5CD4" w14:paraId="43F75C3C" w14:textId="77777777">
            <w:pPr>
              <w:suppressAutoHyphens/>
              <w:spacing w:line="240" w:lineRule="atLeast"/>
              <w:rPr>
                <w:rFonts w:ascii="Verdana" w:hAnsi="Verdana" w:cs="Calibri"/>
                <w:color w:val="000000"/>
                <w:sz w:val="18"/>
                <w:szCs w:val="18"/>
                <w:lang w:eastAsia="nl-NL"/>
              </w:rPr>
            </w:pPr>
            <w:r w:rsidRPr="005F055E">
              <w:rPr>
                <w:rFonts w:ascii="Verdana" w:hAnsi="Verdana" w:cs="Calibri"/>
                <w:color w:val="000000"/>
                <w:sz w:val="18"/>
                <w:szCs w:val="18"/>
                <w:lang w:eastAsia="nl-NL"/>
              </w:rPr>
              <w:t>Verpleging, verzorging en thuiszorg</w:t>
            </w:r>
          </w:p>
        </w:tc>
        <w:tc>
          <w:tcPr>
            <w:tcW w:w="1126" w:type="dxa"/>
            <w:noWrap/>
            <w:vAlign w:val="bottom"/>
          </w:tcPr>
          <w:p w:rsidRPr="005F055E" w:rsidR="00BE5CD4" w:rsidP="00180EEB" w:rsidRDefault="00BE5CD4" w14:paraId="039A4284" w14:textId="77777777">
            <w:pPr>
              <w:suppressAutoHyphens/>
              <w:spacing w:line="240" w:lineRule="atLeast"/>
              <w:rPr>
                <w:rFonts w:ascii="Verdana" w:hAnsi="Verdana" w:cs="Calibri"/>
                <w:color w:val="000000"/>
                <w:sz w:val="18"/>
                <w:szCs w:val="18"/>
                <w:lang w:eastAsia="nl-NL"/>
              </w:rPr>
            </w:pPr>
            <w:r w:rsidRPr="005F055E">
              <w:rPr>
                <w:rFonts w:ascii="Verdana" w:hAnsi="Verdana" w:cs="Calibri"/>
                <w:color w:val="000000"/>
                <w:sz w:val="18"/>
                <w:szCs w:val="18"/>
                <w:lang w:eastAsia="nl-NL"/>
              </w:rPr>
              <w:t>17%</w:t>
            </w:r>
          </w:p>
        </w:tc>
      </w:tr>
      <w:tr w:rsidRPr="005F055E" w:rsidR="00BE5CD4" w:rsidTr="00EC7257" w14:paraId="4CEF7D3D" w14:textId="77777777">
        <w:trPr>
          <w:trHeight w:val="290"/>
        </w:trPr>
        <w:tc>
          <w:tcPr>
            <w:tcW w:w="4106" w:type="dxa"/>
            <w:noWrap/>
            <w:hideMark/>
          </w:tcPr>
          <w:p w:rsidRPr="005F055E" w:rsidR="00BE5CD4" w:rsidP="00180EEB" w:rsidRDefault="00BE5CD4" w14:paraId="3D5FCA7F" w14:textId="77777777">
            <w:pPr>
              <w:suppressAutoHyphens/>
              <w:spacing w:line="240" w:lineRule="atLeast"/>
              <w:rPr>
                <w:rFonts w:ascii="Verdana" w:hAnsi="Verdana" w:cs="Calibri"/>
                <w:color w:val="000000"/>
                <w:sz w:val="18"/>
                <w:szCs w:val="18"/>
                <w:lang w:eastAsia="nl-NL"/>
              </w:rPr>
            </w:pPr>
            <w:r w:rsidRPr="005F055E">
              <w:rPr>
                <w:rFonts w:ascii="Verdana" w:hAnsi="Verdana" w:cs="Calibri"/>
                <w:color w:val="000000"/>
                <w:sz w:val="18"/>
                <w:szCs w:val="18"/>
                <w:lang w:eastAsia="nl-NL"/>
              </w:rPr>
              <w:t>Gehandicaptenzorg</w:t>
            </w:r>
          </w:p>
        </w:tc>
        <w:tc>
          <w:tcPr>
            <w:tcW w:w="1126" w:type="dxa"/>
            <w:noWrap/>
            <w:vAlign w:val="bottom"/>
          </w:tcPr>
          <w:p w:rsidRPr="005F055E" w:rsidR="00BE5CD4" w:rsidP="00180EEB" w:rsidRDefault="00BE5CD4" w14:paraId="1EE832BF" w14:textId="77777777">
            <w:pPr>
              <w:suppressAutoHyphens/>
              <w:spacing w:line="240" w:lineRule="atLeast"/>
              <w:rPr>
                <w:rFonts w:ascii="Verdana" w:hAnsi="Verdana" w:cs="Calibri"/>
                <w:color w:val="000000"/>
                <w:sz w:val="18"/>
                <w:szCs w:val="18"/>
                <w:lang w:eastAsia="nl-NL"/>
              </w:rPr>
            </w:pPr>
            <w:r w:rsidRPr="005F055E">
              <w:rPr>
                <w:rFonts w:ascii="Verdana" w:hAnsi="Verdana" w:cs="Calibri"/>
                <w:color w:val="000000"/>
                <w:sz w:val="18"/>
                <w:szCs w:val="18"/>
                <w:lang w:eastAsia="nl-NL"/>
              </w:rPr>
              <w:t>17%</w:t>
            </w:r>
          </w:p>
        </w:tc>
      </w:tr>
      <w:tr w:rsidRPr="005F055E" w:rsidR="00BE5CD4" w:rsidTr="00EC7257" w14:paraId="470BE4EE" w14:textId="77777777">
        <w:trPr>
          <w:trHeight w:val="290"/>
        </w:trPr>
        <w:tc>
          <w:tcPr>
            <w:tcW w:w="4106" w:type="dxa"/>
            <w:noWrap/>
            <w:hideMark/>
          </w:tcPr>
          <w:p w:rsidRPr="005F055E" w:rsidR="00BE5CD4" w:rsidP="00180EEB" w:rsidRDefault="00BE5CD4" w14:paraId="1AA45B50" w14:textId="77777777">
            <w:pPr>
              <w:suppressAutoHyphens/>
              <w:spacing w:line="240" w:lineRule="atLeast"/>
              <w:rPr>
                <w:rFonts w:ascii="Verdana" w:hAnsi="Verdana" w:cs="Calibri"/>
                <w:color w:val="000000"/>
                <w:sz w:val="18"/>
                <w:szCs w:val="18"/>
                <w:lang w:eastAsia="nl-NL"/>
              </w:rPr>
            </w:pPr>
            <w:r w:rsidRPr="005F055E">
              <w:rPr>
                <w:rFonts w:ascii="Verdana" w:hAnsi="Verdana" w:cs="Calibri"/>
                <w:color w:val="000000"/>
                <w:sz w:val="18"/>
                <w:szCs w:val="18"/>
                <w:lang w:eastAsia="nl-NL"/>
              </w:rPr>
              <w:t>Jeugdzorg</w:t>
            </w:r>
          </w:p>
        </w:tc>
        <w:tc>
          <w:tcPr>
            <w:tcW w:w="1126" w:type="dxa"/>
            <w:noWrap/>
            <w:vAlign w:val="bottom"/>
          </w:tcPr>
          <w:p w:rsidRPr="005F055E" w:rsidR="00BE5CD4" w:rsidP="00180EEB" w:rsidRDefault="00BE5CD4" w14:paraId="2E4FD0D9" w14:textId="77777777">
            <w:pPr>
              <w:suppressAutoHyphens/>
              <w:spacing w:line="240" w:lineRule="atLeast"/>
              <w:rPr>
                <w:rFonts w:ascii="Verdana" w:hAnsi="Verdana" w:cs="Calibri"/>
                <w:color w:val="000000"/>
                <w:sz w:val="18"/>
                <w:szCs w:val="18"/>
                <w:lang w:eastAsia="nl-NL"/>
              </w:rPr>
            </w:pPr>
            <w:r w:rsidRPr="005F055E">
              <w:rPr>
                <w:rFonts w:ascii="Verdana" w:hAnsi="Verdana" w:cs="Calibri"/>
                <w:color w:val="000000"/>
                <w:sz w:val="18"/>
                <w:szCs w:val="18"/>
                <w:lang w:eastAsia="nl-NL"/>
              </w:rPr>
              <w:t>43%</w:t>
            </w:r>
          </w:p>
        </w:tc>
      </w:tr>
    </w:tbl>
    <w:p w:rsidRPr="005F055E" w:rsidR="00912A7D" w:rsidP="00180EEB" w:rsidRDefault="00912A7D" w14:paraId="59533E3C" w14:textId="77777777">
      <w:pPr>
        <w:suppressAutoHyphens/>
      </w:pPr>
    </w:p>
    <w:p w:rsidRPr="005F055E" w:rsidR="00912A7D" w:rsidP="00180EEB" w:rsidRDefault="00912A7D" w14:paraId="0959854E" w14:textId="77777777">
      <w:pPr>
        <w:suppressAutoHyphens/>
      </w:pPr>
    </w:p>
    <w:p w:rsidRPr="005F055E" w:rsidR="00912A7D" w:rsidP="00180EEB" w:rsidRDefault="003E7003" w14:paraId="3A48ABD7" w14:textId="77777777">
      <w:pPr>
        <w:suppressAutoHyphens/>
      </w:pPr>
      <w:r w:rsidRPr="005F055E">
        <w:t>Vraag 141</w:t>
      </w:r>
      <w:r w:rsidRPr="005F055E">
        <w:tab/>
      </w:r>
    </w:p>
    <w:p w:rsidRPr="005F055E" w:rsidR="00912A7D" w:rsidP="00180EEB" w:rsidRDefault="003E7003" w14:paraId="2838930A" w14:textId="1D6DA041">
      <w:pPr>
        <w:suppressAutoHyphens/>
      </w:pPr>
      <w:r w:rsidRPr="005F055E">
        <w:t>Welk percentage van de mensen die beginnen aan een zorgopleiding stopt hier voortijdig mee?</w:t>
      </w:r>
    </w:p>
    <w:p w:rsidRPr="005F055E" w:rsidR="003E7003" w:rsidP="00180EEB" w:rsidRDefault="003E7003" w14:paraId="6C9E5E4E" w14:textId="10F52928">
      <w:pPr>
        <w:suppressAutoHyphens/>
      </w:pPr>
      <w:r w:rsidRPr="005F055E">
        <w:t>Antwoord</w:t>
      </w:r>
    </w:p>
    <w:p w:rsidRPr="005F055E" w:rsidR="00BE5CD4" w:rsidP="00180EEB" w:rsidRDefault="00BE5CD4" w14:paraId="7E5E6117" w14:textId="53ABF4EB">
      <w:pPr>
        <w:suppressAutoHyphens/>
        <w:spacing w:line="240" w:lineRule="atLeast"/>
        <w:rPr>
          <w:szCs w:val="20"/>
          <w:lang w:eastAsia="nl-NL"/>
        </w:rPr>
      </w:pPr>
      <w:r w:rsidRPr="005F055E">
        <w:rPr>
          <w:szCs w:val="20"/>
          <w:lang w:eastAsia="nl-NL"/>
        </w:rPr>
        <w:t xml:space="preserve">Binnen het AZW-programma zijn cijfers bekend over het studierendement. Dat is het aandeel leerlingen dat instroomt in een opleiding en binnen de nominale studieduur + één jaar een diploma heeft behaald voor die opleiding. Bijvoorbeeld: voor degenen die beginnen aan de mbo-opleiding tot verpleegkundige is gekeken naar het aandeel leerlingen dat binnen vijf jaar (vier jaar nominale studieduur + één jaar extra) het mbo-diploma verpleegkundige heeft behaald. Leerlingen die er langer dan vijf jaar over doen zijn hier niet meegeteld dus het daadwerkelijke aandeel leerlingen dat met diploma de opleiding verlaat zal iets hoger liggen. Ook degenen die overstappen naar een andere (zorg)opleiding en daar een diploma behalen zijn niet meegeteld. </w:t>
      </w:r>
    </w:p>
    <w:p w:rsidR="003B089D" w:rsidP="00180EEB" w:rsidRDefault="00BE5CD4" w14:paraId="280B17CC" w14:textId="4023F470">
      <w:pPr>
        <w:suppressAutoHyphens/>
        <w:spacing w:line="240" w:lineRule="atLeast"/>
        <w:rPr>
          <w:szCs w:val="20"/>
          <w:lang w:eastAsia="nl-NL"/>
        </w:rPr>
      </w:pPr>
      <w:r w:rsidRPr="005F055E">
        <w:rPr>
          <w:szCs w:val="20"/>
          <w:lang w:eastAsia="nl-NL"/>
        </w:rPr>
        <w:t>Het percentage leerlingen dat niet binnen de nominale studieduur + één jaar het diploma behaald is voor de zorg- en welzijnsopleidingen als volgt:</w:t>
      </w:r>
    </w:p>
    <w:tbl>
      <w:tblPr>
        <w:tblStyle w:val="Rastertabel1licht"/>
        <w:tblW w:w="5760" w:type="dxa"/>
        <w:tblLook w:val="04A0" w:firstRow="1" w:lastRow="0" w:firstColumn="1" w:lastColumn="0" w:noHBand="0" w:noVBand="1"/>
      </w:tblPr>
      <w:tblGrid>
        <w:gridCol w:w="960"/>
        <w:gridCol w:w="960"/>
        <w:gridCol w:w="960"/>
        <w:gridCol w:w="960"/>
        <w:gridCol w:w="960"/>
        <w:gridCol w:w="960"/>
      </w:tblGrid>
      <w:tr w:rsidRPr="00814BFA" w:rsidR="003B089D" w:rsidTr="00746F21" w14:paraId="0A3EE368"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rsidRPr="00814BFA" w:rsidR="003B089D" w:rsidP="00180EEB" w:rsidRDefault="003B089D" w14:paraId="0B7DB198" w14:textId="77777777">
            <w:pPr>
              <w:suppressAutoHyphens/>
              <w:rPr>
                <w:rFonts w:ascii="Times New Roman" w:hAnsi="Times New Roman"/>
                <w:sz w:val="20"/>
                <w:szCs w:val="24"/>
              </w:rPr>
            </w:pPr>
          </w:p>
        </w:tc>
        <w:tc>
          <w:tcPr>
            <w:tcW w:w="960" w:type="dxa"/>
            <w:noWrap/>
            <w:hideMark/>
          </w:tcPr>
          <w:p w:rsidRPr="00814BFA" w:rsidR="003B089D" w:rsidP="00180EEB" w:rsidRDefault="003B089D" w14:paraId="7012DA6D" w14:textId="77777777">
            <w:pPr>
              <w:suppressAutoHyphens/>
              <w:cnfStyle w:val="100000000000" w:firstRow="1" w:lastRow="0" w:firstColumn="0" w:lastColumn="0" w:oddVBand="0" w:evenVBand="0" w:oddHBand="0" w:evenHBand="0" w:firstRowFirstColumn="0" w:firstRowLastColumn="0" w:lastRowFirstColumn="0" w:lastRowLastColumn="0"/>
              <w:rPr>
                <w:rFonts w:ascii="Aptos Narrow" w:hAnsi="Aptos Narrow"/>
                <w:color w:val="000000"/>
                <w:sz w:val="22"/>
              </w:rPr>
            </w:pPr>
            <w:r w:rsidRPr="00814BFA">
              <w:rPr>
                <w:rFonts w:ascii="Aptos Narrow" w:hAnsi="Aptos Narrow"/>
                <w:color w:val="000000"/>
                <w:sz w:val="22"/>
              </w:rPr>
              <w:t>20</w:t>
            </w:r>
            <w:r>
              <w:rPr>
                <w:rFonts w:ascii="Aptos Narrow" w:hAnsi="Aptos Narrow"/>
                <w:color w:val="000000"/>
                <w:sz w:val="22"/>
              </w:rPr>
              <w:t>20</w:t>
            </w:r>
          </w:p>
        </w:tc>
        <w:tc>
          <w:tcPr>
            <w:tcW w:w="960" w:type="dxa"/>
            <w:noWrap/>
            <w:hideMark/>
          </w:tcPr>
          <w:p w:rsidRPr="00814BFA" w:rsidR="003B089D" w:rsidP="00180EEB" w:rsidRDefault="003B089D" w14:paraId="1E526902" w14:textId="77777777">
            <w:pPr>
              <w:suppressAutoHyphens/>
              <w:cnfStyle w:val="100000000000" w:firstRow="1" w:lastRow="0" w:firstColumn="0" w:lastColumn="0" w:oddVBand="0" w:evenVBand="0" w:oddHBand="0" w:evenHBand="0" w:firstRowFirstColumn="0" w:firstRowLastColumn="0" w:lastRowFirstColumn="0" w:lastRowLastColumn="0"/>
              <w:rPr>
                <w:rFonts w:ascii="Aptos Narrow" w:hAnsi="Aptos Narrow"/>
                <w:color w:val="000000"/>
                <w:sz w:val="22"/>
              </w:rPr>
            </w:pPr>
            <w:r w:rsidRPr="00814BFA">
              <w:rPr>
                <w:rFonts w:ascii="Aptos Narrow" w:hAnsi="Aptos Narrow"/>
                <w:color w:val="000000"/>
                <w:sz w:val="22"/>
              </w:rPr>
              <w:t>2021</w:t>
            </w:r>
          </w:p>
        </w:tc>
        <w:tc>
          <w:tcPr>
            <w:tcW w:w="960" w:type="dxa"/>
            <w:noWrap/>
            <w:hideMark/>
          </w:tcPr>
          <w:p w:rsidRPr="00814BFA" w:rsidR="003B089D" w:rsidP="00180EEB" w:rsidRDefault="003B089D" w14:paraId="5A932A4C" w14:textId="77777777">
            <w:pPr>
              <w:suppressAutoHyphens/>
              <w:cnfStyle w:val="100000000000" w:firstRow="1" w:lastRow="0" w:firstColumn="0" w:lastColumn="0" w:oddVBand="0" w:evenVBand="0" w:oddHBand="0" w:evenHBand="0" w:firstRowFirstColumn="0" w:firstRowLastColumn="0" w:lastRowFirstColumn="0" w:lastRowLastColumn="0"/>
              <w:rPr>
                <w:rFonts w:ascii="Aptos Narrow" w:hAnsi="Aptos Narrow"/>
                <w:color w:val="000000"/>
                <w:sz w:val="22"/>
              </w:rPr>
            </w:pPr>
            <w:r w:rsidRPr="00814BFA">
              <w:rPr>
                <w:rFonts w:ascii="Aptos Narrow" w:hAnsi="Aptos Narrow"/>
                <w:color w:val="000000"/>
                <w:sz w:val="22"/>
              </w:rPr>
              <w:t>2022</w:t>
            </w:r>
          </w:p>
        </w:tc>
        <w:tc>
          <w:tcPr>
            <w:tcW w:w="960" w:type="dxa"/>
            <w:noWrap/>
            <w:hideMark/>
          </w:tcPr>
          <w:p w:rsidRPr="00814BFA" w:rsidR="003B089D" w:rsidP="00180EEB" w:rsidRDefault="003B089D" w14:paraId="5ACA84C4" w14:textId="77777777">
            <w:pPr>
              <w:suppressAutoHyphens/>
              <w:cnfStyle w:val="100000000000" w:firstRow="1" w:lastRow="0" w:firstColumn="0" w:lastColumn="0" w:oddVBand="0" w:evenVBand="0" w:oddHBand="0" w:evenHBand="0" w:firstRowFirstColumn="0" w:firstRowLastColumn="0" w:lastRowFirstColumn="0" w:lastRowLastColumn="0"/>
              <w:rPr>
                <w:rFonts w:ascii="Aptos Narrow" w:hAnsi="Aptos Narrow"/>
                <w:color w:val="000000"/>
                <w:sz w:val="22"/>
              </w:rPr>
            </w:pPr>
            <w:r w:rsidRPr="00814BFA">
              <w:rPr>
                <w:rFonts w:ascii="Aptos Narrow" w:hAnsi="Aptos Narrow"/>
                <w:color w:val="000000"/>
                <w:sz w:val="22"/>
              </w:rPr>
              <w:t>2023</w:t>
            </w:r>
          </w:p>
        </w:tc>
        <w:tc>
          <w:tcPr>
            <w:tcW w:w="960" w:type="dxa"/>
            <w:noWrap/>
            <w:hideMark/>
          </w:tcPr>
          <w:p w:rsidRPr="00814BFA" w:rsidR="003B089D" w:rsidP="00180EEB" w:rsidRDefault="003B089D" w14:paraId="26544745" w14:textId="77777777">
            <w:pPr>
              <w:suppressAutoHyphens/>
              <w:cnfStyle w:val="100000000000" w:firstRow="1" w:lastRow="0" w:firstColumn="0" w:lastColumn="0" w:oddVBand="0" w:evenVBand="0" w:oddHBand="0" w:evenHBand="0" w:firstRowFirstColumn="0" w:firstRowLastColumn="0" w:lastRowFirstColumn="0" w:lastRowLastColumn="0"/>
              <w:rPr>
                <w:rFonts w:ascii="Aptos Narrow" w:hAnsi="Aptos Narrow"/>
                <w:color w:val="000000"/>
                <w:sz w:val="22"/>
              </w:rPr>
            </w:pPr>
            <w:r w:rsidRPr="00814BFA">
              <w:rPr>
                <w:rFonts w:ascii="Aptos Narrow" w:hAnsi="Aptos Narrow"/>
                <w:color w:val="000000"/>
                <w:sz w:val="22"/>
              </w:rPr>
              <w:t>2024*</w:t>
            </w:r>
          </w:p>
        </w:tc>
      </w:tr>
      <w:tr w:rsidRPr="00814BFA" w:rsidR="003B089D" w:rsidTr="00746F21" w14:paraId="5F1DDDC9" w14:textId="77777777">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rsidRPr="00814BFA" w:rsidR="003B089D" w:rsidP="00180EEB" w:rsidRDefault="003B089D" w14:paraId="29A6CF3F" w14:textId="77777777">
            <w:pPr>
              <w:suppressAutoHyphens/>
              <w:rPr>
                <w:rFonts w:ascii="Aptos Narrow" w:hAnsi="Aptos Narrow"/>
                <w:color w:val="000000"/>
                <w:sz w:val="22"/>
              </w:rPr>
            </w:pPr>
            <w:r>
              <w:rPr>
                <w:rFonts w:ascii="Aptos Narrow" w:hAnsi="Aptos Narrow"/>
                <w:color w:val="000000"/>
                <w:sz w:val="22"/>
              </w:rPr>
              <w:t>mbo</w:t>
            </w:r>
          </w:p>
        </w:tc>
        <w:tc>
          <w:tcPr>
            <w:tcW w:w="960" w:type="dxa"/>
            <w:noWrap/>
            <w:hideMark/>
          </w:tcPr>
          <w:p w:rsidRPr="00814BFA" w:rsidR="003B089D" w:rsidP="00180EEB" w:rsidRDefault="003B089D" w14:paraId="7F695BC8" w14:textId="77777777">
            <w:pPr>
              <w:suppressAutoHyphens/>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sidRPr="00814BFA">
              <w:rPr>
                <w:rFonts w:ascii="Aptos Narrow" w:hAnsi="Aptos Narrow"/>
                <w:color w:val="000000"/>
                <w:sz w:val="22"/>
              </w:rPr>
              <w:t>34</w:t>
            </w:r>
          </w:p>
        </w:tc>
        <w:tc>
          <w:tcPr>
            <w:tcW w:w="960" w:type="dxa"/>
            <w:noWrap/>
            <w:hideMark/>
          </w:tcPr>
          <w:p w:rsidRPr="00814BFA" w:rsidR="003B089D" w:rsidP="00180EEB" w:rsidRDefault="003B089D" w14:paraId="07F2F4D5" w14:textId="77777777">
            <w:pPr>
              <w:suppressAutoHyphens/>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sidRPr="00814BFA">
              <w:rPr>
                <w:rFonts w:ascii="Aptos Narrow" w:hAnsi="Aptos Narrow"/>
                <w:color w:val="000000"/>
                <w:sz w:val="22"/>
              </w:rPr>
              <w:t>34</w:t>
            </w:r>
          </w:p>
        </w:tc>
        <w:tc>
          <w:tcPr>
            <w:tcW w:w="960" w:type="dxa"/>
            <w:noWrap/>
            <w:hideMark/>
          </w:tcPr>
          <w:p w:rsidRPr="00814BFA" w:rsidR="003B089D" w:rsidP="00180EEB" w:rsidRDefault="003B089D" w14:paraId="0EA73585" w14:textId="77777777">
            <w:pPr>
              <w:suppressAutoHyphens/>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sidRPr="00814BFA">
              <w:rPr>
                <w:rFonts w:ascii="Aptos Narrow" w:hAnsi="Aptos Narrow"/>
                <w:color w:val="000000"/>
                <w:sz w:val="22"/>
              </w:rPr>
              <w:t>34</w:t>
            </w:r>
          </w:p>
        </w:tc>
        <w:tc>
          <w:tcPr>
            <w:tcW w:w="960" w:type="dxa"/>
            <w:noWrap/>
            <w:hideMark/>
          </w:tcPr>
          <w:p w:rsidRPr="00814BFA" w:rsidR="003B089D" w:rsidP="00180EEB" w:rsidRDefault="003B089D" w14:paraId="3FBCF440" w14:textId="77777777">
            <w:pPr>
              <w:suppressAutoHyphens/>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sidRPr="00814BFA">
              <w:rPr>
                <w:rFonts w:ascii="Aptos Narrow" w:hAnsi="Aptos Narrow"/>
                <w:color w:val="000000"/>
                <w:sz w:val="22"/>
              </w:rPr>
              <w:t>35</w:t>
            </w:r>
          </w:p>
        </w:tc>
        <w:tc>
          <w:tcPr>
            <w:tcW w:w="960" w:type="dxa"/>
            <w:noWrap/>
            <w:hideMark/>
          </w:tcPr>
          <w:p w:rsidRPr="00814BFA" w:rsidR="003B089D" w:rsidP="00180EEB" w:rsidRDefault="003B089D" w14:paraId="4EF31949" w14:textId="77777777">
            <w:pPr>
              <w:suppressAutoHyphens/>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sidRPr="00814BFA">
              <w:rPr>
                <w:rFonts w:ascii="Aptos Narrow" w:hAnsi="Aptos Narrow"/>
                <w:color w:val="000000"/>
                <w:sz w:val="22"/>
              </w:rPr>
              <w:t>37</w:t>
            </w:r>
          </w:p>
        </w:tc>
      </w:tr>
      <w:tr w:rsidRPr="00814BFA" w:rsidR="003B089D" w:rsidTr="00746F21" w14:paraId="2459C484" w14:textId="77777777">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rsidRPr="00814BFA" w:rsidR="003B089D" w:rsidP="00180EEB" w:rsidRDefault="003B089D" w14:paraId="17D240D0" w14:textId="77777777">
            <w:pPr>
              <w:suppressAutoHyphens/>
              <w:rPr>
                <w:rFonts w:ascii="Aptos Narrow" w:hAnsi="Aptos Narrow"/>
                <w:color w:val="000000"/>
                <w:sz w:val="22"/>
              </w:rPr>
            </w:pPr>
            <w:r>
              <w:rPr>
                <w:rFonts w:ascii="Aptos Narrow" w:hAnsi="Aptos Narrow"/>
                <w:color w:val="000000"/>
                <w:sz w:val="22"/>
              </w:rPr>
              <w:t>hbo</w:t>
            </w:r>
          </w:p>
        </w:tc>
        <w:tc>
          <w:tcPr>
            <w:tcW w:w="960" w:type="dxa"/>
            <w:noWrap/>
            <w:hideMark/>
          </w:tcPr>
          <w:p w:rsidRPr="00814BFA" w:rsidR="003B089D" w:rsidP="00180EEB" w:rsidRDefault="003B089D" w14:paraId="780D2867" w14:textId="77777777">
            <w:pPr>
              <w:suppressAutoHyphens/>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sidRPr="00814BFA">
              <w:rPr>
                <w:rFonts w:ascii="Aptos Narrow" w:hAnsi="Aptos Narrow"/>
                <w:color w:val="000000"/>
                <w:sz w:val="22"/>
              </w:rPr>
              <w:t>49</w:t>
            </w:r>
          </w:p>
        </w:tc>
        <w:tc>
          <w:tcPr>
            <w:tcW w:w="960" w:type="dxa"/>
            <w:noWrap/>
            <w:hideMark/>
          </w:tcPr>
          <w:p w:rsidRPr="00814BFA" w:rsidR="003B089D" w:rsidP="00180EEB" w:rsidRDefault="003B089D" w14:paraId="2BD3E424" w14:textId="77777777">
            <w:pPr>
              <w:suppressAutoHyphens/>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sidRPr="00814BFA">
              <w:rPr>
                <w:rFonts w:ascii="Aptos Narrow" w:hAnsi="Aptos Narrow"/>
                <w:color w:val="000000"/>
                <w:sz w:val="22"/>
              </w:rPr>
              <w:t>50</w:t>
            </w:r>
          </w:p>
        </w:tc>
        <w:tc>
          <w:tcPr>
            <w:tcW w:w="960" w:type="dxa"/>
            <w:noWrap/>
            <w:hideMark/>
          </w:tcPr>
          <w:p w:rsidRPr="00814BFA" w:rsidR="003B089D" w:rsidP="00180EEB" w:rsidRDefault="003B089D" w14:paraId="7AE40221" w14:textId="77777777">
            <w:pPr>
              <w:suppressAutoHyphens/>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sidRPr="00814BFA">
              <w:rPr>
                <w:rFonts w:ascii="Aptos Narrow" w:hAnsi="Aptos Narrow"/>
                <w:color w:val="000000"/>
                <w:sz w:val="22"/>
              </w:rPr>
              <w:t>51</w:t>
            </w:r>
          </w:p>
        </w:tc>
        <w:tc>
          <w:tcPr>
            <w:tcW w:w="960" w:type="dxa"/>
            <w:noWrap/>
            <w:hideMark/>
          </w:tcPr>
          <w:p w:rsidRPr="00814BFA" w:rsidR="003B089D" w:rsidP="00180EEB" w:rsidRDefault="003B089D" w14:paraId="1832B004" w14:textId="77777777">
            <w:pPr>
              <w:suppressAutoHyphens/>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sidRPr="00814BFA">
              <w:rPr>
                <w:rFonts w:ascii="Aptos Narrow" w:hAnsi="Aptos Narrow"/>
                <w:color w:val="000000"/>
                <w:sz w:val="22"/>
              </w:rPr>
              <w:t>52</w:t>
            </w:r>
          </w:p>
        </w:tc>
        <w:tc>
          <w:tcPr>
            <w:tcW w:w="960" w:type="dxa"/>
            <w:noWrap/>
            <w:hideMark/>
          </w:tcPr>
          <w:p w:rsidRPr="00814BFA" w:rsidR="003B089D" w:rsidP="00180EEB" w:rsidRDefault="003B089D" w14:paraId="6B973F06" w14:textId="77777777">
            <w:pPr>
              <w:suppressAutoHyphens/>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sidRPr="00814BFA">
              <w:rPr>
                <w:rFonts w:ascii="Aptos Narrow" w:hAnsi="Aptos Narrow"/>
                <w:color w:val="000000"/>
                <w:sz w:val="22"/>
              </w:rPr>
              <w:t>52</w:t>
            </w:r>
          </w:p>
        </w:tc>
      </w:tr>
      <w:tr w:rsidRPr="00814BFA" w:rsidR="003B089D" w:rsidTr="00746F21" w14:paraId="54A188C0" w14:textId="77777777">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rsidRPr="00814BFA" w:rsidR="003B089D" w:rsidP="00180EEB" w:rsidRDefault="003B089D" w14:paraId="22D4AED5" w14:textId="77777777">
            <w:pPr>
              <w:suppressAutoHyphens/>
              <w:rPr>
                <w:rFonts w:ascii="Aptos Narrow" w:hAnsi="Aptos Narrow"/>
                <w:color w:val="000000"/>
                <w:sz w:val="22"/>
              </w:rPr>
            </w:pPr>
            <w:r>
              <w:rPr>
                <w:rFonts w:ascii="Aptos Narrow" w:hAnsi="Aptos Narrow"/>
                <w:color w:val="000000"/>
                <w:sz w:val="22"/>
              </w:rPr>
              <w:t>wo</w:t>
            </w:r>
          </w:p>
        </w:tc>
        <w:tc>
          <w:tcPr>
            <w:tcW w:w="960" w:type="dxa"/>
            <w:noWrap/>
            <w:hideMark/>
          </w:tcPr>
          <w:p w:rsidRPr="00814BFA" w:rsidR="003B089D" w:rsidP="00180EEB" w:rsidRDefault="003B089D" w14:paraId="5443E1AB" w14:textId="77777777">
            <w:pPr>
              <w:suppressAutoHyphens/>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sidRPr="00814BFA">
              <w:rPr>
                <w:rFonts w:ascii="Aptos Narrow" w:hAnsi="Aptos Narrow"/>
                <w:color w:val="000000"/>
                <w:sz w:val="22"/>
              </w:rPr>
              <w:t>28</w:t>
            </w:r>
          </w:p>
        </w:tc>
        <w:tc>
          <w:tcPr>
            <w:tcW w:w="960" w:type="dxa"/>
            <w:noWrap/>
            <w:hideMark/>
          </w:tcPr>
          <w:p w:rsidRPr="00814BFA" w:rsidR="003B089D" w:rsidP="00180EEB" w:rsidRDefault="003B089D" w14:paraId="4B35311E" w14:textId="77777777">
            <w:pPr>
              <w:suppressAutoHyphens/>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sidRPr="00814BFA">
              <w:rPr>
                <w:rFonts w:ascii="Aptos Narrow" w:hAnsi="Aptos Narrow"/>
                <w:color w:val="000000"/>
                <w:sz w:val="22"/>
              </w:rPr>
              <w:t>29</w:t>
            </w:r>
          </w:p>
        </w:tc>
        <w:tc>
          <w:tcPr>
            <w:tcW w:w="960" w:type="dxa"/>
            <w:noWrap/>
            <w:hideMark/>
          </w:tcPr>
          <w:p w:rsidRPr="00814BFA" w:rsidR="003B089D" w:rsidP="00180EEB" w:rsidRDefault="003B089D" w14:paraId="52AA1720" w14:textId="77777777">
            <w:pPr>
              <w:suppressAutoHyphens/>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sidRPr="00814BFA">
              <w:rPr>
                <w:rFonts w:ascii="Aptos Narrow" w:hAnsi="Aptos Narrow"/>
                <w:color w:val="000000"/>
                <w:sz w:val="22"/>
              </w:rPr>
              <w:t>30</w:t>
            </w:r>
          </w:p>
        </w:tc>
        <w:tc>
          <w:tcPr>
            <w:tcW w:w="960" w:type="dxa"/>
            <w:noWrap/>
            <w:hideMark/>
          </w:tcPr>
          <w:p w:rsidRPr="00814BFA" w:rsidR="003B089D" w:rsidP="00180EEB" w:rsidRDefault="003B089D" w14:paraId="62460E8C" w14:textId="77777777">
            <w:pPr>
              <w:suppressAutoHyphens/>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sidRPr="00814BFA">
              <w:rPr>
                <w:rFonts w:ascii="Aptos Narrow" w:hAnsi="Aptos Narrow"/>
                <w:color w:val="000000"/>
                <w:sz w:val="22"/>
              </w:rPr>
              <w:t>31</w:t>
            </w:r>
          </w:p>
        </w:tc>
        <w:tc>
          <w:tcPr>
            <w:tcW w:w="960" w:type="dxa"/>
            <w:noWrap/>
            <w:hideMark/>
          </w:tcPr>
          <w:p w:rsidRPr="00814BFA" w:rsidR="003B089D" w:rsidP="00180EEB" w:rsidRDefault="003B089D" w14:paraId="34A90E97" w14:textId="77777777">
            <w:pPr>
              <w:suppressAutoHyphens/>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sidRPr="00814BFA">
              <w:rPr>
                <w:rFonts w:ascii="Aptos Narrow" w:hAnsi="Aptos Narrow"/>
                <w:color w:val="000000"/>
                <w:sz w:val="22"/>
              </w:rPr>
              <w:t>31</w:t>
            </w:r>
          </w:p>
        </w:tc>
      </w:tr>
    </w:tbl>
    <w:p w:rsidRPr="00C64B91" w:rsidR="003B089D" w:rsidP="00180EEB" w:rsidRDefault="003B089D" w14:paraId="18F969A3" w14:textId="77777777">
      <w:pPr>
        <w:suppressAutoHyphens/>
        <w:rPr>
          <w:sz w:val="14"/>
          <w:szCs w:val="14"/>
        </w:rPr>
      </w:pPr>
      <w:r w:rsidRPr="00C64B91">
        <w:rPr>
          <w:sz w:val="14"/>
          <w:szCs w:val="14"/>
        </w:rPr>
        <w:t xml:space="preserve">* Voorlopige cijfers. Het gaat hier om diplomajaren. Deze moeten als volgt worden gelezen: bij diplomajaar 2024 worden degenen geteld die de nominale studieduur + 1 jaar geleden zijn gestart met de opleiding maar (nog) geen diploma hebben gehaald. </w:t>
      </w:r>
    </w:p>
    <w:p w:rsidR="003B089D" w:rsidP="00180EEB" w:rsidRDefault="003B089D" w14:paraId="489D4786" w14:textId="77777777">
      <w:pPr>
        <w:suppressAutoHyphens/>
        <w:spacing w:line="240" w:lineRule="atLeast"/>
        <w:rPr>
          <w:szCs w:val="20"/>
          <w:lang w:eastAsia="nl-NL"/>
        </w:rPr>
      </w:pPr>
    </w:p>
    <w:p w:rsidRPr="005F055E" w:rsidR="006D333D" w:rsidP="00180EEB" w:rsidRDefault="006D333D" w14:paraId="366F75CF" w14:textId="77777777">
      <w:pPr>
        <w:suppressAutoHyphens/>
        <w:spacing w:line="240" w:lineRule="atLeast"/>
        <w:rPr>
          <w:szCs w:val="20"/>
          <w:lang w:eastAsia="nl-NL"/>
        </w:rPr>
      </w:pPr>
    </w:p>
    <w:p w:rsidR="003B089D" w:rsidP="00180EEB" w:rsidRDefault="003B089D" w14:paraId="3A77379F" w14:textId="77777777">
      <w:pPr>
        <w:suppressAutoHyphens/>
      </w:pPr>
      <w:r>
        <w:t>Ter vergelijking, voor de opleidingen buiten zorg en welzijn lag dit percentage in dezelfde periode:</w:t>
      </w:r>
    </w:p>
    <w:p w:rsidR="003B089D" w:rsidP="00180EEB" w:rsidRDefault="003B089D" w14:paraId="0A9D9100" w14:textId="77777777">
      <w:pPr>
        <w:pStyle w:val="Lijstalinea"/>
        <w:numPr>
          <w:ilvl w:val="0"/>
          <w:numId w:val="33"/>
        </w:numPr>
        <w:suppressAutoHyphens/>
      </w:pPr>
      <w:r>
        <w:t xml:space="preserve">steeds </w:t>
      </w:r>
      <w:r w:rsidRPr="008868B7">
        <w:t>1 tot 3 procentpunt h</w:t>
      </w:r>
      <w:r>
        <w:t>oger bij de mbo-opleidingen</w:t>
      </w:r>
    </w:p>
    <w:p w:rsidR="003B089D" w:rsidP="00180EEB" w:rsidRDefault="003B089D" w14:paraId="59D0765B" w14:textId="77777777">
      <w:pPr>
        <w:pStyle w:val="Lijstalinea"/>
        <w:numPr>
          <w:ilvl w:val="0"/>
          <w:numId w:val="33"/>
        </w:numPr>
        <w:suppressAutoHyphens/>
      </w:pPr>
      <w:r>
        <w:t>steeds 5 tot 10 procentpunt hoger bij de hbo-opleidingen</w:t>
      </w:r>
    </w:p>
    <w:p w:rsidRPr="008868B7" w:rsidR="003B089D" w:rsidP="00180EEB" w:rsidRDefault="003B089D" w14:paraId="2D59543B" w14:textId="77777777">
      <w:pPr>
        <w:pStyle w:val="Lijstalinea"/>
        <w:numPr>
          <w:ilvl w:val="0"/>
          <w:numId w:val="33"/>
        </w:numPr>
        <w:suppressAutoHyphens/>
      </w:pPr>
      <w:r>
        <w:t>steeds 9 tot 12 procentpunt hoger bij de wo-opleidingen</w:t>
      </w:r>
    </w:p>
    <w:p w:rsidRPr="00814BFA" w:rsidR="003B089D" w:rsidP="00180EEB" w:rsidRDefault="003B089D" w14:paraId="570126BC" w14:textId="77777777">
      <w:pPr>
        <w:suppressAutoHyphens/>
      </w:pPr>
      <w:r w:rsidRPr="00814BFA">
        <w:t>Bron: CBS, AZW Statline</w:t>
      </w:r>
    </w:p>
    <w:p w:rsidRPr="005F055E" w:rsidR="00912A7D" w:rsidP="00180EEB" w:rsidRDefault="00912A7D" w14:paraId="351B23E5" w14:textId="77777777">
      <w:pPr>
        <w:suppressAutoHyphens/>
      </w:pPr>
    </w:p>
    <w:p w:rsidRPr="005F055E" w:rsidR="00912A7D" w:rsidP="00180EEB" w:rsidRDefault="003E7003" w14:paraId="65F24184" w14:textId="77777777">
      <w:pPr>
        <w:suppressAutoHyphens/>
      </w:pPr>
      <w:r w:rsidRPr="005F055E">
        <w:t>Vraag 142</w:t>
      </w:r>
      <w:r w:rsidRPr="005F055E">
        <w:tab/>
      </w:r>
    </w:p>
    <w:p w:rsidRPr="005F055E" w:rsidR="00912A7D" w:rsidP="00180EEB" w:rsidRDefault="003E7003" w14:paraId="32CA3BA9" w14:textId="77777777">
      <w:pPr>
        <w:suppressAutoHyphens/>
      </w:pPr>
      <w:r w:rsidRPr="005F055E">
        <w:t>Wat is de OVA-ruimte voor 2026?</w:t>
      </w:r>
      <w:r w:rsidRPr="005F055E">
        <w:tab/>
      </w:r>
    </w:p>
    <w:p w:rsidRPr="005F055E" w:rsidR="003E7003" w:rsidP="00180EEB" w:rsidRDefault="003E7003" w14:paraId="1294BDF7" w14:textId="19C8434A">
      <w:pPr>
        <w:suppressAutoHyphens/>
      </w:pPr>
      <w:r w:rsidRPr="005F055E">
        <w:t>Antwoord</w:t>
      </w:r>
    </w:p>
    <w:p w:rsidRPr="005F055E" w:rsidR="00912A7D" w:rsidP="00180EEB" w:rsidRDefault="00575B14" w14:paraId="7ACCD952" w14:textId="7CB892F9">
      <w:pPr>
        <w:suppressAutoHyphens/>
      </w:pPr>
      <w:r w:rsidRPr="005F055E">
        <w:t>De OVA-ruimte voor 2026 bedraagt € 3,0 miljard structureel.</w:t>
      </w:r>
    </w:p>
    <w:p w:rsidRPr="005F055E" w:rsidR="00575B14" w:rsidP="00180EEB" w:rsidRDefault="00575B14" w14:paraId="60493657" w14:textId="77777777">
      <w:pPr>
        <w:suppressAutoHyphens/>
      </w:pPr>
    </w:p>
    <w:p w:rsidRPr="005F055E" w:rsidR="00912A7D" w:rsidP="00180EEB" w:rsidRDefault="003E7003" w14:paraId="42EA8085" w14:textId="77777777">
      <w:pPr>
        <w:suppressAutoHyphens/>
      </w:pPr>
      <w:r w:rsidRPr="005F055E">
        <w:t>Vraag 143</w:t>
      </w:r>
      <w:r w:rsidRPr="005F055E">
        <w:tab/>
      </w:r>
    </w:p>
    <w:p w:rsidRPr="005F055E" w:rsidR="00912A7D" w:rsidP="00180EEB" w:rsidRDefault="003E7003" w14:paraId="7DF0DC35" w14:textId="77777777">
      <w:pPr>
        <w:suppressAutoHyphens/>
      </w:pPr>
      <w:r w:rsidRPr="005F055E">
        <w:t>Hoeveel ruimte is er voor loongroei in de zorg als geheel in 2026? Met welk percentage zouden de salarissen gemiddeld gezien kunnen stijgen?</w:t>
      </w:r>
      <w:r w:rsidRPr="005F055E">
        <w:tab/>
      </w:r>
    </w:p>
    <w:p w:rsidRPr="005F055E" w:rsidR="003E7003" w:rsidP="00180EEB" w:rsidRDefault="003E7003" w14:paraId="6F48684C" w14:textId="395145D5">
      <w:pPr>
        <w:suppressAutoHyphens/>
      </w:pPr>
      <w:r w:rsidRPr="005F055E">
        <w:t>Antwoord</w:t>
      </w:r>
    </w:p>
    <w:p w:rsidRPr="005F055E" w:rsidR="00912A7D" w:rsidP="00180EEB" w:rsidRDefault="00BE5CD4" w14:paraId="67DD2E3E" w14:textId="1D340DE3">
      <w:pPr>
        <w:suppressAutoHyphens/>
        <w:spacing w:line="240" w:lineRule="atLeast"/>
        <w:rPr>
          <w:rFonts w:cs="Calibri"/>
          <w:color w:val="000000"/>
          <w:szCs w:val="18"/>
          <w:lang w:eastAsia="nl-NL"/>
        </w:rPr>
      </w:pPr>
      <w:r w:rsidRPr="005F055E">
        <w:rPr>
          <w:rFonts w:cs="Calibri"/>
          <w:color w:val="000000"/>
          <w:szCs w:val="18"/>
          <w:lang w:eastAsia="nl-NL"/>
        </w:rPr>
        <w:t>De contractloonruimte voor 2026 bedraagt 4,2% en de incidentele loonruimte 0,3%. De salarissen in de zorg zouden in 2026 op basis van de huidige raming kunnen stijgen met gemiddeld 4,5%.</w:t>
      </w:r>
    </w:p>
    <w:p w:rsidRPr="005F055E" w:rsidR="00575B14" w:rsidP="00180EEB" w:rsidRDefault="00575B14" w14:paraId="7F7B4FA8" w14:textId="77777777">
      <w:pPr>
        <w:suppressAutoHyphens/>
      </w:pPr>
    </w:p>
    <w:p w:rsidRPr="005F055E" w:rsidR="00912A7D" w:rsidP="00180EEB" w:rsidRDefault="003E7003" w14:paraId="153B2ED0" w14:textId="77777777">
      <w:pPr>
        <w:suppressAutoHyphens/>
      </w:pPr>
      <w:r w:rsidRPr="005F055E">
        <w:t>Vraag 144</w:t>
      </w:r>
      <w:r w:rsidRPr="005F055E">
        <w:tab/>
      </w:r>
    </w:p>
    <w:p w:rsidRPr="005F055E" w:rsidR="00912A7D" w:rsidP="00180EEB" w:rsidRDefault="003E7003" w14:paraId="2BEA0DC8" w14:textId="77777777">
      <w:pPr>
        <w:suppressAutoHyphens/>
      </w:pPr>
      <w:r w:rsidRPr="005F055E">
        <w:t>Hoeveel ziekenhuizen en ziekenhuislocaties zijn er sinds 2010 gesloten? Welke waren dit?</w:t>
      </w:r>
      <w:r w:rsidRPr="005F055E">
        <w:tab/>
      </w:r>
    </w:p>
    <w:p w:rsidRPr="005F055E" w:rsidR="00575B14" w:rsidP="00180EEB" w:rsidRDefault="003E7003" w14:paraId="7554031E" w14:textId="38ABE21C">
      <w:pPr>
        <w:suppressAutoHyphens/>
      </w:pPr>
      <w:r w:rsidRPr="005F055E">
        <w:t>Antwoord</w:t>
      </w:r>
    </w:p>
    <w:p w:rsidRPr="005F055E" w:rsidR="00575B14" w:rsidP="00180EEB" w:rsidRDefault="00575B14" w14:paraId="68DE12EF" w14:textId="350E0C3D">
      <w:pPr>
        <w:suppressAutoHyphens/>
        <w:rPr>
          <w:szCs w:val="18"/>
        </w:rPr>
      </w:pPr>
      <w:r w:rsidRPr="005F055E">
        <w:rPr>
          <w:szCs w:val="18"/>
        </w:rPr>
        <w:t xml:space="preserve">In onderstaande overzicht treft u per jaar het aantal algemene ziekenhuizen, academische ziekenhuizen, kinderziekenhuizen en buitenpoli’s op locatieniveau. De jaren 2017 en 2020 ontbreken. In deze jaren heeft er geen telling plaatsgevonden. Vanaf 2016 worden de kinderziekenhuizen voor het eerst apart vermeld. Vanaf 2018 zijn de locatiewijzigingen in kaart gebracht. Dit overzicht per jaar is tot stand gekomen op basis van handmatige inventarisaties. Er bestaat namelijk geen eenduidige bron waarmee het RIVM de jaarlijkse update kan verzorgen op de website vzinfo.nl. De handmatige inventarisatie is gebaseerd op de websites van de ziekenhuizen. Daarbij wordt aangetekend dat buitenpoli’s vaak moeilijk zijn terug te vinden op de websites, met name als er bijvoorbeeld voor maar 1 of 2 specialismen een spreekuur is. </w:t>
      </w:r>
    </w:p>
    <w:p w:rsidRPr="005F055E" w:rsidR="00575B14" w:rsidP="00180EEB" w:rsidRDefault="00575B14" w14:paraId="2C9F51D8" w14:textId="77777777">
      <w:pPr>
        <w:suppressAutoHyphens/>
        <w:rPr>
          <w:szCs w:val="18"/>
        </w:rPr>
      </w:pPr>
    </w:p>
    <w:p w:rsidRPr="005F055E" w:rsidR="00575B14" w:rsidP="00180EEB" w:rsidRDefault="00575B14" w14:paraId="0DC62143" w14:textId="4D5565FF">
      <w:pPr>
        <w:suppressAutoHyphens/>
        <w:rPr>
          <w:szCs w:val="18"/>
        </w:rPr>
      </w:pPr>
      <w:r w:rsidRPr="005F055E">
        <w:rPr>
          <w:i/>
          <w:iCs/>
          <w:szCs w:val="18"/>
        </w:rPr>
        <w:t>Aantal locaties algemene-, academische- en kinderziekenhuizen en aantal buitenpoli’s 2010–2025</w:t>
      </w:r>
    </w:p>
    <w:tbl>
      <w:tblPr>
        <w:tblStyle w:val="Tabelraster"/>
        <w:tblW w:w="8926" w:type="dxa"/>
        <w:tblLayout w:type="fixed"/>
        <w:tblLook w:val="04A0" w:firstRow="1" w:lastRow="0" w:firstColumn="1" w:lastColumn="0" w:noHBand="0" w:noVBand="1"/>
      </w:tblPr>
      <w:tblGrid>
        <w:gridCol w:w="704"/>
        <w:gridCol w:w="851"/>
        <w:gridCol w:w="1417"/>
        <w:gridCol w:w="992"/>
        <w:gridCol w:w="1276"/>
        <w:gridCol w:w="1134"/>
        <w:gridCol w:w="1559"/>
        <w:gridCol w:w="993"/>
      </w:tblGrid>
      <w:tr w:rsidRPr="005F055E" w:rsidR="00575B14" w:rsidTr="005E2643" w14:paraId="025F9E16" w14:textId="77777777">
        <w:tc>
          <w:tcPr>
            <w:tcW w:w="704" w:type="dxa"/>
          </w:tcPr>
          <w:p w:rsidRPr="005F055E" w:rsidR="00575B14" w:rsidP="00180EEB" w:rsidRDefault="00575B14" w14:paraId="04F6BE1E" w14:textId="77777777">
            <w:pPr>
              <w:suppressAutoHyphens/>
              <w:rPr>
                <w:rFonts w:ascii="Verdana" w:hAnsi="Verdana"/>
                <w:b/>
                <w:bCs/>
                <w:sz w:val="18"/>
                <w:szCs w:val="18"/>
              </w:rPr>
            </w:pPr>
            <w:r w:rsidRPr="005F055E">
              <w:rPr>
                <w:rFonts w:ascii="Verdana" w:hAnsi="Verdana"/>
                <w:b/>
                <w:bCs/>
                <w:sz w:val="18"/>
                <w:szCs w:val="18"/>
              </w:rPr>
              <w:t>Jaar</w:t>
            </w:r>
          </w:p>
        </w:tc>
        <w:tc>
          <w:tcPr>
            <w:tcW w:w="851" w:type="dxa"/>
          </w:tcPr>
          <w:p w:rsidRPr="005F055E" w:rsidR="00575B14" w:rsidP="00180EEB" w:rsidRDefault="00575B14" w14:paraId="08E82FE9" w14:textId="77777777">
            <w:pPr>
              <w:suppressAutoHyphens/>
              <w:rPr>
                <w:rFonts w:ascii="Verdana" w:hAnsi="Verdana"/>
                <w:sz w:val="18"/>
                <w:szCs w:val="18"/>
              </w:rPr>
            </w:pPr>
            <w:proofErr w:type="spellStart"/>
            <w:r w:rsidRPr="005F055E">
              <w:rPr>
                <w:rFonts w:ascii="Verdana" w:hAnsi="Verdana"/>
                <w:sz w:val="18"/>
                <w:szCs w:val="18"/>
              </w:rPr>
              <w:t>Algem</w:t>
            </w:r>
            <w:proofErr w:type="spellEnd"/>
            <w:r w:rsidRPr="005F055E">
              <w:rPr>
                <w:rFonts w:ascii="Verdana" w:hAnsi="Verdana"/>
                <w:sz w:val="18"/>
                <w:szCs w:val="18"/>
              </w:rPr>
              <w:t xml:space="preserve">-ne </w:t>
            </w:r>
          </w:p>
          <w:p w:rsidRPr="005F055E" w:rsidR="00575B14" w:rsidP="00180EEB" w:rsidRDefault="00575B14" w14:paraId="4E82BB29" w14:textId="77777777">
            <w:pPr>
              <w:suppressAutoHyphens/>
              <w:rPr>
                <w:rFonts w:ascii="Verdana" w:hAnsi="Verdana"/>
                <w:sz w:val="18"/>
                <w:szCs w:val="18"/>
              </w:rPr>
            </w:pPr>
            <w:proofErr w:type="spellStart"/>
            <w:r w:rsidRPr="005F055E">
              <w:rPr>
                <w:rFonts w:ascii="Verdana" w:hAnsi="Verdana"/>
                <w:sz w:val="18"/>
                <w:szCs w:val="18"/>
              </w:rPr>
              <w:t>Ziek-en</w:t>
            </w:r>
            <w:proofErr w:type="spellEnd"/>
            <w:r w:rsidRPr="005F055E">
              <w:rPr>
                <w:rFonts w:ascii="Verdana" w:hAnsi="Verdana"/>
                <w:sz w:val="18"/>
                <w:szCs w:val="18"/>
              </w:rPr>
              <w:t>-</w:t>
            </w:r>
          </w:p>
          <w:p w:rsidRPr="005F055E" w:rsidR="00575B14" w:rsidP="00180EEB" w:rsidRDefault="00575B14" w14:paraId="0852F29C" w14:textId="77777777">
            <w:pPr>
              <w:suppressAutoHyphens/>
              <w:rPr>
                <w:rFonts w:ascii="Verdana" w:hAnsi="Verdana"/>
                <w:sz w:val="18"/>
                <w:szCs w:val="18"/>
              </w:rPr>
            </w:pPr>
            <w:r w:rsidRPr="005F055E">
              <w:rPr>
                <w:rFonts w:ascii="Verdana" w:hAnsi="Verdana"/>
                <w:sz w:val="18"/>
                <w:szCs w:val="18"/>
              </w:rPr>
              <w:t xml:space="preserve">huizen </w:t>
            </w:r>
          </w:p>
          <w:p w:rsidRPr="005F055E" w:rsidR="00575B14" w:rsidP="00180EEB" w:rsidRDefault="00575B14" w14:paraId="7131EE8F" w14:textId="77777777">
            <w:pPr>
              <w:suppressAutoHyphens/>
              <w:rPr>
                <w:rFonts w:ascii="Verdana" w:hAnsi="Verdana"/>
                <w:sz w:val="18"/>
                <w:szCs w:val="18"/>
              </w:rPr>
            </w:pPr>
            <w:r w:rsidRPr="005F055E">
              <w:rPr>
                <w:rFonts w:ascii="Verdana" w:hAnsi="Verdana"/>
                <w:sz w:val="18"/>
                <w:szCs w:val="18"/>
              </w:rPr>
              <w:t>(</w:t>
            </w:r>
            <w:proofErr w:type="spellStart"/>
            <w:r w:rsidRPr="005F055E">
              <w:rPr>
                <w:rFonts w:ascii="Verdana" w:hAnsi="Verdana"/>
                <w:sz w:val="18"/>
                <w:szCs w:val="18"/>
              </w:rPr>
              <w:t>locat-ie</w:t>
            </w:r>
            <w:proofErr w:type="spellEnd"/>
            <w:r w:rsidRPr="005F055E">
              <w:rPr>
                <w:rFonts w:ascii="Verdana" w:hAnsi="Verdana"/>
                <w:sz w:val="18"/>
                <w:szCs w:val="18"/>
              </w:rPr>
              <w:t xml:space="preserve"> niveau)</w:t>
            </w:r>
          </w:p>
        </w:tc>
        <w:tc>
          <w:tcPr>
            <w:tcW w:w="1417" w:type="dxa"/>
          </w:tcPr>
          <w:p w:rsidRPr="005F055E" w:rsidR="00575B14" w:rsidP="00180EEB" w:rsidRDefault="00575B14" w14:paraId="2399E461" w14:textId="77777777">
            <w:pPr>
              <w:suppressAutoHyphens/>
              <w:rPr>
                <w:rFonts w:ascii="Verdana" w:hAnsi="Verdana"/>
                <w:sz w:val="18"/>
                <w:szCs w:val="18"/>
              </w:rPr>
            </w:pPr>
            <w:r w:rsidRPr="005F055E">
              <w:rPr>
                <w:rFonts w:ascii="Verdana" w:hAnsi="Verdana"/>
                <w:sz w:val="18"/>
                <w:szCs w:val="18"/>
              </w:rPr>
              <w:t xml:space="preserve">Locatie wijzigingen algemene </w:t>
            </w:r>
            <w:proofErr w:type="spellStart"/>
            <w:r w:rsidRPr="005F055E">
              <w:rPr>
                <w:rFonts w:ascii="Verdana" w:hAnsi="Verdana"/>
                <w:sz w:val="18"/>
                <w:szCs w:val="18"/>
              </w:rPr>
              <w:t>zieken-huizen</w:t>
            </w:r>
            <w:proofErr w:type="spellEnd"/>
          </w:p>
        </w:tc>
        <w:tc>
          <w:tcPr>
            <w:tcW w:w="992" w:type="dxa"/>
          </w:tcPr>
          <w:p w:rsidRPr="005F055E" w:rsidR="00575B14" w:rsidP="00180EEB" w:rsidRDefault="00575B14" w14:paraId="61DB1D9A" w14:textId="77777777">
            <w:pPr>
              <w:suppressAutoHyphens/>
              <w:rPr>
                <w:rFonts w:ascii="Verdana" w:hAnsi="Verdana"/>
                <w:sz w:val="18"/>
                <w:szCs w:val="18"/>
              </w:rPr>
            </w:pPr>
            <w:proofErr w:type="spellStart"/>
            <w:r w:rsidRPr="005F055E">
              <w:rPr>
                <w:rFonts w:ascii="Verdana" w:hAnsi="Verdana"/>
                <w:sz w:val="18"/>
                <w:szCs w:val="18"/>
              </w:rPr>
              <w:t>Acade-mische</w:t>
            </w:r>
            <w:proofErr w:type="spellEnd"/>
            <w:r w:rsidRPr="005F055E">
              <w:rPr>
                <w:rFonts w:ascii="Verdana" w:hAnsi="Verdana"/>
                <w:sz w:val="18"/>
                <w:szCs w:val="18"/>
              </w:rPr>
              <w:t xml:space="preserve"> </w:t>
            </w:r>
            <w:proofErr w:type="spellStart"/>
            <w:r w:rsidRPr="005F055E">
              <w:rPr>
                <w:rFonts w:ascii="Verdana" w:hAnsi="Verdana"/>
                <w:sz w:val="18"/>
                <w:szCs w:val="18"/>
              </w:rPr>
              <w:t>zieken-huizen</w:t>
            </w:r>
            <w:proofErr w:type="spellEnd"/>
            <w:r w:rsidRPr="005F055E">
              <w:rPr>
                <w:rFonts w:ascii="Verdana" w:hAnsi="Verdana"/>
                <w:sz w:val="18"/>
                <w:szCs w:val="18"/>
              </w:rPr>
              <w:t xml:space="preserve"> (</w:t>
            </w:r>
            <w:proofErr w:type="spellStart"/>
            <w:r w:rsidRPr="005F055E">
              <w:rPr>
                <w:rFonts w:ascii="Verdana" w:hAnsi="Verdana"/>
                <w:sz w:val="18"/>
                <w:szCs w:val="18"/>
              </w:rPr>
              <w:t>locatie-niveau</w:t>
            </w:r>
            <w:proofErr w:type="spellEnd"/>
            <w:r w:rsidRPr="005F055E">
              <w:rPr>
                <w:rFonts w:ascii="Verdana" w:hAnsi="Verdana"/>
                <w:sz w:val="18"/>
                <w:szCs w:val="18"/>
              </w:rPr>
              <w:t>)</w:t>
            </w:r>
          </w:p>
        </w:tc>
        <w:tc>
          <w:tcPr>
            <w:tcW w:w="1276" w:type="dxa"/>
          </w:tcPr>
          <w:p w:rsidRPr="005F055E" w:rsidR="00575B14" w:rsidP="00180EEB" w:rsidRDefault="00575B14" w14:paraId="2E0B77E9" w14:textId="77777777">
            <w:pPr>
              <w:suppressAutoHyphens/>
              <w:rPr>
                <w:rFonts w:ascii="Verdana" w:hAnsi="Verdana"/>
                <w:sz w:val="18"/>
                <w:szCs w:val="18"/>
              </w:rPr>
            </w:pPr>
            <w:r w:rsidRPr="005F055E">
              <w:rPr>
                <w:rFonts w:ascii="Verdana" w:hAnsi="Verdana"/>
                <w:sz w:val="18"/>
                <w:szCs w:val="18"/>
              </w:rPr>
              <w:t xml:space="preserve">Locatie wijzigingen </w:t>
            </w:r>
            <w:proofErr w:type="spellStart"/>
            <w:r w:rsidRPr="005F055E">
              <w:rPr>
                <w:rFonts w:ascii="Verdana" w:hAnsi="Verdana"/>
                <w:sz w:val="18"/>
                <w:szCs w:val="18"/>
              </w:rPr>
              <w:t>academ-ische</w:t>
            </w:r>
            <w:proofErr w:type="spellEnd"/>
            <w:r w:rsidRPr="005F055E">
              <w:rPr>
                <w:rFonts w:ascii="Verdana" w:hAnsi="Verdana"/>
                <w:sz w:val="18"/>
                <w:szCs w:val="18"/>
              </w:rPr>
              <w:t xml:space="preserve"> </w:t>
            </w:r>
            <w:proofErr w:type="spellStart"/>
            <w:r w:rsidRPr="005F055E">
              <w:rPr>
                <w:rFonts w:ascii="Verdana" w:hAnsi="Verdana"/>
                <w:sz w:val="18"/>
                <w:szCs w:val="18"/>
              </w:rPr>
              <w:t>zieken-huizen</w:t>
            </w:r>
            <w:proofErr w:type="spellEnd"/>
          </w:p>
        </w:tc>
        <w:tc>
          <w:tcPr>
            <w:tcW w:w="1134" w:type="dxa"/>
          </w:tcPr>
          <w:p w:rsidRPr="005F055E" w:rsidR="00575B14" w:rsidP="00180EEB" w:rsidRDefault="00575B14" w14:paraId="0903ECC1" w14:textId="77777777">
            <w:pPr>
              <w:suppressAutoHyphens/>
              <w:rPr>
                <w:rFonts w:ascii="Verdana" w:hAnsi="Verdana"/>
                <w:sz w:val="18"/>
                <w:szCs w:val="18"/>
              </w:rPr>
            </w:pPr>
            <w:r w:rsidRPr="005F055E">
              <w:rPr>
                <w:rFonts w:ascii="Verdana" w:hAnsi="Verdana"/>
                <w:sz w:val="18"/>
                <w:szCs w:val="18"/>
              </w:rPr>
              <w:t>Kinder-zieken- huizen (</w:t>
            </w:r>
            <w:proofErr w:type="spellStart"/>
            <w:r w:rsidRPr="005F055E">
              <w:rPr>
                <w:rFonts w:ascii="Verdana" w:hAnsi="Verdana"/>
                <w:sz w:val="18"/>
                <w:szCs w:val="18"/>
              </w:rPr>
              <w:t>locatie-niveau</w:t>
            </w:r>
            <w:proofErr w:type="spellEnd"/>
            <w:r w:rsidRPr="005F055E">
              <w:rPr>
                <w:rFonts w:ascii="Verdana" w:hAnsi="Verdana"/>
                <w:sz w:val="18"/>
                <w:szCs w:val="18"/>
              </w:rPr>
              <w:t>)</w:t>
            </w:r>
          </w:p>
          <w:p w:rsidRPr="005F055E" w:rsidR="00575B14" w:rsidP="00180EEB" w:rsidRDefault="00575B14" w14:paraId="769E6A0C" w14:textId="77777777">
            <w:pPr>
              <w:suppressAutoHyphens/>
              <w:rPr>
                <w:rFonts w:ascii="Verdana" w:hAnsi="Verdana"/>
                <w:sz w:val="18"/>
                <w:szCs w:val="18"/>
              </w:rPr>
            </w:pPr>
          </w:p>
          <w:p w:rsidRPr="005F055E" w:rsidR="00575B14" w:rsidP="00180EEB" w:rsidRDefault="00575B14" w14:paraId="36574891" w14:textId="77777777">
            <w:pPr>
              <w:suppressAutoHyphens/>
              <w:rPr>
                <w:rFonts w:ascii="Verdana" w:hAnsi="Verdana"/>
                <w:sz w:val="18"/>
                <w:szCs w:val="18"/>
              </w:rPr>
            </w:pPr>
          </w:p>
        </w:tc>
        <w:tc>
          <w:tcPr>
            <w:tcW w:w="1559" w:type="dxa"/>
          </w:tcPr>
          <w:p w:rsidRPr="005F055E" w:rsidR="00575B14" w:rsidP="00180EEB" w:rsidRDefault="00575B14" w14:paraId="4D87C668" w14:textId="77777777">
            <w:pPr>
              <w:suppressAutoHyphens/>
              <w:rPr>
                <w:rFonts w:ascii="Verdana" w:hAnsi="Verdana"/>
                <w:sz w:val="18"/>
                <w:szCs w:val="18"/>
              </w:rPr>
            </w:pPr>
            <w:r w:rsidRPr="005F055E">
              <w:rPr>
                <w:rFonts w:ascii="Verdana" w:hAnsi="Verdana"/>
                <w:sz w:val="18"/>
                <w:szCs w:val="18"/>
              </w:rPr>
              <w:t xml:space="preserve">Locatie </w:t>
            </w:r>
            <w:proofErr w:type="spellStart"/>
            <w:r w:rsidRPr="005F055E">
              <w:rPr>
                <w:rFonts w:ascii="Verdana" w:hAnsi="Verdana"/>
                <w:sz w:val="18"/>
                <w:szCs w:val="18"/>
              </w:rPr>
              <w:t>kinderzieken-huizen</w:t>
            </w:r>
            <w:proofErr w:type="spellEnd"/>
          </w:p>
        </w:tc>
        <w:tc>
          <w:tcPr>
            <w:tcW w:w="993" w:type="dxa"/>
          </w:tcPr>
          <w:p w:rsidRPr="005F055E" w:rsidR="00575B14" w:rsidP="00180EEB" w:rsidRDefault="00575B14" w14:paraId="6CD3548D" w14:textId="77777777">
            <w:pPr>
              <w:suppressAutoHyphens/>
              <w:rPr>
                <w:rFonts w:ascii="Verdana" w:hAnsi="Verdana"/>
                <w:sz w:val="18"/>
                <w:szCs w:val="18"/>
              </w:rPr>
            </w:pPr>
            <w:r w:rsidRPr="005F055E">
              <w:rPr>
                <w:rFonts w:ascii="Verdana" w:hAnsi="Verdana"/>
                <w:sz w:val="18"/>
                <w:szCs w:val="18"/>
              </w:rPr>
              <w:t>Buiten-poli’s (</w:t>
            </w:r>
            <w:proofErr w:type="spellStart"/>
            <w:r w:rsidRPr="005F055E">
              <w:rPr>
                <w:rFonts w:ascii="Verdana" w:hAnsi="Verdana"/>
                <w:sz w:val="18"/>
                <w:szCs w:val="18"/>
              </w:rPr>
              <w:t>locatie-niveau</w:t>
            </w:r>
            <w:proofErr w:type="spellEnd"/>
            <w:r w:rsidRPr="005F055E">
              <w:rPr>
                <w:rFonts w:ascii="Verdana" w:hAnsi="Verdana"/>
                <w:sz w:val="18"/>
                <w:szCs w:val="18"/>
              </w:rPr>
              <w:t>)</w:t>
            </w:r>
          </w:p>
        </w:tc>
      </w:tr>
      <w:tr w:rsidRPr="005F055E" w:rsidR="00575B14" w:rsidTr="005E2643" w14:paraId="79DB4B90" w14:textId="77777777">
        <w:tc>
          <w:tcPr>
            <w:tcW w:w="704" w:type="dxa"/>
          </w:tcPr>
          <w:p w:rsidRPr="005F055E" w:rsidR="00575B14" w:rsidP="00180EEB" w:rsidRDefault="00575B14" w14:paraId="29406505" w14:textId="77777777">
            <w:pPr>
              <w:suppressAutoHyphens/>
              <w:rPr>
                <w:rFonts w:ascii="Verdana" w:hAnsi="Verdana"/>
                <w:sz w:val="18"/>
                <w:szCs w:val="18"/>
              </w:rPr>
            </w:pPr>
            <w:r w:rsidRPr="005F055E">
              <w:rPr>
                <w:rFonts w:ascii="Verdana" w:hAnsi="Verdana"/>
                <w:sz w:val="18"/>
                <w:szCs w:val="18"/>
              </w:rPr>
              <w:t>2010</w:t>
            </w:r>
          </w:p>
        </w:tc>
        <w:tc>
          <w:tcPr>
            <w:tcW w:w="851" w:type="dxa"/>
          </w:tcPr>
          <w:p w:rsidRPr="005F055E" w:rsidR="00575B14" w:rsidP="00180EEB" w:rsidRDefault="00575B14" w14:paraId="26703F0C" w14:textId="77777777">
            <w:pPr>
              <w:suppressAutoHyphens/>
              <w:rPr>
                <w:rFonts w:ascii="Verdana" w:hAnsi="Verdana"/>
                <w:sz w:val="18"/>
                <w:szCs w:val="18"/>
              </w:rPr>
            </w:pPr>
            <w:r w:rsidRPr="005F055E">
              <w:rPr>
                <w:rFonts w:ascii="Verdana" w:hAnsi="Verdana"/>
                <w:sz w:val="18"/>
                <w:szCs w:val="18"/>
              </w:rPr>
              <w:t>126</w:t>
            </w:r>
          </w:p>
        </w:tc>
        <w:tc>
          <w:tcPr>
            <w:tcW w:w="1417" w:type="dxa"/>
          </w:tcPr>
          <w:p w:rsidRPr="005F055E" w:rsidR="00575B14" w:rsidP="00180EEB" w:rsidRDefault="00575B14" w14:paraId="3B2F6BC1" w14:textId="77777777">
            <w:pPr>
              <w:suppressAutoHyphens/>
              <w:rPr>
                <w:rFonts w:ascii="Verdana" w:hAnsi="Verdana"/>
                <w:sz w:val="18"/>
                <w:szCs w:val="18"/>
              </w:rPr>
            </w:pPr>
          </w:p>
        </w:tc>
        <w:tc>
          <w:tcPr>
            <w:tcW w:w="992" w:type="dxa"/>
          </w:tcPr>
          <w:p w:rsidRPr="005F055E" w:rsidR="00575B14" w:rsidP="00180EEB" w:rsidRDefault="00575B14" w14:paraId="25458E07" w14:textId="77777777">
            <w:pPr>
              <w:suppressAutoHyphens/>
              <w:rPr>
                <w:rFonts w:ascii="Verdana" w:hAnsi="Verdana"/>
                <w:sz w:val="18"/>
                <w:szCs w:val="18"/>
              </w:rPr>
            </w:pPr>
            <w:r w:rsidRPr="005F055E">
              <w:rPr>
                <w:rFonts w:ascii="Verdana" w:hAnsi="Verdana"/>
                <w:sz w:val="18"/>
                <w:szCs w:val="18"/>
              </w:rPr>
              <w:t>11</w:t>
            </w:r>
          </w:p>
        </w:tc>
        <w:tc>
          <w:tcPr>
            <w:tcW w:w="1276" w:type="dxa"/>
          </w:tcPr>
          <w:p w:rsidRPr="005F055E" w:rsidR="00575B14" w:rsidP="00180EEB" w:rsidRDefault="00575B14" w14:paraId="78665DE2" w14:textId="77777777">
            <w:pPr>
              <w:suppressAutoHyphens/>
              <w:rPr>
                <w:rFonts w:ascii="Verdana" w:hAnsi="Verdana"/>
                <w:sz w:val="18"/>
                <w:szCs w:val="18"/>
              </w:rPr>
            </w:pPr>
          </w:p>
        </w:tc>
        <w:tc>
          <w:tcPr>
            <w:tcW w:w="1134" w:type="dxa"/>
          </w:tcPr>
          <w:p w:rsidRPr="005F055E" w:rsidR="00575B14" w:rsidP="00180EEB" w:rsidRDefault="00575B14" w14:paraId="0A2CA1EA" w14:textId="77777777">
            <w:pPr>
              <w:suppressAutoHyphens/>
              <w:rPr>
                <w:rFonts w:ascii="Verdana" w:hAnsi="Verdana"/>
                <w:sz w:val="18"/>
                <w:szCs w:val="18"/>
              </w:rPr>
            </w:pPr>
          </w:p>
        </w:tc>
        <w:tc>
          <w:tcPr>
            <w:tcW w:w="1559" w:type="dxa"/>
          </w:tcPr>
          <w:p w:rsidRPr="005F055E" w:rsidR="00575B14" w:rsidP="00180EEB" w:rsidRDefault="00575B14" w14:paraId="6D4C3664" w14:textId="77777777">
            <w:pPr>
              <w:suppressAutoHyphens/>
              <w:rPr>
                <w:rFonts w:ascii="Verdana" w:hAnsi="Verdana"/>
                <w:sz w:val="18"/>
                <w:szCs w:val="18"/>
              </w:rPr>
            </w:pPr>
          </w:p>
        </w:tc>
        <w:tc>
          <w:tcPr>
            <w:tcW w:w="993" w:type="dxa"/>
          </w:tcPr>
          <w:p w:rsidRPr="005F055E" w:rsidR="00575B14" w:rsidP="00180EEB" w:rsidRDefault="00575B14" w14:paraId="1FCF96DC" w14:textId="77777777">
            <w:pPr>
              <w:suppressAutoHyphens/>
              <w:rPr>
                <w:rFonts w:ascii="Verdana" w:hAnsi="Verdana"/>
                <w:sz w:val="18"/>
                <w:szCs w:val="18"/>
              </w:rPr>
            </w:pPr>
            <w:r w:rsidRPr="005F055E">
              <w:rPr>
                <w:rFonts w:ascii="Verdana" w:hAnsi="Verdana"/>
                <w:sz w:val="18"/>
                <w:szCs w:val="18"/>
              </w:rPr>
              <w:t>83</w:t>
            </w:r>
          </w:p>
        </w:tc>
      </w:tr>
      <w:tr w:rsidRPr="005F055E" w:rsidR="00575B14" w:rsidTr="005E2643" w14:paraId="49506E45" w14:textId="77777777">
        <w:tc>
          <w:tcPr>
            <w:tcW w:w="704" w:type="dxa"/>
          </w:tcPr>
          <w:p w:rsidRPr="005F055E" w:rsidR="00575B14" w:rsidP="00180EEB" w:rsidRDefault="00575B14" w14:paraId="6CEEC4C0" w14:textId="77777777">
            <w:pPr>
              <w:suppressAutoHyphens/>
              <w:rPr>
                <w:rFonts w:ascii="Verdana" w:hAnsi="Verdana"/>
                <w:sz w:val="18"/>
                <w:szCs w:val="18"/>
              </w:rPr>
            </w:pPr>
            <w:r w:rsidRPr="005F055E">
              <w:rPr>
                <w:rFonts w:ascii="Verdana" w:hAnsi="Verdana"/>
                <w:sz w:val="18"/>
                <w:szCs w:val="18"/>
              </w:rPr>
              <w:t>2011</w:t>
            </w:r>
          </w:p>
        </w:tc>
        <w:tc>
          <w:tcPr>
            <w:tcW w:w="851" w:type="dxa"/>
          </w:tcPr>
          <w:p w:rsidRPr="005F055E" w:rsidR="00575B14" w:rsidP="00180EEB" w:rsidRDefault="00575B14" w14:paraId="1EFEFA41" w14:textId="77777777">
            <w:pPr>
              <w:suppressAutoHyphens/>
              <w:rPr>
                <w:rFonts w:ascii="Verdana" w:hAnsi="Verdana"/>
                <w:sz w:val="18"/>
                <w:szCs w:val="18"/>
              </w:rPr>
            </w:pPr>
            <w:r w:rsidRPr="005F055E">
              <w:rPr>
                <w:rFonts w:ascii="Verdana" w:hAnsi="Verdana"/>
                <w:sz w:val="18"/>
                <w:szCs w:val="18"/>
              </w:rPr>
              <w:t>123</w:t>
            </w:r>
          </w:p>
        </w:tc>
        <w:tc>
          <w:tcPr>
            <w:tcW w:w="1417" w:type="dxa"/>
          </w:tcPr>
          <w:p w:rsidRPr="005F055E" w:rsidR="00575B14" w:rsidP="00180EEB" w:rsidRDefault="00575B14" w14:paraId="36D356DF" w14:textId="77777777">
            <w:pPr>
              <w:suppressAutoHyphens/>
              <w:rPr>
                <w:rFonts w:ascii="Verdana" w:hAnsi="Verdana"/>
                <w:sz w:val="18"/>
                <w:szCs w:val="18"/>
              </w:rPr>
            </w:pPr>
          </w:p>
        </w:tc>
        <w:tc>
          <w:tcPr>
            <w:tcW w:w="992" w:type="dxa"/>
          </w:tcPr>
          <w:p w:rsidRPr="005F055E" w:rsidR="00575B14" w:rsidP="00180EEB" w:rsidRDefault="00575B14" w14:paraId="64B878E2" w14:textId="77777777">
            <w:pPr>
              <w:suppressAutoHyphens/>
              <w:rPr>
                <w:rFonts w:ascii="Verdana" w:hAnsi="Verdana"/>
                <w:sz w:val="18"/>
                <w:szCs w:val="18"/>
              </w:rPr>
            </w:pPr>
            <w:r w:rsidRPr="005F055E">
              <w:rPr>
                <w:rFonts w:ascii="Verdana" w:hAnsi="Verdana"/>
                <w:sz w:val="18"/>
                <w:szCs w:val="18"/>
              </w:rPr>
              <w:t>11</w:t>
            </w:r>
          </w:p>
        </w:tc>
        <w:tc>
          <w:tcPr>
            <w:tcW w:w="1276" w:type="dxa"/>
          </w:tcPr>
          <w:p w:rsidRPr="005F055E" w:rsidR="00575B14" w:rsidP="00180EEB" w:rsidRDefault="00575B14" w14:paraId="14026812" w14:textId="77777777">
            <w:pPr>
              <w:suppressAutoHyphens/>
              <w:rPr>
                <w:rFonts w:ascii="Verdana" w:hAnsi="Verdana"/>
                <w:sz w:val="18"/>
                <w:szCs w:val="18"/>
              </w:rPr>
            </w:pPr>
          </w:p>
        </w:tc>
        <w:tc>
          <w:tcPr>
            <w:tcW w:w="1134" w:type="dxa"/>
          </w:tcPr>
          <w:p w:rsidRPr="005F055E" w:rsidR="00575B14" w:rsidP="00180EEB" w:rsidRDefault="00575B14" w14:paraId="3B5F3895" w14:textId="77777777">
            <w:pPr>
              <w:suppressAutoHyphens/>
              <w:rPr>
                <w:rFonts w:ascii="Verdana" w:hAnsi="Verdana"/>
                <w:sz w:val="18"/>
                <w:szCs w:val="18"/>
              </w:rPr>
            </w:pPr>
          </w:p>
        </w:tc>
        <w:tc>
          <w:tcPr>
            <w:tcW w:w="1559" w:type="dxa"/>
          </w:tcPr>
          <w:p w:rsidRPr="005F055E" w:rsidR="00575B14" w:rsidP="00180EEB" w:rsidRDefault="00575B14" w14:paraId="4F0A6EE4" w14:textId="77777777">
            <w:pPr>
              <w:suppressAutoHyphens/>
              <w:rPr>
                <w:rFonts w:ascii="Verdana" w:hAnsi="Verdana"/>
                <w:sz w:val="18"/>
                <w:szCs w:val="18"/>
              </w:rPr>
            </w:pPr>
          </w:p>
        </w:tc>
        <w:tc>
          <w:tcPr>
            <w:tcW w:w="993" w:type="dxa"/>
          </w:tcPr>
          <w:p w:rsidRPr="005F055E" w:rsidR="00575B14" w:rsidP="00180EEB" w:rsidRDefault="00575B14" w14:paraId="5E4CF499" w14:textId="77777777">
            <w:pPr>
              <w:suppressAutoHyphens/>
              <w:rPr>
                <w:rFonts w:ascii="Verdana" w:hAnsi="Verdana"/>
                <w:sz w:val="18"/>
                <w:szCs w:val="18"/>
              </w:rPr>
            </w:pPr>
            <w:r w:rsidRPr="005F055E">
              <w:rPr>
                <w:rFonts w:ascii="Verdana" w:hAnsi="Verdana"/>
                <w:sz w:val="18"/>
                <w:szCs w:val="18"/>
              </w:rPr>
              <w:t>88</w:t>
            </w:r>
          </w:p>
        </w:tc>
      </w:tr>
      <w:tr w:rsidRPr="005F055E" w:rsidR="00575B14" w:rsidTr="005E2643" w14:paraId="35B5AC5E" w14:textId="77777777">
        <w:tc>
          <w:tcPr>
            <w:tcW w:w="704" w:type="dxa"/>
          </w:tcPr>
          <w:p w:rsidRPr="005F055E" w:rsidR="00575B14" w:rsidP="00180EEB" w:rsidRDefault="00575B14" w14:paraId="2DA31AFE" w14:textId="77777777">
            <w:pPr>
              <w:suppressAutoHyphens/>
              <w:rPr>
                <w:rFonts w:ascii="Verdana" w:hAnsi="Verdana"/>
                <w:sz w:val="18"/>
                <w:szCs w:val="18"/>
              </w:rPr>
            </w:pPr>
            <w:r w:rsidRPr="005F055E">
              <w:rPr>
                <w:rFonts w:ascii="Verdana" w:hAnsi="Verdana"/>
                <w:sz w:val="18"/>
                <w:szCs w:val="18"/>
              </w:rPr>
              <w:t>2012</w:t>
            </w:r>
          </w:p>
        </w:tc>
        <w:tc>
          <w:tcPr>
            <w:tcW w:w="851" w:type="dxa"/>
          </w:tcPr>
          <w:p w:rsidRPr="005F055E" w:rsidR="00575B14" w:rsidP="00180EEB" w:rsidRDefault="00575B14" w14:paraId="654F5884" w14:textId="77777777">
            <w:pPr>
              <w:suppressAutoHyphens/>
              <w:rPr>
                <w:rFonts w:ascii="Verdana" w:hAnsi="Verdana"/>
                <w:sz w:val="18"/>
                <w:szCs w:val="18"/>
              </w:rPr>
            </w:pPr>
            <w:r w:rsidRPr="005F055E">
              <w:rPr>
                <w:rFonts w:ascii="Verdana" w:hAnsi="Verdana"/>
                <w:sz w:val="18"/>
                <w:szCs w:val="18"/>
              </w:rPr>
              <w:t>121</w:t>
            </w:r>
          </w:p>
        </w:tc>
        <w:tc>
          <w:tcPr>
            <w:tcW w:w="1417" w:type="dxa"/>
          </w:tcPr>
          <w:p w:rsidRPr="005F055E" w:rsidR="00575B14" w:rsidP="00180EEB" w:rsidRDefault="00575B14" w14:paraId="30039C6A" w14:textId="77777777">
            <w:pPr>
              <w:suppressAutoHyphens/>
              <w:rPr>
                <w:rFonts w:ascii="Verdana" w:hAnsi="Verdana"/>
                <w:sz w:val="18"/>
                <w:szCs w:val="18"/>
              </w:rPr>
            </w:pPr>
          </w:p>
        </w:tc>
        <w:tc>
          <w:tcPr>
            <w:tcW w:w="992" w:type="dxa"/>
          </w:tcPr>
          <w:p w:rsidRPr="005F055E" w:rsidR="00575B14" w:rsidP="00180EEB" w:rsidRDefault="00575B14" w14:paraId="15946DE5" w14:textId="77777777">
            <w:pPr>
              <w:suppressAutoHyphens/>
              <w:rPr>
                <w:rFonts w:ascii="Verdana" w:hAnsi="Verdana"/>
                <w:sz w:val="18"/>
                <w:szCs w:val="18"/>
              </w:rPr>
            </w:pPr>
            <w:r w:rsidRPr="005F055E">
              <w:rPr>
                <w:rFonts w:ascii="Verdana" w:hAnsi="Verdana"/>
                <w:sz w:val="18"/>
                <w:szCs w:val="18"/>
              </w:rPr>
              <w:t>11</w:t>
            </w:r>
          </w:p>
        </w:tc>
        <w:tc>
          <w:tcPr>
            <w:tcW w:w="1276" w:type="dxa"/>
          </w:tcPr>
          <w:p w:rsidRPr="005F055E" w:rsidR="00575B14" w:rsidP="00180EEB" w:rsidRDefault="00575B14" w14:paraId="7A48A66E" w14:textId="77777777">
            <w:pPr>
              <w:suppressAutoHyphens/>
              <w:rPr>
                <w:rFonts w:ascii="Verdana" w:hAnsi="Verdana"/>
                <w:sz w:val="18"/>
                <w:szCs w:val="18"/>
              </w:rPr>
            </w:pPr>
          </w:p>
        </w:tc>
        <w:tc>
          <w:tcPr>
            <w:tcW w:w="1134" w:type="dxa"/>
          </w:tcPr>
          <w:p w:rsidRPr="005F055E" w:rsidR="00575B14" w:rsidP="00180EEB" w:rsidRDefault="00575B14" w14:paraId="5025CBA9" w14:textId="77777777">
            <w:pPr>
              <w:suppressAutoHyphens/>
              <w:rPr>
                <w:rFonts w:ascii="Verdana" w:hAnsi="Verdana"/>
                <w:sz w:val="18"/>
                <w:szCs w:val="18"/>
              </w:rPr>
            </w:pPr>
          </w:p>
        </w:tc>
        <w:tc>
          <w:tcPr>
            <w:tcW w:w="1559" w:type="dxa"/>
          </w:tcPr>
          <w:p w:rsidRPr="005F055E" w:rsidR="00575B14" w:rsidP="00180EEB" w:rsidRDefault="00575B14" w14:paraId="5502FC6B" w14:textId="77777777">
            <w:pPr>
              <w:suppressAutoHyphens/>
              <w:rPr>
                <w:rFonts w:ascii="Verdana" w:hAnsi="Verdana"/>
                <w:sz w:val="18"/>
                <w:szCs w:val="18"/>
              </w:rPr>
            </w:pPr>
          </w:p>
        </w:tc>
        <w:tc>
          <w:tcPr>
            <w:tcW w:w="993" w:type="dxa"/>
          </w:tcPr>
          <w:p w:rsidRPr="005F055E" w:rsidR="00575B14" w:rsidP="00180EEB" w:rsidRDefault="00575B14" w14:paraId="6E9A6F88" w14:textId="77777777">
            <w:pPr>
              <w:suppressAutoHyphens/>
              <w:rPr>
                <w:rFonts w:ascii="Verdana" w:hAnsi="Verdana"/>
                <w:sz w:val="18"/>
                <w:szCs w:val="18"/>
              </w:rPr>
            </w:pPr>
            <w:r w:rsidRPr="005F055E">
              <w:rPr>
                <w:rFonts w:ascii="Verdana" w:hAnsi="Verdana"/>
                <w:sz w:val="18"/>
                <w:szCs w:val="18"/>
              </w:rPr>
              <w:t>97</w:t>
            </w:r>
          </w:p>
        </w:tc>
      </w:tr>
      <w:tr w:rsidRPr="005F055E" w:rsidR="00575B14" w:rsidTr="005E2643" w14:paraId="6EB32E59" w14:textId="77777777">
        <w:tc>
          <w:tcPr>
            <w:tcW w:w="704" w:type="dxa"/>
          </w:tcPr>
          <w:p w:rsidRPr="005F055E" w:rsidR="00575B14" w:rsidP="00180EEB" w:rsidRDefault="00575B14" w14:paraId="15A264A6" w14:textId="77777777">
            <w:pPr>
              <w:suppressAutoHyphens/>
              <w:rPr>
                <w:rFonts w:ascii="Verdana" w:hAnsi="Verdana"/>
                <w:sz w:val="18"/>
                <w:szCs w:val="18"/>
              </w:rPr>
            </w:pPr>
            <w:r w:rsidRPr="005F055E">
              <w:rPr>
                <w:rFonts w:ascii="Verdana" w:hAnsi="Verdana"/>
                <w:sz w:val="18"/>
                <w:szCs w:val="18"/>
              </w:rPr>
              <w:t>2013</w:t>
            </w:r>
          </w:p>
        </w:tc>
        <w:tc>
          <w:tcPr>
            <w:tcW w:w="851" w:type="dxa"/>
          </w:tcPr>
          <w:p w:rsidRPr="005F055E" w:rsidR="00575B14" w:rsidP="00180EEB" w:rsidRDefault="00575B14" w14:paraId="11FBE742" w14:textId="77777777">
            <w:pPr>
              <w:suppressAutoHyphens/>
              <w:rPr>
                <w:rFonts w:ascii="Verdana" w:hAnsi="Verdana"/>
                <w:sz w:val="18"/>
                <w:szCs w:val="18"/>
              </w:rPr>
            </w:pPr>
            <w:r w:rsidRPr="005F055E">
              <w:rPr>
                <w:rFonts w:ascii="Verdana" w:hAnsi="Verdana"/>
                <w:sz w:val="18"/>
                <w:szCs w:val="18"/>
              </w:rPr>
              <w:t>120</w:t>
            </w:r>
          </w:p>
        </w:tc>
        <w:tc>
          <w:tcPr>
            <w:tcW w:w="1417" w:type="dxa"/>
          </w:tcPr>
          <w:p w:rsidRPr="005F055E" w:rsidR="00575B14" w:rsidP="00180EEB" w:rsidRDefault="00575B14" w14:paraId="07E3963D" w14:textId="77777777">
            <w:pPr>
              <w:suppressAutoHyphens/>
              <w:rPr>
                <w:rFonts w:ascii="Verdana" w:hAnsi="Verdana"/>
                <w:sz w:val="18"/>
                <w:szCs w:val="18"/>
              </w:rPr>
            </w:pPr>
          </w:p>
        </w:tc>
        <w:tc>
          <w:tcPr>
            <w:tcW w:w="992" w:type="dxa"/>
          </w:tcPr>
          <w:p w:rsidRPr="005F055E" w:rsidR="00575B14" w:rsidP="00180EEB" w:rsidRDefault="00575B14" w14:paraId="41074BAC" w14:textId="77777777">
            <w:pPr>
              <w:suppressAutoHyphens/>
              <w:rPr>
                <w:rFonts w:ascii="Verdana" w:hAnsi="Verdana"/>
                <w:sz w:val="18"/>
                <w:szCs w:val="18"/>
              </w:rPr>
            </w:pPr>
            <w:r w:rsidRPr="005F055E">
              <w:rPr>
                <w:rFonts w:ascii="Verdana" w:hAnsi="Verdana"/>
                <w:sz w:val="18"/>
                <w:szCs w:val="18"/>
              </w:rPr>
              <w:t>11</w:t>
            </w:r>
          </w:p>
        </w:tc>
        <w:tc>
          <w:tcPr>
            <w:tcW w:w="1276" w:type="dxa"/>
          </w:tcPr>
          <w:p w:rsidRPr="005F055E" w:rsidR="00575B14" w:rsidP="00180EEB" w:rsidRDefault="00575B14" w14:paraId="4FEED116" w14:textId="77777777">
            <w:pPr>
              <w:suppressAutoHyphens/>
              <w:rPr>
                <w:rFonts w:ascii="Verdana" w:hAnsi="Verdana"/>
                <w:sz w:val="18"/>
                <w:szCs w:val="18"/>
              </w:rPr>
            </w:pPr>
          </w:p>
        </w:tc>
        <w:tc>
          <w:tcPr>
            <w:tcW w:w="1134" w:type="dxa"/>
          </w:tcPr>
          <w:p w:rsidRPr="005F055E" w:rsidR="00575B14" w:rsidP="00180EEB" w:rsidRDefault="00575B14" w14:paraId="17D81D66" w14:textId="77777777">
            <w:pPr>
              <w:suppressAutoHyphens/>
              <w:rPr>
                <w:rFonts w:ascii="Verdana" w:hAnsi="Verdana"/>
                <w:sz w:val="18"/>
                <w:szCs w:val="18"/>
              </w:rPr>
            </w:pPr>
          </w:p>
        </w:tc>
        <w:tc>
          <w:tcPr>
            <w:tcW w:w="1559" w:type="dxa"/>
          </w:tcPr>
          <w:p w:rsidRPr="005F055E" w:rsidR="00575B14" w:rsidP="00180EEB" w:rsidRDefault="00575B14" w14:paraId="58EC94D1" w14:textId="77777777">
            <w:pPr>
              <w:suppressAutoHyphens/>
              <w:rPr>
                <w:rFonts w:ascii="Verdana" w:hAnsi="Verdana"/>
                <w:sz w:val="18"/>
                <w:szCs w:val="18"/>
              </w:rPr>
            </w:pPr>
          </w:p>
        </w:tc>
        <w:tc>
          <w:tcPr>
            <w:tcW w:w="993" w:type="dxa"/>
          </w:tcPr>
          <w:p w:rsidRPr="005F055E" w:rsidR="00575B14" w:rsidP="00180EEB" w:rsidRDefault="00575B14" w14:paraId="0715E9B3" w14:textId="77777777">
            <w:pPr>
              <w:suppressAutoHyphens/>
              <w:rPr>
                <w:rFonts w:ascii="Verdana" w:hAnsi="Verdana"/>
                <w:sz w:val="18"/>
                <w:szCs w:val="18"/>
              </w:rPr>
            </w:pPr>
            <w:r w:rsidRPr="005F055E">
              <w:rPr>
                <w:rFonts w:ascii="Verdana" w:hAnsi="Verdana"/>
                <w:sz w:val="18"/>
                <w:szCs w:val="18"/>
              </w:rPr>
              <w:t>106</w:t>
            </w:r>
          </w:p>
        </w:tc>
      </w:tr>
      <w:tr w:rsidRPr="005F055E" w:rsidR="00575B14" w:rsidTr="005E2643" w14:paraId="236F44E3" w14:textId="77777777">
        <w:tc>
          <w:tcPr>
            <w:tcW w:w="704" w:type="dxa"/>
          </w:tcPr>
          <w:p w:rsidRPr="005F055E" w:rsidR="00575B14" w:rsidP="00180EEB" w:rsidRDefault="00575B14" w14:paraId="6B06009E" w14:textId="77777777">
            <w:pPr>
              <w:suppressAutoHyphens/>
              <w:rPr>
                <w:rFonts w:ascii="Verdana" w:hAnsi="Verdana"/>
                <w:sz w:val="18"/>
                <w:szCs w:val="18"/>
              </w:rPr>
            </w:pPr>
            <w:r w:rsidRPr="005F055E">
              <w:rPr>
                <w:rFonts w:ascii="Verdana" w:hAnsi="Verdana"/>
                <w:sz w:val="18"/>
                <w:szCs w:val="18"/>
              </w:rPr>
              <w:t>2014</w:t>
            </w:r>
          </w:p>
        </w:tc>
        <w:tc>
          <w:tcPr>
            <w:tcW w:w="851" w:type="dxa"/>
          </w:tcPr>
          <w:p w:rsidRPr="005F055E" w:rsidR="00575B14" w:rsidP="00180EEB" w:rsidRDefault="00575B14" w14:paraId="6052AA01" w14:textId="77777777">
            <w:pPr>
              <w:suppressAutoHyphens/>
              <w:rPr>
                <w:rFonts w:ascii="Verdana" w:hAnsi="Verdana"/>
                <w:sz w:val="18"/>
                <w:szCs w:val="18"/>
              </w:rPr>
            </w:pPr>
            <w:r w:rsidRPr="005F055E">
              <w:rPr>
                <w:rFonts w:ascii="Verdana" w:hAnsi="Verdana"/>
                <w:sz w:val="18"/>
                <w:szCs w:val="18"/>
              </w:rPr>
              <w:t>120</w:t>
            </w:r>
          </w:p>
        </w:tc>
        <w:tc>
          <w:tcPr>
            <w:tcW w:w="1417" w:type="dxa"/>
          </w:tcPr>
          <w:p w:rsidRPr="005F055E" w:rsidR="00575B14" w:rsidP="00180EEB" w:rsidRDefault="00575B14" w14:paraId="5E50C4E6" w14:textId="77777777">
            <w:pPr>
              <w:suppressAutoHyphens/>
              <w:rPr>
                <w:rFonts w:ascii="Verdana" w:hAnsi="Verdana"/>
                <w:sz w:val="18"/>
                <w:szCs w:val="18"/>
              </w:rPr>
            </w:pPr>
          </w:p>
        </w:tc>
        <w:tc>
          <w:tcPr>
            <w:tcW w:w="992" w:type="dxa"/>
          </w:tcPr>
          <w:p w:rsidRPr="005F055E" w:rsidR="00575B14" w:rsidP="00180EEB" w:rsidRDefault="00575B14" w14:paraId="5B9E91E8" w14:textId="77777777">
            <w:pPr>
              <w:suppressAutoHyphens/>
              <w:rPr>
                <w:rFonts w:ascii="Verdana" w:hAnsi="Verdana"/>
                <w:sz w:val="18"/>
                <w:szCs w:val="18"/>
              </w:rPr>
            </w:pPr>
            <w:r w:rsidRPr="005F055E">
              <w:rPr>
                <w:rFonts w:ascii="Verdana" w:hAnsi="Verdana"/>
                <w:sz w:val="18"/>
                <w:szCs w:val="18"/>
              </w:rPr>
              <w:t>11</w:t>
            </w:r>
          </w:p>
        </w:tc>
        <w:tc>
          <w:tcPr>
            <w:tcW w:w="1276" w:type="dxa"/>
          </w:tcPr>
          <w:p w:rsidRPr="005F055E" w:rsidR="00575B14" w:rsidP="00180EEB" w:rsidRDefault="00575B14" w14:paraId="6D504FC3" w14:textId="77777777">
            <w:pPr>
              <w:suppressAutoHyphens/>
              <w:rPr>
                <w:rFonts w:ascii="Verdana" w:hAnsi="Verdana"/>
                <w:sz w:val="18"/>
                <w:szCs w:val="18"/>
              </w:rPr>
            </w:pPr>
          </w:p>
        </w:tc>
        <w:tc>
          <w:tcPr>
            <w:tcW w:w="1134" w:type="dxa"/>
          </w:tcPr>
          <w:p w:rsidRPr="005F055E" w:rsidR="00575B14" w:rsidP="00180EEB" w:rsidRDefault="00575B14" w14:paraId="3D10EDEA" w14:textId="77777777">
            <w:pPr>
              <w:suppressAutoHyphens/>
              <w:rPr>
                <w:rFonts w:ascii="Verdana" w:hAnsi="Verdana"/>
                <w:sz w:val="18"/>
                <w:szCs w:val="18"/>
              </w:rPr>
            </w:pPr>
          </w:p>
        </w:tc>
        <w:tc>
          <w:tcPr>
            <w:tcW w:w="1559" w:type="dxa"/>
          </w:tcPr>
          <w:p w:rsidRPr="005F055E" w:rsidR="00575B14" w:rsidP="00180EEB" w:rsidRDefault="00575B14" w14:paraId="4D84106F" w14:textId="77777777">
            <w:pPr>
              <w:suppressAutoHyphens/>
              <w:rPr>
                <w:rFonts w:ascii="Verdana" w:hAnsi="Verdana"/>
                <w:sz w:val="18"/>
                <w:szCs w:val="18"/>
              </w:rPr>
            </w:pPr>
          </w:p>
        </w:tc>
        <w:tc>
          <w:tcPr>
            <w:tcW w:w="993" w:type="dxa"/>
          </w:tcPr>
          <w:p w:rsidRPr="005F055E" w:rsidR="00575B14" w:rsidP="00180EEB" w:rsidRDefault="00575B14" w14:paraId="5E7757C7" w14:textId="77777777">
            <w:pPr>
              <w:suppressAutoHyphens/>
              <w:rPr>
                <w:rFonts w:ascii="Verdana" w:hAnsi="Verdana"/>
                <w:sz w:val="18"/>
                <w:szCs w:val="18"/>
              </w:rPr>
            </w:pPr>
            <w:r w:rsidRPr="005F055E">
              <w:rPr>
                <w:rFonts w:ascii="Verdana" w:hAnsi="Verdana"/>
                <w:sz w:val="18"/>
                <w:szCs w:val="18"/>
              </w:rPr>
              <w:t>111</w:t>
            </w:r>
          </w:p>
        </w:tc>
      </w:tr>
      <w:tr w:rsidRPr="005F055E" w:rsidR="00575B14" w:rsidTr="005E2643" w14:paraId="4EF90A2B" w14:textId="77777777">
        <w:tc>
          <w:tcPr>
            <w:tcW w:w="704" w:type="dxa"/>
          </w:tcPr>
          <w:p w:rsidRPr="005F055E" w:rsidR="00575B14" w:rsidP="00180EEB" w:rsidRDefault="00575B14" w14:paraId="7EB278E6" w14:textId="77777777">
            <w:pPr>
              <w:suppressAutoHyphens/>
              <w:rPr>
                <w:rFonts w:ascii="Verdana" w:hAnsi="Verdana"/>
                <w:sz w:val="18"/>
                <w:szCs w:val="18"/>
              </w:rPr>
            </w:pPr>
            <w:r w:rsidRPr="005F055E">
              <w:rPr>
                <w:rFonts w:ascii="Verdana" w:hAnsi="Verdana"/>
                <w:sz w:val="18"/>
                <w:szCs w:val="18"/>
              </w:rPr>
              <w:t>2015</w:t>
            </w:r>
          </w:p>
        </w:tc>
        <w:tc>
          <w:tcPr>
            <w:tcW w:w="851" w:type="dxa"/>
          </w:tcPr>
          <w:p w:rsidRPr="005F055E" w:rsidR="00575B14" w:rsidP="00180EEB" w:rsidRDefault="00575B14" w14:paraId="1FD517DA" w14:textId="77777777">
            <w:pPr>
              <w:suppressAutoHyphens/>
              <w:rPr>
                <w:rFonts w:ascii="Verdana" w:hAnsi="Verdana"/>
                <w:sz w:val="18"/>
                <w:szCs w:val="18"/>
              </w:rPr>
            </w:pPr>
            <w:r w:rsidRPr="005F055E">
              <w:rPr>
                <w:rFonts w:ascii="Verdana" w:hAnsi="Verdana"/>
                <w:sz w:val="18"/>
                <w:szCs w:val="18"/>
              </w:rPr>
              <w:t>115</w:t>
            </w:r>
          </w:p>
        </w:tc>
        <w:tc>
          <w:tcPr>
            <w:tcW w:w="1417" w:type="dxa"/>
          </w:tcPr>
          <w:p w:rsidRPr="005F055E" w:rsidR="00575B14" w:rsidP="00180EEB" w:rsidRDefault="00575B14" w14:paraId="4D00C941" w14:textId="77777777">
            <w:pPr>
              <w:suppressAutoHyphens/>
              <w:rPr>
                <w:rFonts w:ascii="Verdana" w:hAnsi="Verdana"/>
                <w:sz w:val="18"/>
                <w:szCs w:val="18"/>
              </w:rPr>
            </w:pPr>
          </w:p>
        </w:tc>
        <w:tc>
          <w:tcPr>
            <w:tcW w:w="992" w:type="dxa"/>
          </w:tcPr>
          <w:p w:rsidRPr="005F055E" w:rsidR="00575B14" w:rsidP="00180EEB" w:rsidRDefault="00575B14" w14:paraId="3235B242" w14:textId="77777777">
            <w:pPr>
              <w:suppressAutoHyphens/>
              <w:rPr>
                <w:rFonts w:ascii="Verdana" w:hAnsi="Verdana"/>
                <w:sz w:val="18"/>
                <w:szCs w:val="18"/>
              </w:rPr>
            </w:pPr>
            <w:r w:rsidRPr="005F055E">
              <w:rPr>
                <w:rFonts w:ascii="Verdana" w:hAnsi="Verdana"/>
                <w:sz w:val="18"/>
                <w:szCs w:val="18"/>
              </w:rPr>
              <w:t>11</w:t>
            </w:r>
          </w:p>
        </w:tc>
        <w:tc>
          <w:tcPr>
            <w:tcW w:w="1276" w:type="dxa"/>
          </w:tcPr>
          <w:p w:rsidRPr="005F055E" w:rsidR="00575B14" w:rsidP="00180EEB" w:rsidRDefault="00575B14" w14:paraId="51045A2E" w14:textId="77777777">
            <w:pPr>
              <w:suppressAutoHyphens/>
              <w:rPr>
                <w:rFonts w:ascii="Verdana" w:hAnsi="Verdana"/>
                <w:sz w:val="18"/>
                <w:szCs w:val="18"/>
              </w:rPr>
            </w:pPr>
          </w:p>
        </w:tc>
        <w:tc>
          <w:tcPr>
            <w:tcW w:w="1134" w:type="dxa"/>
          </w:tcPr>
          <w:p w:rsidRPr="005F055E" w:rsidR="00575B14" w:rsidP="00180EEB" w:rsidRDefault="00575B14" w14:paraId="2F046623" w14:textId="77777777">
            <w:pPr>
              <w:suppressAutoHyphens/>
              <w:rPr>
                <w:rFonts w:ascii="Verdana" w:hAnsi="Verdana"/>
                <w:sz w:val="18"/>
                <w:szCs w:val="18"/>
              </w:rPr>
            </w:pPr>
          </w:p>
        </w:tc>
        <w:tc>
          <w:tcPr>
            <w:tcW w:w="1559" w:type="dxa"/>
          </w:tcPr>
          <w:p w:rsidRPr="005F055E" w:rsidR="00575B14" w:rsidP="00180EEB" w:rsidRDefault="00575B14" w14:paraId="56CF14DF" w14:textId="77777777">
            <w:pPr>
              <w:suppressAutoHyphens/>
              <w:rPr>
                <w:rFonts w:ascii="Verdana" w:hAnsi="Verdana"/>
                <w:sz w:val="18"/>
                <w:szCs w:val="18"/>
              </w:rPr>
            </w:pPr>
          </w:p>
        </w:tc>
        <w:tc>
          <w:tcPr>
            <w:tcW w:w="993" w:type="dxa"/>
          </w:tcPr>
          <w:p w:rsidRPr="005F055E" w:rsidR="00575B14" w:rsidP="00180EEB" w:rsidRDefault="00575B14" w14:paraId="616085C7" w14:textId="77777777">
            <w:pPr>
              <w:suppressAutoHyphens/>
              <w:rPr>
                <w:rFonts w:ascii="Verdana" w:hAnsi="Verdana"/>
                <w:sz w:val="18"/>
                <w:szCs w:val="18"/>
              </w:rPr>
            </w:pPr>
            <w:r w:rsidRPr="005F055E">
              <w:rPr>
                <w:rFonts w:ascii="Verdana" w:hAnsi="Verdana"/>
                <w:sz w:val="18"/>
                <w:szCs w:val="18"/>
              </w:rPr>
              <w:t>124</w:t>
            </w:r>
          </w:p>
        </w:tc>
      </w:tr>
      <w:tr w:rsidRPr="005F055E" w:rsidR="00575B14" w:rsidTr="005E2643" w14:paraId="368DBE20" w14:textId="77777777">
        <w:tc>
          <w:tcPr>
            <w:tcW w:w="704" w:type="dxa"/>
          </w:tcPr>
          <w:p w:rsidRPr="005F055E" w:rsidR="00575B14" w:rsidP="00180EEB" w:rsidRDefault="00575B14" w14:paraId="4307FC85" w14:textId="77777777">
            <w:pPr>
              <w:suppressAutoHyphens/>
              <w:rPr>
                <w:rFonts w:ascii="Verdana" w:hAnsi="Verdana"/>
                <w:sz w:val="18"/>
                <w:szCs w:val="18"/>
              </w:rPr>
            </w:pPr>
            <w:r w:rsidRPr="005F055E">
              <w:rPr>
                <w:rFonts w:ascii="Verdana" w:hAnsi="Verdana"/>
                <w:sz w:val="18"/>
                <w:szCs w:val="18"/>
              </w:rPr>
              <w:t>2016</w:t>
            </w:r>
          </w:p>
        </w:tc>
        <w:tc>
          <w:tcPr>
            <w:tcW w:w="851" w:type="dxa"/>
          </w:tcPr>
          <w:p w:rsidRPr="005F055E" w:rsidR="00575B14" w:rsidP="00180EEB" w:rsidRDefault="00575B14" w14:paraId="246F5F8C" w14:textId="77777777">
            <w:pPr>
              <w:suppressAutoHyphens/>
              <w:rPr>
                <w:rFonts w:ascii="Verdana" w:hAnsi="Verdana"/>
                <w:sz w:val="18"/>
                <w:szCs w:val="18"/>
              </w:rPr>
            </w:pPr>
            <w:r w:rsidRPr="005F055E">
              <w:rPr>
                <w:rFonts w:ascii="Verdana" w:hAnsi="Verdana"/>
                <w:sz w:val="18"/>
                <w:szCs w:val="18"/>
              </w:rPr>
              <w:t>108</w:t>
            </w:r>
          </w:p>
        </w:tc>
        <w:tc>
          <w:tcPr>
            <w:tcW w:w="1417" w:type="dxa"/>
          </w:tcPr>
          <w:p w:rsidRPr="005F055E" w:rsidR="00575B14" w:rsidP="00180EEB" w:rsidRDefault="00575B14" w14:paraId="5FB1408B" w14:textId="77777777">
            <w:pPr>
              <w:suppressAutoHyphens/>
              <w:rPr>
                <w:rFonts w:ascii="Verdana" w:hAnsi="Verdana"/>
                <w:sz w:val="18"/>
                <w:szCs w:val="18"/>
              </w:rPr>
            </w:pPr>
          </w:p>
        </w:tc>
        <w:tc>
          <w:tcPr>
            <w:tcW w:w="992" w:type="dxa"/>
          </w:tcPr>
          <w:p w:rsidRPr="005F055E" w:rsidR="00575B14" w:rsidP="00180EEB" w:rsidRDefault="00575B14" w14:paraId="2E0607AA" w14:textId="77777777">
            <w:pPr>
              <w:suppressAutoHyphens/>
              <w:rPr>
                <w:rFonts w:ascii="Verdana" w:hAnsi="Verdana"/>
                <w:sz w:val="18"/>
                <w:szCs w:val="18"/>
              </w:rPr>
            </w:pPr>
            <w:r w:rsidRPr="005F055E">
              <w:rPr>
                <w:rFonts w:ascii="Verdana" w:hAnsi="Verdana"/>
                <w:sz w:val="18"/>
                <w:szCs w:val="18"/>
              </w:rPr>
              <w:t>8*</w:t>
            </w:r>
          </w:p>
        </w:tc>
        <w:tc>
          <w:tcPr>
            <w:tcW w:w="1276" w:type="dxa"/>
          </w:tcPr>
          <w:p w:rsidRPr="00056279" w:rsidR="00575B14" w:rsidP="00180EEB" w:rsidRDefault="00575B14" w14:paraId="3860BF34" w14:textId="77777777">
            <w:pPr>
              <w:suppressAutoHyphens/>
              <w:rPr>
                <w:rFonts w:ascii="Verdana" w:hAnsi="Verdana"/>
                <w:sz w:val="18"/>
                <w:szCs w:val="18"/>
                <w:lang w:val="de-DE"/>
              </w:rPr>
            </w:pPr>
            <w:r w:rsidRPr="00056279">
              <w:rPr>
                <w:rFonts w:ascii="Verdana" w:hAnsi="Verdana"/>
                <w:sz w:val="18"/>
                <w:szCs w:val="18"/>
                <w:lang w:val="de-DE"/>
              </w:rPr>
              <w:t>- Erasmus MC Daniel den Hoed</w:t>
            </w:r>
            <w:r w:rsidRPr="00056279">
              <w:rPr>
                <w:rFonts w:ascii="Verdana" w:hAnsi="Verdana"/>
                <w:sz w:val="18"/>
                <w:szCs w:val="18"/>
                <w:vertAlign w:val="superscript"/>
                <w:lang w:val="de-DE"/>
              </w:rPr>
              <w:t>3</w:t>
            </w:r>
          </w:p>
          <w:p w:rsidRPr="00056279" w:rsidR="00575B14" w:rsidP="00180EEB" w:rsidRDefault="00575B14" w14:paraId="7293FB70" w14:textId="77777777">
            <w:pPr>
              <w:suppressAutoHyphens/>
              <w:rPr>
                <w:rFonts w:ascii="Verdana" w:hAnsi="Verdana"/>
                <w:sz w:val="18"/>
                <w:szCs w:val="18"/>
                <w:lang w:val="de-DE"/>
              </w:rPr>
            </w:pPr>
            <w:r w:rsidRPr="00056279">
              <w:rPr>
                <w:rFonts w:ascii="Verdana" w:hAnsi="Verdana"/>
                <w:sz w:val="18"/>
                <w:szCs w:val="18"/>
                <w:lang w:val="de-DE"/>
              </w:rPr>
              <w:t>- Erasmus MC Sophia</w:t>
            </w:r>
            <w:r w:rsidRPr="00056279">
              <w:rPr>
                <w:rFonts w:ascii="Verdana" w:hAnsi="Verdana"/>
                <w:sz w:val="18"/>
                <w:szCs w:val="18"/>
                <w:vertAlign w:val="superscript"/>
                <w:lang w:val="de-DE"/>
              </w:rPr>
              <w:t>2</w:t>
            </w:r>
          </w:p>
          <w:p w:rsidRPr="005F055E" w:rsidR="00575B14" w:rsidP="00180EEB" w:rsidRDefault="00575B14" w14:paraId="3221F7D1" w14:textId="77777777">
            <w:pPr>
              <w:suppressAutoHyphens/>
              <w:rPr>
                <w:rFonts w:ascii="Verdana" w:hAnsi="Verdana"/>
                <w:sz w:val="18"/>
                <w:szCs w:val="18"/>
              </w:rPr>
            </w:pPr>
            <w:r w:rsidRPr="005F055E">
              <w:rPr>
                <w:rFonts w:ascii="Verdana" w:hAnsi="Verdana"/>
                <w:sz w:val="18"/>
                <w:szCs w:val="18"/>
              </w:rPr>
              <w:t>- UMC Utrecht Wilhelmina Kinderziekenhuis</w:t>
            </w:r>
            <w:r w:rsidRPr="005F055E">
              <w:rPr>
                <w:rFonts w:ascii="Verdana" w:hAnsi="Verdana"/>
                <w:sz w:val="18"/>
                <w:szCs w:val="18"/>
                <w:vertAlign w:val="superscript"/>
              </w:rPr>
              <w:t>2</w:t>
            </w:r>
          </w:p>
        </w:tc>
        <w:tc>
          <w:tcPr>
            <w:tcW w:w="1134" w:type="dxa"/>
          </w:tcPr>
          <w:p w:rsidRPr="005F055E" w:rsidR="00575B14" w:rsidP="00180EEB" w:rsidRDefault="00575B14" w14:paraId="5C2CD7C7" w14:textId="77777777">
            <w:pPr>
              <w:suppressAutoHyphens/>
              <w:rPr>
                <w:rFonts w:ascii="Verdana" w:hAnsi="Verdana"/>
                <w:sz w:val="18"/>
                <w:szCs w:val="18"/>
              </w:rPr>
            </w:pPr>
            <w:r w:rsidRPr="005F055E">
              <w:rPr>
                <w:rFonts w:ascii="Verdana" w:hAnsi="Verdana"/>
                <w:sz w:val="18"/>
                <w:szCs w:val="18"/>
              </w:rPr>
              <w:t>5</w:t>
            </w:r>
          </w:p>
        </w:tc>
        <w:tc>
          <w:tcPr>
            <w:tcW w:w="1559" w:type="dxa"/>
          </w:tcPr>
          <w:p w:rsidRPr="005F055E" w:rsidR="00575B14" w:rsidP="00180EEB" w:rsidRDefault="00575B14" w14:paraId="3F5ED8BE" w14:textId="77777777">
            <w:pPr>
              <w:suppressAutoHyphens/>
              <w:rPr>
                <w:rFonts w:ascii="Verdana" w:hAnsi="Verdana"/>
                <w:sz w:val="18"/>
                <w:szCs w:val="18"/>
              </w:rPr>
            </w:pPr>
            <w:r w:rsidRPr="005F055E">
              <w:rPr>
                <w:rFonts w:ascii="Verdana" w:hAnsi="Verdana"/>
                <w:sz w:val="18"/>
                <w:szCs w:val="18"/>
              </w:rPr>
              <w:t xml:space="preserve">1. Emma </w:t>
            </w:r>
            <w:proofErr w:type="spellStart"/>
            <w:r w:rsidRPr="005F055E">
              <w:rPr>
                <w:rFonts w:ascii="Verdana" w:hAnsi="Verdana"/>
                <w:sz w:val="18"/>
                <w:szCs w:val="18"/>
              </w:rPr>
              <w:t>Kinderzieken-huis</w:t>
            </w:r>
            <w:proofErr w:type="spellEnd"/>
            <w:r w:rsidRPr="005F055E">
              <w:rPr>
                <w:rFonts w:ascii="Verdana" w:hAnsi="Verdana"/>
                <w:sz w:val="18"/>
                <w:szCs w:val="18"/>
              </w:rPr>
              <w:t xml:space="preserve"> Amsterdam</w:t>
            </w:r>
          </w:p>
          <w:p w:rsidRPr="005F055E" w:rsidR="00575B14" w:rsidP="00180EEB" w:rsidRDefault="00575B14" w14:paraId="34ADB6A2" w14:textId="77777777">
            <w:pPr>
              <w:suppressAutoHyphens/>
              <w:rPr>
                <w:rFonts w:ascii="Verdana" w:hAnsi="Verdana"/>
                <w:sz w:val="18"/>
                <w:szCs w:val="18"/>
              </w:rPr>
            </w:pPr>
            <w:r w:rsidRPr="005F055E">
              <w:rPr>
                <w:rFonts w:ascii="Verdana" w:hAnsi="Verdana"/>
                <w:sz w:val="18"/>
                <w:szCs w:val="18"/>
              </w:rPr>
              <w:t xml:space="preserve">2. Erasmus Medisch Centrum </w:t>
            </w:r>
          </w:p>
          <w:p w:rsidRPr="005F055E" w:rsidR="00575B14" w:rsidP="00180EEB" w:rsidRDefault="00575B14" w14:paraId="074434E1" w14:textId="77777777">
            <w:pPr>
              <w:suppressAutoHyphens/>
              <w:rPr>
                <w:rFonts w:ascii="Verdana" w:hAnsi="Verdana"/>
                <w:sz w:val="18"/>
                <w:szCs w:val="18"/>
              </w:rPr>
            </w:pPr>
            <w:r w:rsidRPr="005F055E">
              <w:rPr>
                <w:rFonts w:ascii="Verdana" w:hAnsi="Verdana"/>
                <w:sz w:val="18"/>
                <w:szCs w:val="18"/>
              </w:rPr>
              <w:t xml:space="preserve">Sophia </w:t>
            </w:r>
            <w:proofErr w:type="spellStart"/>
            <w:r w:rsidRPr="005F055E">
              <w:rPr>
                <w:rFonts w:ascii="Verdana" w:hAnsi="Verdana"/>
                <w:sz w:val="18"/>
                <w:szCs w:val="18"/>
              </w:rPr>
              <w:t>Kinderzieken-huis</w:t>
            </w:r>
            <w:proofErr w:type="spellEnd"/>
          </w:p>
          <w:p w:rsidRPr="005F055E" w:rsidR="00575B14" w:rsidP="00180EEB" w:rsidRDefault="00575B14" w14:paraId="5EAD4EEA" w14:textId="77777777">
            <w:pPr>
              <w:suppressAutoHyphens/>
              <w:rPr>
                <w:rFonts w:ascii="Verdana" w:hAnsi="Verdana"/>
                <w:sz w:val="18"/>
                <w:szCs w:val="18"/>
              </w:rPr>
            </w:pPr>
            <w:r w:rsidRPr="005F055E">
              <w:rPr>
                <w:rFonts w:ascii="Verdana" w:hAnsi="Verdana"/>
                <w:sz w:val="18"/>
                <w:szCs w:val="18"/>
              </w:rPr>
              <w:t>3. Willem-Alexander Leiden</w:t>
            </w:r>
          </w:p>
          <w:p w:rsidRPr="005F055E" w:rsidR="00575B14" w:rsidP="00180EEB" w:rsidRDefault="00575B14" w14:paraId="39B9432C" w14:textId="77777777">
            <w:pPr>
              <w:suppressAutoHyphens/>
              <w:rPr>
                <w:rFonts w:ascii="Verdana" w:hAnsi="Verdana"/>
                <w:sz w:val="18"/>
                <w:szCs w:val="18"/>
              </w:rPr>
            </w:pPr>
            <w:r w:rsidRPr="005F055E">
              <w:rPr>
                <w:rFonts w:ascii="Verdana" w:hAnsi="Verdana"/>
                <w:sz w:val="18"/>
                <w:szCs w:val="18"/>
              </w:rPr>
              <w:t>4. Radboud UMC Amalia</w:t>
            </w:r>
          </w:p>
          <w:p w:rsidRPr="005F055E" w:rsidR="00575B14" w:rsidP="00180EEB" w:rsidRDefault="00575B14" w14:paraId="1352B27F" w14:textId="77777777">
            <w:pPr>
              <w:suppressAutoHyphens/>
              <w:rPr>
                <w:rFonts w:ascii="Verdana" w:hAnsi="Verdana"/>
                <w:sz w:val="18"/>
                <w:szCs w:val="18"/>
              </w:rPr>
            </w:pPr>
            <w:r w:rsidRPr="005F055E">
              <w:rPr>
                <w:rFonts w:ascii="Verdana" w:hAnsi="Verdana"/>
                <w:sz w:val="18"/>
                <w:szCs w:val="18"/>
              </w:rPr>
              <w:t xml:space="preserve">5. UMCU Wilhelmina </w:t>
            </w:r>
            <w:proofErr w:type="spellStart"/>
            <w:r w:rsidRPr="005F055E">
              <w:rPr>
                <w:rFonts w:ascii="Verdana" w:hAnsi="Verdana"/>
                <w:sz w:val="18"/>
                <w:szCs w:val="18"/>
              </w:rPr>
              <w:t>Kinderzieken-huis</w:t>
            </w:r>
            <w:proofErr w:type="spellEnd"/>
          </w:p>
        </w:tc>
        <w:tc>
          <w:tcPr>
            <w:tcW w:w="993" w:type="dxa"/>
          </w:tcPr>
          <w:p w:rsidRPr="005F055E" w:rsidR="00575B14" w:rsidP="00180EEB" w:rsidRDefault="00575B14" w14:paraId="66967EDC" w14:textId="77777777">
            <w:pPr>
              <w:suppressAutoHyphens/>
              <w:rPr>
                <w:rFonts w:ascii="Verdana" w:hAnsi="Verdana"/>
                <w:sz w:val="18"/>
                <w:szCs w:val="18"/>
              </w:rPr>
            </w:pPr>
            <w:r w:rsidRPr="005F055E">
              <w:rPr>
                <w:rFonts w:ascii="Verdana" w:hAnsi="Verdana"/>
                <w:sz w:val="18"/>
                <w:szCs w:val="18"/>
              </w:rPr>
              <w:t>144</w:t>
            </w:r>
          </w:p>
        </w:tc>
      </w:tr>
      <w:tr w:rsidRPr="005F055E" w:rsidR="00575B14" w:rsidTr="005E2643" w14:paraId="191AE3FB" w14:textId="77777777">
        <w:tc>
          <w:tcPr>
            <w:tcW w:w="704" w:type="dxa"/>
          </w:tcPr>
          <w:p w:rsidRPr="005F055E" w:rsidR="00575B14" w:rsidP="00180EEB" w:rsidRDefault="00575B14" w14:paraId="76C3A34B" w14:textId="77777777">
            <w:pPr>
              <w:suppressAutoHyphens/>
              <w:rPr>
                <w:rFonts w:ascii="Verdana" w:hAnsi="Verdana"/>
                <w:sz w:val="18"/>
                <w:szCs w:val="18"/>
              </w:rPr>
            </w:pPr>
            <w:r w:rsidRPr="005F055E">
              <w:rPr>
                <w:rFonts w:ascii="Verdana" w:hAnsi="Verdana"/>
                <w:sz w:val="18"/>
                <w:szCs w:val="18"/>
              </w:rPr>
              <w:t>2018</w:t>
            </w:r>
          </w:p>
        </w:tc>
        <w:tc>
          <w:tcPr>
            <w:tcW w:w="851" w:type="dxa"/>
          </w:tcPr>
          <w:p w:rsidRPr="005F055E" w:rsidR="00575B14" w:rsidP="00180EEB" w:rsidRDefault="00575B14" w14:paraId="4A5C7400" w14:textId="77777777">
            <w:pPr>
              <w:suppressAutoHyphens/>
              <w:rPr>
                <w:rFonts w:ascii="Verdana" w:hAnsi="Verdana"/>
                <w:sz w:val="18"/>
                <w:szCs w:val="18"/>
              </w:rPr>
            </w:pPr>
            <w:r w:rsidRPr="005F055E">
              <w:rPr>
                <w:rFonts w:ascii="Verdana" w:hAnsi="Verdana"/>
                <w:sz w:val="18"/>
                <w:szCs w:val="18"/>
              </w:rPr>
              <w:t>105</w:t>
            </w:r>
          </w:p>
        </w:tc>
        <w:tc>
          <w:tcPr>
            <w:tcW w:w="1417" w:type="dxa"/>
          </w:tcPr>
          <w:p w:rsidRPr="005F055E" w:rsidR="00575B14" w:rsidP="00180EEB" w:rsidRDefault="00575B14" w14:paraId="57DAF24D" w14:textId="77777777">
            <w:pPr>
              <w:suppressAutoHyphens/>
              <w:rPr>
                <w:rFonts w:ascii="Verdana" w:hAnsi="Verdana"/>
                <w:sz w:val="18"/>
                <w:szCs w:val="18"/>
              </w:rPr>
            </w:pPr>
            <w:r w:rsidRPr="005F055E">
              <w:rPr>
                <w:rFonts w:ascii="Verdana" w:hAnsi="Verdana"/>
                <w:sz w:val="18"/>
                <w:szCs w:val="18"/>
              </w:rPr>
              <w:t xml:space="preserve">- </w:t>
            </w:r>
            <w:proofErr w:type="spellStart"/>
            <w:r w:rsidRPr="005F055E">
              <w:rPr>
                <w:rFonts w:ascii="Verdana" w:hAnsi="Verdana"/>
                <w:sz w:val="18"/>
                <w:szCs w:val="18"/>
              </w:rPr>
              <w:t>Alrijne</w:t>
            </w:r>
            <w:proofErr w:type="spellEnd"/>
            <w:r w:rsidRPr="005F055E">
              <w:rPr>
                <w:rFonts w:ascii="Verdana" w:hAnsi="Verdana"/>
                <w:sz w:val="18"/>
                <w:szCs w:val="18"/>
              </w:rPr>
              <w:t xml:space="preserve"> Ziekenhuis Alphen aan den Rijn</w:t>
            </w:r>
            <w:r w:rsidRPr="005F055E">
              <w:rPr>
                <w:rFonts w:ascii="Verdana" w:hAnsi="Verdana"/>
                <w:sz w:val="18"/>
                <w:szCs w:val="18"/>
                <w:vertAlign w:val="superscript"/>
              </w:rPr>
              <w:t>1</w:t>
            </w:r>
          </w:p>
          <w:p w:rsidRPr="005F055E" w:rsidR="00575B14" w:rsidP="00180EEB" w:rsidRDefault="00575B14" w14:paraId="058E46B3" w14:textId="77777777">
            <w:pPr>
              <w:suppressAutoHyphens/>
              <w:rPr>
                <w:rFonts w:ascii="Verdana" w:hAnsi="Verdana"/>
                <w:sz w:val="18"/>
                <w:szCs w:val="18"/>
              </w:rPr>
            </w:pPr>
            <w:r w:rsidRPr="005F055E">
              <w:rPr>
                <w:rFonts w:ascii="Verdana" w:hAnsi="Verdana"/>
                <w:sz w:val="18"/>
                <w:szCs w:val="18"/>
              </w:rPr>
              <w:t xml:space="preserve">- </w:t>
            </w:r>
            <w:proofErr w:type="spellStart"/>
            <w:r w:rsidRPr="005F055E">
              <w:rPr>
                <w:rFonts w:ascii="Verdana" w:hAnsi="Verdana"/>
                <w:sz w:val="18"/>
                <w:szCs w:val="18"/>
              </w:rPr>
              <w:t>Haven-ziekenhuis</w:t>
            </w:r>
            <w:proofErr w:type="spellEnd"/>
            <w:r w:rsidRPr="005F055E">
              <w:rPr>
                <w:rFonts w:ascii="Verdana" w:hAnsi="Verdana"/>
                <w:sz w:val="18"/>
                <w:szCs w:val="18"/>
              </w:rPr>
              <w:t xml:space="preserve"> Rotterdam</w:t>
            </w:r>
          </w:p>
          <w:p w:rsidRPr="005F055E" w:rsidR="00575B14" w:rsidP="00180EEB" w:rsidRDefault="00575B14" w14:paraId="3E3AE285" w14:textId="77777777">
            <w:pPr>
              <w:suppressAutoHyphens/>
              <w:rPr>
                <w:rFonts w:ascii="Verdana" w:hAnsi="Verdana"/>
                <w:sz w:val="18"/>
                <w:szCs w:val="18"/>
              </w:rPr>
            </w:pPr>
            <w:r w:rsidRPr="005F055E">
              <w:rPr>
                <w:rFonts w:ascii="Verdana" w:hAnsi="Verdana"/>
                <w:sz w:val="18"/>
                <w:szCs w:val="18"/>
              </w:rPr>
              <w:t xml:space="preserve">- Albert Schweitzer Ziekenhuis </w:t>
            </w:r>
            <w:proofErr w:type="spellStart"/>
            <w:r w:rsidRPr="005F055E">
              <w:rPr>
                <w:rFonts w:ascii="Verdana" w:hAnsi="Verdana"/>
                <w:sz w:val="18"/>
                <w:szCs w:val="18"/>
              </w:rPr>
              <w:t>Amstelwijck</w:t>
            </w:r>
            <w:proofErr w:type="spellEnd"/>
            <w:r w:rsidRPr="005F055E">
              <w:rPr>
                <w:rFonts w:ascii="Verdana" w:hAnsi="Verdana"/>
                <w:sz w:val="18"/>
                <w:szCs w:val="18"/>
              </w:rPr>
              <w:t xml:space="preserve"> Dordrecht</w:t>
            </w:r>
          </w:p>
        </w:tc>
        <w:tc>
          <w:tcPr>
            <w:tcW w:w="992" w:type="dxa"/>
          </w:tcPr>
          <w:p w:rsidRPr="005F055E" w:rsidR="00575B14" w:rsidP="00180EEB" w:rsidRDefault="00575B14" w14:paraId="7410E992" w14:textId="77777777">
            <w:pPr>
              <w:suppressAutoHyphens/>
              <w:rPr>
                <w:rFonts w:ascii="Verdana" w:hAnsi="Verdana"/>
                <w:sz w:val="18"/>
                <w:szCs w:val="18"/>
              </w:rPr>
            </w:pPr>
            <w:r w:rsidRPr="005F055E">
              <w:rPr>
                <w:rFonts w:ascii="Verdana" w:hAnsi="Verdana"/>
                <w:sz w:val="18"/>
                <w:szCs w:val="18"/>
              </w:rPr>
              <w:t>8</w:t>
            </w:r>
          </w:p>
        </w:tc>
        <w:tc>
          <w:tcPr>
            <w:tcW w:w="1276" w:type="dxa"/>
          </w:tcPr>
          <w:p w:rsidRPr="005F055E" w:rsidR="00575B14" w:rsidP="00180EEB" w:rsidRDefault="00575B14" w14:paraId="47DD7D66" w14:textId="77777777">
            <w:pPr>
              <w:suppressAutoHyphens/>
              <w:rPr>
                <w:rFonts w:ascii="Verdana" w:hAnsi="Verdana"/>
                <w:sz w:val="18"/>
                <w:szCs w:val="18"/>
              </w:rPr>
            </w:pPr>
          </w:p>
        </w:tc>
        <w:tc>
          <w:tcPr>
            <w:tcW w:w="1134" w:type="dxa"/>
          </w:tcPr>
          <w:p w:rsidRPr="005F055E" w:rsidR="00575B14" w:rsidP="00180EEB" w:rsidRDefault="00575B14" w14:paraId="17209989" w14:textId="77777777">
            <w:pPr>
              <w:suppressAutoHyphens/>
              <w:rPr>
                <w:rFonts w:ascii="Verdana" w:hAnsi="Verdana"/>
                <w:sz w:val="18"/>
                <w:szCs w:val="18"/>
              </w:rPr>
            </w:pPr>
            <w:r w:rsidRPr="005F055E">
              <w:rPr>
                <w:rFonts w:ascii="Verdana" w:hAnsi="Verdana"/>
                <w:sz w:val="18"/>
                <w:szCs w:val="18"/>
              </w:rPr>
              <w:t>6</w:t>
            </w:r>
          </w:p>
        </w:tc>
        <w:tc>
          <w:tcPr>
            <w:tcW w:w="1559" w:type="dxa"/>
          </w:tcPr>
          <w:p w:rsidRPr="005F055E" w:rsidR="00575B14" w:rsidP="00180EEB" w:rsidRDefault="00575B14" w14:paraId="58AECA53" w14:textId="77777777">
            <w:pPr>
              <w:suppressAutoHyphens/>
              <w:rPr>
                <w:rFonts w:ascii="Verdana" w:hAnsi="Verdana"/>
                <w:sz w:val="18"/>
                <w:szCs w:val="18"/>
              </w:rPr>
            </w:pPr>
            <w:r w:rsidRPr="005F055E">
              <w:rPr>
                <w:rFonts w:ascii="Verdana" w:hAnsi="Verdana"/>
                <w:sz w:val="18"/>
                <w:szCs w:val="18"/>
              </w:rPr>
              <w:t>+ Princes Maxima Centrum Utrecht</w:t>
            </w:r>
          </w:p>
        </w:tc>
        <w:tc>
          <w:tcPr>
            <w:tcW w:w="993" w:type="dxa"/>
          </w:tcPr>
          <w:p w:rsidRPr="005F055E" w:rsidR="00575B14" w:rsidP="00180EEB" w:rsidRDefault="00575B14" w14:paraId="4494BCC6" w14:textId="77777777">
            <w:pPr>
              <w:suppressAutoHyphens/>
              <w:rPr>
                <w:rFonts w:ascii="Verdana" w:hAnsi="Verdana"/>
                <w:sz w:val="18"/>
                <w:szCs w:val="18"/>
              </w:rPr>
            </w:pPr>
            <w:r w:rsidRPr="005F055E">
              <w:rPr>
                <w:rFonts w:ascii="Verdana" w:hAnsi="Verdana"/>
                <w:sz w:val="18"/>
                <w:szCs w:val="18"/>
              </w:rPr>
              <w:t>134</w:t>
            </w:r>
          </w:p>
        </w:tc>
      </w:tr>
      <w:tr w:rsidRPr="005F055E" w:rsidR="00575B14" w:rsidTr="005E2643" w14:paraId="65D517B8" w14:textId="77777777">
        <w:tc>
          <w:tcPr>
            <w:tcW w:w="704" w:type="dxa"/>
          </w:tcPr>
          <w:p w:rsidRPr="005F055E" w:rsidR="00575B14" w:rsidP="00180EEB" w:rsidRDefault="00575B14" w14:paraId="37A8C4D0" w14:textId="77777777">
            <w:pPr>
              <w:suppressAutoHyphens/>
              <w:rPr>
                <w:rFonts w:ascii="Verdana" w:hAnsi="Verdana"/>
                <w:sz w:val="18"/>
                <w:szCs w:val="18"/>
              </w:rPr>
            </w:pPr>
            <w:r w:rsidRPr="005F055E">
              <w:rPr>
                <w:rFonts w:ascii="Verdana" w:hAnsi="Verdana"/>
                <w:sz w:val="18"/>
                <w:szCs w:val="18"/>
              </w:rPr>
              <w:t>2019</w:t>
            </w:r>
          </w:p>
        </w:tc>
        <w:tc>
          <w:tcPr>
            <w:tcW w:w="851" w:type="dxa"/>
          </w:tcPr>
          <w:p w:rsidRPr="005F055E" w:rsidR="00575B14" w:rsidP="00180EEB" w:rsidRDefault="00575B14" w14:paraId="609334FB" w14:textId="77777777">
            <w:pPr>
              <w:suppressAutoHyphens/>
              <w:rPr>
                <w:rFonts w:ascii="Verdana" w:hAnsi="Verdana"/>
                <w:sz w:val="18"/>
                <w:szCs w:val="18"/>
              </w:rPr>
            </w:pPr>
            <w:r w:rsidRPr="005F055E">
              <w:rPr>
                <w:rFonts w:ascii="Verdana" w:hAnsi="Verdana"/>
                <w:sz w:val="18"/>
                <w:szCs w:val="18"/>
              </w:rPr>
              <w:t>101</w:t>
            </w:r>
          </w:p>
        </w:tc>
        <w:tc>
          <w:tcPr>
            <w:tcW w:w="1417" w:type="dxa"/>
          </w:tcPr>
          <w:p w:rsidRPr="005F055E" w:rsidR="00575B14" w:rsidP="00180EEB" w:rsidRDefault="00575B14" w14:paraId="0A645DB9" w14:textId="77777777">
            <w:pPr>
              <w:suppressAutoHyphens/>
              <w:rPr>
                <w:rFonts w:ascii="Verdana" w:hAnsi="Verdana"/>
                <w:sz w:val="18"/>
                <w:szCs w:val="18"/>
              </w:rPr>
            </w:pPr>
            <w:r w:rsidRPr="005F055E">
              <w:rPr>
                <w:rFonts w:ascii="Verdana" w:hAnsi="Verdana"/>
                <w:sz w:val="18"/>
                <w:szCs w:val="18"/>
              </w:rPr>
              <w:t>- MC Emmeloord</w:t>
            </w:r>
            <w:r w:rsidRPr="005F055E">
              <w:rPr>
                <w:rFonts w:ascii="Verdana" w:hAnsi="Verdana"/>
                <w:sz w:val="18"/>
                <w:szCs w:val="18"/>
                <w:vertAlign w:val="superscript"/>
              </w:rPr>
              <w:t>1</w:t>
            </w:r>
          </w:p>
          <w:p w:rsidRPr="005F055E" w:rsidR="00575B14" w:rsidP="00180EEB" w:rsidRDefault="00575B14" w14:paraId="476C4232" w14:textId="77777777">
            <w:pPr>
              <w:suppressAutoHyphens/>
              <w:rPr>
                <w:rFonts w:ascii="Verdana" w:hAnsi="Verdana"/>
                <w:sz w:val="18"/>
                <w:szCs w:val="18"/>
              </w:rPr>
            </w:pPr>
            <w:r w:rsidRPr="005F055E">
              <w:rPr>
                <w:rFonts w:ascii="Verdana" w:hAnsi="Verdana"/>
                <w:sz w:val="18"/>
                <w:szCs w:val="18"/>
              </w:rPr>
              <w:t>-MC Slotervaart</w:t>
            </w:r>
          </w:p>
          <w:p w:rsidRPr="005F055E" w:rsidR="00575B14" w:rsidP="00180EEB" w:rsidRDefault="00575B14" w14:paraId="1F3456A7" w14:textId="77777777">
            <w:pPr>
              <w:suppressAutoHyphens/>
              <w:rPr>
                <w:rFonts w:ascii="Verdana" w:hAnsi="Verdana"/>
                <w:sz w:val="18"/>
                <w:szCs w:val="18"/>
              </w:rPr>
            </w:pPr>
            <w:r w:rsidRPr="005F055E">
              <w:rPr>
                <w:rFonts w:ascii="Verdana" w:hAnsi="Verdana"/>
                <w:sz w:val="18"/>
                <w:szCs w:val="18"/>
              </w:rPr>
              <w:t>-</w:t>
            </w:r>
            <w:proofErr w:type="spellStart"/>
            <w:r w:rsidRPr="005F055E">
              <w:rPr>
                <w:rFonts w:ascii="Verdana" w:hAnsi="Verdana"/>
                <w:sz w:val="18"/>
                <w:szCs w:val="18"/>
              </w:rPr>
              <w:t>HagaZiek-enhuis</w:t>
            </w:r>
            <w:proofErr w:type="spellEnd"/>
            <w:r w:rsidRPr="005F055E">
              <w:rPr>
                <w:rFonts w:ascii="Verdana" w:hAnsi="Verdana"/>
                <w:sz w:val="18"/>
                <w:szCs w:val="18"/>
              </w:rPr>
              <w:t xml:space="preserve"> Juliana Den Haag</w:t>
            </w:r>
            <w:r w:rsidRPr="005F055E">
              <w:rPr>
                <w:rFonts w:ascii="Verdana" w:hAnsi="Verdana"/>
                <w:sz w:val="18"/>
                <w:szCs w:val="18"/>
                <w:vertAlign w:val="superscript"/>
              </w:rPr>
              <w:t xml:space="preserve">2 </w:t>
            </w:r>
          </w:p>
          <w:p w:rsidRPr="005F055E" w:rsidR="00575B14" w:rsidP="00180EEB" w:rsidRDefault="00575B14" w14:paraId="35ECFA05" w14:textId="77777777">
            <w:pPr>
              <w:suppressAutoHyphens/>
              <w:rPr>
                <w:rFonts w:ascii="Verdana" w:hAnsi="Verdana"/>
                <w:sz w:val="18"/>
                <w:szCs w:val="18"/>
              </w:rPr>
            </w:pPr>
            <w:r w:rsidRPr="005F055E">
              <w:rPr>
                <w:rFonts w:ascii="Verdana" w:hAnsi="Verdana"/>
                <w:sz w:val="18"/>
                <w:szCs w:val="18"/>
              </w:rPr>
              <w:t>- Omme-</w:t>
            </w:r>
            <w:proofErr w:type="spellStart"/>
            <w:r w:rsidRPr="005F055E">
              <w:rPr>
                <w:rFonts w:ascii="Verdana" w:hAnsi="Verdana"/>
                <w:sz w:val="18"/>
                <w:szCs w:val="18"/>
              </w:rPr>
              <w:t>lander</w:t>
            </w:r>
            <w:proofErr w:type="spellEnd"/>
            <w:r w:rsidRPr="005F055E">
              <w:rPr>
                <w:rFonts w:ascii="Verdana" w:hAnsi="Verdana"/>
                <w:sz w:val="18"/>
                <w:szCs w:val="18"/>
              </w:rPr>
              <w:t xml:space="preserve"> locatie Delfzicht</w:t>
            </w:r>
            <w:r w:rsidRPr="005F055E">
              <w:rPr>
                <w:rFonts w:ascii="Verdana" w:hAnsi="Verdana"/>
                <w:sz w:val="18"/>
                <w:szCs w:val="18"/>
                <w:vertAlign w:val="superscript"/>
              </w:rPr>
              <w:t>1</w:t>
            </w:r>
          </w:p>
        </w:tc>
        <w:tc>
          <w:tcPr>
            <w:tcW w:w="992" w:type="dxa"/>
          </w:tcPr>
          <w:p w:rsidRPr="005F055E" w:rsidR="00575B14" w:rsidP="00180EEB" w:rsidRDefault="00575B14" w14:paraId="5F4051E1" w14:textId="77777777">
            <w:pPr>
              <w:suppressAutoHyphens/>
              <w:rPr>
                <w:rFonts w:ascii="Verdana" w:hAnsi="Verdana"/>
                <w:sz w:val="18"/>
                <w:szCs w:val="18"/>
              </w:rPr>
            </w:pPr>
            <w:r w:rsidRPr="005F055E">
              <w:rPr>
                <w:rFonts w:ascii="Verdana" w:hAnsi="Verdana"/>
                <w:sz w:val="18"/>
                <w:szCs w:val="18"/>
              </w:rPr>
              <w:t>8</w:t>
            </w:r>
          </w:p>
        </w:tc>
        <w:tc>
          <w:tcPr>
            <w:tcW w:w="1276" w:type="dxa"/>
          </w:tcPr>
          <w:p w:rsidRPr="005F055E" w:rsidR="00575B14" w:rsidP="00180EEB" w:rsidRDefault="00575B14" w14:paraId="41920A31" w14:textId="77777777">
            <w:pPr>
              <w:suppressAutoHyphens/>
              <w:rPr>
                <w:rFonts w:ascii="Verdana" w:hAnsi="Verdana"/>
                <w:sz w:val="18"/>
                <w:szCs w:val="18"/>
              </w:rPr>
            </w:pPr>
          </w:p>
        </w:tc>
        <w:tc>
          <w:tcPr>
            <w:tcW w:w="1134" w:type="dxa"/>
          </w:tcPr>
          <w:p w:rsidRPr="005F055E" w:rsidR="00575B14" w:rsidP="00180EEB" w:rsidRDefault="00575B14" w14:paraId="1A9DD165" w14:textId="77777777">
            <w:pPr>
              <w:suppressAutoHyphens/>
              <w:rPr>
                <w:rFonts w:ascii="Verdana" w:hAnsi="Verdana"/>
                <w:sz w:val="18"/>
                <w:szCs w:val="18"/>
              </w:rPr>
            </w:pPr>
            <w:r w:rsidRPr="005F055E">
              <w:rPr>
                <w:rFonts w:ascii="Verdana" w:hAnsi="Verdana"/>
                <w:sz w:val="18"/>
                <w:szCs w:val="18"/>
              </w:rPr>
              <w:t>7</w:t>
            </w:r>
          </w:p>
        </w:tc>
        <w:tc>
          <w:tcPr>
            <w:tcW w:w="1559" w:type="dxa"/>
          </w:tcPr>
          <w:p w:rsidRPr="005F055E" w:rsidR="00575B14" w:rsidP="00180EEB" w:rsidRDefault="00575B14" w14:paraId="3376D021" w14:textId="77777777">
            <w:pPr>
              <w:suppressAutoHyphens/>
              <w:rPr>
                <w:rFonts w:ascii="Verdana" w:hAnsi="Verdana"/>
                <w:sz w:val="18"/>
                <w:szCs w:val="18"/>
              </w:rPr>
            </w:pPr>
            <w:r w:rsidRPr="005F055E">
              <w:rPr>
                <w:rFonts w:ascii="Verdana" w:hAnsi="Verdana"/>
                <w:sz w:val="18"/>
                <w:szCs w:val="18"/>
              </w:rPr>
              <w:t xml:space="preserve">+ </w:t>
            </w:r>
            <w:proofErr w:type="spellStart"/>
            <w:r w:rsidRPr="005F055E">
              <w:rPr>
                <w:rFonts w:ascii="Verdana" w:hAnsi="Verdana"/>
                <w:sz w:val="18"/>
                <w:szCs w:val="18"/>
              </w:rPr>
              <w:t>HagaZiek-enhuis</w:t>
            </w:r>
            <w:proofErr w:type="spellEnd"/>
            <w:r w:rsidRPr="005F055E">
              <w:rPr>
                <w:rFonts w:ascii="Verdana" w:hAnsi="Verdana"/>
                <w:sz w:val="18"/>
                <w:szCs w:val="18"/>
              </w:rPr>
              <w:t xml:space="preserve"> Juliana Den Haag</w:t>
            </w:r>
          </w:p>
        </w:tc>
        <w:tc>
          <w:tcPr>
            <w:tcW w:w="993" w:type="dxa"/>
          </w:tcPr>
          <w:p w:rsidRPr="005F055E" w:rsidR="00575B14" w:rsidP="00180EEB" w:rsidRDefault="00575B14" w14:paraId="701B63EB" w14:textId="77777777">
            <w:pPr>
              <w:suppressAutoHyphens/>
              <w:rPr>
                <w:rFonts w:ascii="Verdana" w:hAnsi="Verdana"/>
                <w:sz w:val="18"/>
                <w:szCs w:val="18"/>
              </w:rPr>
            </w:pPr>
            <w:r w:rsidRPr="005F055E">
              <w:rPr>
                <w:rFonts w:ascii="Verdana" w:hAnsi="Verdana"/>
                <w:sz w:val="18"/>
                <w:szCs w:val="18"/>
              </w:rPr>
              <w:t>129</w:t>
            </w:r>
          </w:p>
        </w:tc>
      </w:tr>
      <w:tr w:rsidRPr="005F055E" w:rsidR="00575B14" w:rsidTr="005E2643" w14:paraId="52B41C9D" w14:textId="77777777">
        <w:tc>
          <w:tcPr>
            <w:tcW w:w="704" w:type="dxa"/>
          </w:tcPr>
          <w:p w:rsidRPr="005F055E" w:rsidR="00575B14" w:rsidP="00180EEB" w:rsidRDefault="00575B14" w14:paraId="3AFBD6AB" w14:textId="77777777">
            <w:pPr>
              <w:suppressAutoHyphens/>
              <w:rPr>
                <w:rFonts w:ascii="Verdana" w:hAnsi="Verdana"/>
                <w:sz w:val="18"/>
                <w:szCs w:val="18"/>
              </w:rPr>
            </w:pPr>
            <w:r w:rsidRPr="005F055E">
              <w:rPr>
                <w:rFonts w:ascii="Verdana" w:hAnsi="Verdana"/>
                <w:sz w:val="18"/>
                <w:szCs w:val="18"/>
              </w:rPr>
              <w:t>2021</w:t>
            </w:r>
          </w:p>
        </w:tc>
        <w:tc>
          <w:tcPr>
            <w:tcW w:w="851" w:type="dxa"/>
          </w:tcPr>
          <w:p w:rsidRPr="005F055E" w:rsidR="00575B14" w:rsidP="00180EEB" w:rsidRDefault="00575B14" w14:paraId="6A673C61" w14:textId="77777777">
            <w:pPr>
              <w:suppressAutoHyphens/>
              <w:rPr>
                <w:rFonts w:ascii="Verdana" w:hAnsi="Verdana"/>
                <w:sz w:val="18"/>
                <w:szCs w:val="18"/>
              </w:rPr>
            </w:pPr>
            <w:r w:rsidRPr="005F055E">
              <w:rPr>
                <w:rFonts w:ascii="Verdana" w:hAnsi="Verdana"/>
                <w:sz w:val="18"/>
                <w:szCs w:val="18"/>
              </w:rPr>
              <w:t>99</w:t>
            </w:r>
          </w:p>
        </w:tc>
        <w:tc>
          <w:tcPr>
            <w:tcW w:w="1417" w:type="dxa"/>
          </w:tcPr>
          <w:p w:rsidRPr="005F055E" w:rsidR="00575B14" w:rsidP="00180EEB" w:rsidRDefault="00575B14" w14:paraId="15844269" w14:textId="77777777">
            <w:pPr>
              <w:suppressAutoHyphens/>
              <w:rPr>
                <w:rFonts w:ascii="Verdana" w:hAnsi="Verdana"/>
                <w:sz w:val="18"/>
                <w:szCs w:val="18"/>
              </w:rPr>
            </w:pPr>
            <w:r w:rsidRPr="005F055E">
              <w:rPr>
                <w:rFonts w:ascii="Verdana" w:hAnsi="Verdana"/>
                <w:sz w:val="18"/>
                <w:szCs w:val="18"/>
              </w:rPr>
              <w:t xml:space="preserve">- </w:t>
            </w:r>
            <w:proofErr w:type="spellStart"/>
            <w:r w:rsidRPr="005F055E">
              <w:rPr>
                <w:rFonts w:ascii="Verdana" w:hAnsi="Verdana"/>
                <w:sz w:val="18"/>
                <w:szCs w:val="18"/>
              </w:rPr>
              <w:t>HagaZiek-enhuis</w:t>
            </w:r>
            <w:proofErr w:type="spellEnd"/>
            <w:r w:rsidRPr="005F055E">
              <w:rPr>
                <w:rFonts w:ascii="Verdana" w:hAnsi="Verdana"/>
                <w:sz w:val="18"/>
                <w:szCs w:val="18"/>
              </w:rPr>
              <w:t xml:space="preserve"> Sportlaan Den Haag</w:t>
            </w:r>
          </w:p>
          <w:p w:rsidRPr="005F055E" w:rsidR="00575B14" w:rsidP="00180EEB" w:rsidRDefault="00575B14" w14:paraId="0DF48293" w14:textId="77777777">
            <w:pPr>
              <w:suppressAutoHyphens/>
              <w:rPr>
                <w:rFonts w:ascii="Verdana" w:hAnsi="Verdana"/>
                <w:sz w:val="18"/>
                <w:szCs w:val="18"/>
              </w:rPr>
            </w:pPr>
            <w:r w:rsidRPr="005F055E">
              <w:rPr>
                <w:rFonts w:ascii="Verdana" w:hAnsi="Verdana"/>
                <w:sz w:val="18"/>
                <w:szCs w:val="18"/>
              </w:rPr>
              <w:t>- Meander MC Baarn</w:t>
            </w:r>
          </w:p>
        </w:tc>
        <w:tc>
          <w:tcPr>
            <w:tcW w:w="992" w:type="dxa"/>
          </w:tcPr>
          <w:p w:rsidRPr="005F055E" w:rsidR="00575B14" w:rsidP="00180EEB" w:rsidRDefault="00575B14" w14:paraId="7841FF5D" w14:textId="77777777">
            <w:pPr>
              <w:suppressAutoHyphens/>
              <w:rPr>
                <w:rFonts w:ascii="Verdana" w:hAnsi="Verdana"/>
                <w:sz w:val="18"/>
                <w:szCs w:val="18"/>
              </w:rPr>
            </w:pPr>
            <w:r w:rsidRPr="005F055E">
              <w:rPr>
                <w:rFonts w:ascii="Verdana" w:hAnsi="Verdana"/>
                <w:sz w:val="18"/>
                <w:szCs w:val="18"/>
              </w:rPr>
              <w:t>8</w:t>
            </w:r>
          </w:p>
        </w:tc>
        <w:tc>
          <w:tcPr>
            <w:tcW w:w="1276" w:type="dxa"/>
          </w:tcPr>
          <w:p w:rsidRPr="005F055E" w:rsidR="00575B14" w:rsidP="00180EEB" w:rsidRDefault="00575B14" w14:paraId="16EE9B4F" w14:textId="77777777">
            <w:pPr>
              <w:suppressAutoHyphens/>
              <w:rPr>
                <w:rFonts w:ascii="Verdana" w:hAnsi="Verdana"/>
                <w:sz w:val="18"/>
                <w:szCs w:val="18"/>
              </w:rPr>
            </w:pPr>
          </w:p>
        </w:tc>
        <w:tc>
          <w:tcPr>
            <w:tcW w:w="1134" w:type="dxa"/>
          </w:tcPr>
          <w:p w:rsidRPr="005F055E" w:rsidR="00575B14" w:rsidP="00180EEB" w:rsidRDefault="00575B14" w14:paraId="5AC8D760" w14:textId="77777777">
            <w:pPr>
              <w:suppressAutoHyphens/>
              <w:rPr>
                <w:rFonts w:ascii="Verdana" w:hAnsi="Verdana"/>
                <w:sz w:val="18"/>
                <w:szCs w:val="18"/>
              </w:rPr>
            </w:pPr>
            <w:r w:rsidRPr="005F055E">
              <w:rPr>
                <w:rFonts w:ascii="Verdana" w:hAnsi="Verdana"/>
                <w:sz w:val="18"/>
                <w:szCs w:val="18"/>
              </w:rPr>
              <w:t>7</w:t>
            </w:r>
          </w:p>
        </w:tc>
        <w:tc>
          <w:tcPr>
            <w:tcW w:w="1559" w:type="dxa"/>
          </w:tcPr>
          <w:p w:rsidRPr="005F055E" w:rsidR="00575B14" w:rsidP="00180EEB" w:rsidRDefault="00575B14" w14:paraId="65FB681F" w14:textId="77777777">
            <w:pPr>
              <w:suppressAutoHyphens/>
              <w:rPr>
                <w:rFonts w:ascii="Verdana" w:hAnsi="Verdana"/>
                <w:sz w:val="18"/>
                <w:szCs w:val="18"/>
              </w:rPr>
            </w:pPr>
          </w:p>
        </w:tc>
        <w:tc>
          <w:tcPr>
            <w:tcW w:w="993" w:type="dxa"/>
          </w:tcPr>
          <w:p w:rsidRPr="005F055E" w:rsidR="00575B14" w:rsidP="00180EEB" w:rsidRDefault="00575B14" w14:paraId="78D65CD4" w14:textId="77777777">
            <w:pPr>
              <w:suppressAutoHyphens/>
              <w:rPr>
                <w:rFonts w:ascii="Verdana" w:hAnsi="Verdana"/>
                <w:sz w:val="18"/>
                <w:szCs w:val="18"/>
              </w:rPr>
            </w:pPr>
            <w:r w:rsidRPr="005F055E">
              <w:rPr>
                <w:rFonts w:ascii="Verdana" w:hAnsi="Verdana"/>
                <w:sz w:val="18"/>
                <w:szCs w:val="18"/>
              </w:rPr>
              <w:t>141</w:t>
            </w:r>
          </w:p>
        </w:tc>
      </w:tr>
      <w:tr w:rsidRPr="005F055E" w:rsidR="00575B14" w:rsidTr="005E2643" w14:paraId="079EF649" w14:textId="77777777">
        <w:tc>
          <w:tcPr>
            <w:tcW w:w="704" w:type="dxa"/>
          </w:tcPr>
          <w:p w:rsidRPr="005F055E" w:rsidR="00575B14" w:rsidP="00180EEB" w:rsidRDefault="00575B14" w14:paraId="62BA8694" w14:textId="77777777">
            <w:pPr>
              <w:suppressAutoHyphens/>
              <w:rPr>
                <w:rFonts w:ascii="Verdana" w:hAnsi="Verdana"/>
                <w:sz w:val="18"/>
                <w:szCs w:val="18"/>
              </w:rPr>
            </w:pPr>
            <w:r w:rsidRPr="005F055E">
              <w:rPr>
                <w:rFonts w:ascii="Verdana" w:hAnsi="Verdana"/>
                <w:sz w:val="18"/>
                <w:szCs w:val="18"/>
              </w:rPr>
              <w:t>2022</w:t>
            </w:r>
          </w:p>
        </w:tc>
        <w:tc>
          <w:tcPr>
            <w:tcW w:w="851" w:type="dxa"/>
          </w:tcPr>
          <w:p w:rsidRPr="005F055E" w:rsidR="00575B14" w:rsidP="00180EEB" w:rsidRDefault="00575B14" w14:paraId="28C9C9E9" w14:textId="77777777">
            <w:pPr>
              <w:suppressAutoHyphens/>
              <w:rPr>
                <w:rFonts w:ascii="Verdana" w:hAnsi="Verdana"/>
                <w:sz w:val="18"/>
                <w:szCs w:val="18"/>
              </w:rPr>
            </w:pPr>
            <w:r w:rsidRPr="005F055E">
              <w:rPr>
                <w:rFonts w:ascii="Verdana" w:hAnsi="Verdana"/>
                <w:sz w:val="18"/>
                <w:szCs w:val="18"/>
              </w:rPr>
              <w:t>98</w:t>
            </w:r>
          </w:p>
        </w:tc>
        <w:tc>
          <w:tcPr>
            <w:tcW w:w="1417" w:type="dxa"/>
          </w:tcPr>
          <w:p w:rsidRPr="005F055E" w:rsidR="00575B14" w:rsidP="00180EEB" w:rsidRDefault="00575B14" w14:paraId="6053C9EE" w14:textId="77777777">
            <w:pPr>
              <w:suppressAutoHyphens/>
              <w:rPr>
                <w:rFonts w:ascii="Verdana" w:hAnsi="Verdana"/>
                <w:sz w:val="18"/>
                <w:szCs w:val="18"/>
              </w:rPr>
            </w:pPr>
            <w:r w:rsidRPr="005F055E">
              <w:rPr>
                <w:rFonts w:ascii="Verdana" w:hAnsi="Verdana"/>
                <w:sz w:val="18"/>
                <w:szCs w:val="18"/>
              </w:rPr>
              <w:t xml:space="preserve">- </w:t>
            </w:r>
            <w:proofErr w:type="spellStart"/>
            <w:r w:rsidRPr="005F055E">
              <w:rPr>
                <w:rFonts w:ascii="Verdana" w:hAnsi="Verdana"/>
                <w:sz w:val="18"/>
                <w:szCs w:val="18"/>
              </w:rPr>
              <w:t>Amphia</w:t>
            </w:r>
            <w:proofErr w:type="spellEnd"/>
            <w:r w:rsidRPr="005F055E">
              <w:rPr>
                <w:rFonts w:ascii="Verdana" w:hAnsi="Verdana"/>
                <w:sz w:val="18"/>
                <w:szCs w:val="18"/>
              </w:rPr>
              <w:t xml:space="preserve"> Ziekenhuis Breda </w:t>
            </w:r>
            <w:proofErr w:type="spellStart"/>
            <w:r w:rsidRPr="005F055E">
              <w:rPr>
                <w:rFonts w:ascii="Verdana" w:hAnsi="Verdana"/>
                <w:sz w:val="18"/>
                <w:szCs w:val="18"/>
              </w:rPr>
              <w:t>Langendijk</w:t>
            </w:r>
            <w:proofErr w:type="spellEnd"/>
          </w:p>
        </w:tc>
        <w:tc>
          <w:tcPr>
            <w:tcW w:w="992" w:type="dxa"/>
          </w:tcPr>
          <w:p w:rsidRPr="005F055E" w:rsidR="00575B14" w:rsidP="00180EEB" w:rsidRDefault="00575B14" w14:paraId="0976AAF2" w14:textId="77777777">
            <w:pPr>
              <w:suppressAutoHyphens/>
              <w:rPr>
                <w:rFonts w:ascii="Verdana" w:hAnsi="Verdana"/>
                <w:sz w:val="18"/>
                <w:szCs w:val="18"/>
              </w:rPr>
            </w:pPr>
            <w:r w:rsidRPr="005F055E">
              <w:rPr>
                <w:rFonts w:ascii="Verdana" w:hAnsi="Verdana"/>
                <w:sz w:val="18"/>
                <w:szCs w:val="18"/>
              </w:rPr>
              <w:t>8</w:t>
            </w:r>
          </w:p>
        </w:tc>
        <w:tc>
          <w:tcPr>
            <w:tcW w:w="1276" w:type="dxa"/>
          </w:tcPr>
          <w:p w:rsidRPr="005F055E" w:rsidR="00575B14" w:rsidP="00180EEB" w:rsidRDefault="00575B14" w14:paraId="2888C694" w14:textId="77777777">
            <w:pPr>
              <w:suppressAutoHyphens/>
              <w:rPr>
                <w:rFonts w:ascii="Verdana" w:hAnsi="Verdana"/>
                <w:sz w:val="18"/>
                <w:szCs w:val="18"/>
              </w:rPr>
            </w:pPr>
          </w:p>
        </w:tc>
        <w:tc>
          <w:tcPr>
            <w:tcW w:w="1134" w:type="dxa"/>
          </w:tcPr>
          <w:p w:rsidRPr="005F055E" w:rsidR="00575B14" w:rsidP="00180EEB" w:rsidRDefault="00575B14" w14:paraId="2236EC3E" w14:textId="77777777">
            <w:pPr>
              <w:suppressAutoHyphens/>
              <w:rPr>
                <w:rFonts w:ascii="Verdana" w:hAnsi="Verdana"/>
                <w:sz w:val="18"/>
                <w:szCs w:val="18"/>
              </w:rPr>
            </w:pPr>
            <w:r w:rsidRPr="005F055E">
              <w:rPr>
                <w:rFonts w:ascii="Verdana" w:hAnsi="Verdana"/>
                <w:sz w:val="18"/>
                <w:szCs w:val="18"/>
              </w:rPr>
              <w:t>7</w:t>
            </w:r>
          </w:p>
        </w:tc>
        <w:tc>
          <w:tcPr>
            <w:tcW w:w="1559" w:type="dxa"/>
          </w:tcPr>
          <w:p w:rsidRPr="005F055E" w:rsidR="00575B14" w:rsidP="00180EEB" w:rsidRDefault="00575B14" w14:paraId="3011BD26" w14:textId="77777777">
            <w:pPr>
              <w:suppressAutoHyphens/>
              <w:rPr>
                <w:rFonts w:ascii="Verdana" w:hAnsi="Verdana"/>
                <w:sz w:val="18"/>
                <w:szCs w:val="18"/>
              </w:rPr>
            </w:pPr>
          </w:p>
        </w:tc>
        <w:tc>
          <w:tcPr>
            <w:tcW w:w="993" w:type="dxa"/>
          </w:tcPr>
          <w:p w:rsidRPr="005F055E" w:rsidR="00575B14" w:rsidP="00180EEB" w:rsidRDefault="00575B14" w14:paraId="33921E3E" w14:textId="77777777">
            <w:pPr>
              <w:suppressAutoHyphens/>
              <w:rPr>
                <w:rFonts w:ascii="Verdana" w:hAnsi="Verdana"/>
                <w:sz w:val="18"/>
                <w:szCs w:val="18"/>
              </w:rPr>
            </w:pPr>
            <w:r w:rsidRPr="005F055E">
              <w:rPr>
                <w:rFonts w:ascii="Verdana" w:hAnsi="Verdana"/>
                <w:sz w:val="18"/>
                <w:szCs w:val="18"/>
              </w:rPr>
              <w:t>145</w:t>
            </w:r>
          </w:p>
        </w:tc>
      </w:tr>
      <w:tr w:rsidRPr="005F055E" w:rsidR="00575B14" w:rsidTr="005E2643" w14:paraId="3619C521" w14:textId="77777777">
        <w:tc>
          <w:tcPr>
            <w:tcW w:w="704" w:type="dxa"/>
          </w:tcPr>
          <w:p w:rsidRPr="005F055E" w:rsidR="00575B14" w:rsidP="00180EEB" w:rsidRDefault="00575B14" w14:paraId="785B061D" w14:textId="77777777">
            <w:pPr>
              <w:suppressAutoHyphens/>
              <w:rPr>
                <w:rFonts w:ascii="Verdana" w:hAnsi="Verdana"/>
                <w:sz w:val="18"/>
                <w:szCs w:val="18"/>
              </w:rPr>
            </w:pPr>
            <w:r w:rsidRPr="005F055E">
              <w:rPr>
                <w:rFonts w:ascii="Verdana" w:hAnsi="Verdana"/>
                <w:sz w:val="18"/>
                <w:szCs w:val="18"/>
              </w:rPr>
              <w:t>2023</w:t>
            </w:r>
          </w:p>
        </w:tc>
        <w:tc>
          <w:tcPr>
            <w:tcW w:w="851" w:type="dxa"/>
          </w:tcPr>
          <w:p w:rsidRPr="005F055E" w:rsidR="00575B14" w:rsidP="00180EEB" w:rsidRDefault="00575B14" w14:paraId="57067E32" w14:textId="77777777">
            <w:pPr>
              <w:suppressAutoHyphens/>
              <w:rPr>
                <w:rFonts w:ascii="Verdana" w:hAnsi="Verdana"/>
                <w:sz w:val="18"/>
                <w:szCs w:val="18"/>
              </w:rPr>
            </w:pPr>
            <w:r w:rsidRPr="005F055E">
              <w:rPr>
                <w:rFonts w:ascii="Verdana" w:hAnsi="Verdana"/>
                <w:sz w:val="18"/>
                <w:szCs w:val="18"/>
              </w:rPr>
              <w:t>98</w:t>
            </w:r>
          </w:p>
        </w:tc>
        <w:tc>
          <w:tcPr>
            <w:tcW w:w="1417" w:type="dxa"/>
          </w:tcPr>
          <w:p w:rsidRPr="005F055E" w:rsidR="00575B14" w:rsidP="00180EEB" w:rsidRDefault="00575B14" w14:paraId="2F242127" w14:textId="77777777">
            <w:pPr>
              <w:suppressAutoHyphens/>
              <w:rPr>
                <w:rFonts w:ascii="Verdana" w:hAnsi="Verdana"/>
                <w:sz w:val="18"/>
                <w:szCs w:val="18"/>
              </w:rPr>
            </w:pPr>
          </w:p>
        </w:tc>
        <w:tc>
          <w:tcPr>
            <w:tcW w:w="992" w:type="dxa"/>
          </w:tcPr>
          <w:p w:rsidRPr="005F055E" w:rsidR="00575B14" w:rsidP="00180EEB" w:rsidRDefault="00575B14" w14:paraId="1818989B" w14:textId="77777777">
            <w:pPr>
              <w:suppressAutoHyphens/>
              <w:rPr>
                <w:rFonts w:ascii="Verdana" w:hAnsi="Verdana"/>
                <w:sz w:val="18"/>
                <w:szCs w:val="18"/>
              </w:rPr>
            </w:pPr>
            <w:r w:rsidRPr="005F055E">
              <w:rPr>
                <w:rFonts w:ascii="Verdana" w:hAnsi="Verdana"/>
                <w:sz w:val="18"/>
                <w:szCs w:val="18"/>
              </w:rPr>
              <w:t>8</w:t>
            </w:r>
          </w:p>
        </w:tc>
        <w:tc>
          <w:tcPr>
            <w:tcW w:w="1276" w:type="dxa"/>
          </w:tcPr>
          <w:p w:rsidRPr="005F055E" w:rsidR="00575B14" w:rsidP="00180EEB" w:rsidRDefault="00575B14" w14:paraId="02A33812" w14:textId="77777777">
            <w:pPr>
              <w:suppressAutoHyphens/>
              <w:rPr>
                <w:rFonts w:ascii="Verdana" w:hAnsi="Verdana"/>
                <w:sz w:val="18"/>
                <w:szCs w:val="18"/>
              </w:rPr>
            </w:pPr>
          </w:p>
        </w:tc>
        <w:tc>
          <w:tcPr>
            <w:tcW w:w="1134" w:type="dxa"/>
          </w:tcPr>
          <w:p w:rsidRPr="005F055E" w:rsidR="00575B14" w:rsidP="00180EEB" w:rsidRDefault="00575B14" w14:paraId="4AAAC223" w14:textId="77777777">
            <w:pPr>
              <w:suppressAutoHyphens/>
              <w:rPr>
                <w:rFonts w:ascii="Verdana" w:hAnsi="Verdana"/>
                <w:sz w:val="18"/>
                <w:szCs w:val="18"/>
              </w:rPr>
            </w:pPr>
            <w:r w:rsidRPr="005F055E">
              <w:rPr>
                <w:rFonts w:ascii="Verdana" w:hAnsi="Verdana"/>
                <w:sz w:val="18"/>
                <w:szCs w:val="18"/>
              </w:rPr>
              <w:t>7</w:t>
            </w:r>
          </w:p>
        </w:tc>
        <w:tc>
          <w:tcPr>
            <w:tcW w:w="1559" w:type="dxa"/>
          </w:tcPr>
          <w:p w:rsidRPr="005F055E" w:rsidR="00575B14" w:rsidP="00180EEB" w:rsidRDefault="00575B14" w14:paraId="13E68A04" w14:textId="77777777">
            <w:pPr>
              <w:suppressAutoHyphens/>
              <w:rPr>
                <w:rFonts w:ascii="Verdana" w:hAnsi="Verdana"/>
                <w:sz w:val="18"/>
                <w:szCs w:val="18"/>
              </w:rPr>
            </w:pPr>
          </w:p>
        </w:tc>
        <w:tc>
          <w:tcPr>
            <w:tcW w:w="993" w:type="dxa"/>
          </w:tcPr>
          <w:p w:rsidRPr="005F055E" w:rsidR="00575B14" w:rsidP="00180EEB" w:rsidRDefault="00575B14" w14:paraId="0E498902" w14:textId="77777777">
            <w:pPr>
              <w:suppressAutoHyphens/>
              <w:rPr>
                <w:rFonts w:ascii="Verdana" w:hAnsi="Verdana"/>
                <w:sz w:val="18"/>
                <w:szCs w:val="18"/>
              </w:rPr>
            </w:pPr>
            <w:r w:rsidRPr="005F055E">
              <w:rPr>
                <w:rFonts w:ascii="Verdana" w:hAnsi="Verdana"/>
                <w:sz w:val="18"/>
                <w:szCs w:val="18"/>
              </w:rPr>
              <w:t>147</w:t>
            </w:r>
          </w:p>
        </w:tc>
      </w:tr>
      <w:tr w:rsidRPr="005F055E" w:rsidR="00575B14" w:rsidTr="005E2643" w14:paraId="436C6154" w14:textId="77777777">
        <w:tc>
          <w:tcPr>
            <w:tcW w:w="704" w:type="dxa"/>
          </w:tcPr>
          <w:p w:rsidRPr="005F055E" w:rsidR="00575B14" w:rsidP="00180EEB" w:rsidRDefault="00575B14" w14:paraId="15AC4DB2" w14:textId="77777777">
            <w:pPr>
              <w:suppressAutoHyphens/>
              <w:rPr>
                <w:rFonts w:ascii="Verdana" w:hAnsi="Verdana"/>
                <w:sz w:val="18"/>
                <w:szCs w:val="18"/>
              </w:rPr>
            </w:pPr>
            <w:r w:rsidRPr="005F055E">
              <w:rPr>
                <w:rFonts w:ascii="Verdana" w:hAnsi="Verdana"/>
                <w:sz w:val="18"/>
                <w:szCs w:val="18"/>
              </w:rPr>
              <w:t>2024</w:t>
            </w:r>
          </w:p>
        </w:tc>
        <w:tc>
          <w:tcPr>
            <w:tcW w:w="851" w:type="dxa"/>
          </w:tcPr>
          <w:p w:rsidRPr="005F055E" w:rsidR="00575B14" w:rsidP="00180EEB" w:rsidRDefault="00575B14" w14:paraId="0E2D5CD1" w14:textId="77777777">
            <w:pPr>
              <w:suppressAutoHyphens/>
              <w:rPr>
                <w:rFonts w:ascii="Verdana" w:hAnsi="Verdana"/>
                <w:sz w:val="18"/>
                <w:szCs w:val="18"/>
              </w:rPr>
            </w:pPr>
            <w:r w:rsidRPr="005F055E">
              <w:rPr>
                <w:rFonts w:ascii="Verdana" w:hAnsi="Verdana"/>
                <w:sz w:val="18"/>
                <w:szCs w:val="18"/>
              </w:rPr>
              <w:t>98</w:t>
            </w:r>
          </w:p>
        </w:tc>
        <w:tc>
          <w:tcPr>
            <w:tcW w:w="1417" w:type="dxa"/>
          </w:tcPr>
          <w:p w:rsidRPr="005F055E" w:rsidR="00575B14" w:rsidP="00180EEB" w:rsidRDefault="00575B14" w14:paraId="7D4E6569" w14:textId="77777777">
            <w:pPr>
              <w:suppressAutoHyphens/>
              <w:rPr>
                <w:rFonts w:ascii="Verdana" w:hAnsi="Verdana"/>
                <w:sz w:val="18"/>
                <w:szCs w:val="18"/>
              </w:rPr>
            </w:pPr>
          </w:p>
        </w:tc>
        <w:tc>
          <w:tcPr>
            <w:tcW w:w="992" w:type="dxa"/>
          </w:tcPr>
          <w:p w:rsidRPr="005F055E" w:rsidR="00575B14" w:rsidP="00180EEB" w:rsidRDefault="00575B14" w14:paraId="439562C8" w14:textId="77777777">
            <w:pPr>
              <w:suppressAutoHyphens/>
              <w:rPr>
                <w:rFonts w:ascii="Verdana" w:hAnsi="Verdana"/>
                <w:sz w:val="18"/>
                <w:szCs w:val="18"/>
              </w:rPr>
            </w:pPr>
            <w:r w:rsidRPr="005F055E">
              <w:rPr>
                <w:rFonts w:ascii="Verdana" w:hAnsi="Verdana"/>
                <w:sz w:val="18"/>
                <w:szCs w:val="18"/>
              </w:rPr>
              <w:t>8</w:t>
            </w:r>
          </w:p>
        </w:tc>
        <w:tc>
          <w:tcPr>
            <w:tcW w:w="1276" w:type="dxa"/>
          </w:tcPr>
          <w:p w:rsidRPr="005F055E" w:rsidR="00575B14" w:rsidP="00180EEB" w:rsidRDefault="00575B14" w14:paraId="54FB7363" w14:textId="77777777">
            <w:pPr>
              <w:suppressAutoHyphens/>
              <w:rPr>
                <w:rFonts w:ascii="Verdana" w:hAnsi="Verdana"/>
                <w:sz w:val="18"/>
                <w:szCs w:val="18"/>
              </w:rPr>
            </w:pPr>
          </w:p>
        </w:tc>
        <w:tc>
          <w:tcPr>
            <w:tcW w:w="1134" w:type="dxa"/>
          </w:tcPr>
          <w:p w:rsidRPr="005F055E" w:rsidR="00575B14" w:rsidP="00180EEB" w:rsidRDefault="00575B14" w14:paraId="4D8689E9" w14:textId="77777777">
            <w:pPr>
              <w:suppressAutoHyphens/>
              <w:rPr>
                <w:rFonts w:ascii="Verdana" w:hAnsi="Verdana"/>
                <w:sz w:val="18"/>
                <w:szCs w:val="18"/>
              </w:rPr>
            </w:pPr>
            <w:r w:rsidRPr="005F055E">
              <w:rPr>
                <w:rFonts w:ascii="Verdana" w:hAnsi="Verdana"/>
                <w:sz w:val="18"/>
                <w:szCs w:val="18"/>
              </w:rPr>
              <w:t>7</w:t>
            </w:r>
          </w:p>
        </w:tc>
        <w:tc>
          <w:tcPr>
            <w:tcW w:w="1559" w:type="dxa"/>
          </w:tcPr>
          <w:p w:rsidRPr="005F055E" w:rsidR="00575B14" w:rsidP="00180EEB" w:rsidRDefault="00575B14" w14:paraId="3D658D88" w14:textId="77777777">
            <w:pPr>
              <w:suppressAutoHyphens/>
              <w:rPr>
                <w:rFonts w:ascii="Verdana" w:hAnsi="Verdana"/>
                <w:sz w:val="18"/>
                <w:szCs w:val="18"/>
              </w:rPr>
            </w:pPr>
          </w:p>
        </w:tc>
        <w:tc>
          <w:tcPr>
            <w:tcW w:w="993" w:type="dxa"/>
          </w:tcPr>
          <w:p w:rsidRPr="005F055E" w:rsidR="00575B14" w:rsidP="00180EEB" w:rsidRDefault="00575B14" w14:paraId="7BF364BB" w14:textId="77777777">
            <w:pPr>
              <w:suppressAutoHyphens/>
              <w:rPr>
                <w:rFonts w:ascii="Verdana" w:hAnsi="Verdana"/>
                <w:sz w:val="18"/>
                <w:szCs w:val="18"/>
              </w:rPr>
            </w:pPr>
            <w:r w:rsidRPr="005F055E">
              <w:rPr>
                <w:rFonts w:ascii="Verdana" w:hAnsi="Verdana"/>
                <w:sz w:val="18"/>
                <w:szCs w:val="18"/>
              </w:rPr>
              <w:t>148</w:t>
            </w:r>
          </w:p>
        </w:tc>
      </w:tr>
      <w:tr w:rsidRPr="005F055E" w:rsidR="00575B14" w:rsidTr="005E2643" w14:paraId="3F189313" w14:textId="77777777">
        <w:tc>
          <w:tcPr>
            <w:tcW w:w="704" w:type="dxa"/>
          </w:tcPr>
          <w:p w:rsidRPr="005F055E" w:rsidR="00575B14" w:rsidP="00180EEB" w:rsidRDefault="00575B14" w14:paraId="2FDEB60C" w14:textId="77777777">
            <w:pPr>
              <w:suppressAutoHyphens/>
              <w:rPr>
                <w:rFonts w:ascii="Verdana" w:hAnsi="Verdana"/>
                <w:sz w:val="18"/>
                <w:szCs w:val="18"/>
              </w:rPr>
            </w:pPr>
            <w:r w:rsidRPr="005F055E">
              <w:rPr>
                <w:rFonts w:ascii="Verdana" w:hAnsi="Verdana"/>
                <w:sz w:val="18"/>
                <w:szCs w:val="18"/>
              </w:rPr>
              <w:t>2025</w:t>
            </w:r>
          </w:p>
        </w:tc>
        <w:tc>
          <w:tcPr>
            <w:tcW w:w="851" w:type="dxa"/>
          </w:tcPr>
          <w:p w:rsidRPr="005F055E" w:rsidR="00575B14" w:rsidP="00180EEB" w:rsidRDefault="00575B14" w14:paraId="0DFABEBB" w14:textId="77777777">
            <w:pPr>
              <w:suppressAutoHyphens/>
              <w:rPr>
                <w:rFonts w:ascii="Verdana" w:hAnsi="Verdana"/>
                <w:sz w:val="18"/>
                <w:szCs w:val="18"/>
              </w:rPr>
            </w:pPr>
            <w:r w:rsidRPr="005F055E">
              <w:rPr>
                <w:rFonts w:ascii="Verdana" w:hAnsi="Verdana"/>
                <w:sz w:val="18"/>
                <w:szCs w:val="18"/>
              </w:rPr>
              <w:t>98</w:t>
            </w:r>
          </w:p>
        </w:tc>
        <w:tc>
          <w:tcPr>
            <w:tcW w:w="1417" w:type="dxa"/>
          </w:tcPr>
          <w:p w:rsidRPr="005F055E" w:rsidR="00575B14" w:rsidP="00180EEB" w:rsidRDefault="00575B14" w14:paraId="6773D3A3" w14:textId="77777777">
            <w:pPr>
              <w:suppressAutoHyphens/>
              <w:rPr>
                <w:rFonts w:ascii="Verdana" w:hAnsi="Verdana"/>
                <w:sz w:val="18"/>
                <w:szCs w:val="18"/>
              </w:rPr>
            </w:pPr>
          </w:p>
        </w:tc>
        <w:tc>
          <w:tcPr>
            <w:tcW w:w="992" w:type="dxa"/>
          </w:tcPr>
          <w:p w:rsidRPr="005F055E" w:rsidR="00575B14" w:rsidP="00180EEB" w:rsidRDefault="00575B14" w14:paraId="618B0DE6" w14:textId="77777777">
            <w:pPr>
              <w:suppressAutoHyphens/>
              <w:rPr>
                <w:rFonts w:ascii="Verdana" w:hAnsi="Verdana"/>
                <w:sz w:val="18"/>
                <w:szCs w:val="18"/>
              </w:rPr>
            </w:pPr>
            <w:r w:rsidRPr="005F055E">
              <w:rPr>
                <w:rFonts w:ascii="Verdana" w:hAnsi="Verdana"/>
                <w:sz w:val="18"/>
                <w:szCs w:val="18"/>
              </w:rPr>
              <w:t>8</w:t>
            </w:r>
          </w:p>
        </w:tc>
        <w:tc>
          <w:tcPr>
            <w:tcW w:w="1276" w:type="dxa"/>
          </w:tcPr>
          <w:p w:rsidRPr="005F055E" w:rsidR="00575B14" w:rsidP="00180EEB" w:rsidRDefault="00575B14" w14:paraId="2EA109CC" w14:textId="77777777">
            <w:pPr>
              <w:suppressAutoHyphens/>
              <w:rPr>
                <w:rFonts w:ascii="Verdana" w:hAnsi="Verdana"/>
                <w:sz w:val="18"/>
                <w:szCs w:val="18"/>
              </w:rPr>
            </w:pPr>
          </w:p>
        </w:tc>
        <w:tc>
          <w:tcPr>
            <w:tcW w:w="1134" w:type="dxa"/>
          </w:tcPr>
          <w:p w:rsidRPr="005F055E" w:rsidR="00575B14" w:rsidP="00180EEB" w:rsidRDefault="00575B14" w14:paraId="73019765" w14:textId="77777777">
            <w:pPr>
              <w:suppressAutoHyphens/>
              <w:rPr>
                <w:rFonts w:ascii="Verdana" w:hAnsi="Verdana"/>
                <w:sz w:val="18"/>
                <w:szCs w:val="18"/>
              </w:rPr>
            </w:pPr>
            <w:r w:rsidRPr="005F055E">
              <w:rPr>
                <w:rFonts w:ascii="Verdana" w:hAnsi="Verdana"/>
                <w:sz w:val="18"/>
                <w:szCs w:val="18"/>
              </w:rPr>
              <w:t>7</w:t>
            </w:r>
          </w:p>
        </w:tc>
        <w:tc>
          <w:tcPr>
            <w:tcW w:w="1559" w:type="dxa"/>
          </w:tcPr>
          <w:p w:rsidRPr="005F055E" w:rsidR="00575B14" w:rsidP="00180EEB" w:rsidRDefault="00575B14" w14:paraId="1F19F80D" w14:textId="77777777">
            <w:pPr>
              <w:suppressAutoHyphens/>
              <w:rPr>
                <w:rFonts w:ascii="Verdana" w:hAnsi="Verdana"/>
                <w:sz w:val="18"/>
                <w:szCs w:val="18"/>
              </w:rPr>
            </w:pPr>
          </w:p>
        </w:tc>
        <w:tc>
          <w:tcPr>
            <w:tcW w:w="993" w:type="dxa"/>
          </w:tcPr>
          <w:p w:rsidRPr="005F055E" w:rsidR="00575B14" w:rsidP="00180EEB" w:rsidRDefault="00575B14" w14:paraId="424DD607" w14:textId="77777777">
            <w:pPr>
              <w:suppressAutoHyphens/>
              <w:rPr>
                <w:rFonts w:ascii="Verdana" w:hAnsi="Verdana"/>
                <w:sz w:val="18"/>
                <w:szCs w:val="18"/>
              </w:rPr>
            </w:pPr>
            <w:r w:rsidRPr="005F055E">
              <w:rPr>
                <w:rFonts w:ascii="Verdana" w:hAnsi="Verdana"/>
                <w:sz w:val="18"/>
                <w:szCs w:val="18"/>
              </w:rPr>
              <w:t>148</w:t>
            </w:r>
          </w:p>
        </w:tc>
      </w:tr>
    </w:tbl>
    <w:p w:rsidRPr="005F055E" w:rsidR="00912A7D" w:rsidP="00180EEB" w:rsidRDefault="00912A7D" w14:paraId="49C7EBE4" w14:textId="77777777">
      <w:pPr>
        <w:suppressAutoHyphens/>
      </w:pPr>
    </w:p>
    <w:p w:rsidRPr="005F055E" w:rsidR="00912A7D" w:rsidP="00180EEB" w:rsidRDefault="00912A7D" w14:paraId="53B36CFD" w14:textId="77777777">
      <w:pPr>
        <w:suppressAutoHyphens/>
      </w:pPr>
    </w:p>
    <w:p w:rsidR="006D333D" w:rsidP="00180EEB" w:rsidRDefault="006D333D" w14:paraId="4E8EF638" w14:textId="77777777">
      <w:pPr>
        <w:suppressAutoHyphens/>
      </w:pPr>
    </w:p>
    <w:p w:rsidRPr="005F055E" w:rsidR="00912A7D" w:rsidP="00180EEB" w:rsidRDefault="003E7003" w14:paraId="478A2189" w14:textId="6D075D30">
      <w:pPr>
        <w:suppressAutoHyphens/>
      </w:pPr>
      <w:r w:rsidRPr="005F055E">
        <w:t>Vraag 145</w:t>
      </w:r>
      <w:r w:rsidRPr="005F055E">
        <w:tab/>
      </w:r>
    </w:p>
    <w:p w:rsidRPr="005F055E" w:rsidR="00912A7D" w:rsidP="00180EEB" w:rsidRDefault="003E7003" w14:paraId="2EE2FF33" w14:textId="77777777">
      <w:pPr>
        <w:suppressAutoHyphens/>
      </w:pPr>
      <w:r w:rsidRPr="005F055E">
        <w:t>Hoeveel ziekenhuisafdelingen zijn er sinds 2010 gesloten? Welke waren dit?</w:t>
      </w:r>
      <w:r w:rsidRPr="005F055E">
        <w:tab/>
      </w:r>
    </w:p>
    <w:p w:rsidRPr="005F055E" w:rsidR="003E7003" w:rsidP="00180EEB" w:rsidRDefault="003E7003" w14:paraId="7AEEE3D3" w14:textId="19355AA4">
      <w:pPr>
        <w:suppressAutoHyphens/>
      </w:pPr>
      <w:r w:rsidRPr="005F055E">
        <w:t>Antwoord</w:t>
      </w:r>
    </w:p>
    <w:p w:rsidRPr="005F055E" w:rsidR="00912A7D" w:rsidP="00180EEB" w:rsidRDefault="00632BAA" w14:paraId="21E959E7" w14:textId="33F2C056">
      <w:pPr>
        <w:suppressAutoHyphens/>
        <w:spacing w:line="240" w:lineRule="atLeast"/>
        <w:rPr>
          <w:szCs w:val="18"/>
          <w:lang w:eastAsia="nl-NL"/>
        </w:rPr>
      </w:pPr>
      <w:r w:rsidRPr="005F055E">
        <w:rPr>
          <w:szCs w:val="18"/>
          <w:lang w:eastAsia="nl-NL"/>
        </w:rPr>
        <w:t>Het ministerie van VWS beschikt niet over een overzicht van het aantal ziekenhuisafdelingen dat sinds 2010 in Nederland is gesloten.</w:t>
      </w:r>
    </w:p>
    <w:p w:rsidRPr="005F055E" w:rsidR="00912A7D" w:rsidP="00180EEB" w:rsidRDefault="00912A7D" w14:paraId="521B4162" w14:textId="77777777">
      <w:pPr>
        <w:suppressAutoHyphens/>
      </w:pPr>
    </w:p>
    <w:p w:rsidRPr="005F055E" w:rsidR="00912A7D" w:rsidP="00180EEB" w:rsidRDefault="003E7003" w14:paraId="23444748" w14:textId="77777777">
      <w:pPr>
        <w:suppressAutoHyphens/>
      </w:pPr>
      <w:r w:rsidRPr="005F055E">
        <w:t>Vraag 146</w:t>
      </w:r>
      <w:r w:rsidRPr="005F055E">
        <w:tab/>
      </w:r>
    </w:p>
    <w:p w:rsidRPr="005F055E" w:rsidR="00912A7D" w:rsidP="00180EEB" w:rsidRDefault="003E7003" w14:paraId="028FB187" w14:textId="5D9A2962">
      <w:pPr>
        <w:suppressAutoHyphens/>
      </w:pPr>
      <w:r w:rsidRPr="005F055E">
        <w:t>Hoeveel spoedeisende hulpposten (</w:t>
      </w:r>
      <w:proofErr w:type="spellStart"/>
      <w:r w:rsidRPr="005F055E">
        <w:t>SEH’s</w:t>
      </w:r>
      <w:proofErr w:type="spellEnd"/>
      <w:r w:rsidRPr="005F055E">
        <w:t xml:space="preserve">) zijn er sinds 2010 in Nederland gesloten en hoeveel zijn afgebouwd tot spoedplein of niet meer 24/7 bereikbaar? Kunt u een lijst geven van deze </w:t>
      </w:r>
      <w:proofErr w:type="spellStart"/>
      <w:r w:rsidRPr="005F055E">
        <w:t>SEH’s</w:t>
      </w:r>
      <w:proofErr w:type="spellEnd"/>
      <w:r w:rsidRPr="005F055E">
        <w:t>?</w:t>
      </w:r>
    </w:p>
    <w:p w:rsidRPr="005F055E" w:rsidR="003E7003" w:rsidP="00180EEB" w:rsidRDefault="003E7003" w14:paraId="39A71A47" w14:textId="0D6F5154">
      <w:pPr>
        <w:suppressAutoHyphens/>
      </w:pPr>
      <w:r w:rsidRPr="005F055E">
        <w:t>Antwoord</w:t>
      </w:r>
    </w:p>
    <w:p w:rsidRPr="005F055E" w:rsidR="00BE5CD4" w:rsidP="00180EEB" w:rsidRDefault="00BE5CD4" w14:paraId="77DA162E" w14:textId="214F59DC">
      <w:pPr>
        <w:suppressAutoHyphens/>
        <w:spacing w:line="240" w:lineRule="atLeast"/>
        <w:rPr>
          <w:szCs w:val="20"/>
          <w:lang w:eastAsia="nl-NL"/>
        </w:rPr>
      </w:pPr>
      <w:r w:rsidRPr="005F055E">
        <w:rPr>
          <w:szCs w:val="18"/>
          <w:lang w:eastAsia="nl-NL"/>
        </w:rPr>
        <w:t>In onderstaande tabel staat het aantal spoedeisende hulp locaties (</w:t>
      </w:r>
      <w:proofErr w:type="spellStart"/>
      <w:r w:rsidRPr="005F055E">
        <w:rPr>
          <w:szCs w:val="18"/>
          <w:lang w:eastAsia="nl-NL"/>
        </w:rPr>
        <w:t>SEH’s</w:t>
      </w:r>
      <w:proofErr w:type="spellEnd"/>
      <w:r w:rsidRPr="005F055E">
        <w:rPr>
          <w:szCs w:val="18"/>
          <w:lang w:eastAsia="nl-NL"/>
        </w:rPr>
        <w:t xml:space="preserve">) in Nederland van 2011 t/m Q1 2025 en staan de namen van gesloten </w:t>
      </w:r>
      <w:proofErr w:type="spellStart"/>
      <w:r w:rsidRPr="005F055E">
        <w:rPr>
          <w:szCs w:val="18"/>
          <w:lang w:eastAsia="nl-NL"/>
        </w:rPr>
        <w:t>SEH’s</w:t>
      </w:r>
      <w:proofErr w:type="spellEnd"/>
      <w:r w:rsidRPr="005F055E">
        <w:rPr>
          <w:szCs w:val="18"/>
          <w:lang w:eastAsia="nl-NL"/>
        </w:rPr>
        <w:t xml:space="preserve">. Over 2010 zijn geen cijfers beschikbaar. In de periode vóór 2016 is niet systematisch bijgehouden welke </w:t>
      </w:r>
      <w:proofErr w:type="spellStart"/>
      <w:r w:rsidRPr="005F055E">
        <w:rPr>
          <w:szCs w:val="18"/>
          <w:lang w:eastAsia="nl-NL"/>
        </w:rPr>
        <w:t>SEH’s</w:t>
      </w:r>
      <w:proofErr w:type="spellEnd"/>
      <w:r w:rsidRPr="005F055E">
        <w:rPr>
          <w:szCs w:val="18"/>
          <w:lang w:eastAsia="nl-NL"/>
        </w:rPr>
        <w:t xml:space="preserve"> gesloten zijn. Een kaart met alle actueel geopende </w:t>
      </w:r>
      <w:proofErr w:type="spellStart"/>
      <w:r w:rsidRPr="005F055E">
        <w:rPr>
          <w:szCs w:val="18"/>
          <w:lang w:eastAsia="nl-NL"/>
        </w:rPr>
        <w:t>SEH’s</w:t>
      </w:r>
      <w:proofErr w:type="spellEnd"/>
      <w:r w:rsidRPr="005F055E">
        <w:rPr>
          <w:szCs w:val="18"/>
          <w:lang w:eastAsia="nl-NL"/>
        </w:rPr>
        <w:t xml:space="preserve"> is te vinden op </w:t>
      </w:r>
      <w:hyperlink w:history="1" r:id="rId21">
        <w:r w:rsidRPr="005F055E">
          <w:rPr>
            <w:color w:val="0000FF"/>
            <w:szCs w:val="20"/>
            <w:u w:val="single"/>
            <w:lang w:eastAsia="nl-NL"/>
          </w:rPr>
          <w:t>Acute zorg | Regionaal | SEH | Volksgezondheid en Zorg (vzinfo.nl)</w:t>
        </w:r>
      </w:hyperlink>
      <w:r w:rsidRPr="005F055E">
        <w:rPr>
          <w:szCs w:val="20"/>
          <w:lang w:eastAsia="nl-NL"/>
        </w:rPr>
        <w:t>.</w:t>
      </w:r>
    </w:p>
    <w:p w:rsidRPr="005F055E" w:rsidR="00BE5CD4" w:rsidP="00180EEB" w:rsidRDefault="00BE5CD4" w14:paraId="0491CA7E" w14:textId="77777777">
      <w:pPr>
        <w:suppressAutoHyphens/>
        <w:spacing w:line="240" w:lineRule="atLeast"/>
        <w:rPr>
          <w:szCs w:val="18"/>
          <w:lang w:eastAsia="nl-NL"/>
        </w:rPr>
      </w:pPr>
      <w:r w:rsidRPr="005F055E">
        <w:rPr>
          <w:szCs w:val="18"/>
          <w:lang w:eastAsia="nl-NL"/>
        </w:rPr>
        <w:t xml:space="preserve">Het is daarbij belangrijk om te vermelden dat een spoedplein een samenwerking betreft tussen een SEH, huisartsenspoedpost en vaak ook een dienstapotheek, en niet zozeer een </w:t>
      </w:r>
      <w:proofErr w:type="spellStart"/>
      <w:r w:rsidRPr="005F055E">
        <w:rPr>
          <w:szCs w:val="18"/>
          <w:lang w:eastAsia="nl-NL"/>
        </w:rPr>
        <w:t>afschaling</w:t>
      </w:r>
      <w:proofErr w:type="spellEnd"/>
      <w:r w:rsidRPr="005F055E">
        <w:rPr>
          <w:szCs w:val="18"/>
          <w:lang w:eastAsia="nl-NL"/>
        </w:rPr>
        <w:t xml:space="preserve"> van een SEH. Daarnaast zijn er ook spoedpoliklinieken en spoedposten. Hier zijn echter op dit moment nog geen eenduidige definities voor. Er is daardoor geen overzicht beschikbaar welke </w:t>
      </w:r>
      <w:proofErr w:type="spellStart"/>
      <w:r w:rsidRPr="005F055E">
        <w:rPr>
          <w:szCs w:val="18"/>
          <w:lang w:eastAsia="nl-NL"/>
        </w:rPr>
        <w:t>SEH’s</w:t>
      </w:r>
      <w:proofErr w:type="spellEnd"/>
      <w:r w:rsidRPr="005F055E">
        <w:rPr>
          <w:szCs w:val="18"/>
          <w:lang w:eastAsia="nl-NL"/>
        </w:rPr>
        <w:t xml:space="preserve"> zijn omgevormd tot dit soort verschijningsvormen. Wel zijn er enkele locaties die zich als spoedpolikliniek of spoedpost profileren na sluiting van een SEH. Die zijn in onderstaande tabel aangegeven.</w:t>
      </w:r>
    </w:p>
    <w:p w:rsidRPr="005F055E" w:rsidR="00BE5CD4" w:rsidP="00180EEB" w:rsidRDefault="00BE5CD4" w14:paraId="6811E6EA" w14:textId="77777777">
      <w:pPr>
        <w:suppressAutoHyphens/>
        <w:spacing w:line="240" w:lineRule="atLeast"/>
        <w:rPr>
          <w:szCs w:val="18"/>
          <w:lang w:eastAsia="nl-NL"/>
        </w:rPr>
      </w:pPr>
    </w:p>
    <w:tbl>
      <w:tblPr>
        <w:tblStyle w:val="TableGrid0"/>
        <w:tblW w:w="0" w:type="auto"/>
        <w:tblLook w:val="04A0" w:firstRow="1" w:lastRow="0" w:firstColumn="1" w:lastColumn="0" w:noHBand="0" w:noVBand="1"/>
      </w:tblPr>
      <w:tblGrid>
        <w:gridCol w:w="755"/>
        <w:gridCol w:w="1018"/>
        <w:gridCol w:w="1020"/>
        <w:gridCol w:w="1630"/>
        <w:gridCol w:w="2625"/>
        <w:gridCol w:w="1969"/>
      </w:tblGrid>
      <w:tr w:rsidRPr="005F055E" w:rsidR="00BE5CD4" w:rsidTr="00EC7257" w14:paraId="001993C0" w14:textId="77777777">
        <w:trPr>
          <w:trHeight w:val="1044"/>
          <w:tblHeader/>
        </w:trPr>
        <w:tc>
          <w:tcPr>
            <w:tcW w:w="0" w:type="auto"/>
            <w:tcBorders>
              <w:top w:val="single" w:color="auto" w:sz="4" w:space="0"/>
              <w:left w:val="single" w:color="auto" w:sz="4" w:space="0"/>
              <w:bottom w:val="single" w:color="auto" w:sz="4" w:space="0"/>
              <w:right w:val="single" w:color="auto" w:sz="4" w:space="0"/>
            </w:tcBorders>
          </w:tcPr>
          <w:p w:rsidRPr="005F055E" w:rsidR="00BE5CD4" w:rsidP="00180EEB" w:rsidRDefault="00BE5CD4" w14:paraId="11D4801E" w14:textId="77777777">
            <w:pPr>
              <w:suppressAutoHyphens/>
              <w:spacing w:line="240" w:lineRule="atLeast"/>
              <w:rPr>
                <w:rFonts w:ascii="Verdana" w:hAnsi="Verdana"/>
                <w:b/>
                <w:bCs/>
                <w:sz w:val="18"/>
                <w:szCs w:val="18"/>
                <w:lang w:eastAsia="nl-NL"/>
              </w:rPr>
            </w:pPr>
            <w:r w:rsidRPr="005F055E">
              <w:rPr>
                <w:rFonts w:ascii="Verdana" w:hAnsi="Verdana"/>
                <w:b/>
                <w:bCs/>
                <w:sz w:val="18"/>
                <w:szCs w:val="18"/>
                <w:lang w:eastAsia="nl-NL"/>
              </w:rPr>
              <w:t>Peil-da-</w:t>
            </w:r>
            <w:proofErr w:type="spellStart"/>
            <w:r w:rsidRPr="005F055E">
              <w:rPr>
                <w:rFonts w:ascii="Verdana" w:hAnsi="Verdana"/>
                <w:b/>
                <w:bCs/>
                <w:sz w:val="18"/>
                <w:szCs w:val="18"/>
                <w:lang w:eastAsia="nl-NL"/>
              </w:rPr>
              <w:t>tum</w:t>
            </w:r>
            <w:proofErr w:type="spellEnd"/>
          </w:p>
        </w:tc>
        <w:tc>
          <w:tcPr>
            <w:tcW w:w="0" w:type="auto"/>
            <w:tcBorders>
              <w:top w:val="single" w:color="auto" w:sz="4" w:space="0"/>
              <w:left w:val="single" w:color="auto" w:sz="4" w:space="0"/>
              <w:bottom w:val="single" w:color="auto" w:sz="4" w:space="0"/>
              <w:right w:val="single" w:color="auto" w:sz="4" w:space="0"/>
            </w:tcBorders>
          </w:tcPr>
          <w:p w:rsidRPr="005F055E" w:rsidR="00BE5CD4" w:rsidP="00180EEB" w:rsidRDefault="00BE5CD4" w14:paraId="2043C1F6" w14:textId="77777777">
            <w:pPr>
              <w:suppressAutoHyphens/>
              <w:spacing w:line="240" w:lineRule="atLeast"/>
              <w:rPr>
                <w:rFonts w:ascii="Verdana" w:hAnsi="Verdana"/>
                <w:b/>
                <w:bCs/>
                <w:sz w:val="18"/>
                <w:szCs w:val="18"/>
                <w:lang w:eastAsia="nl-NL"/>
              </w:rPr>
            </w:pPr>
            <w:r w:rsidRPr="005F055E">
              <w:rPr>
                <w:rFonts w:ascii="Verdana" w:hAnsi="Verdana"/>
                <w:b/>
                <w:bCs/>
                <w:sz w:val="18"/>
                <w:szCs w:val="18"/>
                <w:lang w:eastAsia="nl-NL"/>
              </w:rPr>
              <w:t xml:space="preserve">Totaal aantal </w:t>
            </w:r>
            <w:proofErr w:type="spellStart"/>
            <w:r w:rsidRPr="005F055E">
              <w:rPr>
                <w:rFonts w:ascii="Verdana" w:hAnsi="Verdana"/>
                <w:b/>
                <w:bCs/>
                <w:sz w:val="18"/>
                <w:szCs w:val="18"/>
                <w:lang w:eastAsia="nl-NL"/>
              </w:rPr>
              <w:t>SEH’s</w:t>
            </w:r>
            <w:proofErr w:type="spellEnd"/>
            <w:r w:rsidRPr="005F055E">
              <w:rPr>
                <w:rFonts w:ascii="Verdana" w:hAnsi="Verdana"/>
                <w:b/>
                <w:bCs/>
                <w:sz w:val="18"/>
                <w:szCs w:val="18"/>
                <w:lang w:eastAsia="nl-NL"/>
              </w:rPr>
              <w:t xml:space="preserve"> (incl. </w:t>
            </w:r>
            <w:proofErr w:type="spellStart"/>
            <w:r w:rsidRPr="005F055E">
              <w:rPr>
                <w:rFonts w:ascii="Verdana" w:hAnsi="Verdana"/>
                <w:b/>
                <w:bCs/>
                <w:sz w:val="18"/>
                <w:szCs w:val="18"/>
                <w:lang w:eastAsia="nl-NL"/>
              </w:rPr>
              <w:t>SEH’s</w:t>
            </w:r>
            <w:proofErr w:type="spellEnd"/>
            <w:r w:rsidRPr="005F055E">
              <w:rPr>
                <w:rFonts w:ascii="Verdana" w:hAnsi="Verdana"/>
                <w:b/>
                <w:bCs/>
                <w:sz w:val="18"/>
                <w:szCs w:val="18"/>
                <w:lang w:eastAsia="nl-NL"/>
              </w:rPr>
              <w:t xml:space="preserve"> die niet 24/7 open zijn)</w:t>
            </w:r>
          </w:p>
        </w:tc>
        <w:tc>
          <w:tcPr>
            <w:tcW w:w="0" w:type="auto"/>
            <w:tcBorders>
              <w:top w:val="single" w:color="auto" w:sz="4" w:space="0"/>
              <w:left w:val="single" w:color="auto" w:sz="4" w:space="0"/>
              <w:bottom w:val="single" w:color="auto" w:sz="4" w:space="0"/>
              <w:right w:val="single" w:color="auto" w:sz="4" w:space="0"/>
            </w:tcBorders>
            <w:hideMark/>
          </w:tcPr>
          <w:p w:rsidRPr="005F055E" w:rsidR="00BE5CD4" w:rsidP="00180EEB" w:rsidRDefault="00BE5CD4" w14:paraId="6274C3A5" w14:textId="77777777">
            <w:pPr>
              <w:suppressAutoHyphens/>
              <w:spacing w:line="240" w:lineRule="atLeast"/>
              <w:rPr>
                <w:rFonts w:ascii="Verdana" w:hAnsi="Verdana"/>
                <w:b/>
                <w:bCs/>
                <w:sz w:val="18"/>
                <w:szCs w:val="18"/>
                <w:lang w:eastAsia="nl-NL"/>
              </w:rPr>
            </w:pPr>
            <w:r w:rsidRPr="005F055E">
              <w:rPr>
                <w:rFonts w:ascii="Verdana" w:hAnsi="Verdana"/>
                <w:b/>
                <w:bCs/>
                <w:sz w:val="18"/>
                <w:szCs w:val="18"/>
                <w:lang w:eastAsia="nl-NL"/>
              </w:rPr>
              <w:t xml:space="preserve">Aantal </w:t>
            </w:r>
            <w:proofErr w:type="spellStart"/>
            <w:r w:rsidRPr="005F055E">
              <w:rPr>
                <w:rFonts w:ascii="Verdana" w:hAnsi="Verdana"/>
                <w:b/>
                <w:bCs/>
                <w:sz w:val="18"/>
                <w:szCs w:val="18"/>
                <w:lang w:eastAsia="nl-NL"/>
              </w:rPr>
              <w:t>SEHs</w:t>
            </w:r>
            <w:proofErr w:type="spellEnd"/>
          </w:p>
          <w:p w:rsidRPr="005F055E" w:rsidR="00BE5CD4" w:rsidP="00180EEB" w:rsidRDefault="00BE5CD4" w14:paraId="34828382" w14:textId="77777777">
            <w:pPr>
              <w:suppressAutoHyphens/>
              <w:spacing w:line="240" w:lineRule="atLeast"/>
              <w:rPr>
                <w:rFonts w:ascii="Verdana" w:hAnsi="Verdana"/>
                <w:b/>
                <w:bCs/>
                <w:sz w:val="18"/>
                <w:szCs w:val="18"/>
                <w:lang w:eastAsia="nl-NL"/>
              </w:rPr>
            </w:pPr>
            <w:r w:rsidRPr="005F055E">
              <w:rPr>
                <w:rFonts w:ascii="Verdana" w:hAnsi="Verdana"/>
                <w:b/>
                <w:bCs/>
                <w:sz w:val="18"/>
                <w:szCs w:val="18"/>
                <w:lang w:eastAsia="nl-NL"/>
              </w:rPr>
              <w:t xml:space="preserve">24/7-uurs </w:t>
            </w:r>
            <w:proofErr w:type="spellStart"/>
            <w:r w:rsidRPr="005F055E">
              <w:rPr>
                <w:rFonts w:ascii="Verdana" w:hAnsi="Verdana"/>
                <w:b/>
                <w:bCs/>
                <w:sz w:val="18"/>
                <w:szCs w:val="18"/>
                <w:lang w:eastAsia="nl-NL"/>
              </w:rPr>
              <w:t>open-stelling</w:t>
            </w:r>
            <w:proofErr w:type="spellEnd"/>
          </w:p>
        </w:tc>
        <w:tc>
          <w:tcPr>
            <w:tcW w:w="518" w:type="dxa"/>
            <w:tcBorders>
              <w:top w:val="single" w:color="auto" w:sz="4" w:space="0"/>
              <w:left w:val="single" w:color="auto" w:sz="4" w:space="0"/>
              <w:bottom w:val="single" w:color="auto" w:sz="4" w:space="0"/>
              <w:right w:val="single" w:color="auto" w:sz="4" w:space="0"/>
            </w:tcBorders>
            <w:hideMark/>
          </w:tcPr>
          <w:p w:rsidRPr="005F055E" w:rsidR="00BE5CD4" w:rsidP="00180EEB" w:rsidRDefault="00BE5CD4" w14:paraId="0DFBE1A7" w14:textId="77777777">
            <w:pPr>
              <w:suppressAutoHyphens/>
              <w:spacing w:line="240" w:lineRule="atLeast"/>
              <w:rPr>
                <w:rFonts w:ascii="Verdana" w:hAnsi="Verdana"/>
                <w:b/>
                <w:bCs/>
                <w:sz w:val="18"/>
                <w:szCs w:val="18"/>
                <w:lang w:eastAsia="nl-NL"/>
              </w:rPr>
            </w:pPr>
            <w:r w:rsidRPr="005F055E">
              <w:rPr>
                <w:rFonts w:ascii="Verdana" w:hAnsi="Verdana"/>
                <w:b/>
                <w:bCs/>
                <w:sz w:val="18"/>
                <w:szCs w:val="18"/>
                <w:lang w:eastAsia="nl-NL"/>
              </w:rPr>
              <w:t xml:space="preserve">Naam van gesloten 24/7-uurs SEH </w:t>
            </w:r>
          </w:p>
        </w:tc>
        <w:tc>
          <w:tcPr>
            <w:tcW w:w="2625" w:type="dxa"/>
            <w:tcBorders>
              <w:top w:val="single" w:color="auto" w:sz="4" w:space="0"/>
              <w:left w:val="single" w:color="auto" w:sz="4" w:space="0"/>
              <w:bottom w:val="single" w:color="auto" w:sz="4" w:space="0"/>
              <w:right w:val="single" w:color="auto" w:sz="4" w:space="0"/>
            </w:tcBorders>
          </w:tcPr>
          <w:p w:rsidRPr="005F055E" w:rsidR="00BE5CD4" w:rsidP="00180EEB" w:rsidRDefault="00BE5CD4" w14:paraId="130C8BD4" w14:textId="77777777">
            <w:pPr>
              <w:suppressAutoHyphens/>
              <w:spacing w:line="240" w:lineRule="atLeast"/>
              <w:rPr>
                <w:rFonts w:ascii="Verdana" w:hAnsi="Verdana"/>
                <w:b/>
                <w:bCs/>
                <w:sz w:val="18"/>
                <w:szCs w:val="18"/>
                <w:lang w:eastAsia="nl-NL"/>
              </w:rPr>
            </w:pPr>
            <w:r w:rsidRPr="005F055E">
              <w:rPr>
                <w:rFonts w:ascii="Verdana" w:hAnsi="Verdana"/>
                <w:b/>
                <w:bCs/>
                <w:sz w:val="18"/>
                <w:szCs w:val="18"/>
                <w:lang w:eastAsia="nl-NL"/>
              </w:rPr>
              <w:t xml:space="preserve">Naam </w:t>
            </w:r>
            <w:proofErr w:type="spellStart"/>
            <w:r w:rsidRPr="005F055E">
              <w:rPr>
                <w:rFonts w:ascii="Verdana" w:hAnsi="Verdana"/>
                <w:b/>
                <w:bCs/>
                <w:sz w:val="18"/>
                <w:szCs w:val="18"/>
                <w:lang w:eastAsia="nl-NL"/>
              </w:rPr>
              <w:t>afge-schaalde</w:t>
            </w:r>
            <w:proofErr w:type="spellEnd"/>
            <w:r w:rsidRPr="005F055E">
              <w:rPr>
                <w:rFonts w:ascii="Verdana" w:hAnsi="Verdana"/>
                <w:b/>
                <w:bCs/>
                <w:sz w:val="18"/>
                <w:szCs w:val="18"/>
                <w:lang w:eastAsia="nl-NL"/>
              </w:rPr>
              <w:t xml:space="preserve"> SEH van 24/7-uurs SEH naar beperkte </w:t>
            </w:r>
            <w:proofErr w:type="spellStart"/>
            <w:r w:rsidRPr="005F055E">
              <w:rPr>
                <w:rFonts w:ascii="Verdana" w:hAnsi="Verdana"/>
                <w:b/>
                <w:bCs/>
                <w:sz w:val="18"/>
                <w:szCs w:val="18"/>
                <w:lang w:eastAsia="nl-NL"/>
              </w:rPr>
              <w:t>openings-tijden</w:t>
            </w:r>
            <w:proofErr w:type="spellEnd"/>
          </w:p>
        </w:tc>
        <w:tc>
          <w:tcPr>
            <w:tcW w:w="0" w:type="auto"/>
            <w:tcBorders>
              <w:top w:val="single" w:color="auto" w:sz="4" w:space="0"/>
              <w:left w:val="single" w:color="auto" w:sz="4" w:space="0"/>
              <w:bottom w:val="single" w:color="auto" w:sz="4" w:space="0"/>
              <w:right w:val="single" w:color="auto" w:sz="4" w:space="0"/>
            </w:tcBorders>
          </w:tcPr>
          <w:p w:rsidRPr="005F055E" w:rsidR="00BE5CD4" w:rsidP="00180EEB" w:rsidRDefault="00BE5CD4" w14:paraId="635CF46B" w14:textId="77777777">
            <w:pPr>
              <w:suppressAutoHyphens/>
              <w:spacing w:line="240" w:lineRule="atLeast"/>
              <w:rPr>
                <w:rFonts w:ascii="Verdana" w:hAnsi="Verdana"/>
                <w:b/>
                <w:bCs/>
                <w:sz w:val="18"/>
                <w:szCs w:val="18"/>
                <w:lang w:eastAsia="nl-NL"/>
              </w:rPr>
            </w:pPr>
            <w:r w:rsidRPr="005F055E">
              <w:rPr>
                <w:rFonts w:ascii="Verdana" w:hAnsi="Verdana"/>
                <w:b/>
                <w:bCs/>
                <w:sz w:val="18"/>
                <w:szCs w:val="18"/>
                <w:lang w:eastAsia="nl-NL"/>
              </w:rPr>
              <w:t>Naam gesloten/</w:t>
            </w:r>
            <w:proofErr w:type="spellStart"/>
            <w:r w:rsidRPr="005F055E">
              <w:rPr>
                <w:rFonts w:ascii="Verdana" w:hAnsi="Verdana"/>
                <w:b/>
                <w:bCs/>
                <w:sz w:val="18"/>
                <w:szCs w:val="18"/>
                <w:lang w:eastAsia="nl-NL"/>
              </w:rPr>
              <w:t>her-opende</w:t>
            </w:r>
            <w:proofErr w:type="spellEnd"/>
            <w:r w:rsidRPr="005F055E">
              <w:rPr>
                <w:rFonts w:ascii="Verdana" w:hAnsi="Verdana"/>
                <w:b/>
                <w:bCs/>
                <w:sz w:val="18"/>
                <w:szCs w:val="18"/>
                <w:lang w:eastAsia="nl-NL"/>
              </w:rPr>
              <w:t xml:space="preserve"> SEH met beperkte </w:t>
            </w:r>
            <w:proofErr w:type="spellStart"/>
            <w:r w:rsidRPr="005F055E">
              <w:rPr>
                <w:rFonts w:ascii="Verdana" w:hAnsi="Verdana"/>
                <w:b/>
                <w:bCs/>
                <w:sz w:val="18"/>
                <w:szCs w:val="18"/>
                <w:lang w:eastAsia="nl-NL"/>
              </w:rPr>
              <w:t>openings-tijden</w:t>
            </w:r>
            <w:proofErr w:type="spellEnd"/>
          </w:p>
        </w:tc>
      </w:tr>
      <w:tr w:rsidRPr="005F055E" w:rsidR="00BE5CD4" w:rsidTr="00EC7257" w14:paraId="7F3BE17A" w14:textId="77777777">
        <w:trPr>
          <w:trHeight w:val="227"/>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5F055E" w:rsidR="00BE5CD4" w:rsidP="00180EEB" w:rsidRDefault="00BE5CD4" w14:paraId="7045EF49" w14:textId="77777777">
            <w:pPr>
              <w:suppressAutoHyphens/>
              <w:spacing w:line="240" w:lineRule="atLeast"/>
              <w:rPr>
                <w:rFonts w:ascii="Verdana" w:hAnsi="Verdana"/>
                <w:color w:val="000000"/>
                <w:sz w:val="18"/>
                <w:szCs w:val="18"/>
                <w:lang w:eastAsia="nl-NL"/>
              </w:rPr>
            </w:pPr>
            <w:r w:rsidRPr="005F055E">
              <w:rPr>
                <w:rFonts w:ascii="Verdana" w:hAnsi="Verdana"/>
                <w:color w:val="000000"/>
                <w:sz w:val="18"/>
                <w:szCs w:val="18"/>
                <w:lang w:eastAsia="nl-NL"/>
              </w:rPr>
              <w:t>2011</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45F9A8C0" w14:textId="77777777">
            <w:pPr>
              <w:suppressAutoHyphens/>
              <w:spacing w:line="240" w:lineRule="atLeast"/>
              <w:rPr>
                <w:rFonts w:ascii="Verdana" w:hAnsi="Verdana"/>
                <w:color w:val="000000"/>
                <w:sz w:val="18"/>
                <w:szCs w:val="18"/>
                <w:lang w:eastAsia="nl-NL"/>
              </w:rPr>
            </w:pPr>
            <w:r w:rsidRPr="005F055E">
              <w:rPr>
                <w:rFonts w:ascii="Verdana" w:hAnsi="Verdana"/>
                <w:color w:val="000000"/>
                <w:sz w:val="18"/>
                <w:szCs w:val="18"/>
                <w:lang w:eastAsia="nl-NL"/>
              </w:rPr>
              <w:t>99</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5F055E" w:rsidR="00BE5CD4" w:rsidP="00180EEB" w:rsidRDefault="00BE5CD4" w14:paraId="15CB9E27" w14:textId="77777777">
            <w:pPr>
              <w:suppressAutoHyphens/>
              <w:spacing w:line="240" w:lineRule="atLeast"/>
              <w:rPr>
                <w:rFonts w:ascii="Verdana" w:hAnsi="Verdana"/>
                <w:color w:val="000000"/>
                <w:sz w:val="18"/>
                <w:szCs w:val="18"/>
                <w:lang w:eastAsia="nl-NL"/>
              </w:rPr>
            </w:pPr>
            <w:r w:rsidRPr="005F055E">
              <w:rPr>
                <w:rFonts w:ascii="Verdana" w:hAnsi="Verdana"/>
                <w:color w:val="000000"/>
                <w:sz w:val="18"/>
                <w:szCs w:val="18"/>
                <w:lang w:eastAsia="nl-NL"/>
              </w:rPr>
              <w:t>99</w:t>
            </w:r>
          </w:p>
        </w:tc>
        <w:tc>
          <w:tcPr>
            <w:tcW w:w="518" w:type="dxa"/>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3F7EEDD3" w14:textId="77777777">
            <w:pPr>
              <w:suppressAutoHyphens/>
              <w:spacing w:line="240" w:lineRule="atLeast"/>
              <w:rPr>
                <w:rFonts w:ascii="Verdana" w:hAnsi="Verdana"/>
                <w:sz w:val="18"/>
                <w:szCs w:val="18"/>
                <w:lang w:eastAsia="nl-NL"/>
              </w:rPr>
            </w:pP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03767F36" w14:textId="77777777">
            <w:pPr>
              <w:suppressAutoHyphens/>
              <w:spacing w:line="240" w:lineRule="atLeast"/>
              <w:rPr>
                <w:rFonts w:ascii="Verdana" w:hAnsi="Verdana"/>
                <w:sz w:val="18"/>
                <w:szCs w:val="18"/>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73FAFFFF" w14:textId="77777777">
            <w:pPr>
              <w:suppressAutoHyphens/>
              <w:spacing w:line="240" w:lineRule="atLeast"/>
              <w:rPr>
                <w:rFonts w:ascii="Verdana" w:hAnsi="Verdana"/>
                <w:sz w:val="18"/>
                <w:szCs w:val="18"/>
                <w:lang w:eastAsia="nl-NL"/>
              </w:rPr>
            </w:pPr>
          </w:p>
        </w:tc>
      </w:tr>
      <w:tr w:rsidRPr="005F055E" w:rsidR="00BE5CD4" w:rsidTr="00EC7257" w14:paraId="36959806" w14:textId="77777777">
        <w:trPr>
          <w:trHeight w:val="242"/>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5F055E" w:rsidR="00BE5CD4" w:rsidP="00180EEB" w:rsidRDefault="00BE5CD4" w14:paraId="374611A9" w14:textId="77777777">
            <w:pPr>
              <w:suppressAutoHyphens/>
              <w:spacing w:line="240" w:lineRule="atLeast"/>
              <w:rPr>
                <w:rFonts w:ascii="Verdana" w:hAnsi="Verdana"/>
                <w:color w:val="000000"/>
                <w:sz w:val="18"/>
                <w:szCs w:val="18"/>
                <w:lang w:eastAsia="nl-NL"/>
              </w:rPr>
            </w:pPr>
            <w:r w:rsidRPr="005F055E">
              <w:rPr>
                <w:rFonts w:ascii="Verdana" w:hAnsi="Verdana"/>
                <w:color w:val="000000"/>
                <w:sz w:val="18"/>
                <w:szCs w:val="18"/>
                <w:lang w:eastAsia="nl-NL"/>
              </w:rPr>
              <w:t>2013</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1620627B" w14:textId="77777777">
            <w:pPr>
              <w:suppressAutoHyphens/>
              <w:spacing w:line="240" w:lineRule="atLeast"/>
              <w:rPr>
                <w:rFonts w:ascii="Verdana" w:hAnsi="Verdana"/>
                <w:color w:val="000000"/>
                <w:sz w:val="18"/>
                <w:szCs w:val="18"/>
                <w:lang w:eastAsia="nl-NL"/>
              </w:rPr>
            </w:pPr>
            <w:r w:rsidRPr="005F055E">
              <w:rPr>
                <w:rFonts w:ascii="Verdana" w:hAnsi="Verdana"/>
                <w:color w:val="000000"/>
                <w:sz w:val="18"/>
                <w:szCs w:val="18"/>
                <w:lang w:eastAsia="nl-NL"/>
              </w:rPr>
              <w:t>94</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5F055E" w:rsidR="00BE5CD4" w:rsidP="00180EEB" w:rsidRDefault="00BE5CD4" w14:paraId="736EB33D" w14:textId="77777777">
            <w:pPr>
              <w:suppressAutoHyphens/>
              <w:spacing w:line="240" w:lineRule="atLeast"/>
              <w:rPr>
                <w:rFonts w:ascii="Verdana" w:hAnsi="Verdana"/>
                <w:color w:val="000000"/>
                <w:sz w:val="18"/>
                <w:szCs w:val="18"/>
                <w:lang w:eastAsia="nl-NL"/>
              </w:rPr>
            </w:pPr>
            <w:r w:rsidRPr="005F055E">
              <w:rPr>
                <w:rFonts w:ascii="Verdana" w:hAnsi="Verdana"/>
                <w:color w:val="000000"/>
                <w:sz w:val="18"/>
                <w:szCs w:val="18"/>
                <w:lang w:eastAsia="nl-NL"/>
              </w:rPr>
              <w:t>94</w:t>
            </w:r>
          </w:p>
        </w:tc>
        <w:tc>
          <w:tcPr>
            <w:tcW w:w="518" w:type="dxa"/>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78DF31F4" w14:textId="77777777">
            <w:pPr>
              <w:suppressAutoHyphens/>
              <w:spacing w:line="240" w:lineRule="atLeast"/>
              <w:rPr>
                <w:rFonts w:ascii="Verdana" w:hAnsi="Verdana"/>
                <w:sz w:val="18"/>
                <w:szCs w:val="18"/>
                <w:lang w:eastAsia="nl-NL"/>
              </w:rPr>
            </w:pP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258C5527" w14:textId="77777777">
            <w:pPr>
              <w:suppressAutoHyphens/>
              <w:spacing w:line="240" w:lineRule="atLeast"/>
              <w:rPr>
                <w:rFonts w:ascii="Verdana" w:hAnsi="Verdana"/>
                <w:sz w:val="18"/>
                <w:szCs w:val="18"/>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13AB8838" w14:textId="77777777">
            <w:pPr>
              <w:suppressAutoHyphens/>
              <w:spacing w:line="240" w:lineRule="atLeast"/>
              <w:rPr>
                <w:rFonts w:ascii="Verdana" w:hAnsi="Verdana"/>
                <w:sz w:val="18"/>
                <w:szCs w:val="18"/>
                <w:lang w:eastAsia="nl-NL"/>
              </w:rPr>
            </w:pPr>
          </w:p>
        </w:tc>
      </w:tr>
      <w:tr w:rsidRPr="005F055E" w:rsidR="00BE5CD4" w:rsidTr="00EC7257" w14:paraId="366CA5CC" w14:textId="77777777">
        <w:trPr>
          <w:trHeight w:val="242"/>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5F055E" w:rsidR="00BE5CD4" w:rsidP="00180EEB" w:rsidRDefault="00BE5CD4" w14:paraId="23F5E331" w14:textId="77777777">
            <w:pPr>
              <w:suppressAutoHyphens/>
              <w:spacing w:line="240" w:lineRule="atLeast"/>
              <w:rPr>
                <w:rFonts w:ascii="Verdana" w:hAnsi="Verdana"/>
                <w:color w:val="000000"/>
                <w:sz w:val="18"/>
                <w:szCs w:val="18"/>
                <w:lang w:eastAsia="nl-NL"/>
              </w:rPr>
            </w:pPr>
            <w:r w:rsidRPr="005F055E">
              <w:rPr>
                <w:rFonts w:ascii="Verdana" w:hAnsi="Verdana"/>
                <w:color w:val="000000"/>
                <w:sz w:val="18"/>
                <w:szCs w:val="18"/>
                <w:lang w:eastAsia="nl-NL"/>
              </w:rPr>
              <w:t>2014</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2B198D71" w14:textId="77777777">
            <w:pPr>
              <w:suppressAutoHyphens/>
              <w:spacing w:line="240" w:lineRule="atLeast"/>
              <w:rPr>
                <w:rFonts w:ascii="Verdana" w:hAnsi="Verdana"/>
                <w:color w:val="000000"/>
                <w:sz w:val="18"/>
                <w:szCs w:val="18"/>
                <w:lang w:eastAsia="nl-NL"/>
              </w:rPr>
            </w:pPr>
            <w:r w:rsidRPr="005F055E">
              <w:rPr>
                <w:rFonts w:ascii="Verdana" w:hAnsi="Verdana"/>
                <w:color w:val="000000"/>
                <w:sz w:val="18"/>
                <w:szCs w:val="18"/>
                <w:lang w:eastAsia="nl-NL"/>
              </w:rPr>
              <w:t>95</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5F055E" w:rsidR="00BE5CD4" w:rsidP="00180EEB" w:rsidRDefault="00BE5CD4" w14:paraId="0E53FC33" w14:textId="77777777">
            <w:pPr>
              <w:suppressAutoHyphens/>
              <w:spacing w:line="240" w:lineRule="atLeast"/>
              <w:rPr>
                <w:rFonts w:ascii="Verdana" w:hAnsi="Verdana"/>
                <w:color w:val="000000"/>
                <w:sz w:val="18"/>
                <w:szCs w:val="18"/>
                <w:lang w:eastAsia="nl-NL"/>
              </w:rPr>
            </w:pPr>
            <w:r w:rsidRPr="005F055E">
              <w:rPr>
                <w:rFonts w:ascii="Verdana" w:hAnsi="Verdana"/>
                <w:color w:val="000000"/>
                <w:sz w:val="18"/>
                <w:szCs w:val="18"/>
                <w:lang w:eastAsia="nl-NL"/>
              </w:rPr>
              <w:t>91</w:t>
            </w:r>
          </w:p>
        </w:tc>
        <w:tc>
          <w:tcPr>
            <w:tcW w:w="518" w:type="dxa"/>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46FEE354" w14:textId="77777777">
            <w:pPr>
              <w:suppressAutoHyphens/>
              <w:spacing w:line="240" w:lineRule="atLeast"/>
              <w:rPr>
                <w:rFonts w:ascii="Verdana" w:hAnsi="Verdana"/>
                <w:sz w:val="18"/>
                <w:szCs w:val="18"/>
                <w:lang w:eastAsia="nl-NL"/>
              </w:rPr>
            </w:pP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3B63ED33" w14:textId="77777777">
            <w:pPr>
              <w:suppressAutoHyphens/>
              <w:spacing w:line="240" w:lineRule="atLeast"/>
              <w:rPr>
                <w:rFonts w:ascii="Verdana" w:hAnsi="Verdana"/>
                <w:sz w:val="18"/>
                <w:szCs w:val="18"/>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038F95A6" w14:textId="77777777">
            <w:pPr>
              <w:suppressAutoHyphens/>
              <w:spacing w:line="240" w:lineRule="atLeast"/>
              <w:rPr>
                <w:rFonts w:ascii="Verdana" w:hAnsi="Verdana"/>
                <w:sz w:val="18"/>
                <w:szCs w:val="18"/>
                <w:lang w:eastAsia="nl-NL"/>
              </w:rPr>
            </w:pPr>
          </w:p>
        </w:tc>
      </w:tr>
      <w:tr w:rsidRPr="005F055E" w:rsidR="00BE5CD4" w:rsidTr="00EC7257" w14:paraId="204DE06B" w14:textId="77777777">
        <w:trPr>
          <w:trHeight w:val="227"/>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5F055E" w:rsidR="00BE5CD4" w:rsidP="00180EEB" w:rsidRDefault="00BE5CD4" w14:paraId="01214833"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2015</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74DB6BC5"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95</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5F055E" w:rsidR="00BE5CD4" w:rsidP="00180EEB" w:rsidRDefault="00BE5CD4" w14:paraId="20C25AF5"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91</w:t>
            </w:r>
          </w:p>
        </w:tc>
        <w:tc>
          <w:tcPr>
            <w:tcW w:w="518" w:type="dxa"/>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5B2827B8" w14:textId="77777777">
            <w:pPr>
              <w:suppressAutoHyphens/>
              <w:spacing w:line="240" w:lineRule="atLeast"/>
              <w:rPr>
                <w:rFonts w:ascii="Verdana" w:hAnsi="Verdana"/>
                <w:sz w:val="18"/>
                <w:szCs w:val="18"/>
                <w:lang w:eastAsia="nl-NL"/>
              </w:rPr>
            </w:pP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2E8898F5" w14:textId="77777777">
            <w:pPr>
              <w:suppressAutoHyphens/>
              <w:spacing w:line="240" w:lineRule="atLeast"/>
              <w:rPr>
                <w:rFonts w:ascii="Verdana" w:hAnsi="Verdana"/>
                <w:sz w:val="18"/>
                <w:szCs w:val="18"/>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4960C40C" w14:textId="77777777">
            <w:pPr>
              <w:suppressAutoHyphens/>
              <w:spacing w:line="240" w:lineRule="atLeast"/>
              <w:rPr>
                <w:rFonts w:ascii="Verdana" w:hAnsi="Verdana"/>
                <w:sz w:val="18"/>
                <w:szCs w:val="18"/>
                <w:lang w:eastAsia="nl-NL"/>
              </w:rPr>
            </w:pPr>
          </w:p>
        </w:tc>
      </w:tr>
      <w:tr w:rsidRPr="005F055E" w:rsidR="00BE5CD4" w:rsidTr="00EC7257" w14:paraId="213DE136" w14:textId="77777777">
        <w:trPr>
          <w:trHeight w:val="570"/>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5F055E" w:rsidR="00BE5CD4" w:rsidP="00180EEB" w:rsidRDefault="00BE5CD4" w14:paraId="66A73D77"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2016</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38EDDAD8"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94</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5F055E" w:rsidR="00BE5CD4" w:rsidP="00180EEB" w:rsidRDefault="00BE5CD4" w14:paraId="17F1576E"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90</w:t>
            </w:r>
          </w:p>
        </w:tc>
        <w:tc>
          <w:tcPr>
            <w:tcW w:w="518" w:type="dxa"/>
            <w:tcBorders>
              <w:top w:val="single" w:color="auto" w:sz="4" w:space="0"/>
              <w:left w:val="single" w:color="auto" w:sz="4" w:space="0"/>
              <w:bottom w:val="single" w:color="auto" w:sz="4" w:space="0"/>
              <w:right w:val="single" w:color="auto" w:sz="4" w:space="0"/>
            </w:tcBorders>
            <w:shd w:val="clear" w:color="auto" w:fill="FFFFFF"/>
            <w:hideMark/>
          </w:tcPr>
          <w:p w:rsidRPr="005F055E" w:rsidR="00BE5CD4" w:rsidP="00180EEB" w:rsidRDefault="00BE5CD4" w14:paraId="20B3CAF7"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 xml:space="preserve">Sluiting (1): </w:t>
            </w:r>
            <w:proofErr w:type="spellStart"/>
            <w:r w:rsidRPr="005F055E">
              <w:rPr>
                <w:rFonts w:ascii="Verdana" w:hAnsi="Verdana"/>
                <w:sz w:val="18"/>
                <w:szCs w:val="18"/>
                <w:lang w:eastAsia="nl-NL"/>
              </w:rPr>
              <w:t>Hagaziekenhuis</w:t>
            </w:r>
            <w:proofErr w:type="spellEnd"/>
            <w:r w:rsidRPr="005F055E">
              <w:rPr>
                <w:rFonts w:ascii="Verdana" w:hAnsi="Verdana"/>
                <w:sz w:val="18"/>
                <w:szCs w:val="18"/>
                <w:lang w:eastAsia="nl-NL"/>
              </w:rPr>
              <w:t xml:space="preserve"> locatie Sportlaan</w:t>
            </w: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2C7E1B75" w14:textId="77777777">
            <w:pPr>
              <w:suppressAutoHyphens/>
              <w:spacing w:line="240" w:lineRule="atLeast"/>
              <w:rPr>
                <w:rFonts w:ascii="Verdana" w:hAnsi="Verdana"/>
                <w:sz w:val="18"/>
                <w:szCs w:val="18"/>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7CF0140B" w14:textId="77777777">
            <w:pPr>
              <w:suppressAutoHyphens/>
              <w:spacing w:line="240" w:lineRule="atLeast"/>
              <w:rPr>
                <w:rFonts w:ascii="Verdana" w:hAnsi="Verdana"/>
                <w:sz w:val="18"/>
                <w:szCs w:val="18"/>
                <w:lang w:eastAsia="nl-NL"/>
              </w:rPr>
            </w:pPr>
          </w:p>
        </w:tc>
      </w:tr>
      <w:tr w:rsidRPr="005F055E" w:rsidR="00BE5CD4" w:rsidTr="00EC7257" w14:paraId="3F85D1F9" w14:textId="77777777">
        <w:trPr>
          <w:trHeight w:val="550"/>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5F055E" w:rsidR="00BE5CD4" w:rsidP="00180EEB" w:rsidRDefault="00BE5CD4" w14:paraId="5DF587CB"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2017</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2F6752E9"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94</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5F055E" w:rsidR="00BE5CD4" w:rsidP="00180EEB" w:rsidRDefault="00BE5CD4" w14:paraId="29E47828"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89</w:t>
            </w:r>
          </w:p>
        </w:tc>
        <w:tc>
          <w:tcPr>
            <w:tcW w:w="518" w:type="dxa"/>
            <w:tcBorders>
              <w:top w:val="single" w:color="auto" w:sz="4" w:space="0"/>
              <w:left w:val="single" w:color="auto" w:sz="4" w:space="0"/>
              <w:bottom w:val="single" w:color="auto" w:sz="4" w:space="0"/>
              <w:right w:val="single" w:color="auto" w:sz="4" w:space="0"/>
            </w:tcBorders>
            <w:shd w:val="clear" w:color="auto" w:fill="FFFFFF"/>
            <w:hideMark/>
          </w:tcPr>
          <w:p w:rsidRPr="005F055E" w:rsidR="00BE5CD4" w:rsidP="00180EEB" w:rsidRDefault="00BE5CD4" w14:paraId="3CE26342" w14:textId="77777777">
            <w:pPr>
              <w:suppressAutoHyphens/>
              <w:spacing w:line="240" w:lineRule="atLeast"/>
              <w:rPr>
                <w:rFonts w:ascii="Verdana" w:hAnsi="Verdana"/>
                <w:sz w:val="18"/>
                <w:szCs w:val="18"/>
                <w:highlight w:val="yellow"/>
                <w:lang w:eastAsia="nl-NL"/>
              </w:rPr>
            </w:pP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5406B4D1" w14:textId="77777777">
            <w:pPr>
              <w:suppressAutoHyphens/>
              <w:spacing w:line="240" w:lineRule="atLeast"/>
              <w:rPr>
                <w:rFonts w:ascii="Verdana" w:hAnsi="Verdana"/>
                <w:sz w:val="18"/>
                <w:szCs w:val="18"/>
                <w:lang w:eastAsia="nl-NL"/>
              </w:rPr>
            </w:pPr>
            <w:proofErr w:type="spellStart"/>
            <w:r w:rsidRPr="005F055E">
              <w:rPr>
                <w:rFonts w:ascii="Verdana" w:hAnsi="Verdana"/>
                <w:sz w:val="18"/>
                <w:szCs w:val="18"/>
                <w:lang w:eastAsia="nl-NL"/>
              </w:rPr>
              <w:t>Afschaling</w:t>
            </w:r>
            <w:proofErr w:type="spellEnd"/>
            <w:r w:rsidRPr="005F055E">
              <w:rPr>
                <w:rFonts w:ascii="Verdana" w:hAnsi="Verdana"/>
                <w:sz w:val="18"/>
                <w:szCs w:val="18"/>
                <w:lang w:eastAsia="nl-NL"/>
              </w:rPr>
              <w:t xml:space="preserve"> van 24/7-uurs SEH naar dag/avond (1): Franciscus Gasthuis &amp; Vlietland in Schiedam</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2053879A" w14:textId="77777777">
            <w:pPr>
              <w:suppressAutoHyphens/>
              <w:spacing w:line="240" w:lineRule="atLeast"/>
              <w:rPr>
                <w:rFonts w:ascii="Verdana" w:hAnsi="Verdana"/>
                <w:sz w:val="18"/>
                <w:szCs w:val="18"/>
                <w:lang w:eastAsia="nl-NL"/>
              </w:rPr>
            </w:pPr>
          </w:p>
        </w:tc>
      </w:tr>
      <w:tr w:rsidRPr="005F055E" w:rsidR="00BE5CD4" w:rsidTr="00EC7257" w14:paraId="1B7BB6BB" w14:textId="77777777">
        <w:trPr>
          <w:trHeight w:val="1438"/>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5F055E" w:rsidR="00BE5CD4" w:rsidP="00180EEB" w:rsidRDefault="00BE5CD4" w14:paraId="0BD50BB0"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2018</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072E0455"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89</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5F055E" w:rsidR="00BE5CD4" w:rsidP="00180EEB" w:rsidRDefault="00BE5CD4" w14:paraId="0B68D67F"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86</w:t>
            </w:r>
          </w:p>
        </w:tc>
        <w:tc>
          <w:tcPr>
            <w:tcW w:w="518" w:type="dxa"/>
            <w:tcBorders>
              <w:top w:val="single" w:color="auto" w:sz="4" w:space="0"/>
              <w:left w:val="single" w:color="auto" w:sz="4" w:space="0"/>
              <w:bottom w:val="single" w:color="auto" w:sz="4" w:space="0"/>
              <w:right w:val="single" w:color="auto" w:sz="4" w:space="0"/>
            </w:tcBorders>
            <w:shd w:val="clear" w:color="auto" w:fill="FFFFFF"/>
            <w:hideMark/>
          </w:tcPr>
          <w:p w:rsidRPr="005F055E" w:rsidR="00BE5CD4" w:rsidP="00180EEB" w:rsidRDefault="00BE5CD4" w14:paraId="4FF980A8"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Sluiting (3): HMC Antoniushove Leidschendam, St Antonius Woerden, ZGT Hengelo</w:t>
            </w: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31C9818D" w14:textId="77777777">
            <w:pPr>
              <w:suppressAutoHyphens/>
              <w:spacing w:line="240" w:lineRule="atLeast"/>
              <w:rPr>
                <w:rFonts w:ascii="Verdana" w:hAnsi="Verdana"/>
                <w:sz w:val="18"/>
                <w:szCs w:val="18"/>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5F055E" w:rsidR="00BE5CD4" w:rsidP="00180EEB" w:rsidRDefault="00BE5CD4" w14:paraId="1A7BD3DE"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Sluiting van dag/avond SEH (2): Albert Schweitzer Zwijndrecht, Havenziekenhuis Rotterdam</w:t>
            </w:r>
          </w:p>
        </w:tc>
      </w:tr>
      <w:tr w:rsidRPr="005F055E" w:rsidR="00BE5CD4" w:rsidTr="00EC7257" w14:paraId="317B99DE" w14:textId="77777777">
        <w:trPr>
          <w:trHeight w:val="1057"/>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5F055E" w:rsidR="00BE5CD4" w:rsidP="00180EEB" w:rsidRDefault="00BE5CD4" w14:paraId="741DD78E"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Maart 2019</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37E3688F"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87</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5F055E" w:rsidR="00BE5CD4" w:rsidP="00180EEB" w:rsidRDefault="00BE5CD4" w14:paraId="2A2F0719"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83</w:t>
            </w:r>
          </w:p>
        </w:tc>
        <w:tc>
          <w:tcPr>
            <w:tcW w:w="518" w:type="dxa"/>
            <w:tcBorders>
              <w:top w:val="single" w:color="auto" w:sz="4" w:space="0"/>
              <w:left w:val="single" w:color="auto" w:sz="4" w:space="0"/>
              <w:bottom w:val="single" w:color="auto" w:sz="4" w:space="0"/>
              <w:right w:val="single" w:color="auto" w:sz="4" w:space="0"/>
            </w:tcBorders>
            <w:shd w:val="clear" w:color="auto" w:fill="auto"/>
            <w:hideMark/>
          </w:tcPr>
          <w:p w:rsidRPr="005F055E" w:rsidR="00BE5CD4" w:rsidP="00180EEB" w:rsidRDefault="00BE5CD4" w14:paraId="6930190E"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Sluiting (2): MC Slotervaart Amsterdam, MC Zuiderzee Lelystad*</w:t>
            </w:r>
          </w:p>
          <w:p w:rsidRPr="005F055E" w:rsidR="00BE5CD4" w:rsidP="00180EEB" w:rsidRDefault="00BE5CD4" w14:paraId="753E1928" w14:textId="77777777">
            <w:pPr>
              <w:suppressAutoHyphens/>
              <w:spacing w:line="240" w:lineRule="atLeast"/>
              <w:rPr>
                <w:rFonts w:ascii="Verdana" w:hAnsi="Verdana"/>
                <w:sz w:val="18"/>
                <w:szCs w:val="18"/>
                <w:lang w:eastAsia="nl-NL"/>
              </w:rPr>
            </w:pPr>
          </w:p>
        </w:tc>
        <w:tc>
          <w:tcPr>
            <w:tcW w:w="2625" w:type="dxa"/>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6A580306" w14:textId="77777777">
            <w:pPr>
              <w:suppressAutoHyphens/>
              <w:spacing w:line="240" w:lineRule="atLeast"/>
              <w:rPr>
                <w:rFonts w:ascii="Verdana" w:hAnsi="Verdana"/>
                <w:sz w:val="18"/>
                <w:szCs w:val="18"/>
                <w:lang w:eastAsia="nl-NL"/>
              </w:rPr>
            </w:pPr>
            <w:proofErr w:type="spellStart"/>
            <w:r w:rsidRPr="005F055E">
              <w:rPr>
                <w:rFonts w:ascii="Verdana" w:hAnsi="Verdana"/>
                <w:sz w:val="18"/>
                <w:szCs w:val="18"/>
                <w:lang w:eastAsia="nl-NL"/>
              </w:rPr>
              <w:t>Afschaling</w:t>
            </w:r>
            <w:proofErr w:type="spellEnd"/>
            <w:r w:rsidRPr="005F055E">
              <w:rPr>
                <w:rFonts w:ascii="Verdana" w:hAnsi="Verdana"/>
                <w:sz w:val="18"/>
                <w:szCs w:val="18"/>
                <w:lang w:eastAsia="nl-NL"/>
              </w:rPr>
              <w:t xml:space="preserve"> van 24/7-uurs SEH naar dag/avond (1): ETZ Tweesteden</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4D78E1CF" w14:textId="77777777">
            <w:pPr>
              <w:suppressAutoHyphens/>
              <w:spacing w:line="240" w:lineRule="atLeast"/>
              <w:rPr>
                <w:rFonts w:ascii="Verdana" w:hAnsi="Verdana"/>
                <w:sz w:val="18"/>
                <w:szCs w:val="18"/>
                <w:lang w:eastAsia="nl-NL"/>
              </w:rPr>
            </w:pPr>
          </w:p>
        </w:tc>
      </w:tr>
      <w:tr w:rsidRPr="005F055E" w:rsidR="00BE5CD4" w:rsidTr="00EC7257" w14:paraId="2C775954" w14:textId="77777777">
        <w:trPr>
          <w:trHeight w:val="1412"/>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5F055E" w:rsidR="00BE5CD4" w:rsidP="00180EEB" w:rsidRDefault="00BE5CD4" w14:paraId="6DCAA10D"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Maart 2020</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119173E6"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83</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5F055E" w:rsidR="00BE5CD4" w:rsidP="00180EEB" w:rsidRDefault="00BE5CD4" w14:paraId="141801EB"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80</w:t>
            </w:r>
          </w:p>
        </w:tc>
        <w:tc>
          <w:tcPr>
            <w:tcW w:w="518" w:type="dxa"/>
            <w:tcBorders>
              <w:top w:val="single" w:color="auto" w:sz="4" w:space="0"/>
              <w:left w:val="single" w:color="auto" w:sz="4" w:space="0"/>
              <w:bottom w:val="single" w:color="auto" w:sz="4" w:space="0"/>
              <w:right w:val="single" w:color="auto" w:sz="4" w:space="0"/>
            </w:tcBorders>
            <w:shd w:val="clear" w:color="auto" w:fill="auto"/>
            <w:hideMark/>
          </w:tcPr>
          <w:p w:rsidRPr="005F055E" w:rsidR="00BE5CD4" w:rsidP="00180EEB" w:rsidRDefault="00BE5CD4" w14:paraId="780E5328"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 xml:space="preserve">Sluiting (3): HMC </w:t>
            </w:r>
            <w:proofErr w:type="spellStart"/>
            <w:r w:rsidRPr="005F055E">
              <w:rPr>
                <w:rFonts w:ascii="Verdana" w:hAnsi="Verdana"/>
                <w:sz w:val="18"/>
                <w:szCs w:val="18"/>
                <w:lang w:eastAsia="nl-NL"/>
              </w:rPr>
              <w:t>Bronovo</w:t>
            </w:r>
            <w:proofErr w:type="spellEnd"/>
            <w:r w:rsidRPr="005F055E">
              <w:rPr>
                <w:rFonts w:ascii="Verdana" w:hAnsi="Verdana"/>
                <w:sz w:val="18"/>
                <w:szCs w:val="18"/>
                <w:lang w:eastAsia="nl-NL"/>
              </w:rPr>
              <w:t xml:space="preserve">, Bethesda Hoogeveen* en </w:t>
            </w:r>
            <w:proofErr w:type="spellStart"/>
            <w:r w:rsidRPr="005F055E">
              <w:rPr>
                <w:rFonts w:ascii="Verdana" w:hAnsi="Verdana"/>
                <w:sz w:val="18"/>
                <w:szCs w:val="18"/>
                <w:lang w:eastAsia="nl-NL"/>
              </w:rPr>
              <w:t>Refaja</w:t>
            </w:r>
            <w:proofErr w:type="spellEnd"/>
            <w:r w:rsidRPr="005F055E">
              <w:rPr>
                <w:rFonts w:ascii="Verdana" w:hAnsi="Verdana"/>
                <w:sz w:val="18"/>
                <w:szCs w:val="18"/>
                <w:lang w:eastAsia="nl-NL"/>
              </w:rPr>
              <w:t xml:space="preserve"> Stadskanaal*</w:t>
            </w:r>
          </w:p>
        </w:tc>
        <w:tc>
          <w:tcPr>
            <w:tcW w:w="2625" w:type="dxa"/>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58992DF9" w14:textId="77777777">
            <w:pPr>
              <w:suppressAutoHyphens/>
              <w:spacing w:line="240" w:lineRule="atLeast"/>
              <w:rPr>
                <w:rFonts w:ascii="Verdana" w:hAnsi="Verdana"/>
                <w:sz w:val="18"/>
                <w:szCs w:val="18"/>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0785A0D2"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 xml:space="preserve">Sluiting van dag/avond SEH (1): ETZ </w:t>
            </w:r>
            <w:proofErr w:type="spellStart"/>
            <w:r w:rsidRPr="005F055E">
              <w:rPr>
                <w:rFonts w:ascii="Verdana" w:hAnsi="Verdana"/>
                <w:sz w:val="18"/>
                <w:szCs w:val="18"/>
                <w:lang w:eastAsia="nl-NL"/>
              </w:rPr>
              <w:t>TweeSteden</w:t>
            </w:r>
            <w:proofErr w:type="spellEnd"/>
          </w:p>
        </w:tc>
      </w:tr>
      <w:tr w:rsidRPr="005F055E" w:rsidR="00BE5CD4" w:rsidTr="00EC7257" w14:paraId="3571D24E" w14:textId="77777777">
        <w:trPr>
          <w:trHeight w:val="469"/>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5F055E" w:rsidR="00BE5CD4" w:rsidP="00180EEB" w:rsidRDefault="00BE5CD4" w14:paraId="79AAB877"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Maart 2021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25739BFA"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82</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5F055E" w:rsidR="00BE5CD4" w:rsidP="00180EEB" w:rsidRDefault="00BE5CD4" w14:paraId="5F338B47"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80</w:t>
            </w:r>
          </w:p>
        </w:tc>
        <w:tc>
          <w:tcPr>
            <w:tcW w:w="518" w:type="dxa"/>
            <w:tcBorders>
              <w:top w:val="single" w:color="auto" w:sz="4" w:space="0"/>
              <w:left w:val="single" w:color="auto" w:sz="4" w:space="0"/>
              <w:bottom w:val="single" w:color="auto" w:sz="4" w:space="0"/>
              <w:right w:val="single" w:color="auto" w:sz="4" w:space="0"/>
            </w:tcBorders>
            <w:shd w:val="clear" w:color="auto" w:fill="auto"/>
            <w:hideMark/>
          </w:tcPr>
          <w:p w:rsidRPr="005F055E" w:rsidR="00BE5CD4" w:rsidP="00180EEB" w:rsidRDefault="00BE5CD4" w14:paraId="57730B3E" w14:textId="77777777">
            <w:pPr>
              <w:suppressAutoHyphens/>
              <w:spacing w:line="240" w:lineRule="atLeast"/>
              <w:rPr>
                <w:rFonts w:ascii="Verdana" w:hAnsi="Verdana"/>
                <w:sz w:val="18"/>
                <w:szCs w:val="18"/>
                <w:lang w:eastAsia="nl-NL"/>
              </w:rPr>
            </w:pPr>
          </w:p>
        </w:tc>
        <w:tc>
          <w:tcPr>
            <w:tcW w:w="2625" w:type="dxa"/>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73832B4D" w14:textId="77777777">
            <w:pPr>
              <w:suppressAutoHyphens/>
              <w:spacing w:line="240" w:lineRule="atLeast"/>
              <w:rPr>
                <w:rFonts w:ascii="Verdana" w:hAnsi="Verdana"/>
                <w:sz w:val="18"/>
                <w:szCs w:val="18"/>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0A212AC1"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Sluiting van dag/avond SEH (1): Spaarne Haarlem Noord tijdelijk gesloten</w:t>
            </w:r>
          </w:p>
        </w:tc>
      </w:tr>
      <w:tr w:rsidRPr="005F055E" w:rsidR="00BE5CD4" w:rsidTr="00EC7257" w14:paraId="0AED3B4D" w14:textId="77777777">
        <w:trPr>
          <w:trHeight w:val="484"/>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5F055E" w:rsidR="00BE5CD4" w:rsidP="00180EEB" w:rsidRDefault="00BE5CD4" w14:paraId="6A9DC9E8"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Maart 2022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4257C5BD"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83</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5F055E" w:rsidR="00BE5CD4" w:rsidP="00180EEB" w:rsidRDefault="00BE5CD4" w14:paraId="3C49B230"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80</w:t>
            </w:r>
          </w:p>
        </w:tc>
        <w:tc>
          <w:tcPr>
            <w:tcW w:w="518" w:type="dxa"/>
            <w:tcBorders>
              <w:top w:val="single" w:color="auto" w:sz="4" w:space="0"/>
              <w:left w:val="single" w:color="auto" w:sz="4" w:space="0"/>
              <w:bottom w:val="single" w:color="auto" w:sz="4" w:space="0"/>
              <w:right w:val="single" w:color="auto" w:sz="4" w:space="0"/>
            </w:tcBorders>
            <w:shd w:val="clear" w:color="auto" w:fill="auto"/>
            <w:hideMark/>
          </w:tcPr>
          <w:p w:rsidRPr="005F055E" w:rsidR="00BE5CD4" w:rsidP="00180EEB" w:rsidRDefault="00BE5CD4" w14:paraId="72459CB3" w14:textId="77777777">
            <w:pPr>
              <w:suppressAutoHyphens/>
              <w:spacing w:line="240" w:lineRule="atLeast"/>
              <w:rPr>
                <w:rFonts w:ascii="Verdana" w:hAnsi="Verdana"/>
                <w:sz w:val="18"/>
                <w:szCs w:val="18"/>
                <w:lang w:eastAsia="nl-NL"/>
              </w:rPr>
            </w:pPr>
          </w:p>
        </w:tc>
        <w:tc>
          <w:tcPr>
            <w:tcW w:w="2625" w:type="dxa"/>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739960E2" w14:textId="77777777">
            <w:pPr>
              <w:suppressAutoHyphens/>
              <w:spacing w:line="240" w:lineRule="atLeast"/>
              <w:rPr>
                <w:rFonts w:ascii="Verdana" w:hAnsi="Verdana"/>
                <w:sz w:val="18"/>
                <w:szCs w:val="18"/>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5E26A0A1"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Heropening (1): Spaarne Haarlem Noord</w:t>
            </w:r>
          </w:p>
        </w:tc>
      </w:tr>
      <w:tr w:rsidRPr="005F055E" w:rsidR="00BE5CD4" w:rsidTr="00EC7257" w14:paraId="430E039B" w14:textId="77777777">
        <w:trPr>
          <w:trHeight w:val="283"/>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5F055E" w:rsidR="00BE5CD4" w:rsidP="00180EEB" w:rsidRDefault="00BE5CD4" w14:paraId="4A08A149"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April 2023</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48203CB8"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83</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5F055E" w:rsidR="00BE5CD4" w:rsidP="00180EEB" w:rsidRDefault="00BE5CD4" w14:paraId="17C63876"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80</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2A70C3A3"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Geen wijzigingen t.o.v. 2022.</w:t>
            </w:r>
          </w:p>
        </w:tc>
      </w:tr>
      <w:tr w:rsidRPr="005F055E" w:rsidR="00BE5CD4" w:rsidTr="00EC7257" w14:paraId="7B97C42A" w14:textId="77777777">
        <w:trPr>
          <w:trHeight w:val="726"/>
        </w:trPr>
        <w:tc>
          <w:tcPr>
            <w:tcW w:w="0" w:type="auto"/>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0BAD1E6A"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Maart</w:t>
            </w:r>
          </w:p>
          <w:p w:rsidRPr="005F055E" w:rsidR="00BE5CD4" w:rsidP="00180EEB" w:rsidRDefault="00BE5CD4" w14:paraId="0B747877"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2024</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0E3E2A4D"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81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01E980E0"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77</w:t>
            </w:r>
          </w:p>
        </w:tc>
        <w:tc>
          <w:tcPr>
            <w:tcW w:w="518" w:type="dxa"/>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7601CDFD" w14:textId="6F1F7C82">
            <w:pPr>
              <w:suppressAutoHyphens/>
              <w:spacing w:line="240" w:lineRule="atLeast"/>
              <w:rPr>
                <w:rFonts w:ascii="Verdana" w:hAnsi="Verdana"/>
                <w:sz w:val="18"/>
                <w:szCs w:val="18"/>
                <w:lang w:eastAsia="nl-NL"/>
              </w:rPr>
            </w:pPr>
            <w:r w:rsidRPr="005F055E">
              <w:rPr>
                <w:rFonts w:ascii="Verdana" w:hAnsi="Verdana"/>
                <w:sz w:val="18"/>
                <w:szCs w:val="18"/>
                <w:lang w:eastAsia="nl-NL"/>
              </w:rPr>
              <w:t>Sluiting (1):</w:t>
            </w:r>
            <w:r w:rsidRPr="005F055E" w:rsidR="00D73F76">
              <w:rPr>
                <w:rFonts w:ascii="Verdana" w:hAnsi="Verdana"/>
                <w:sz w:val="18"/>
                <w:szCs w:val="18"/>
                <w:lang w:eastAsia="nl-NL"/>
              </w:rPr>
              <w:t xml:space="preserve"> </w:t>
            </w:r>
            <w:proofErr w:type="spellStart"/>
            <w:r w:rsidRPr="005F055E">
              <w:rPr>
                <w:rFonts w:ascii="Verdana" w:hAnsi="Verdana"/>
                <w:sz w:val="18"/>
                <w:szCs w:val="18"/>
                <w:lang w:eastAsia="nl-NL"/>
              </w:rPr>
              <w:t>Tergooi</w:t>
            </w:r>
            <w:proofErr w:type="spellEnd"/>
            <w:r w:rsidRPr="005F055E">
              <w:rPr>
                <w:rFonts w:ascii="Verdana" w:hAnsi="Verdana"/>
                <w:sz w:val="18"/>
                <w:szCs w:val="18"/>
                <w:lang w:eastAsia="nl-NL"/>
              </w:rPr>
              <w:t xml:space="preserve"> MC Blaricum </w:t>
            </w:r>
          </w:p>
        </w:tc>
        <w:tc>
          <w:tcPr>
            <w:tcW w:w="2625" w:type="dxa"/>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3E486118" w14:textId="77777777">
            <w:pPr>
              <w:suppressAutoHyphens/>
              <w:spacing w:line="240" w:lineRule="atLeast"/>
              <w:rPr>
                <w:rFonts w:ascii="Verdana" w:hAnsi="Verdana"/>
                <w:sz w:val="18"/>
                <w:szCs w:val="18"/>
                <w:lang w:eastAsia="nl-NL"/>
              </w:rPr>
            </w:pPr>
            <w:proofErr w:type="spellStart"/>
            <w:r w:rsidRPr="005F055E">
              <w:rPr>
                <w:rFonts w:ascii="Verdana" w:hAnsi="Verdana"/>
                <w:sz w:val="18"/>
                <w:szCs w:val="18"/>
                <w:lang w:eastAsia="nl-NL"/>
              </w:rPr>
              <w:t>Afschaling</w:t>
            </w:r>
            <w:proofErr w:type="spellEnd"/>
            <w:r w:rsidRPr="005F055E">
              <w:rPr>
                <w:rFonts w:ascii="Verdana" w:hAnsi="Verdana"/>
                <w:sz w:val="18"/>
                <w:szCs w:val="18"/>
                <w:lang w:eastAsia="nl-NL"/>
              </w:rPr>
              <w:t xml:space="preserve"> van 24/7-uurs SEH naar dag/avond (2):</w:t>
            </w:r>
          </w:p>
          <w:p w:rsidRPr="005F055E" w:rsidR="00BE5CD4" w:rsidP="00180EEB" w:rsidRDefault="00BE5CD4" w14:paraId="79C19BC6"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 xml:space="preserve">Gelre Ziekenhuizen Zutphen, Amsterdam UMC </w:t>
            </w:r>
            <w:proofErr w:type="spellStart"/>
            <w:r w:rsidRPr="005F055E">
              <w:rPr>
                <w:rFonts w:ascii="Verdana" w:hAnsi="Verdana"/>
                <w:sz w:val="18"/>
                <w:szCs w:val="18"/>
                <w:lang w:eastAsia="nl-NL"/>
              </w:rPr>
              <w:t>VUmc</w:t>
            </w:r>
            <w:proofErr w:type="spellEnd"/>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1381F4C4"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Sluiting van dag/avond SEH (1): Spaarne Haarlem Noord*</w:t>
            </w:r>
          </w:p>
        </w:tc>
      </w:tr>
      <w:tr w:rsidRPr="005F055E" w:rsidR="00BE5CD4" w:rsidTr="00EC7257" w14:paraId="5B93F7B9" w14:textId="77777777">
        <w:trPr>
          <w:trHeight w:val="711"/>
        </w:trPr>
        <w:tc>
          <w:tcPr>
            <w:tcW w:w="0" w:type="auto"/>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084D6B9C"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Maart 2025</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1D25E5F6"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79</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51F3E13D"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76</w:t>
            </w:r>
          </w:p>
        </w:tc>
        <w:tc>
          <w:tcPr>
            <w:tcW w:w="518" w:type="dxa"/>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1414B6F5"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 xml:space="preserve">Sluiting (1): </w:t>
            </w:r>
            <w:proofErr w:type="spellStart"/>
            <w:r w:rsidRPr="005F055E">
              <w:rPr>
                <w:rFonts w:ascii="Verdana" w:hAnsi="Verdana"/>
                <w:sz w:val="18"/>
                <w:szCs w:val="18"/>
                <w:lang w:eastAsia="nl-NL"/>
              </w:rPr>
              <w:t>Zuyderland</w:t>
            </w:r>
            <w:proofErr w:type="spellEnd"/>
            <w:r w:rsidRPr="005F055E">
              <w:rPr>
                <w:rFonts w:ascii="Verdana" w:hAnsi="Verdana"/>
                <w:sz w:val="18"/>
                <w:szCs w:val="18"/>
                <w:lang w:eastAsia="nl-NL"/>
              </w:rPr>
              <w:t xml:space="preserve"> ziekenhuis Sittard-Geleen*</w:t>
            </w:r>
          </w:p>
        </w:tc>
        <w:tc>
          <w:tcPr>
            <w:tcW w:w="2625" w:type="dxa"/>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79BB87A7" w14:textId="77777777">
            <w:pPr>
              <w:suppressAutoHyphens/>
              <w:spacing w:line="240" w:lineRule="atLeast"/>
              <w:rPr>
                <w:rFonts w:ascii="Verdana" w:hAnsi="Verdana"/>
                <w:sz w:val="18"/>
                <w:szCs w:val="18"/>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5F055E" w:rsidR="00BE5CD4" w:rsidP="00180EEB" w:rsidRDefault="00BE5CD4" w14:paraId="2A5009C8"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Sluiting van dag/avond SEH (1): Amsterdam UMC locatie VUMC*</w:t>
            </w:r>
          </w:p>
        </w:tc>
      </w:tr>
    </w:tbl>
    <w:p w:rsidRPr="005F055E" w:rsidR="00912A7D" w:rsidP="00180EEB" w:rsidRDefault="00BE5CD4" w14:paraId="748976C2" w14:textId="496929C1">
      <w:pPr>
        <w:suppressAutoHyphens/>
        <w:spacing w:line="240" w:lineRule="atLeast"/>
      </w:pPr>
      <w:r w:rsidRPr="005F055E">
        <w:rPr>
          <w:sz w:val="16"/>
          <w:szCs w:val="16"/>
          <w:lang w:eastAsia="nl-NL"/>
        </w:rPr>
        <w:t>* Locaties die zich als spoedpolikliniek of spoedpost profileren.</w:t>
      </w:r>
      <w:r w:rsidRPr="005F055E">
        <w:rPr>
          <w:sz w:val="16"/>
          <w:szCs w:val="16"/>
          <w:lang w:eastAsia="nl-NL"/>
        </w:rPr>
        <w:br/>
        <w:t>Bron: RIVM bereikbaarheidsanalyses</w:t>
      </w:r>
    </w:p>
    <w:p w:rsidRPr="005F055E" w:rsidR="00575B14" w:rsidP="00180EEB" w:rsidRDefault="00575B14" w14:paraId="43EE0515" w14:textId="77777777">
      <w:pPr>
        <w:suppressAutoHyphens/>
      </w:pPr>
    </w:p>
    <w:p w:rsidRPr="005F055E" w:rsidR="00912A7D" w:rsidP="00180EEB" w:rsidRDefault="003E7003" w14:paraId="167B9370" w14:textId="77777777">
      <w:pPr>
        <w:suppressAutoHyphens/>
      </w:pPr>
      <w:r w:rsidRPr="005F055E">
        <w:t>Vraag 147</w:t>
      </w:r>
      <w:r w:rsidRPr="005F055E">
        <w:tab/>
      </w:r>
    </w:p>
    <w:p w:rsidRPr="005F055E" w:rsidR="00912A7D" w:rsidP="00180EEB" w:rsidRDefault="003E7003" w14:paraId="63FDFC98" w14:textId="77777777">
      <w:pPr>
        <w:suppressAutoHyphens/>
      </w:pPr>
      <w:r w:rsidRPr="005F055E">
        <w:t>Hoeveel verloskunde afdelingen zijn er sinds 2010 in Nederland gesloten en hoeveel zijn niet meer 24/7 bereikbaar? Kunt u een lijst geven van deze verloskunde afdelingen?</w:t>
      </w:r>
      <w:r w:rsidRPr="005F055E">
        <w:tab/>
      </w:r>
    </w:p>
    <w:p w:rsidR="006D333D" w:rsidP="00180EEB" w:rsidRDefault="006D333D" w14:paraId="5D440417" w14:textId="77777777">
      <w:pPr>
        <w:suppressAutoHyphens/>
      </w:pPr>
    </w:p>
    <w:p w:rsidR="006D333D" w:rsidP="00180EEB" w:rsidRDefault="006D333D" w14:paraId="0CDA7927" w14:textId="77777777">
      <w:pPr>
        <w:suppressAutoHyphens/>
      </w:pPr>
    </w:p>
    <w:p w:rsidRPr="005F055E" w:rsidR="003E7003" w:rsidP="00180EEB" w:rsidRDefault="003E7003" w14:paraId="5AA7DCC0" w14:textId="67B1035A">
      <w:pPr>
        <w:suppressAutoHyphens/>
      </w:pPr>
      <w:r w:rsidRPr="005F055E">
        <w:t>Antwoord</w:t>
      </w:r>
    </w:p>
    <w:p w:rsidRPr="005F055E" w:rsidR="00BE5CD4" w:rsidP="00180EEB" w:rsidRDefault="00BE5CD4" w14:paraId="4CAB5365" w14:textId="27A6C0D7">
      <w:pPr>
        <w:suppressAutoHyphens/>
        <w:spacing w:line="240" w:lineRule="atLeast"/>
        <w:rPr>
          <w:szCs w:val="20"/>
          <w:lang w:eastAsia="nl-NL"/>
        </w:rPr>
      </w:pPr>
      <w:r w:rsidRPr="005F055E">
        <w:rPr>
          <w:szCs w:val="20"/>
          <w:lang w:eastAsia="nl-NL"/>
        </w:rPr>
        <w:t xml:space="preserve">Onderstaande tabel geeft een overzicht van het aantal locaties met een 24/7 aanbod van acute verloskunde vanaf 2015 tot nu. Daarnaast is in de tabel aangegeven welke locaties sinds 2015 gesloten zijn. Een kaart met alle actueel geopende acute verloskunde locaties is te vinden op </w:t>
      </w:r>
      <w:hyperlink w:history="1" r:id="rId22">
        <w:r w:rsidRPr="005F055E">
          <w:rPr>
            <w:color w:val="0000FF"/>
            <w:szCs w:val="20"/>
            <w:u w:val="single"/>
            <w:lang w:eastAsia="nl-NL"/>
          </w:rPr>
          <w:t>Acute zorg | Regionaal | Acute verloskunde | Volksgezondheid en Zorg (vzinfo.nl)</w:t>
        </w:r>
      </w:hyperlink>
      <w:r w:rsidRPr="005F055E">
        <w:rPr>
          <w:szCs w:val="20"/>
          <w:lang w:eastAsia="nl-NL"/>
        </w:rPr>
        <w:t xml:space="preserve">. Daarnaast zijn er ziekenhuizen die niet 24/7 acute verloskunde aanbieden. Dit wordt niet door het RIVM bijgehouden. </w:t>
      </w:r>
    </w:p>
    <w:tbl>
      <w:tblPr>
        <w:tblStyle w:val="TableGrid1"/>
        <w:tblW w:w="5000" w:type="pct"/>
        <w:tblLook w:val="04A0" w:firstRow="1" w:lastRow="0" w:firstColumn="1" w:lastColumn="0" w:noHBand="0" w:noVBand="1"/>
      </w:tblPr>
      <w:tblGrid>
        <w:gridCol w:w="863"/>
        <w:gridCol w:w="1700"/>
        <w:gridCol w:w="6454"/>
      </w:tblGrid>
      <w:tr w:rsidRPr="005F055E" w:rsidR="00BE5CD4" w:rsidTr="00EC7257" w14:paraId="2EA3E5F5" w14:textId="77777777">
        <w:trPr>
          <w:trHeight w:val="697"/>
        </w:trPr>
        <w:tc>
          <w:tcPr>
            <w:tcW w:w="452" w:type="pct"/>
          </w:tcPr>
          <w:p w:rsidRPr="005F055E" w:rsidR="00BE5CD4" w:rsidP="00180EEB" w:rsidRDefault="00BE5CD4" w14:paraId="63AB20D5" w14:textId="77777777">
            <w:pPr>
              <w:suppressAutoHyphens/>
              <w:spacing w:line="240" w:lineRule="atLeast"/>
              <w:rPr>
                <w:rFonts w:ascii="Verdana" w:hAnsi="Verdana"/>
                <w:b/>
                <w:bCs/>
                <w:sz w:val="18"/>
                <w:szCs w:val="18"/>
                <w:lang w:eastAsia="nl-NL"/>
              </w:rPr>
            </w:pPr>
            <w:proofErr w:type="spellStart"/>
            <w:r w:rsidRPr="005F055E">
              <w:rPr>
                <w:rFonts w:ascii="Verdana" w:hAnsi="Verdana"/>
                <w:b/>
                <w:bCs/>
                <w:sz w:val="18"/>
                <w:szCs w:val="18"/>
                <w:lang w:eastAsia="nl-NL"/>
              </w:rPr>
              <w:t>Peil-datum</w:t>
            </w:r>
            <w:proofErr w:type="spellEnd"/>
          </w:p>
        </w:tc>
        <w:tc>
          <w:tcPr>
            <w:tcW w:w="956" w:type="pct"/>
          </w:tcPr>
          <w:p w:rsidRPr="005F055E" w:rsidR="00BE5CD4" w:rsidP="00180EEB" w:rsidRDefault="00BE5CD4" w14:paraId="37176EBC" w14:textId="77777777">
            <w:pPr>
              <w:suppressAutoHyphens/>
              <w:spacing w:line="240" w:lineRule="atLeast"/>
              <w:rPr>
                <w:rFonts w:ascii="Verdana" w:hAnsi="Verdana"/>
                <w:b/>
                <w:bCs/>
                <w:sz w:val="18"/>
                <w:szCs w:val="18"/>
                <w:lang w:eastAsia="nl-NL"/>
              </w:rPr>
            </w:pPr>
            <w:r w:rsidRPr="005F055E">
              <w:rPr>
                <w:rFonts w:ascii="Verdana" w:hAnsi="Verdana"/>
                <w:b/>
                <w:bCs/>
                <w:sz w:val="18"/>
                <w:szCs w:val="18"/>
                <w:lang w:eastAsia="nl-NL"/>
              </w:rPr>
              <w:t>Aantal locaties met acute verloskunde</w:t>
            </w:r>
            <w:r w:rsidRPr="005F055E">
              <w:rPr>
                <w:rFonts w:ascii="Verdana" w:hAnsi="Verdana"/>
                <w:b/>
                <w:bCs/>
                <w:sz w:val="18"/>
                <w:szCs w:val="18"/>
                <w:vertAlign w:val="superscript"/>
                <w:lang w:eastAsia="nl-NL"/>
              </w:rPr>
              <w:footnoteReference w:id="46"/>
            </w:r>
          </w:p>
        </w:tc>
        <w:tc>
          <w:tcPr>
            <w:tcW w:w="3593" w:type="pct"/>
          </w:tcPr>
          <w:p w:rsidRPr="005F055E" w:rsidR="00BE5CD4" w:rsidP="00180EEB" w:rsidRDefault="00BE5CD4" w14:paraId="18FFF698" w14:textId="77777777">
            <w:pPr>
              <w:suppressAutoHyphens/>
              <w:spacing w:line="240" w:lineRule="atLeast"/>
              <w:rPr>
                <w:rFonts w:ascii="Verdana" w:hAnsi="Verdana"/>
                <w:b/>
                <w:bCs/>
                <w:sz w:val="18"/>
                <w:szCs w:val="18"/>
                <w:lang w:eastAsia="nl-NL"/>
              </w:rPr>
            </w:pPr>
            <w:r w:rsidRPr="005F055E">
              <w:rPr>
                <w:rFonts w:ascii="Verdana" w:hAnsi="Verdana"/>
                <w:b/>
                <w:bCs/>
                <w:sz w:val="18"/>
                <w:szCs w:val="18"/>
                <w:lang w:eastAsia="nl-NL"/>
              </w:rPr>
              <w:t xml:space="preserve">Naam van gesloten acute verloskunde locaties </w:t>
            </w:r>
          </w:p>
        </w:tc>
      </w:tr>
      <w:tr w:rsidRPr="005F055E" w:rsidR="00BE5CD4" w:rsidTr="00EC7257" w14:paraId="54BCBE54" w14:textId="77777777">
        <w:trPr>
          <w:trHeight w:val="231"/>
        </w:trPr>
        <w:tc>
          <w:tcPr>
            <w:tcW w:w="452" w:type="pct"/>
          </w:tcPr>
          <w:p w:rsidRPr="005F055E" w:rsidR="00BE5CD4" w:rsidP="00180EEB" w:rsidRDefault="00BE5CD4" w14:paraId="60B9BF72"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2015</w:t>
            </w:r>
            <w:r w:rsidRPr="005F055E">
              <w:rPr>
                <w:rFonts w:ascii="Verdana" w:hAnsi="Verdana"/>
                <w:sz w:val="18"/>
                <w:szCs w:val="18"/>
                <w:vertAlign w:val="superscript"/>
                <w:lang w:eastAsia="nl-NL"/>
              </w:rPr>
              <w:footnoteReference w:id="47"/>
            </w:r>
          </w:p>
        </w:tc>
        <w:tc>
          <w:tcPr>
            <w:tcW w:w="956" w:type="pct"/>
          </w:tcPr>
          <w:p w:rsidRPr="005F055E" w:rsidR="00BE5CD4" w:rsidP="00180EEB" w:rsidRDefault="00BE5CD4" w14:paraId="50F25147"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84</w:t>
            </w:r>
          </w:p>
        </w:tc>
        <w:tc>
          <w:tcPr>
            <w:tcW w:w="3593" w:type="pct"/>
          </w:tcPr>
          <w:p w:rsidRPr="005F055E" w:rsidR="00BE5CD4" w:rsidP="00180EEB" w:rsidRDefault="00BE5CD4" w14:paraId="7B24FAF7" w14:textId="77777777">
            <w:pPr>
              <w:suppressAutoHyphens/>
              <w:spacing w:line="240" w:lineRule="atLeast"/>
              <w:rPr>
                <w:rFonts w:ascii="Verdana" w:hAnsi="Verdana"/>
                <w:sz w:val="18"/>
                <w:szCs w:val="18"/>
                <w:lang w:eastAsia="nl-NL"/>
              </w:rPr>
            </w:pPr>
          </w:p>
        </w:tc>
      </w:tr>
      <w:tr w:rsidRPr="005F055E" w:rsidR="00BE5CD4" w:rsidTr="00EC7257" w14:paraId="7EE733BC" w14:textId="77777777">
        <w:trPr>
          <w:trHeight w:val="246"/>
        </w:trPr>
        <w:tc>
          <w:tcPr>
            <w:tcW w:w="452" w:type="pct"/>
          </w:tcPr>
          <w:p w:rsidRPr="005F055E" w:rsidR="00BE5CD4" w:rsidP="00180EEB" w:rsidRDefault="00BE5CD4" w14:paraId="67DE8C3B"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2016</w:t>
            </w:r>
          </w:p>
        </w:tc>
        <w:tc>
          <w:tcPr>
            <w:tcW w:w="956" w:type="pct"/>
          </w:tcPr>
          <w:p w:rsidRPr="005F055E" w:rsidR="00BE5CD4" w:rsidP="00180EEB" w:rsidRDefault="00BE5CD4" w14:paraId="5FB6ACF7"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81</w:t>
            </w:r>
          </w:p>
        </w:tc>
        <w:tc>
          <w:tcPr>
            <w:tcW w:w="3593" w:type="pct"/>
          </w:tcPr>
          <w:p w:rsidRPr="005F055E" w:rsidR="00BE5CD4" w:rsidP="00180EEB" w:rsidRDefault="00BE5CD4" w14:paraId="7E167165"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Sluiting van 24/7-uurs AV-afdeling (3):</w:t>
            </w:r>
          </w:p>
          <w:p w:rsidRPr="005F055E" w:rsidR="00BE5CD4" w:rsidP="00180EEB" w:rsidRDefault="00BE5CD4" w14:paraId="3E091E96" w14:textId="77777777">
            <w:pPr>
              <w:suppressAutoHyphens/>
              <w:spacing w:line="240" w:lineRule="atLeast"/>
              <w:rPr>
                <w:rFonts w:ascii="Verdana" w:hAnsi="Verdana"/>
                <w:sz w:val="18"/>
                <w:szCs w:val="18"/>
                <w:lang w:eastAsia="nl-NL"/>
              </w:rPr>
            </w:pPr>
            <w:proofErr w:type="spellStart"/>
            <w:r w:rsidRPr="005F055E">
              <w:rPr>
                <w:rFonts w:ascii="Verdana" w:hAnsi="Verdana"/>
                <w:sz w:val="18"/>
                <w:szCs w:val="18"/>
                <w:lang w:eastAsia="nl-NL"/>
              </w:rPr>
              <w:t>Bravis</w:t>
            </w:r>
            <w:proofErr w:type="spellEnd"/>
            <w:r w:rsidRPr="005F055E">
              <w:rPr>
                <w:rFonts w:ascii="Verdana" w:hAnsi="Verdana"/>
                <w:sz w:val="18"/>
                <w:szCs w:val="18"/>
                <w:lang w:eastAsia="nl-NL"/>
              </w:rPr>
              <w:t xml:space="preserve"> Roosendaal, Ziekenhuisgroep Twente locatie Hengelo, Slotervaart Ziekenhuis Amsterdam</w:t>
            </w:r>
          </w:p>
        </w:tc>
      </w:tr>
      <w:tr w:rsidRPr="005F055E" w:rsidR="00BE5CD4" w:rsidTr="00EC7257" w14:paraId="2F69E65D" w14:textId="77777777">
        <w:trPr>
          <w:trHeight w:val="988"/>
        </w:trPr>
        <w:tc>
          <w:tcPr>
            <w:tcW w:w="452" w:type="pct"/>
          </w:tcPr>
          <w:p w:rsidRPr="005F055E" w:rsidR="00BE5CD4" w:rsidP="00180EEB" w:rsidRDefault="00BE5CD4" w14:paraId="06B8ABEF"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2017</w:t>
            </w:r>
          </w:p>
        </w:tc>
        <w:tc>
          <w:tcPr>
            <w:tcW w:w="956" w:type="pct"/>
          </w:tcPr>
          <w:p w:rsidRPr="005F055E" w:rsidR="00BE5CD4" w:rsidP="00180EEB" w:rsidRDefault="00BE5CD4" w14:paraId="75A8B461"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81</w:t>
            </w:r>
          </w:p>
        </w:tc>
        <w:tc>
          <w:tcPr>
            <w:tcW w:w="3593" w:type="pct"/>
          </w:tcPr>
          <w:p w:rsidRPr="005F055E" w:rsidR="00BE5CD4" w:rsidP="00180EEB" w:rsidRDefault="00BE5CD4" w14:paraId="641CF528"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Sluiting van 24/7-uurs AV-afdeling (2):</w:t>
            </w:r>
          </w:p>
          <w:p w:rsidRPr="005F055E" w:rsidR="00BE5CD4" w:rsidP="00180EEB" w:rsidRDefault="00BE5CD4" w14:paraId="45F5EC8D" w14:textId="77777777">
            <w:pPr>
              <w:suppressAutoHyphens/>
              <w:spacing w:line="240" w:lineRule="atLeast"/>
              <w:rPr>
                <w:rFonts w:ascii="Verdana" w:hAnsi="Verdana"/>
                <w:sz w:val="18"/>
                <w:szCs w:val="18"/>
                <w:lang w:eastAsia="nl-NL"/>
              </w:rPr>
            </w:pPr>
            <w:proofErr w:type="spellStart"/>
            <w:r w:rsidRPr="005F055E">
              <w:rPr>
                <w:rFonts w:ascii="Verdana" w:hAnsi="Verdana"/>
                <w:sz w:val="18"/>
                <w:szCs w:val="18"/>
                <w:lang w:eastAsia="nl-NL"/>
              </w:rPr>
              <w:t>Alrijne</w:t>
            </w:r>
            <w:proofErr w:type="spellEnd"/>
            <w:r w:rsidRPr="005F055E">
              <w:rPr>
                <w:rFonts w:ascii="Verdana" w:hAnsi="Verdana"/>
                <w:sz w:val="18"/>
                <w:szCs w:val="18"/>
                <w:lang w:eastAsia="nl-NL"/>
              </w:rPr>
              <w:t xml:space="preserve"> Ziekenhuis Leiden, </w:t>
            </w:r>
            <w:proofErr w:type="spellStart"/>
            <w:r w:rsidRPr="005F055E">
              <w:rPr>
                <w:rFonts w:ascii="Verdana" w:hAnsi="Verdana"/>
                <w:sz w:val="18"/>
                <w:szCs w:val="18"/>
                <w:lang w:eastAsia="nl-NL"/>
              </w:rPr>
              <w:t>Zuyderland</w:t>
            </w:r>
            <w:proofErr w:type="spellEnd"/>
            <w:r w:rsidRPr="005F055E">
              <w:rPr>
                <w:rFonts w:ascii="Verdana" w:hAnsi="Verdana"/>
                <w:sz w:val="18"/>
                <w:szCs w:val="18"/>
                <w:lang w:eastAsia="nl-NL"/>
              </w:rPr>
              <w:t xml:space="preserve"> Sittard-Geleen</w:t>
            </w:r>
          </w:p>
          <w:p w:rsidRPr="005F055E" w:rsidR="00BE5CD4" w:rsidP="00180EEB" w:rsidRDefault="00BE5CD4" w14:paraId="0680C214" w14:textId="77777777">
            <w:pPr>
              <w:suppressAutoHyphens/>
              <w:spacing w:line="240" w:lineRule="atLeast"/>
              <w:rPr>
                <w:rFonts w:ascii="Verdana" w:hAnsi="Verdana"/>
                <w:sz w:val="18"/>
                <w:szCs w:val="18"/>
                <w:lang w:eastAsia="nl-NL"/>
              </w:rPr>
            </w:pPr>
          </w:p>
          <w:p w:rsidRPr="005F055E" w:rsidR="00BE5CD4" w:rsidP="00180EEB" w:rsidRDefault="00BE5CD4" w14:paraId="14A23F7A"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Daarnaast waren er twee ziekenhuizen die in de inventarisatie van 2014 niet aan de criteria voor acute verloskunde voldeden en vanaf 2017 wel.</w:t>
            </w:r>
          </w:p>
        </w:tc>
      </w:tr>
      <w:tr w:rsidRPr="005F055E" w:rsidR="00BE5CD4" w:rsidTr="00EC7257" w14:paraId="0A253B57" w14:textId="77777777">
        <w:trPr>
          <w:trHeight w:val="1219"/>
        </w:trPr>
        <w:tc>
          <w:tcPr>
            <w:tcW w:w="452" w:type="pct"/>
          </w:tcPr>
          <w:p w:rsidRPr="005F055E" w:rsidR="00BE5CD4" w:rsidP="00180EEB" w:rsidRDefault="00BE5CD4" w14:paraId="0CB75CB9"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April 2018</w:t>
            </w:r>
          </w:p>
        </w:tc>
        <w:tc>
          <w:tcPr>
            <w:tcW w:w="956" w:type="pct"/>
          </w:tcPr>
          <w:p w:rsidRPr="005F055E" w:rsidR="00BE5CD4" w:rsidP="00180EEB" w:rsidRDefault="00BE5CD4" w14:paraId="716CDE00"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80</w:t>
            </w:r>
          </w:p>
        </w:tc>
        <w:tc>
          <w:tcPr>
            <w:tcW w:w="3593" w:type="pct"/>
          </w:tcPr>
          <w:p w:rsidRPr="005F055E" w:rsidR="00BE5CD4" w:rsidP="00180EEB" w:rsidRDefault="00BE5CD4" w14:paraId="788D9A10"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Sluiting van 24/7-uurs AV-afdeling (3):</w:t>
            </w:r>
          </w:p>
          <w:p w:rsidRPr="005F055E" w:rsidR="00BE5CD4" w:rsidP="00180EEB" w:rsidRDefault="00BE5CD4" w14:paraId="6B5C3F96"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Scheper ziekenhuis in Emmen, Elisabeth Twee Steden ziekenhuis locatie Tilburg, St. Antonius ziekenhuis in Woerden</w:t>
            </w:r>
          </w:p>
          <w:p w:rsidRPr="005F055E" w:rsidR="00BE5CD4" w:rsidP="00180EEB" w:rsidRDefault="00BE5CD4" w14:paraId="4D004D5C" w14:textId="77777777">
            <w:pPr>
              <w:suppressAutoHyphens/>
              <w:spacing w:line="240" w:lineRule="atLeast"/>
              <w:rPr>
                <w:rFonts w:ascii="Verdana" w:hAnsi="Verdana"/>
                <w:sz w:val="18"/>
                <w:szCs w:val="18"/>
                <w:lang w:eastAsia="nl-NL"/>
              </w:rPr>
            </w:pPr>
          </w:p>
          <w:p w:rsidRPr="005F055E" w:rsidR="00BE5CD4" w:rsidP="00180EEB" w:rsidRDefault="00BE5CD4" w14:paraId="1FA4A39B"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 xml:space="preserve">Het St. Antoniusziekenhuis in Utrecht en het </w:t>
            </w:r>
            <w:proofErr w:type="spellStart"/>
            <w:r w:rsidRPr="005F055E">
              <w:rPr>
                <w:rFonts w:ascii="Verdana" w:hAnsi="Verdana"/>
                <w:sz w:val="18"/>
                <w:szCs w:val="18"/>
                <w:lang w:eastAsia="nl-NL"/>
              </w:rPr>
              <w:t>Refaja</w:t>
            </w:r>
            <w:proofErr w:type="spellEnd"/>
            <w:r w:rsidRPr="005F055E">
              <w:rPr>
                <w:rFonts w:ascii="Verdana" w:hAnsi="Verdana"/>
                <w:sz w:val="18"/>
                <w:szCs w:val="18"/>
                <w:lang w:eastAsia="nl-NL"/>
              </w:rPr>
              <w:t xml:space="preserve"> Ziekenhuis in Stadskanaal bieden op het peilmoment in april 2018 wel acute verloskunde volgens de gehanteerde eisen, terwijl ze dat in 2017 niet deden.</w:t>
            </w:r>
          </w:p>
        </w:tc>
      </w:tr>
      <w:tr w:rsidRPr="005F055E" w:rsidR="00BE5CD4" w:rsidTr="00EC7257" w14:paraId="5AD219DF" w14:textId="77777777">
        <w:trPr>
          <w:trHeight w:val="283"/>
        </w:trPr>
        <w:tc>
          <w:tcPr>
            <w:tcW w:w="452" w:type="pct"/>
          </w:tcPr>
          <w:p w:rsidRPr="005F055E" w:rsidR="00BE5CD4" w:rsidP="00180EEB" w:rsidRDefault="00BE5CD4" w14:paraId="51623DC3"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Maart 2019</w:t>
            </w:r>
          </w:p>
        </w:tc>
        <w:tc>
          <w:tcPr>
            <w:tcW w:w="956" w:type="pct"/>
          </w:tcPr>
          <w:p w:rsidRPr="005F055E" w:rsidR="00BE5CD4" w:rsidP="00180EEB" w:rsidRDefault="00BE5CD4" w14:paraId="40E854C8"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75</w:t>
            </w:r>
          </w:p>
        </w:tc>
        <w:tc>
          <w:tcPr>
            <w:tcW w:w="3593" w:type="pct"/>
          </w:tcPr>
          <w:p w:rsidRPr="005F055E" w:rsidR="00BE5CD4" w:rsidP="00180EEB" w:rsidRDefault="00BE5CD4" w14:paraId="2C09488F"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Sluiting van 24/7-uurs AV-afdeling (6):</w:t>
            </w:r>
          </w:p>
          <w:p w:rsidRPr="005F055E" w:rsidR="00BE5CD4" w:rsidP="00180EEB" w:rsidRDefault="00BE5CD4" w14:paraId="7B316FDC" w14:textId="77777777">
            <w:pPr>
              <w:suppressAutoHyphens/>
              <w:spacing w:line="240" w:lineRule="atLeast"/>
              <w:rPr>
                <w:rFonts w:ascii="Verdana" w:hAnsi="Verdana"/>
                <w:sz w:val="18"/>
                <w:szCs w:val="18"/>
                <w:lang w:eastAsia="nl-NL"/>
              </w:rPr>
            </w:pPr>
            <w:proofErr w:type="spellStart"/>
            <w:r w:rsidRPr="005F055E">
              <w:rPr>
                <w:rFonts w:ascii="Verdana" w:hAnsi="Verdana"/>
                <w:sz w:val="18"/>
                <w:szCs w:val="18"/>
                <w:lang w:eastAsia="nl-NL"/>
              </w:rPr>
              <w:t>Treant</w:t>
            </w:r>
            <w:proofErr w:type="spellEnd"/>
            <w:r w:rsidRPr="005F055E">
              <w:rPr>
                <w:rFonts w:ascii="Verdana" w:hAnsi="Verdana"/>
                <w:sz w:val="18"/>
                <w:szCs w:val="18"/>
                <w:lang w:eastAsia="nl-NL"/>
              </w:rPr>
              <w:t xml:space="preserve"> Zorggroep </w:t>
            </w:r>
            <w:proofErr w:type="spellStart"/>
            <w:r w:rsidRPr="005F055E">
              <w:rPr>
                <w:rFonts w:ascii="Verdana" w:hAnsi="Verdana"/>
                <w:sz w:val="18"/>
                <w:szCs w:val="18"/>
                <w:lang w:eastAsia="nl-NL"/>
              </w:rPr>
              <w:t>Refaja</w:t>
            </w:r>
            <w:proofErr w:type="spellEnd"/>
            <w:r w:rsidRPr="005F055E">
              <w:rPr>
                <w:rFonts w:ascii="Verdana" w:hAnsi="Verdana"/>
                <w:sz w:val="18"/>
                <w:szCs w:val="18"/>
                <w:lang w:eastAsia="nl-NL"/>
              </w:rPr>
              <w:t xml:space="preserve"> Stadskanaal, Bethesda Hoogeveen, </w:t>
            </w:r>
            <w:proofErr w:type="spellStart"/>
            <w:r w:rsidRPr="005F055E">
              <w:rPr>
                <w:rFonts w:ascii="Verdana" w:hAnsi="Verdana"/>
                <w:sz w:val="18"/>
                <w:szCs w:val="18"/>
                <w:lang w:eastAsia="nl-NL"/>
              </w:rPr>
              <w:t>Dijklander</w:t>
            </w:r>
            <w:proofErr w:type="spellEnd"/>
            <w:r w:rsidRPr="005F055E">
              <w:rPr>
                <w:rFonts w:ascii="Verdana" w:hAnsi="Verdana"/>
                <w:sz w:val="18"/>
                <w:szCs w:val="18"/>
                <w:lang w:eastAsia="nl-NL"/>
              </w:rPr>
              <w:t xml:space="preserve"> Ziekenhuis locatie Purmerend, St. Antoniusziekenhuis locatie Nieuwegein, Spaarne Gasthuis locatie Hoofddorp, MC Zuiderzee ziekenhuis Lelystad</w:t>
            </w:r>
          </w:p>
          <w:p w:rsidRPr="005F055E" w:rsidR="00BE5CD4" w:rsidP="00180EEB" w:rsidRDefault="00BE5CD4" w14:paraId="329D49ED" w14:textId="77777777">
            <w:pPr>
              <w:suppressAutoHyphens/>
              <w:spacing w:line="240" w:lineRule="atLeast"/>
              <w:rPr>
                <w:rFonts w:ascii="Verdana" w:hAnsi="Verdana"/>
                <w:sz w:val="18"/>
                <w:szCs w:val="18"/>
                <w:lang w:eastAsia="nl-NL"/>
              </w:rPr>
            </w:pPr>
          </w:p>
          <w:p w:rsidRPr="005F055E" w:rsidR="00BE5CD4" w:rsidP="00180EEB" w:rsidRDefault="00BE5CD4" w14:paraId="5729DE71"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Heropening van 24/7-uurs AV-afdeling (1):</w:t>
            </w:r>
          </w:p>
          <w:p w:rsidRPr="005F055E" w:rsidR="00BE5CD4" w:rsidP="00180EEB" w:rsidRDefault="00BE5CD4" w14:paraId="7C476A9E"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Scheper ziekenhuis Emmen</w:t>
            </w:r>
          </w:p>
        </w:tc>
      </w:tr>
      <w:tr w:rsidRPr="005F055E" w:rsidR="00BE5CD4" w:rsidTr="00EC7257" w14:paraId="445F0B06" w14:textId="77777777">
        <w:trPr>
          <w:trHeight w:val="246"/>
        </w:trPr>
        <w:tc>
          <w:tcPr>
            <w:tcW w:w="452" w:type="pct"/>
          </w:tcPr>
          <w:p w:rsidRPr="005F055E" w:rsidR="00BE5CD4" w:rsidP="00180EEB" w:rsidRDefault="00BE5CD4" w14:paraId="49375E32"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Maart 2020</w:t>
            </w:r>
          </w:p>
        </w:tc>
        <w:tc>
          <w:tcPr>
            <w:tcW w:w="956" w:type="pct"/>
          </w:tcPr>
          <w:p w:rsidRPr="005F055E" w:rsidR="00BE5CD4" w:rsidP="00180EEB" w:rsidRDefault="00BE5CD4" w14:paraId="6C258A5D"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74</w:t>
            </w:r>
          </w:p>
        </w:tc>
        <w:tc>
          <w:tcPr>
            <w:tcW w:w="3593" w:type="pct"/>
          </w:tcPr>
          <w:p w:rsidRPr="005F055E" w:rsidR="00BE5CD4" w:rsidP="00180EEB" w:rsidRDefault="00BE5CD4" w14:paraId="773A08B1"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Sluiting van 24/7-uurs AV-afdeling (1):</w:t>
            </w:r>
          </w:p>
          <w:p w:rsidRPr="005F055E" w:rsidR="00BE5CD4" w:rsidP="00180EEB" w:rsidRDefault="00BE5CD4" w14:paraId="086C78B2"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 xml:space="preserve">HMC </w:t>
            </w:r>
            <w:proofErr w:type="spellStart"/>
            <w:r w:rsidRPr="005F055E">
              <w:rPr>
                <w:rFonts w:ascii="Verdana" w:hAnsi="Verdana"/>
                <w:sz w:val="18"/>
                <w:szCs w:val="18"/>
                <w:lang w:eastAsia="nl-NL"/>
              </w:rPr>
              <w:t>Bronovo</w:t>
            </w:r>
            <w:proofErr w:type="spellEnd"/>
            <w:r w:rsidRPr="005F055E">
              <w:rPr>
                <w:rFonts w:ascii="Verdana" w:hAnsi="Verdana"/>
                <w:sz w:val="18"/>
                <w:szCs w:val="18"/>
                <w:lang w:eastAsia="nl-NL"/>
              </w:rPr>
              <w:t xml:space="preserve"> Den Haag</w:t>
            </w:r>
          </w:p>
        </w:tc>
      </w:tr>
      <w:tr w:rsidRPr="005F055E" w:rsidR="00BE5CD4" w:rsidTr="00EC7257" w14:paraId="24876114" w14:textId="77777777">
        <w:trPr>
          <w:trHeight w:val="489"/>
        </w:trPr>
        <w:tc>
          <w:tcPr>
            <w:tcW w:w="452" w:type="pct"/>
          </w:tcPr>
          <w:p w:rsidRPr="005F055E" w:rsidR="00BE5CD4" w:rsidP="00180EEB" w:rsidRDefault="00BE5CD4" w14:paraId="0D36AE2A"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Maart 2021</w:t>
            </w:r>
          </w:p>
        </w:tc>
        <w:tc>
          <w:tcPr>
            <w:tcW w:w="956" w:type="pct"/>
          </w:tcPr>
          <w:p w:rsidRPr="005F055E" w:rsidR="00BE5CD4" w:rsidP="00180EEB" w:rsidRDefault="00BE5CD4" w14:paraId="05C43197"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75</w:t>
            </w:r>
          </w:p>
        </w:tc>
        <w:tc>
          <w:tcPr>
            <w:tcW w:w="3593" w:type="pct"/>
          </w:tcPr>
          <w:p w:rsidRPr="005F055E" w:rsidR="00BE5CD4" w:rsidP="00180EEB" w:rsidRDefault="00BE5CD4" w14:paraId="52AF2766"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Het Ziekenhuis Amstelland in Amstelveen is overgegaan van dag/avond aanbod in 2020 naar 24/7-uurs aanbod in 2021.</w:t>
            </w:r>
          </w:p>
        </w:tc>
      </w:tr>
      <w:tr w:rsidRPr="005F055E" w:rsidR="00BE5CD4" w:rsidTr="00EC7257" w14:paraId="77028FF2" w14:textId="77777777">
        <w:trPr>
          <w:trHeight w:val="246"/>
        </w:trPr>
        <w:tc>
          <w:tcPr>
            <w:tcW w:w="452" w:type="pct"/>
          </w:tcPr>
          <w:p w:rsidRPr="005F055E" w:rsidR="00BE5CD4" w:rsidP="00180EEB" w:rsidRDefault="00BE5CD4" w14:paraId="78A3FAC1"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Maart 2022</w:t>
            </w:r>
          </w:p>
        </w:tc>
        <w:tc>
          <w:tcPr>
            <w:tcW w:w="956" w:type="pct"/>
          </w:tcPr>
          <w:p w:rsidRPr="005F055E" w:rsidR="00BE5CD4" w:rsidP="00180EEB" w:rsidRDefault="00BE5CD4" w14:paraId="45D7AAAF"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74</w:t>
            </w:r>
          </w:p>
        </w:tc>
        <w:tc>
          <w:tcPr>
            <w:tcW w:w="3593" w:type="pct"/>
          </w:tcPr>
          <w:p w:rsidRPr="005F055E" w:rsidR="00BE5CD4" w:rsidP="00180EEB" w:rsidRDefault="00BE5CD4" w14:paraId="7DBBDD0D"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Sluiting van 24/7-uurs AV-afdeling (1):</w:t>
            </w:r>
          </w:p>
          <w:p w:rsidRPr="005F055E" w:rsidR="00BE5CD4" w:rsidP="00180EEB" w:rsidRDefault="00BE5CD4" w14:paraId="2B1C47FD"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Amsterdam UMC locatie VUMC</w:t>
            </w:r>
          </w:p>
        </w:tc>
      </w:tr>
      <w:tr w:rsidRPr="005F055E" w:rsidR="00BE5CD4" w:rsidTr="00EC7257" w14:paraId="3F0BEBAA" w14:textId="77777777">
        <w:trPr>
          <w:trHeight w:val="349"/>
        </w:trPr>
        <w:tc>
          <w:tcPr>
            <w:tcW w:w="452" w:type="pct"/>
          </w:tcPr>
          <w:p w:rsidRPr="005F055E" w:rsidR="00BE5CD4" w:rsidP="00180EEB" w:rsidRDefault="00BE5CD4" w14:paraId="38592B5A"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April 2023</w:t>
            </w:r>
          </w:p>
        </w:tc>
        <w:tc>
          <w:tcPr>
            <w:tcW w:w="956" w:type="pct"/>
          </w:tcPr>
          <w:p w:rsidRPr="005F055E" w:rsidR="00BE5CD4" w:rsidP="00180EEB" w:rsidRDefault="00BE5CD4" w14:paraId="4FE10006"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72</w:t>
            </w:r>
          </w:p>
        </w:tc>
        <w:tc>
          <w:tcPr>
            <w:tcW w:w="3593" w:type="pct"/>
          </w:tcPr>
          <w:p w:rsidRPr="005F055E" w:rsidR="00BE5CD4" w:rsidP="00180EEB" w:rsidRDefault="00BE5CD4" w14:paraId="05CAC857"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Sluiting van 24/7-uurs AV-afdeling (2):</w:t>
            </w:r>
          </w:p>
          <w:p w:rsidRPr="005F055E" w:rsidR="00BE5CD4" w:rsidP="00180EEB" w:rsidRDefault="00BE5CD4" w14:paraId="4F746322"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Franciscus Vlietland Schiedam, Gelre ziekenhuis Zutphen</w:t>
            </w:r>
          </w:p>
        </w:tc>
      </w:tr>
      <w:tr w:rsidRPr="005F055E" w:rsidR="00BE5CD4" w:rsidTr="00EC7257" w14:paraId="401F7348" w14:textId="77777777">
        <w:trPr>
          <w:trHeight w:val="349"/>
        </w:trPr>
        <w:tc>
          <w:tcPr>
            <w:tcW w:w="452" w:type="pct"/>
          </w:tcPr>
          <w:p w:rsidRPr="005F055E" w:rsidR="00BE5CD4" w:rsidP="00180EEB" w:rsidRDefault="00BE5CD4" w14:paraId="475CAA34"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Maart 2024</w:t>
            </w:r>
          </w:p>
        </w:tc>
        <w:tc>
          <w:tcPr>
            <w:tcW w:w="956" w:type="pct"/>
          </w:tcPr>
          <w:p w:rsidRPr="005F055E" w:rsidR="00BE5CD4" w:rsidP="00180EEB" w:rsidRDefault="00BE5CD4" w14:paraId="48FA77BD"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71</w:t>
            </w:r>
          </w:p>
        </w:tc>
        <w:tc>
          <w:tcPr>
            <w:tcW w:w="3593" w:type="pct"/>
          </w:tcPr>
          <w:p w:rsidRPr="005F055E" w:rsidR="00BE5CD4" w:rsidP="00180EEB" w:rsidRDefault="00BE5CD4" w14:paraId="4BD06840"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Sluiting van 24/7-uurs AV-afdeling (1):</w:t>
            </w:r>
          </w:p>
          <w:p w:rsidRPr="005F055E" w:rsidR="00BE5CD4" w:rsidP="00180EEB" w:rsidRDefault="00BE5CD4" w14:paraId="153C29E2"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OLVG locatie West Amsterdam</w:t>
            </w:r>
          </w:p>
        </w:tc>
      </w:tr>
      <w:tr w:rsidRPr="005F055E" w:rsidR="00BE5CD4" w:rsidTr="00EC7257" w14:paraId="7B94A549" w14:textId="77777777">
        <w:trPr>
          <w:trHeight w:val="349"/>
        </w:trPr>
        <w:tc>
          <w:tcPr>
            <w:tcW w:w="452" w:type="pct"/>
          </w:tcPr>
          <w:p w:rsidRPr="005F055E" w:rsidR="00BE5CD4" w:rsidP="00180EEB" w:rsidRDefault="00BE5CD4" w14:paraId="11966322"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Maart 2025</w:t>
            </w:r>
          </w:p>
        </w:tc>
        <w:tc>
          <w:tcPr>
            <w:tcW w:w="956" w:type="pct"/>
          </w:tcPr>
          <w:p w:rsidRPr="005F055E" w:rsidR="00BE5CD4" w:rsidP="00180EEB" w:rsidRDefault="00BE5CD4" w14:paraId="5165B7E3"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71</w:t>
            </w:r>
          </w:p>
        </w:tc>
        <w:tc>
          <w:tcPr>
            <w:tcW w:w="3593" w:type="pct"/>
          </w:tcPr>
          <w:p w:rsidRPr="005F055E" w:rsidR="00BE5CD4" w:rsidP="00180EEB" w:rsidRDefault="00BE5CD4" w14:paraId="464C6392" w14:textId="77777777">
            <w:pPr>
              <w:suppressAutoHyphens/>
              <w:spacing w:line="240" w:lineRule="atLeast"/>
              <w:rPr>
                <w:rFonts w:ascii="Verdana" w:hAnsi="Verdana"/>
                <w:sz w:val="18"/>
                <w:szCs w:val="18"/>
                <w:lang w:eastAsia="nl-NL"/>
              </w:rPr>
            </w:pPr>
            <w:r w:rsidRPr="005F055E">
              <w:rPr>
                <w:rFonts w:ascii="Verdana" w:hAnsi="Verdana"/>
                <w:sz w:val="18"/>
                <w:szCs w:val="18"/>
                <w:lang w:eastAsia="nl-NL"/>
              </w:rPr>
              <w:t>Geen veranderingen t.o.v. 2024.</w:t>
            </w:r>
          </w:p>
        </w:tc>
      </w:tr>
    </w:tbl>
    <w:p w:rsidRPr="005F055E" w:rsidR="00912A7D" w:rsidP="00180EEB" w:rsidRDefault="00BE5CD4" w14:paraId="4B6E7DD6" w14:textId="02C98567">
      <w:pPr>
        <w:suppressAutoHyphens/>
        <w:spacing w:line="240" w:lineRule="atLeast"/>
        <w:rPr>
          <w:sz w:val="16"/>
          <w:szCs w:val="16"/>
          <w:lang w:eastAsia="nl-NL"/>
        </w:rPr>
      </w:pPr>
      <w:r w:rsidRPr="005F055E">
        <w:rPr>
          <w:sz w:val="16"/>
          <w:szCs w:val="16"/>
          <w:lang w:eastAsia="nl-NL"/>
        </w:rPr>
        <w:t>Bron: RIVM bereikbaarheidsanalyses</w:t>
      </w:r>
    </w:p>
    <w:p w:rsidRPr="005F055E" w:rsidR="00F36E36" w:rsidP="00180EEB" w:rsidRDefault="00F36E36" w14:paraId="22CC8D72" w14:textId="77777777">
      <w:pPr>
        <w:suppressAutoHyphens/>
      </w:pPr>
    </w:p>
    <w:p w:rsidRPr="005F055E" w:rsidR="00912A7D" w:rsidP="00180EEB" w:rsidRDefault="003E7003" w14:paraId="59518401" w14:textId="77777777">
      <w:pPr>
        <w:suppressAutoHyphens/>
      </w:pPr>
      <w:r w:rsidRPr="005F055E">
        <w:t>Vraag 148</w:t>
      </w:r>
      <w:r w:rsidRPr="005F055E">
        <w:tab/>
      </w:r>
    </w:p>
    <w:p w:rsidRPr="005F055E" w:rsidR="00912A7D" w:rsidP="00180EEB" w:rsidRDefault="003E7003" w14:paraId="273CAC55" w14:textId="77777777">
      <w:pPr>
        <w:suppressAutoHyphens/>
      </w:pPr>
      <w:r w:rsidRPr="005F055E">
        <w:t>Welke wijzigingen bent u van plan om door te voeren in de regelgeving die gevolgd moet worden als een ziekenhuis overweegt het aanbod van acute zorg op een bepaalde locatie te beperken?</w:t>
      </w:r>
      <w:r w:rsidRPr="005F055E">
        <w:tab/>
      </w:r>
    </w:p>
    <w:p w:rsidRPr="005F055E" w:rsidR="003E7003" w:rsidP="00180EEB" w:rsidRDefault="003E7003" w14:paraId="74CC8C1C" w14:textId="2741ED63">
      <w:pPr>
        <w:suppressAutoHyphens/>
      </w:pPr>
      <w:r w:rsidRPr="005F055E">
        <w:t>Antwoord</w:t>
      </w:r>
    </w:p>
    <w:p w:rsidRPr="005F055E" w:rsidR="00BE5CD4" w:rsidP="00180EEB" w:rsidRDefault="00BE5CD4" w14:paraId="7708BE61" w14:textId="18E3C8E6">
      <w:pPr>
        <w:suppressAutoHyphens/>
        <w:spacing w:line="240" w:lineRule="atLeast"/>
        <w:rPr>
          <w:szCs w:val="20"/>
          <w:lang w:eastAsia="nl-NL"/>
        </w:rPr>
      </w:pPr>
      <w:r w:rsidRPr="005F055E">
        <w:rPr>
          <w:szCs w:val="20"/>
          <w:lang w:eastAsia="nl-NL"/>
        </w:rPr>
        <w:t xml:space="preserve">Ik ben van plan om een aantal wijzigingen door te voeren in de regelgeving die gevolgd moet worden, als een ziekenhuis (of andere zorgaanbieder) overweegt het aanbod van acute zorg op een bepaalde locatie te beperken. Het betreft wijzigingen in het Uitvoeringsbesluit </w:t>
      </w:r>
      <w:proofErr w:type="spellStart"/>
      <w:r w:rsidRPr="005F055E">
        <w:rPr>
          <w:szCs w:val="20"/>
          <w:lang w:eastAsia="nl-NL"/>
        </w:rPr>
        <w:t>Wkkgz</w:t>
      </w:r>
      <w:proofErr w:type="spellEnd"/>
      <w:r w:rsidRPr="005F055E">
        <w:rPr>
          <w:szCs w:val="20"/>
          <w:lang w:eastAsia="nl-NL"/>
        </w:rPr>
        <w:t xml:space="preserve"> en de Uitvoeringsregeling </w:t>
      </w:r>
      <w:proofErr w:type="spellStart"/>
      <w:r w:rsidRPr="005F055E">
        <w:rPr>
          <w:szCs w:val="20"/>
          <w:lang w:eastAsia="nl-NL"/>
        </w:rPr>
        <w:t>Wkkgz</w:t>
      </w:r>
      <w:proofErr w:type="spellEnd"/>
      <w:r w:rsidRPr="005F055E">
        <w:rPr>
          <w:szCs w:val="20"/>
          <w:lang w:eastAsia="nl-NL"/>
        </w:rPr>
        <w:t>. De belangrijkste wijzigingen betreffen:</w:t>
      </w:r>
    </w:p>
    <w:p w:rsidRPr="005F055E" w:rsidR="00BE5CD4" w:rsidP="00180EEB" w:rsidRDefault="00BE5CD4" w14:paraId="257C8A0D" w14:textId="77777777">
      <w:pPr>
        <w:numPr>
          <w:ilvl w:val="0"/>
          <w:numId w:val="6"/>
        </w:numPr>
        <w:suppressAutoHyphens/>
        <w:autoSpaceDN w:val="0"/>
        <w:spacing w:after="0"/>
        <w:contextualSpacing/>
        <w:textAlignment w:val="baseline"/>
        <w:rPr>
          <w:rFonts w:eastAsia="DejaVu Sans" w:cs="Lohit Hindi"/>
          <w:color w:val="000000"/>
          <w:szCs w:val="18"/>
          <w:lang w:eastAsia="nl-NL"/>
        </w:rPr>
      </w:pPr>
      <w:r w:rsidRPr="005F055E">
        <w:rPr>
          <w:rFonts w:eastAsia="DejaVu Sans" w:cs="Lohit Hindi"/>
          <w:color w:val="000000"/>
          <w:szCs w:val="18"/>
          <w:lang w:eastAsia="nl-NL"/>
        </w:rPr>
        <w:t xml:space="preserve">Vastleggen dat belanghebbenden zoals gemeenten en inwoners </w:t>
      </w:r>
      <w:r w:rsidRPr="005F055E">
        <w:rPr>
          <w:rFonts w:eastAsia="DejaVu Sans" w:cs="Lohit Hindi"/>
          <w:i/>
          <w:iCs/>
          <w:color w:val="000000"/>
          <w:szCs w:val="18"/>
          <w:lang w:eastAsia="nl-NL"/>
        </w:rPr>
        <w:t>vroegtijdig</w:t>
      </w:r>
      <w:r w:rsidRPr="005F055E">
        <w:rPr>
          <w:rFonts w:eastAsia="DejaVu Sans" w:cs="Lohit Hindi"/>
          <w:color w:val="000000"/>
          <w:szCs w:val="18"/>
          <w:lang w:eastAsia="nl-NL"/>
        </w:rPr>
        <w:t xml:space="preserve"> worden betrokken. </w:t>
      </w:r>
    </w:p>
    <w:p w:rsidRPr="005F055E" w:rsidR="00BE5CD4" w:rsidP="00180EEB" w:rsidRDefault="00BE5CD4" w14:paraId="35C8C8A6" w14:textId="77777777">
      <w:pPr>
        <w:numPr>
          <w:ilvl w:val="0"/>
          <w:numId w:val="6"/>
        </w:numPr>
        <w:suppressAutoHyphens/>
        <w:autoSpaceDN w:val="0"/>
        <w:spacing w:after="0"/>
        <w:contextualSpacing/>
        <w:textAlignment w:val="baseline"/>
        <w:rPr>
          <w:rFonts w:eastAsia="DejaVu Sans" w:cs="Lohit Hindi"/>
          <w:color w:val="000000"/>
          <w:szCs w:val="18"/>
          <w:lang w:eastAsia="nl-NL"/>
        </w:rPr>
      </w:pPr>
      <w:r w:rsidRPr="005F055E">
        <w:rPr>
          <w:rFonts w:eastAsia="DejaVu Sans" w:cs="Lohit Hindi"/>
          <w:color w:val="000000"/>
          <w:szCs w:val="18"/>
          <w:lang w:eastAsia="nl-NL"/>
        </w:rPr>
        <w:t>Uitbreiden van het toepassingsgebied van de bestaande regelgeving. Op dit moment moeten alleen ziekenhuizen met een afdeling spoedeisende hulp of acute verloskunde die gevoelig zijn voor de 45-minutennorm</w:t>
      </w:r>
      <w:r w:rsidRPr="005F055E">
        <w:rPr>
          <w:rFonts w:eastAsia="DejaVu Sans" w:cs="Lohit Hindi"/>
          <w:color w:val="000000"/>
          <w:szCs w:val="18"/>
          <w:vertAlign w:val="superscript"/>
          <w:lang w:eastAsia="nl-NL"/>
        </w:rPr>
        <w:footnoteReference w:id="48"/>
      </w:r>
      <w:r w:rsidRPr="005F055E">
        <w:rPr>
          <w:rFonts w:eastAsia="DejaVu Sans" w:cs="Lohit Hindi"/>
          <w:color w:val="000000"/>
          <w:szCs w:val="18"/>
          <w:lang w:eastAsia="nl-NL"/>
        </w:rPr>
        <w:t xml:space="preserve"> meewerken aan de zorgplicht van de zorgverzekeraar. Met de voorgenomen wijziging gaan deze regels gelden voor alle ziekenhuizen met een afdeling spoedeisende hulp of acute verloskunde. </w:t>
      </w:r>
    </w:p>
    <w:p w:rsidRPr="005F055E" w:rsidR="00BE5CD4" w:rsidP="00180EEB" w:rsidRDefault="00BE5CD4" w14:paraId="3EFADF43" w14:textId="51267B16">
      <w:pPr>
        <w:numPr>
          <w:ilvl w:val="0"/>
          <w:numId w:val="6"/>
        </w:numPr>
        <w:suppressAutoHyphens/>
        <w:autoSpaceDN w:val="0"/>
        <w:spacing w:after="0"/>
        <w:contextualSpacing/>
        <w:textAlignment w:val="baseline"/>
        <w:rPr>
          <w:rFonts w:eastAsia="DejaVu Sans" w:cs="Lohit Hindi"/>
          <w:color w:val="000000"/>
          <w:szCs w:val="18"/>
          <w:lang w:eastAsia="nl-NL"/>
        </w:rPr>
      </w:pPr>
      <w:bookmarkStart w:name="_Hlk207354836" w:id="25"/>
      <w:r w:rsidRPr="005F055E">
        <w:rPr>
          <w:rFonts w:eastAsia="DejaVu Sans" w:cs="Lohit Hindi"/>
          <w:color w:val="000000"/>
          <w:szCs w:val="18"/>
          <w:lang w:eastAsia="nl-NL"/>
        </w:rPr>
        <w:t xml:space="preserve">Omschrijven van de reikwijdte van het aangenomen amendement </w:t>
      </w:r>
      <w:proofErr w:type="spellStart"/>
      <w:r w:rsidRPr="005F055E">
        <w:rPr>
          <w:rFonts w:eastAsia="DejaVu Sans" w:cs="Lohit Hindi"/>
          <w:color w:val="000000"/>
          <w:szCs w:val="18"/>
          <w:lang w:eastAsia="nl-NL"/>
        </w:rPr>
        <w:t>Bushoff</w:t>
      </w:r>
      <w:proofErr w:type="spellEnd"/>
      <w:r w:rsidRPr="005F055E">
        <w:rPr>
          <w:rFonts w:eastAsia="DejaVu Sans" w:cs="Lohit Hindi"/>
          <w:color w:val="000000"/>
          <w:szCs w:val="18"/>
          <w:lang w:eastAsia="nl-NL"/>
        </w:rPr>
        <w:t>/Krul</w:t>
      </w:r>
      <w:r w:rsidRPr="005F055E">
        <w:rPr>
          <w:rFonts w:eastAsia="DejaVu Sans" w:cs="Lohit Hindi"/>
          <w:color w:val="000000"/>
          <w:szCs w:val="18"/>
          <w:vertAlign w:val="superscript"/>
          <w:lang w:eastAsia="nl-NL"/>
        </w:rPr>
        <w:footnoteReference w:id="49"/>
      </w:r>
      <w:r w:rsidRPr="005F055E">
        <w:rPr>
          <w:rFonts w:eastAsia="DejaVu Sans" w:cs="Lohit Hindi"/>
          <w:color w:val="000000"/>
          <w:szCs w:val="18"/>
          <w:lang w:eastAsia="nl-NL"/>
        </w:rPr>
        <w:t xml:space="preserve">, dat </w:t>
      </w:r>
      <w:bookmarkEnd w:id="25"/>
      <w:r w:rsidRPr="005F055E">
        <w:rPr>
          <w:rFonts w:eastAsia="DejaVu Sans" w:cs="Lohit Hindi"/>
          <w:color w:val="000000"/>
          <w:szCs w:val="18"/>
          <w:lang w:eastAsia="nl-NL"/>
        </w:rPr>
        <w:t xml:space="preserve">gemeenten de mogelijkheid geeft een zwaarwegend advies uit te brengen wanneer </w:t>
      </w:r>
      <w:bookmarkStart w:name="_Hlk207354903" w:id="26"/>
      <w:r w:rsidRPr="005F055E">
        <w:rPr>
          <w:rFonts w:eastAsia="DejaVu Sans" w:cs="Lohit Hindi"/>
          <w:color w:val="000000"/>
          <w:szCs w:val="18"/>
          <w:lang w:eastAsia="nl-NL"/>
        </w:rPr>
        <w:t xml:space="preserve">een zorgaanbieder overweegt het aanbod van acute zorg </w:t>
      </w:r>
      <w:bookmarkEnd w:id="26"/>
      <w:r w:rsidRPr="005F055E">
        <w:rPr>
          <w:rFonts w:eastAsia="DejaVu Sans" w:cs="Lohit Hindi"/>
          <w:color w:val="000000"/>
          <w:szCs w:val="18"/>
          <w:lang w:eastAsia="nl-NL"/>
        </w:rPr>
        <w:t xml:space="preserve">te beperken. Gemeenten krijgen de gelegenheid een zwaarwegend advies uit te brengen wanneer traumacentra en andere ziekenhuizen, huisartsenspoedposten, aanbieders van acute </w:t>
      </w:r>
      <w:r w:rsidR="00D55762">
        <w:rPr>
          <w:rFonts w:eastAsia="DejaVu Sans" w:cs="Lohit Hindi"/>
          <w:color w:val="000000"/>
          <w:szCs w:val="18"/>
          <w:lang w:eastAsia="nl-NL"/>
        </w:rPr>
        <w:t>GGZ</w:t>
      </w:r>
      <w:r w:rsidRPr="005F055E">
        <w:rPr>
          <w:rFonts w:eastAsia="DejaVu Sans" w:cs="Lohit Hindi"/>
          <w:color w:val="000000"/>
          <w:szCs w:val="18"/>
          <w:lang w:eastAsia="nl-NL"/>
        </w:rPr>
        <w:t xml:space="preserve"> en dienstapotheken het aanbod van acute zorg op een bepaalde locatie willen beperken.</w:t>
      </w:r>
    </w:p>
    <w:p w:rsidRPr="005F055E" w:rsidR="00BE5CD4" w:rsidP="00180EEB" w:rsidRDefault="00BE5CD4" w14:paraId="7D01CE82" w14:textId="77777777">
      <w:pPr>
        <w:suppressAutoHyphens/>
        <w:autoSpaceDN w:val="0"/>
        <w:spacing w:after="0"/>
        <w:ind w:left="720"/>
        <w:contextualSpacing/>
        <w:textAlignment w:val="baseline"/>
        <w:rPr>
          <w:rFonts w:eastAsia="DejaVu Sans" w:cs="Lohit Hindi"/>
          <w:color w:val="000000"/>
          <w:szCs w:val="18"/>
          <w:lang w:eastAsia="nl-NL"/>
        </w:rPr>
      </w:pPr>
    </w:p>
    <w:p w:rsidRPr="005F055E" w:rsidR="00912A7D" w:rsidP="00180EEB" w:rsidRDefault="00BE5CD4" w14:paraId="2BFB1E2A" w14:textId="495C4178">
      <w:pPr>
        <w:suppressAutoHyphens/>
        <w:rPr>
          <w:szCs w:val="20"/>
          <w:lang w:eastAsia="nl-NL"/>
        </w:rPr>
      </w:pPr>
      <w:r w:rsidRPr="005F055E">
        <w:rPr>
          <w:szCs w:val="20"/>
          <w:lang w:eastAsia="nl-NL"/>
        </w:rPr>
        <w:t xml:space="preserve">De voorgestelde wijzigingen van het Uitvoeringsbesluit </w:t>
      </w:r>
      <w:proofErr w:type="spellStart"/>
      <w:r w:rsidRPr="005F055E">
        <w:rPr>
          <w:szCs w:val="20"/>
          <w:lang w:eastAsia="nl-NL"/>
        </w:rPr>
        <w:t>Wkkgz</w:t>
      </w:r>
      <w:proofErr w:type="spellEnd"/>
      <w:r w:rsidRPr="005F055E">
        <w:rPr>
          <w:szCs w:val="20"/>
          <w:lang w:eastAsia="nl-NL"/>
        </w:rPr>
        <w:t xml:space="preserve"> en de Uitvoeringsregeling </w:t>
      </w:r>
      <w:proofErr w:type="spellStart"/>
      <w:r w:rsidRPr="005F055E">
        <w:rPr>
          <w:szCs w:val="20"/>
          <w:lang w:eastAsia="nl-NL"/>
        </w:rPr>
        <w:t>Wkkgz</w:t>
      </w:r>
      <w:proofErr w:type="spellEnd"/>
      <w:r w:rsidRPr="005F055E">
        <w:rPr>
          <w:szCs w:val="20"/>
          <w:lang w:eastAsia="nl-NL"/>
        </w:rPr>
        <w:t xml:space="preserve"> hebben tot 27 oktober 2025 voorgelegen voor internetconsultatie</w:t>
      </w:r>
      <w:r w:rsidRPr="005F055E">
        <w:rPr>
          <w:szCs w:val="20"/>
          <w:vertAlign w:val="superscript"/>
          <w:lang w:eastAsia="nl-NL"/>
        </w:rPr>
        <w:footnoteReference w:id="50"/>
      </w:r>
      <w:r w:rsidRPr="005F055E">
        <w:rPr>
          <w:szCs w:val="20"/>
          <w:lang w:eastAsia="nl-NL"/>
        </w:rPr>
        <w:t>. Momenteel verwerk ik de inbreng uit de internetconsultatie. De inzet is om de voorgestelde aanpassingen begin van het nieuwe jaar bij uw Kamer en de Eerste Kamer voor te hangen.</w:t>
      </w:r>
    </w:p>
    <w:p w:rsidRPr="005F055E" w:rsidR="00912A7D" w:rsidP="00180EEB" w:rsidRDefault="00912A7D" w14:paraId="17BF70A9" w14:textId="77777777">
      <w:pPr>
        <w:suppressAutoHyphens/>
      </w:pPr>
    </w:p>
    <w:p w:rsidRPr="005F055E" w:rsidR="00912A7D" w:rsidP="00180EEB" w:rsidRDefault="003E7003" w14:paraId="2C22C9AC" w14:textId="77777777">
      <w:pPr>
        <w:suppressAutoHyphens/>
      </w:pPr>
      <w:r w:rsidRPr="005F055E">
        <w:t>Vraag 149</w:t>
      </w:r>
      <w:r w:rsidRPr="005F055E">
        <w:tab/>
      </w:r>
    </w:p>
    <w:p w:rsidRPr="005F055E" w:rsidR="00912A7D" w:rsidP="00180EEB" w:rsidRDefault="003E7003" w14:paraId="7C6BC2CD" w14:textId="77777777">
      <w:pPr>
        <w:suppressAutoHyphens/>
      </w:pPr>
      <w:r w:rsidRPr="005F055E">
        <w:t>Tot hoeveel operationele bedden kan de intensive care (ic) op dit moment worden opgeschaald in geval van een pandemie, ramp of terreuraanslag?</w:t>
      </w:r>
      <w:r w:rsidRPr="005F055E">
        <w:tab/>
      </w:r>
    </w:p>
    <w:p w:rsidRPr="005F055E" w:rsidR="003E7003" w:rsidP="00180EEB" w:rsidRDefault="003E7003" w14:paraId="6628109F" w14:textId="4D9F8986">
      <w:pPr>
        <w:suppressAutoHyphens/>
      </w:pPr>
      <w:r w:rsidRPr="005F055E">
        <w:t>Antwoord</w:t>
      </w:r>
    </w:p>
    <w:p w:rsidRPr="005F055E" w:rsidR="00575B14" w:rsidP="00180EEB" w:rsidRDefault="00592988" w14:paraId="1C10499C" w14:textId="03E55712">
      <w:pPr>
        <w:suppressAutoHyphens/>
      </w:pPr>
      <w:r w:rsidRPr="005F055E">
        <w:rPr>
          <w:szCs w:val="18"/>
          <w:lang w:eastAsia="nl-NL"/>
        </w:rPr>
        <w:t xml:space="preserve">In geval van een pandemie, ramp of terreuraanslag gelden de afspraken uit het coördinatie- en opschalingsplan van het Landelijk Netwerk Acute Zorg (LNAZ). In dit plan wordt beschreven hoe de zorg, in geval van een dergelijke calamiteit, IC-zorg dient op te schalen. Afhankelijk van de fase van de opschaling gaat dit om een opschaling tussen de 120% en 200% van de reguliere capaciteit. Het maximaal absolute aantal operationele bedden bij opschaling is niet op voorhand exact te specificeren. Dit aantal is in praktijk mede-afhankelijk van de beschikbaarheid van personeel en keuzes over de verdeling van zorg binnen en buiten de IC. Ook is het opschalingsgetal afhankelijk van de huidige capaciteit aan IC-bedden. Sinds juni 2024 hebben de ziekenhuizen binnen het LNAZ besloten dat het niet langer noodzakelijk is om IC-bezetting in ziekenhuizen te monitoren. De NVIC heeft eind 2024 de inschatting gemaakt dat circa 850 bedden operationeel zijn. </w:t>
      </w:r>
    </w:p>
    <w:p w:rsidR="00F36E36" w:rsidP="00180EEB" w:rsidRDefault="00F36E36" w14:paraId="6F88DE44" w14:textId="77777777">
      <w:pPr>
        <w:suppressAutoHyphens/>
      </w:pPr>
    </w:p>
    <w:p w:rsidR="00F36E36" w:rsidP="00180EEB" w:rsidRDefault="00F36E36" w14:paraId="22E1E1FF" w14:textId="77777777">
      <w:pPr>
        <w:suppressAutoHyphens/>
      </w:pPr>
    </w:p>
    <w:p w:rsidRPr="005F055E" w:rsidR="00912A7D" w:rsidP="00180EEB" w:rsidRDefault="003E7003" w14:paraId="12A44244" w14:textId="70C3CECF">
      <w:pPr>
        <w:suppressAutoHyphens/>
      </w:pPr>
      <w:r w:rsidRPr="005F055E">
        <w:t>Vraag 150</w:t>
      </w:r>
      <w:r w:rsidRPr="005F055E">
        <w:tab/>
      </w:r>
    </w:p>
    <w:p w:rsidRPr="005F055E" w:rsidR="00912A7D" w:rsidP="00180EEB" w:rsidRDefault="003E7003" w14:paraId="7EEE30DF" w14:textId="77777777">
      <w:pPr>
        <w:suppressAutoHyphens/>
      </w:pPr>
      <w:r w:rsidRPr="005F055E">
        <w:t>Welke maatregelen in het preferentiebeleid zijn tot nu toe genomen om tekorten van levensreddende medicijnen te voorkomen? Zijn deze maatregelen geëvalueerd? En waarom zien we dan nog geen substantiële verbetering in de hoeveelheid tekorten?</w:t>
      </w:r>
      <w:r w:rsidRPr="005F055E">
        <w:tab/>
      </w:r>
    </w:p>
    <w:p w:rsidRPr="005F055E" w:rsidR="003E7003" w:rsidP="00180EEB" w:rsidRDefault="003E7003" w14:paraId="2A1286BE" w14:textId="428EE4D9">
      <w:pPr>
        <w:suppressAutoHyphens/>
      </w:pPr>
      <w:r w:rsidRPr="005F055E">
        <w:t>Antwoord</w:t>
      </w:r>
    </w:p>
    <w:p w:rsidRPr="005F055E" w:rsidR="00632BAA" w:rsidP="00180EEB" w:rsidRDefault="00632BAA" w14:paraId="1791C48E" w14:textId="77777777">
      <w:pPr>
        <w:suppressAutoHyphens/>
        <w:spacing w:line="240" w:lineRule="atLeast"/>
        <w:rPr>
          <w:szCs w:val="18"/>
          <w:lang w:eastAsia="nl-NL"/>
        </w:rPr>
      </w:pPr>
      <w:r w:rsidRPr="005F055E">
        <w:rPr>
          <w:szCs w:val="18"/>
          <w:lang w:eastAsia="nl-NL"/>
        </w:rPr>
        <w:t xml:space="preserve">Samen met veldpartijen zijn in het preferentiebeleid verschillende maatregelen genomen om tekorten van geneesmiddelen te voorkomen: </w:t>
      </w:r>
    </w:p>
    <w:p w:rsidRPr="005F055E" w:rsidR="00632BAA" w:rsidP="00180EEB" w:rsidRDefault="00632BAA" w14:paraId="4E2E3282" w14:textId="104A0477">
      <w:pPr>
        <w:numPr>
          <w:ilvl w:val="0"/>
          <w:numId w:val="8"/>
        </w:numPr>
        <w:suppressAutoHyphens/>
        <w:spacing w:after="0" w:line="240" w:lineRule="atLeast"/>
        <w:rPr>
          <w:szCs w:val="18"/>
          <w:lang w:eastAsia="nl-NL"/>
        </w:rPr>
      </w:pPr>
      <w:r w:rsidRPr="005F055E">
        <w:rPr>
          <w:szCs w:val="18"/>
          <w:lang w:eastAsia="nl-NL"/>
        </w:rPr>
        <w:t xml:space="preserve">Met leveranciers en zorgverzekeraars zijn in 2024 afspraken gemaakt over dakpansgewijs inkopen, een proportioneel boetebeleid dat rekening </w:t>
      </w:r>
      <w:r w:rsidRPr="005F055E" w:rsidR="00E043BF">
        <w:rPr>
          <w:szCs w:val="18"/>
          <w:lang w:eastAsia="nl-NL"/>
        </w:rPr>
        <w:t>houdt</w:t>
      </w:r>
      <w:r w:rsidRPr="005F055E">
        <w:rPr>
          <w:szCs w:val="18"/>
          <w:lang w:eastAsia="nl-NL"/>
        </w:rPr>
        <w:t xml:space="preserve"> met de verwijtbaar van een leveringsprobleem, de mogelijkheid van prijsverhogingen in overmachtssituaties en het verzachten van het preferentiebeleid voor producten onder een bepaalde omzetgrens. Deze maatregelen wordt naderen toegelicht in de bijlage ‘Werken aan het preferentiebeleid’ bij de voortgangsbrief beschikbaarheid en leveringszekerheid van juni 2025.</w:t>
      </w:r>
      <w:r w:rsidRPr="005F055E">
        <w:rPr>
          <w:szCs w:val="18"/>
          <w:vertAlign w:val="superscript"/>
          <w:lang w:eastAsia="nl-NL"/>
        </w:rPr>
        <w:footnoteReference w:id="51"/>
      </w:r>
    </w:p>
    <w:p w:rsidRPr="005F055E" w:rsidR="00632BAA" w:rsidP="00180EEB" w:rsidRDefault="00632BAA" w14:paraId="5D5492E7" w14:textId="77777777">
      <w:pPr>
        <w:numPr>
          <w:ilvl w:val="0"/>
          <w:numId w:val="8"/>
        </w:numPr>
        <w:suppressAutoHyphens/>
        <w:spacing w:after="0" w:line="240" w:lineRule="atLeast"/>
        <w:rPr>
          <w:szCs w:val="18"/>
          <w:lang w:eastAsia="nl-NL"/>
        </w:rPr>
      </w:pPr>
      <w:r w:rsidRPr="005F055E">
        <w:rPr>
          <w:szCs w:val="18"/>
          <w:lang w:eastAsia="nl-NL"/>
        </w:rPr>
        <w:t>Verder hebben zorgverzekeraars en groothandels vanaf 2023 afspraken gemaakt over een adequate bekostiging van de distributie en het voorraadbeheer van preferent aangewezen geneesmiddelen in preferentie. Deze afspraken worden nader toegelicht in de voortgangsbrief aanpak beschikbaarheid geneesmiddelen van december 2024.</w:t>
      </w:r>
      <w:r w:rsidRPr="005F055E">
        <w:rPr>
          <w:szCs w:val="18"/>
          <w:vertAlign w:val="superscript"/>
          <w:lang w:eastAsia="nl-NL"/>
        </w:rPr>
        <w:footnoteReference w:id="52"/>
      </w:r>
    </w:p>
    <w:p w:rsidRPr="005F055E" w:rsidR="00632BAA" w:rsidP="00180EEB" w:rsidRDefault="00632BAA" w14:paraId="109486A1" w14:textId="77777777">
      <w:pPr>
        <w:numPr>
          <w:ilvl w:val="0"/>
          <w:numId w:val="8"/>
        </w:numPr>
        <w:suppressAutoHyphens/>
        <w:spacing w:after="0" w:line="240" w:lineRule="atLeast"/>
        <w:rPr>
          <w:szCs w:val="18"/>
          <w:lang w:eastAsia="nl-NL"/>
        </w:rPr>
      </w:pPr>
      <w:r w:rsidRPr="005F055E">
        <w:rPr>
          <w:szCs w:val="18"/>
          <w:lang w:eastAsia="nl-NL"/>
        </w:rPr>
        <w:t>Daarnaast werken alle partijen van het Bestuurlijk Overleg Farmacie in het kader van het Aanvullend Zorg- en Welzijnsakkoord (AZWA) op dit moment aan een inkoopleidraad om ongewenste effecten van de inkoop op de beschikbaarheid van geneesmiddelen te voorkomen. Dit is vastgelegd in AZWA afspraak E5: ‘Betere beschikbaarheid van geneesmiddelen.’</w:t>
      </w:r>
      <w:r w:rsidRPr="005F055E">
        <w:rPr>
          <w:szCs w:val="18"/>
          <w:vertAlign w:val="superscript"/>
          <w:lang w:eastAsia="nl-NL"/>
        </w:rPr>
        <w:footnoteReference w:id="53"/>
      </w:r>
    </w:p>
    <w:p w:rsidRPr="005F055E" w:rsidR="00632BAA" w:rsidP="00180EEB" w:rsidRDefault="00632BAA" w14:paraId="2CFD98BE" w14:textId="77777777">
      <w:pPr>
        <w:suppressAutoHyphens/>
        <w:spacing w:line="240" w:lineRule="atLeast"/>
        <w:ind w:left="720"/>
        <w:rPr>
          <w:szCs w:val="18"/>
          <w:lang w:eastAsia="nl-NL"/>
        </w:rPr>
      </w:pPr>
    </w:p>
    <w:p w:rsidRPr="005F055E" w:rsidR="00632BAA" w:rsidP="00180EEB" w:rsidRDefault="00632BAA" w14:paraId="0FB9B193" w14:textId="48814538">
      <w:pPr>
        <w:suppressAutoHyphens/>
        <w:spacing w:line="240" w:lineRule="atLeast"/>
        <w:rPr>
          <w:szCs w:val="18"/>
          <w:lang w:eastAsia="nl-NL"/>
        </w:rPr>
      </w:pPr>
      <w:r w:rsidRPr="005F055E">
        <w:rPr>
          <w:szCs w:val="18"/>
          <w:lang w:eastAsia="nl-NL"/>
        </w:rPr>
        <w:t xml:space="preserve">Al deze maatregelen dragen bij aan een verbeterde beschikbaarheid van levensreddende geneesmiddelen. De maatregelen worden door de betrokken partijen periodiek geëvalueerd om deze zo nodig bij te kunnen stellen. Daarnaast worden de voorbereidingen getroffen voor de onafhankelijke evaluatie van het preferentiebeleid waar uw Kamer bij motie om verzocht heeft. Begin 2026 ontvangt uw Kamer een voortgangsbrief over de beschikbaarheid van geneesmiddelen. In deze brief wordt u nader geïnformeerd over planning en voortgang van deze evaluatie. </w:t>
      </w:r>
    </w:p>
    <w:p w:rsidRPr="005F055E" w:rsidR="00912A7D" w:rsidP="00180EEB" w:rsidRDefault="00632BAA" w14:paraId="2027840C" w14:textId="53932D3A">
      <w:pPr>
        <w:suppressAutoHyphens/>
        <w:spacing w:line="240" w:lineRule="atLeast"/>
        <w:rPr>
          <w:szCs w:val="18"/>
          <w:lang w:eastAsia="nl-NL"/>
        </w:rPr>
      </w:pPr>
      <w:r w:rsidRPr="005F055E">
        <w:rPr>
          <w:szCs w:val="18"/>
          <w:lang w:eastAsia="nl-NL"/>
        </w:rPr>
        <w:t xml:space="preserve">Ik herken het beeld dat er nog geen substantiële verbetering is in de hoeveelheid tekorten niet. In 2024 zijn het aantal tekorten in de apotheek met ruim 30% gedaald ten opzichte van 2023, volgens de cijfers van KNMP Farmanco. Voor 2025 zijn de cijfers nog niet bekend, maar ik heb signalen ontvangen van leveranciers en groothandels dat er dit jaar opnieuw minder leveringsproblemen zijn dan het jaar ervoor. Dit stemt mij positief. Helaas betekent dit niet dat alle beschikbaarheidsproblemen voor patiënten verholpen zijn of dat de apotheker er minder last van heeft. Daarom zet ik mij onverminderd in om de beschikbaarheid van geneesmiddelen te verbeteren. </w:t>
      </w:r>
    </w:p>
    <w:p w:rsidRPr="005F055E" w:rsidR="00575B14" w:rsidP="00180EEB" w:rsidRDefault="00575B14" w14:paraId="5B9FACC3" w14:textId="77777777">
      <w:pPr>
        <w:suppressAutoHyphens/>
      </w:pPr>
    </w:p>
    <w:p w:rsidRPr="005F055E" w:rsidR="00912A7D" w:rsidP="00180EEB" w:rsidRDefault="003E7003" w14:paraId="00F045F3" w14:textId="77777777">
      <w:pPr>
        <w:suppressAutoHyphens/>
      </w:pPr>
      <w:r w:rsidRPr="005F055E">
        <w:t>Vraag 151</w:t>
      </w:r>
      <w:r w:rsidRPr="005F055E">
        <w:tab/>
      </w:r>
    </w:p>
    <w:p w:rsidRPr="005F055E" w:rsidR="00912A7D" w:rsidP="00180EEB" w:rsidRDefault="003E7003" w14:paraId="5F2607F6" w14:textId="77777777">
      <w:pPr>
        <w:suppressAutoHyphens/>
      </w:pPr>
      <w:r w:rsidRPr="005F055E">
        <w:t>Hoeveel winst werd er in 2024 uitgekeerd door zorgaanbieders?</w:t>
      </w:r>
      <w:r w:rsidRPr="005F055E">
        <w:tab/>
      </w:r>
    </w:p>
    <w:p w:rsidRPr="005F055E" w:rsidR="003E7003" w:rsidP="00180EEB" w:rsidRDefault="003E7003" w14:paraId="23C7FED7" w14:textId="1CB82311">
      <w:pPr>
        <w:suppressAutoHyphens/>
      </w:pPr>
      <w:r w:rsidRPr="005F055E">
        <w:t>Antwoord</w:t>
      </w:r>
    </w:p>
    <w:p w:rsidRPr="005F055E" w:rsidR="00632BAA" w:rsidP="00180EEB" w:rsidRDefault="00632BAA" w14:paraId="02976C22" w14:textId="0FD6F0B3">
      <w:pPr>
        <w:suppressAutoHyphens/>
        <w:rPr>
          <w:rFonts w:cs="Calibri"/>
          <w:color w:val="000000"/>
          <w:szCs w:val="20"/>
          <w:lang w:eastAsia="nl-NL"/>
        </w:rPr>
      </w:pPr>
      <w:r w:rsidRPr="005F055E">
        <w:rPr>
          <w:rFonts w:cs="Calibri"/>
          <w:color w:val="000000"/>
          <w:szCs w:val="20"/>
          <w:lang w:eastAsia="nl-NL"/>
        </w:rPr>
        <w:t>In de Wet toelating zorginstellingen (</w:t>
      </w:r>
      <w:proofErr w:type="spellStart"/>
      <w:r w:rsidRPr="005F055E">
        <w:rPr>
          <w:rFonts w:cs="Calibri"/>
          <w:color w:val="000000"/>
          <w:szCs w:val="20"/>
          <w:lang w:eastAsia="nl-NL"/>
        </w:rPr>
        <w:t>Wtzi</w:t>
      </w:r>
      <w:proofErr w:type="spellEnd"/>
      <w:r w:rsidRPr="005F055E">
        <w:rPr>
          <w:rFonts w:cs="Calibri"/>
          <w:color w:val="000000"/>
          <w:szCs w:val="20"/>
          <w:lang w:eastAsia="nl-NL"/>
        </w:rPr>
        <w:t>) is voor zorginstellingen die zorg verlenen waarop aanspraak bestaat uit hoofde van de Zorgverzekeringswet (</w:t>
      </w:r>
      <w:proofErr w:type="spellStart"/>
      <w:r w:rsidRPr="005F055E">
        <w:rPr>
          <w:rFonts w:cs="Calibri"/>
          <w:color w:val="000000"/>
          <w:szCs w:val="20"/>
          <w:lang w:eastAsia="nl-NL"/>
        </w:rPr>
        <w:t>Zvw</w:t>
      </w:r>
      <w:proofErr w:type="spellEnd"/>
      <w:r w:rsidRPr="005F055E">
        <w:rPr>
          <w:rFonts w:cs="Calibri"/>
          <w:color w:val="000000"/>
          <w:szCs w:val="20"/>
          <w:lang w:eastAsia="nl-NL"/>
        </w:rPr>
        <w:t>) of de Wet Langdurige Zorg (</w:t>
      </w:r>
      <w:proofErr w:type="spellStart"/>
      <w:r w:rsidRPr="005F055E">
        <w:rPr>
          <w:rFonts w:cs="Calibri"/>
          <w:color w:val="000000"/>
          <w:szCs w:val="20"/>
          <w:lang w:eastAsia="nl-NL"/>
        </w:rPr>
        <w:t>Wlz</w:t>
      </w:r>
      <w:proofErr w:type="spellEnd"/>
      <w:r w:rsidRPr="005F055E">
        <w:rPr>
          <w:rFonts w:cs="Calibri"/>
          <w:color w:val="000000"/>
          <w:szCs w:val="20"/>
          <w:lang w:eastAsia="nl-NL"/>
        </w:rPr>
        <w:t xml:space="preserve">), een verbod op winstuitkering vastgelegd. Daarbij is bij algemene maatregel van bestuur voor een aantal categorieën instellingen een uitzondering gemaakt. Deze categorieën instellingen mogen wel winst uitkeren. Er is geen integraal overzicht van uitgekeerde winst. </w:t>
      </w:r>
    </w:p>
    <w:p w:rsidRPr="005F055E" w:rsidR="00912A7D" w:rsidP="00180EEB" w:rsidRDefault="00632BAA" w14:paraId="5E9849EC" w14:textId="40B876D8">
      <w:pPr>
        <w:suppressAutoHyphens/>
        <w:rPr>
          <w:rFonts w:cs="Calibri"/>
          <w:color w:val="000000"/>
          <w:szCs w:val="20"/>
          <w:lang w:eastAsia="nl-NL"/>
        </w:rPr>
      </w:pPr>
      <w:r w:rsidRPr="005F055E">
        <w:rPr>
          <w:rFonts w:cs="Calibri"/>
          <w:color w:val="000000"/>
          <w:szCs w:val="20"/>
          <w:lang w:eastAsia="nl-NL"/>
        </w:rPr>
        <w:t xml:space="preserve">SIRM en Finance </w:t>
      </w:r>
      <w:proofErr w:type="spellStart"/>
      <w:r w:rsidRPr="005F055E">
        <w:rPr>
          <w:rFonts w:cs="Calibri"/>
          <w:color w:val="000000"/>
          <w:szCs w:val="20"/>
          <w:lang w:eastAsia="nl-NL"/>
        </w:rPr>
        <w:t>Ideas</w:t>
      </w:r>
      <w:proofErr w:type="spellEnd"/>
      <w:r w:rsidRPr="005F055E">
        <w:rPr>
          <w:rFonts w:cs="Calibri"/>
          <w:color w:val="000000"/>
          <w:szCs w:val="20"/>
          <w:lang w:eastAsia="nl-NL"/>
        </w:rPr>
        <w:t xml:space="preserve"> hebben in 2019 in opdracht van VWS onderzoek gedaan naar dividenduitkering door zorgaanbieders met een </w:t>
      </w:r>
      <w:proofErr w:type="spellStart"/>
      <w:r w:rsidRPr="005F055E">
        <w:rPr>
          <w:rFonts w:cs="Calibri"/>
          <w:color w:val="000000"/>
          <w:szCs w:val="20"/>
          <w:lang w:eastAsia="nl-NL"/>
        </w:rPr>
        <w:t>Wtzi</w:t>
      </w:r>
      <w:proofErr w:type="spellEnd"/>
      <w:r w:rsidRPr="005F055E">
        <w:rPr>
          <w:rFonts w:cs="Calibri"/>
          <w:color w:val="000000"/>
          <w:szCs w:val="20"/>
          <w:lang w:eastAsia="nl-NL"/>
        </w:rPr>
        <w:t xml:space="preserve">-toelating. In hun rapport zeggen de onderzoekers hier het volgende over: “Het is moeilijk rechtstreeks te achterhalen hoeveel dividend in de zorg is uitgekeerd. Onze ruwe schatting komt op €275 miljoen voor 2016. Hieronder valt niet eventueel dividend uitgekeerd door </w:t>
      </w:r>
      <w:proofErr w:type="spellStart"/>
      <w:r w:rsidRPr="005F055E">
        <w:rPr>
          <w:rFonts w:cs="Calibri"/>
          <w:color w:val="000000"/>
          <w:szCs w:val="20"/>
          <w:lang w:eastAsia="nl-NL"/>
        </w:rPr>
        <w:t>BV’s</w:t>
      </w:r>
      <w:proofErr w:type="spellEnd"/>
      <w:r w:rsidRPr="005F055E">
        <w:rPr>
          <w:rFonts w:cs="Calibri"/>
          <w:color w:val="000000"/>
          <w:szCs w:val="20"/>
          <w:lang w:eastAsia="nl-NL"/>
        </w:rPr>
        <w:t xml:space="preserve"> aan wie </w:t>
      </w:r>
      <w:proofErr w:type="spellStart"/>
      <w:r w:rsidRPr="005F055E">
        <w:rPr>
          <w:rFonts w:cs="Calibri"/>
          <w:color w:val="000000"/>
          <w:szCs w:val="20"/>
          <w:lang w:eastAsia="nl-NL"/>
        </w:rPr>
        <w:t>WTZi</w:t>
      </w:r>
      <w:proofErr w:type="spellEnd"/>
      <w:r w:rsidRPr="005F055E">
        <w:rPr>
          <w:rFonts w:cs="Calibri"/>
          <w:color w:val="000000"/>
          <w:szCs w:val="20"/>
          <w:lang w:eastAsia="nl-NL"/>
        </w:rPr>
        <w:t xml:space="preserve"> toegelaten zorgaanbieders zorg hebben uitbesteed. Daarvoor hebben we onvoldoende gegevens. Wel hebben we de medisch-specialistische bedrijven meegenomen in de schatting. Het in de zorg uitgekeerd dividend bestaat grotendeels uit dividend van bedrijven van medisch specialisten, huisartsen, tandartsen, apothekers en paramedici. Een klein deel, ongeveer €</w:t>
      </w:r>
      <w:r w:rsidR="00465BB4">
        <w:rPr>
          <w:rFonts w:cs="Calibri"/>
          <w:color w:val="000000"/>
          <w:szCs w:val="20"/>
          <w:lang w:eastAsia="nl-NL"/>
        </w:rPr>
        <w:t xml:space="preserve"> </w:t>
      </w:r>
      <w:r w:rsidRPr="005F055E">
        <w:rPr>
          <w:rFonts w:cs="Calibri"/>
          <w:color w:val="000000"/>
          <w:szCs w:val="20"/>
          <w:lang w:eastAsia="nl-NL"/>
        </w:rPr>
        <w:t xml:space="preserve">6 miljoen per jaar, wordt uitgekeerd door </w:t>
      </w:r>
      <w:proofErr w:type="spellStart"/>
      <w:r w:rsidRPr="005F055E">
        <w:rPr>
          <w:rFonts w:cs="Calibri"/>
          <w:color w:val="000000"/>
          <w:szCs w:val="20"/>
          <w:lang w:eastAsia="nl-NL"/>
        </w:rPr>
        <w:t>BV’s</w:t>
      </w:r>
      <w:proofErr w:type="spellEnd"/>
      <w:r w:rsidRPr="005F055E">
        <w:rPr>
          <w:rFonts w:cs="Calibri"/>
          <w:color w:val="000000"/>
          <w:szCs w:val="20"/>
          <w:lang w:eastAsia="nl-NL"/>
        </w:rPr>
        <w:t xml:space="preserve">, werkzaam in de extramurale </w:t>
      </w:r>
      <w:r w:rsidR="00D55762">
        <w:rPr>
          <w:rFonts w:cs="Calibri"/>
          <w:color w:val="000000"/>
          <w:szCs w:val="20"/>
          <w:lang w:eastAsia="nl-NL"/>
        </w:rPr>
        <w:t>GGZ</w:t>
      </w:r>
      <w:r w:rsidRPr="005F055E">
        <w:rPr>
          <w:rFonts w:cs="Calibri"/>
          <w:color w:val="000000"/>
          <w:szCs w:val="20"/>
          <w:lang w:eastAsia="nl-NL"/>
        </w:rPr>
        <w:t xml:space="preserve"> en thuiszorg. Of een ondernemer-zorgaanbieder kiest voor een BV of werkt als zelfstandige, is deels een juridische en fiscale optimalisatie. Daarom is ook de vergelijking met winst van zelfstandig gevestigde zorgverleners zonder BV relevant. Dat schatten we voor 2016 op € 0,6 miljard.</w:t>
      </w:r>
    </w:p>
    <w:p w:rsidR="00F36E36" w:rsidP="00180EEB" w:rsidRDefault="00F36E36" w14:paraId="153521FF" w14:textId="77777777">
      <w:pPr>
        <w:suppressAutoHyphens/>
      </w:pPr>
    </w:p>
    <w:p w:rsidRPr="005F055E" w:rsidR="00912A7D" w:rsidP="00180EEB" w:rsidRDefault="003E7003" w14:paraId="040DBC10" w14:textId="4EA7C4C9">
      <w:pPr>
        <w:suppressAutoHyphens/>
      </w:pPr>
      <w:r w:rsidRPr="005F055E">
        <w:t>Vraag 152</w:t>
      </w:r>
      <w:r w:rsidRPr="005F055E">
        <w:tab/>
      </w:r>
    </w:p>
    <w:p w:rsidRPr="005F055E" w:rsidR="00912A7D" w:rsidP="00180EEB" w:rsidRDefault="003E7003" w14:paraId="415AB686" w14:textId="77777777">
      <w:pPr>
        <w:suppressAutoHyphens/>
      </w:pPr>
      <w:r w:rsidRPr="005F055E">
        <w:t>Hoeveel winst werd er in 2024 gemaakt door zorgaanbieders?</w:t>
      </w:r>
      <w:r w:rsidRPr="005F055E">
        <w:tab/>
      </w:r>
    </w:p>
    <w:p w:rsidRPr="005F055E" w:rsidR="003E7003" w:rsidP="00180EEB" w:rsidRDefault="003E7003" w14:paraId="4A885373" w14:textId="1DF45482">
      <w:pPr>
        <w:suppressAutoHyphens/>
      </w:pPr>
      <w:r w:rsidRPr="005F055E">
        <w:t>Antwoord</w:t>
      </w:r>
    </w:p>
    <w:p w:rsidRPr="005F055E" w:rsidR="00632BAA" w:rsidP="00180EEB" w:rsidRDefault="00632BAA" w14:paraId="0B903D01" w14:textId="52C25C7F">
      <w:pPr>
        <w:suppressAutoHyphens/>
        <w:spacing w:line="240" w:lineRule="atLeast"/>
        <w:rPr>
          <w:szCs w:val="20"/>
          <w:lang w:eastAsia="nl-NL"/>
        </w:rPr>
      </w:pPr>
      <w:r w:rsidRPr="005F055E">
        <w:rPr>
          <w:szCs w:val="20"/>
          <w:lang w:eastAsia="nl-NL"/>
        </w:rPr>
        <w:t xml:space="preserve">Het ministerie van VWS beschikt niet over de precieze informatie. Onderstaande tabel geeft een overzicht van het bedrijfsresultaat (de bedrijfsopbrengsten minus de bedrijfslasten, exclusief het saldo van financiële en buitengewone baten en lasten) van zorginstellingen in 2023. Dit zijn echter voorlopige cijfers. De cijfers van 2024 zijn nog niet beschikbaar (CBS, Statline). Deze cijfers hebben betrekking op middelgrote en grote ondernemingen. </w:t>
      </w:r>
    </w:p>
    <w:p w:rsidRPr="005F055E" w:rsidR="00632BAA" w:rsidP="00180EEB" w:rsidRDefault="00632BAA" w14:paraId="6DF76583" w14:textId="056344EA">
      <w:pPr>
        <w:suppressAutoHyphens/>
        <w:spacing w:line="240" w:lineRule="atLeast"/>
        <w:rPr>
          <w:szCs w:val="20"/>
          <w:lang w:eastAsia="nl-NL"/>
        </w:rPr>
      </w:pPr>
      <w:r w:rsidRPr="005F055E">
        <w:rPr>
          <w:szCs w:val="20"/>
          <w:lang w:eastAsia="nl-NL"/>
        </w:rPr>
        <w:t>In de Zorgverzekeringswet en de Wet langdurige zorg vallen instellingen voor intramurale zorg en delen van de extramurale zorg onder het verbod op winstoogmerk op grond van de Wet toelating zorginstellingen (</w:t>
      </w:r>
      <w:proofErr w:type="spellStart"/>
      <w:r w:rsidRPr="005F055E">
        <w:rPr>
          <w:szCs w:val="20"/>
          <w:lang w:eastAsia="nl-NL"/>
        </w:rPr>
        <w:t>WTZi</w:t>
      </w:r>
      <w:proofErr w:type="spellEnd"/>
      <w:r w:rsidRPr="005F055E">
        <w:rPr>
          <w:szCs w:val="20"/>
          <w:lang w:eastAsia="nl-NL"/>
        </w:rPr>
        <w:t>). Zij mogen geen winst uitkeren. Het positieve resultaat dat zij boeken, kan aangewend worden voor het aanleggen van reserves, of herinvesteringen in de zorg.</w:t>
      </w:r>
    </w:p>
    <w:tbl>
      <w:tblPr>
        <w:tblStyle w:val="TableGrid9"/>
        <w:tblW w:w="0" w:type="auto"/>
        <w:tblLook w:val="04A0" w:firstRow="1" w:lastRow="0" w:firstColumn="1" w:lastColumn="0" w:noHBand="0" w:noVBand="1"/>
      </w:tblPr>
      <w:tblGrid>
        <w:gridCol w:w="4509"/>
        <w:gridCol w:w="4508"/>
      </w:tblGrid>
      <w:tr w:rsidRPr="005F055E" w:rsidR="00632BAA" w:rsidTr="005E2643" w14:paraId="5633DD71" w14:textId="77777777">
        <w:tc>
          <w:tcPr>
            <w:tcW w:w="4531" w:type="dxa"/>
          </w:tcPr>
          <w:p w:rsidRPr="005F055E" w:rsidR="00632BAA" w:rsidP="00180EEB" w:rsidRDefault="00632BAA" w14:paraId="46FE4D19" w14:textId="77777777">
            <w:pPr>
              <w:suppressAutoHyphens/>
              <w:spacing w:line="240" w:lineRule="atLeast"/>
              <w:rPr>
                <w:rFonts w:ascii="Verdana" w:hAnsi="Verdana"/>
                <w:b/>
                <w:bCs/>
                <w:sz w:val="18"/>
                <w:szCs w:val="20"/>
                <w:lang w:eastAsia="nl-NL"/>
              </w:rPr>
            </w:pPr>
            <w:r w:rsidRPr="005F055E">
              <w:rPr>
                <w:rFonts w:ascii="Verdana" w:hAnsi="Verdana"/>
                <w:b/>
                <w:bCs/>
                <w:sz w:val="18"/>
                <w:szCs w:val="20"/>
                <w:lang w:eastAsia="nl-NL"/>
              </w:rPr>
              <w:t>Sector</w:t>
            </w:r>
          </w:p>
        </w:tc>
        <w:tc>
          <w:tcPr>
            <w:tcW w:w="4531" w:type="dxa"/>
          </w:tcPr>
          <w:p w:rsidRPr="005F055E" w:rsidR="00632BAA" w:rsidP="00180EEB" w:rsidRDefault="00632BAA" w14:paraId="24E09153" w14:textId="77777777">
            <w:pPr>
              <w:suppressAutoHyphens/>
              <w:spacing w:line="240" w:lineRule="atLeast"/>
              <w:rPr>
                <w:rFonts w:ascii="Verdana" w:hAnsi="Verdana"/>
                <w:b/>
                <w:bCs/>
                <w:sz w:val="18"/>
                <w:szCs w:val="20"/>
                <w:lang w:eastAsia="nl-NL"/>
              </w:rPr>
            </w:pPr>
            <w:r w:rsidRPr="005F055E">
              <w:rPr>
                <w:rFonts w:ascii="Verdana" w:hAnsi="Verdana"/>
                <w:b/>
                <w:bCs/>
                <w:sz w:val="18"/>
                <w:szCs w:val="20"/>
                <w:lang w:eastAsia="nl-NL"/>
              </w:rPr>
              <w:t>Bedrijfsresultaat per sector ( x € 1 miljoen) in 2023</w:t>
            </w:r>
          </w:p>
        </w:tc>
      </w:tr>
      <w:tr w:rsidRPr="005F055E" w:rsidR="00632BAA" w:rsidTr="005E2643" w14:paraId="34DAA96B" w14:textId="77777777">
        <w:tc>
          <w:tcPr>
            <w:tcW w:w="4531" w:type="dxa"/>
          </w:tcPr>
          <w:p w:rsidRPr="005F055E" w:rsidR="00632BAA" w:rsidP="00180EEB" w:rsidRDefault="00632BAA" w14:paraId="1EC30C0C" w14:textId="77777777">
            <w:pPr>
              <w:suppressAutoHyphens/>
              <w:spacing w:line="240" w:lineRule="atLeast"/>
              <w:rPr>
                <w:rFonts w:ascii="Verdana" w:hAnsi="Verdana"/>
                <w:sz w:val="18"/>
                <w:szCs w:val="20"/>
                <w:lang w:eastAsia="nl-NL"/>
              </w:rPr>
            </w:pPr>
            <w:r w:rsidRPr="005F055E">
              <w:rPr>
                <w:rFonts w:ascii="Verdana" w:hAnsi="Verdana"/>
                <w:sz w:val="18"/>
                <w:szCs w:val="20"/>
                <w:lang w:eastAsia="nl-NL"/>
              </w:rPr>
              <w:t>Universitair medisch centra</w:t>
            </w:r>
          </w:p>
        </w:tc>
        <w:tc>
          <w:tcPr>
            <w:tcW w:w="4531" w:type="dxa"/>
          </w:tcPr>
          <w:p w:rsidRPr="005F055E" w:rsidR="00632BAA" w:rsidP="00180EEB" w:rsidRDefault="00632BAA" w14:paraId="3BB1F397" w14:textId="77777777">
            <w:pPr>
              <w:suppressAutoHyphens/>
              <w:spacing w:line="240" w:lineRule="atLeast"/>
              <w:rPr>
                <w:rFonts w:ascii="Verdana" w:hAnsi="Verdana"/>
                <w:sz w:val="18"/>
                <w:szCs w:val="20"/>
                <w:lang w:eastAsia="nl-NL"/>
              </w:rPr>
            </w:pPr>
            <w:r w:rsidRPr="005F055E">
              <w:rPr>
                <w:rFonts w:ascii="Verdana" w:hAnsi="Verdana"/>
                <w:sz w:val="18"/>
                <w:szCs w:val="20"/>
                <w:lang w:eastAsia="nl-NL"/>
              </w:rPr>
              <w:t>293</w:t>
            </w:r>
          </w:p>
        </w:tc>
      </w:tr>
      <w:tr w:rsidRPr="005F055E" w:rsidR="00632BAA" w:rsidTr="005E2643" w14:paraId="16E69262" w14:textId="77777777">
        <w:tc>
          <w:tcPr>
            <w:tcW w:w="4531" w:type="dxa"/>
          </w:tcPr>
          <w:p w:rsidRPr="005F055E" w:rsidR="00632BAA" w:rsidP="00180EEB" w:rsidRDefault="00632BAA" w14:paraId="43A2453D" w14:textId="77777777">
            <w:pPr>
              <w:suppressAutoHyphens/>
              <w:spacing w:line="240" w:lineRule="atLeast"/>
              <w:rPr>
                <w:rFonts w:ascii="Verdana" w:hAnsi="Verdana"/>
                <w:sz w:val="18"/>
                <w:szCs w:val="20"/>
                <w:lang w:eastAsia="nl-NL"/>
              </w:rPr>
            </w:pPr>
            <w:r w:rsidRPr="005F055E">
              <w:rPr>
                <w:rFonts w:ascii="Verdana" w:hAnsi="Verdana"/>
                <w:sz w:val="18"/>
                <w:szCs w:val="20"/>
                <w:lang w:eastAsia="nl-NL"/>
              </w:rPr>
              <w:t>Algemene ziekenhuizen</w:t>
            </w:r>
          </w:p>
        </w:tc>
        <w:tc>
          <w:tcPr>
            <w:tcW w:w="4531" w:type="dxa"/>
          </w:tcPr>
          <w:p w:rsidRPr="005F055E" w:rsidR="00632BAA" w:rsidP="00180EEB" w:rsidRDefault="00632BAA" w14:paraId="4347070F" w14:textId="77777777">
            <w:pPr>
              <w:suppressAutoHyphens/>
              <w:spacing w:line="240" w:lineRule="atLeast"/>
              <w:rPr>
                <w:rFonts w:ascii="Verdana" w:hAnsi="Verdana"/>
                <w:sz w:val="18"/>
                <w:szCs w:val="20"/>
                <w:lang w:eastAsia="nl-NL"/>
              </w:rPr>
            </w:pPr>
            <w:r w:rsidRPr="005F055E">
              <w:rPr>
                <w:rFonts w:ascii="Verdana" w:hAnsi="Verdana"/>
                <w:sz w:val="18"/>
                <w:szCs w:val="20"/>
                <w:lang w:eastAsia="nl-NL"/>
              </w:rPr>
              <w:t>408</w:t>
            </w:r>
          </w:p>
        </w:tc>
      </w:tr>
      <w:tr w:rsidRPr="005F055E" w:rsidR="00632BAA" w:rsidTr="005E2643" w14:paraId="45C76096" w14:textId="77777777">
        <w:tc>
          <w:tcPr>
            <w:tcW w:w="4531" w:type="dxa"/>
          </w:tcPr>
          <w:p w:rsidRPr="005F055E" w:rsidR="00632BAA" w:rsidP="00180EEB" w:rsidRDefault="00632BAA" w14:paraId="268A7B77" w14:textId="77777777">
            <w:pPr>
              <w:suppressAutoHyphens/>
              <w:spacing w:line="240" w:lineRule="atLeast"/>
              <w:rPr>
                <w:rFonts w:ascii="Verdana" w:hAnsi="Verdana"/>
                <w:sz w:val="18"/>
                <w:szCs w:val="20"/>
                <w:lang w:eastAsia="nl-NL"/>
              </w:rPr>
            </w:pPr>
            <w:r w:rsidRPr="005F055E">
              <w:rPr>
                <w:rFonts w:ascii="Verdana" w:hAnsi="Verdana"/>
                <w:sz w:val="18"/>
                <w:szCs w:val="20"/>
                <w:lang w:eastAsia="nl-NL"/>
              </w:rPr>
              <w:t>Categorale ziekenhuizen</w:t>
            </w:r>
          </w:p>
        </w:tc>
        <w:tc>
          <w:tcPr>
            <w:tcW w:w="4531" w:type="dxa"/>
          </w:tcPr>
          <w:p w:rsidRPr="005F055E" w:rsidR="00632BAA" w:rsidP="00180EEB" w:rsidRDefault="00632BAA" w14:paraId="29AF511C" w14:textId="77777777">
            <w:pPr>
              <w:suppressAutoHyphens/>
              <w:spacing w:line="240" w:lineRule="atLeast"/>
              <w:rPr>
                <w:rFonts w:ascii="Verdana" w:hAnsi="Verdana"/>
                <w:sz w:val="18"/>
                <w:szCs w:val="20"/>
                <w:lang w:eastAsia="nl-NL"/>
              </w:rPr>
            </w:pPr>
            <w:r w:rsidRPr="005F055E">
              <w:rPr>
                <w:rFonts w:ascii="Verdana" w:hAnsi="Verdana"/>
                <w:sz w:val="18"/>
                <w:szCs w:val="20"/>
                <w:lang w:eastAsia="nl-NL"/>
              </w:rPr>
              <w:t>28</w:t>
            </w:r>
          </w:p>
        </w:tc>
      </w:tr>
      <w:tr w:rsidRPr="005F055E" w:rsidR="00632BAA" w:rsidTr="005E2643" w14:paraId="37E7CE8F" w14:textId="77777777">
        <w:tc>
          <w:tcPr>
            <w:tcW w:w="4531" w:type="dxa"/>
          </w:tcPr>
          <w:p w:rsidRPr="005F055E" w:rsidR="00632BAA" w:rsidP="00180EEB" w:rsidRDefault="00D55762" w14:paraId="0CD123ED" w14:textId="4BD8D0B1">
            <w:pPr>
              <w:suppressAutoHyphens/>
              <w:spacing w:line="240" w:lineRule="atLeast"/>
              <w:rPr>
                <w:rFonts w:ascii="Verdana" w:hAnsi="Verdana"/>
                <w:sz w:val="18"/>
                <w:szCs w:val="20"/>
                <w:lang w:eastAsia="nl-NL"/>
              </w:rPr>
            </w:pPr>
            <w:r>
              <w:rPr>
                <w:rFonts w:ascii="Verdana" w:hAnsi="Verdana"/>
                <w:sz w:val="18"/>
                <w:szCs w:val="20"/>
                <w:lang w:eastAsia="nl-NL"/>
              </w:rPr>
              <w:t>GGZ</w:t>
            </w:r>
            <w:r w:rsidRPr="005F055E" w:rsidR="00632BAA">
              <w:rPr>
                <w:rFonts w:ascii="Verdana" w:hAnsi="Verdana"/>
                <w:sz w:val="18"/>
                <w:szCs w:val="20"/>
                <w:lang w:eastAsia="nl-NL"/>
              </w:rPr>
              <w:t xml:space="preserve"> met overnachting</w:t>
            </w:r>
          </w:p>
        </w:tc>
        <w:tc>
          <w:tcPr>
            <w:tcW w:w="4531" w:type="dxa"/>
          </w:tcPr>
          <w:p w:rsidRPr="005F055E" w:rsidR="00632BAA" w:rsidP="00180EEB" w:rsidRDefault="00632BAA" w14:paraId="4E5BEEDF" w14:textId="77777777">
            <w:pPr>
              <w:suppressAutoHyphens/>
              <w:spacing w:line="240" w:lineRule="atLeast"/>
              <w:rPr>
                <w:rFonts w:ascii="Verdana" w:hAnsi="Verdana"/>
                <w:sz w:val="18"/>
                <w:szCs w:val="20"/>
                <w:lang w:eastAsia="nl-NL"/>
              </w:rPr>
            </w:pPr>
            <w:r w:rsidRPr="005F055E">
              <w:rPr>
                <w:rFonts w:ascii="Verdana" w:hAnsi="Verdana"/>
                <w:sz w:val="18"/>
                <w:szCs w:val="20"/>
                <w:lang w:eastAsia="nl-NL"/>
              </w:rPr>
              <w:t>156</w:t>
            </w:r>
          </w:p>
        </w:tc>
      </w:tr>
      <w:tr w:rsidRPr="005F055E" w:rsidR="00632BAA" w:rsidTr="005E2643" w14:paraId="14C29730" w14:textId="77777777">
        <w:tc>
          <w:tcPr>
            <w:tcW w:w="4531" w:type="dxa"/>
          </w:tcPr>
          <w:p w:rsidRPr="005F055E" w:rsidR="00632BAA" w:rsidP="00180EEB" w:rsidRDefault="00632BAA" w14:paraId="52EC0CDB" w14:textId="77777777">
            <w:pPr>
              <w:suppressAutoHyphens/>
              <w:spacing w:line="240" w:lineRule="atLeast"/>
              <w:rPr>
                <w:rFonts w:ascii="Verdana" w:hAnsi="Verdana"/>
                <w:sz w:val="18"/>
                <w:szCs w:val="20"/>
                <w:lang w:eastAsia="nl-NL"/>
              </w:rPr>
            </w:pPr>
            <w:r w:rsidRPr="005F055E">
              <w:rPr>
                <w:rFonts w:ascii="Verdana" w:hAnsi="Verdana"/>
                <w:sz w:val="18"/>
                <w:szCs w:val="20"/>
                <w:lang w:eastAsia="nl-NL"/>
              </w:rPr>
              <w:t>Gehandicaptenzorg</w:t>
            </w:r>
          </w:p>
        </w:tc>
        <w:tc>
          <w:tcPr>
            <w:tcW w:w="4531" w:type="dxa"/>
          </w:tcPr>
          <w:p w:rsidRPr="005F055E" w:rsidR="00632BAA" w:rsidP="00180EEB" w:rsidRDefault="00632BAA" w14:paraId="44B5FD48" w14:textId="77777777">
            <w:pPr>
              <w:suppressAutoHyphens/>
              <w:spacing w:line="240" w:lineRule="atLeast"/>
              <w:rPr>
                <w:rFonts w:ascii="Verdana" w:hAnsi="Verdana"/>
                <w:sz w:val="18"/>
                <w:szCs w:val="20"/>
                <w:lang w:eastAsia="nl-NL"/>
              </w:rPr>
            </w:pPr>
            <w:r w:rsidRPr="005F055E">
              <w:rPr>
                <w:rFonts w:ascii="Verdana" w:hAnsi="Verdana"/>
                <w:sz w:val="18"/>
                <w:szCs w:val="20"/>
                <w:lang w:eastAsia="nl-NL"/>
              </w:rPr>
              <w:t>159</w:t>
            </w:r>
          </w:p>
        </w:tc>
      </w:tr>
      <w:tr w:rsidRPr="005F055E" w:rsidR="00632BAA" w:rsidTr="005E2643" w14:paraId="26D8D029" w14:textId="77777777">
        <w:tc>
          <w:tcPr>
            <w:tcW w:w="4531" w:type="dxa"/>
          </w:tcPr>
          <w:p w:rsidRPr="005F055E" w:rsidR="00632BAA" w:rsidP="00180EEB" w:rsidRDefault="00632BAA" w14:paraId="082ED2B9" w14:textId="77777777">
            <w:pPr>
              <w:suppressAutoHyphens/>
              <w:spacing w:line="240" w:lineRule="atLeast"/>
              <w:rPr>
                <w:rFonts w:ascii="Verdana" w:hAnsi="Verdana"/>
                <w:sz w:val="18"/>
                <w:szCs w:val="20"/>
                <w:lang w:eastAsia="nl-NL"/>
              </w:rPr>
            </w:pPr>
            <w:r w:rsidRPr="005F055E">
              <w:rPr>
                <w:rFonts w:ascii="Verdana" w:hAnsi="Verdana"/>
                <w:sz w:val="18"/>
                <w:szCs w:val="20"/>
                <w:lang w:eastAsia="nl-NL"/>
              </w:rPr>
              <w:t>Jeugdzorg met overnachting</w:t>
            </w:r>
          </w:p>
        </w:tc>
        <w:tc>
          <w:tcPr>
            <w:tcW w:w="4531" w:type="dxa"/>
          </w:tcPr>
          <w:p w:rsidRPr="005F055E" w:rsidR="00632BAA" w:rsidP="00180EEB" w:rsidRDefault="00632BAA" w14:paraId="0756C539" w14:textId="77777777">
            <w:pPr>
              <w:suppressAutoHyphens/>
              <w:spacing w:line="240" w:lineRule="atLeast"/>
              <w:rPr>
                <w:rFonts w:ascii="Verdana" w:hAnsi="Verdana"/>
                <w:sz w:val="18"/>
                <w:szCs w:val="20"/>
                <w:lang w:eastAsia="nl-NL"/>
              </w:rPr>
            </w:pPr>
            <w:r w:rsidRPr="005F055E">
              <w:rPr>
                <w:rFonts w:ascii="Verdana" w:hAnsi="Verdana"/>
                <w:sz w:val="18"/>
                <w:szCs w:val="20"/>
                <w:lang w:eastAsia="nl-NL"/>
              </w:rPr>
              <w:t>25</w:t>
            </w:r>
          </w:p>
        </w:tc>
      </w:tr>
      <w:tr w:rsidRPr="005F055E" w:rsidR="00632BAA" w:rsidTr="005E2643" w14:paraId="1CE31228" w14:textId="77777777">
        <w:tc>
          <w:tcPr>
            <w:tcW w:w="4531" w:type="dxa"/>
          </w:tcPr>
          <w:p w:rsidRPr="005F055E" w:rsidR="00632BAA" w:rsidP="00180EEB" w:rsidRDefault="00632BAA" w14:paraId="66B66E10" w14:textId="77777777">
            <w:pPr>
              <w:suppressAutoHyphens/>
              <w:spacing w:line="240" w:lineRule="atLeast"/>
              <w:rPr>
                <w:rFonts w:ascii="Verdana" w:hAnsi="Verdana"/>
                <w:sz w:val="18"/>
                <w:szCs w:val="20"/>
                <w:lang w:eastAsia="nl-NL"/>
              </w:rPr>
            </w:pPr>
            <w:r w:rsidRPr="005F055E">
              <w:rPr>
                <w:rFonts w:ascii="Verdana" w:hAnsi="Verdana"/>
                <w:sz w:val="18"/>
                <w:szCs w:val="20"/>
                <w:lang w:eastAsia="nl-NL"/>
              </w:rPr>
              <w:t>Maatschappelijke opvang (24-uurs)</w:t>
            </w:r>
          </w:p>
        </w:tc>
        <w:tc>
          <w:tcPr>
            <w:tcW w:w="4531" w:type="dxa"/>
          </w:tcPr>
          <w:p w:rsidRPr="005F055E" w:rsidR="00632BAA" w:rsidP="00180EEB" w:rsidRDefault="00632BAA" w14:paraId="7FA94C5A" w14:textId="77777777">
            <w:pPr>
              <w:suppressAutoHyphens/>
              <w:spacing w:line="240" w:lineRule="atLeast"/>
              <w:rPr>
                <w:rFonts w:ascii="Verdana" w:hAnsi="Verdana"/>
                <w:sz w:val="18"/>
                <w:szCs w:val="20"/>
                <w:lang w:eastAsia="nl-NL"/>
              </w:rPr>
            </w:pPr>
            <w:r w:rsidRPr="005F055E">
              <w:rPr>
                <w:rFonts w:ascii="Verdana" w:hAnsi="Verdana"/>
                <w:sz w:val="18"/>
                <w:szCs w:val="20"/>
                <w:lang w:eastAsia="nl-NL"/>
              </w:rPr>
              <w:t>8</w:t>
            </w:r>
          </w:p>
        </w:tc>
      </w:tr>
      <w:tr w:rsidRPr="005F055E" w:rsidR="00632BAA" w:rsidTr="005E2643" w14:paraId="65149FBB" w14:textId="77777777">
        <w:tc>
          <w:tcPr>
            <w:tcW w:w="4531" w:type="dxa"/>
          </w:tcPr>
          <w:p w:rsidRPr="005F055E" w:rsidR="00632BAA" w:rsidP="00180EEB" w:rsidRDefault="00632BAA" w14:paraId="4E3C4CF1" w14:textId="77777777">
            <w:pPr>
              <w:suppressAutoHyphens/>
              <w:spacing w:line="240" w:lineRule="atLeast"/>
              <w:rPr>
                <w:rFonts w:ascii="Verdana" w:hAnsi="Verdana"/>
                <w:sz w:val="18"/>
                <w:szCs w:val="20"/>
                <w:lang w:eastAsia="nl-NL"/>
              </w:rPr>
            </w:pPr>
            <w:r w:rsidRPr="005F055E">
              <w:rPr>
                <w:rFonts w:ascii="Verdana" w:hAnsi="Verdana"/>
                <w:sz w:val="18"/>
                <w:szCs w:val="20"/>
                <w:lang w:eastAsia="nl-NL"/>
              </w:rPr>
              <w:t>Ambulante jeugdzorg</w:t>
            </w:r>
          </w:p>
        </w:tc>
        <w:tc>
          <w:tcPr>
            <w:tcW w:w="4531" w:type="dxa"/>
          </w:tcPr>
          <w:p w:rsidRPr="005F055E" w:rsidR="00632BAA" w:rsidP="00180EEB" w:rsidRDefault="00632BAA" w14:paraId="7A608D2B" w14:textId="77777777">
            <w:pPr>
              <w:suppressAutoHyphens/>
              <w:spacing w:line="240" w:lineRule="atLeast"/>
              <w:rPr>
                <w:rFonts w:ascii="Verdana" w:hAnsi="Verdana"/>
                <w:sz w:val="18"/>
                <w:szCs w:val="20"/>
                <w:lang w:eastAsia="nl-NL"/>
              </w:rPr>
            </w:pPr>
            <w:r w:rsidRPr="005F055E">
              <w:rPr>
                <w:rFonts w:ascii="Verdana" w:hAnsi="Verdana"/>
                <w:sz w:val="18"/>
                <w:szCs w:val="20"/>
                <w:lang w:eastAsia="nl-NL"/>
              </w:rPr>
              <w:t>24</w:t>
            </w:r>
          </w:p>
        </w:tc>
      </w:tr>
      <w:tr w:rsidRPr="005F055E" w:rsidR="00632BAA" w:rsidTr="005E2643" w14:paraId="2B1A759B" w14:textId="77777777">
        <w:tc>
          <w:tcPr>
            <w:tcW w:w="4531" w:type="dxa"/>
          </w:tcPr>
          <w:p w:rsidRPr="005F055E" w:rsidR="00632BAA" w:rsidP="00180EEB" w:rsidRDefault="00632BAA" w14:paraId="6340C58A" w14:textId="77777777">
            <w:pPr>
              <w:suppressAutoHyphens/>
              <w:spacing w:line="240" w:lineRule="atLeast"/>
              <w:rPr>
                <w:rFonts w:ascii="Verdana" w:hAnsi="Verdana"/>
                <w:sz w:val="18"/>
                <w:szCs w:val="20"/>
                <w:lang w:eastAsia="nl-NL"/>
              </w:rPr>
            </w:pPr>
            <w:r w:rsidRPr="005F055E">
              <w:rPr>
                <w:rFonts w:ascii="Verdana" w:hAnsi="Verdana"/>
                <w:sz w:val="18"/>
                <w:szCs w:val="20"/>
                <w:lang w:eastAsia="nl-NL"/>
              </w:rPr>
              <w:t>Verpleeg-, verzorgingshuizen en thuiszorg</w:t>
            </w:r>
          </w:p>
        </w:tc>
        <w:tc>
          <w:tcPr>
            <w:tcW w:w="4531" w:type="dxa"/>
          </w:tcPr>
          <w:p w:rsidRPr="005F055E" w:rsidR="00632BAA" w:rsidP="00180EEB" w:rsidRDefault="00632BAA" w14:paraId="46E71B98" w14:textId="77777777">
            <w:pPr>
              <w:suppressAutoHyphens/>
              <w:spacing w:line="240" w:lineRule="atLeast"/>
              <w:rPr>
                <w:rFonts w:ascii="Verdana" w:hAnsi="Verdana"/>
                <w:sz w:val="18"/>
                <w:szCs w:val="20"/>
                <w:lang w:eastAsia="nl-NL"/>
              </w:rPr>
            </w:pPr>
            <w:r w:rsidRPr="005F055E">
              <w:rPr>
                <w:rFonts w:ascii="Verdana" w:hAnsi="Verdana"/>
                <w:sz w:val="18"/>
                <w:szCs w:val="20"/>
                <w:lang w:eastAsia="nl-NL"/>
              </w:rPr>
              <w:t>548</w:t>
            </w:r>
          </w:p>
        </w:tc>
      </w:tr>
    </w:tbl>
    <w:p w:rsidRPr="005F055E" w:rsidR="00632BAA" w:rsidP="00180EEB" w:rsidRDefault="00632BAA" w14:paraId="311E778D" w14:textId="77777777">
      <w:pPr>
        <w:suppressAutoHyphens/>
        <w:spacing w:line="240" w:lineRule="atLeast"/>
        <w:rPr>
          <w:i/>
          <w:iCs/>
          <w:sz w:val="16"/>
          <w:szCs w:val="16"/>
          <w:lang w:eastAsia="nl-NL"/>
        </w:rPr>
      </w:pPr>
      <w:r w:rsidRPr="005F055E">
        <w:rPr>
          <w:i/>
          <w:iCs/>
          <w:sz w:val="16"/>
          <w:szCs w:val="16"/>
          <w:lang w:eastAsia="nl-NL"/>
        </w:rPr>
        <w:t>Bron: CBS Statline, tabel Zorginstellingen; financiën en personeel</w:t>
      </w:r>
    </w:p>
    <w:p w:rsidRPr="005F055E" w:rsidR="00912A7D" w:rsidP="00180EEB" w:rsidRDefault="00912A7D" w14:paraId="5BD1878B" w14:textId="77777777">
      <w:pPr>
        <w:suppressAutoHyphens/>
      </w:pPr>
    </w:p>
    <w:p w:rsidRPr="005F055E" w:rsidR="00912A7D" w:rsidP="00180EEB" w:rsidRDefault="003E7003" w14:paraId="79CD6D97" w14:textId="5AAD0B29">
      <w:pPr>
        <w:suppressAutoHyphens/>
      </w:pPr>
      <w:r w:rsidRPr="005F055E">
        <w:t>Vraag 153</w:t>
      </w:r>
      <w:r w:rsidRPr="005F055E">
        <w:tab/>
      </w:r>
    </w:p>
    <w:p w:rsidRPr="005F055E" w:rsidR="00912A7D" w:rsidP="00180EEB" w:rsidRDefault="003E7003" w14:paraId="5C93A6AF" w14:textId="77777777">
      <w:pPr>
        <w:suppressAutoHyphens/>
      </w:pPr>
      <w:r w:rsidRPr="005F055E">
        <w:t>Hoeveel winst werd er de afgelopen vijf jaar jaarlijks gemaakt door farmaceutische bedrijven in Nederland?</w:t>
      </w:r>
      <w:r w:rsidRPr="005F055E">
        <w:tab/>
      </w:r>
    </w:p>
    <w:p w:rsidRPr="005F055E" w:rsidR="003E7003" w:rsidP="00180EEB" w:rsidRDefault="003E7003" w14:paraId="6AF63858" w14:textId="276E75B8">
      <w:pPr>
        <w:suppressAutoHyphens/>
      </w:pPr>
      <w:r w:rsidRPr="005F055E">
        <w:t>Antwoord</w:t>
      </w:r>
    </w:p>
    <w:p w:rsidRPr="005F055E" w:rsidR="00912A7D" w:rsidP="00180EEB" w:rsidRDefault="00575A49" w14:paraId="1796D99F" w14:textId="7635FBFD">
      <w:pPr>
        <w:suppressAutoHyphens/>
        <w:spacing w:line="240" w:lineRule="atLeast"/>
        <w:rPr>
          <w:szCs w:val="18"/>
          <w:lang w:eastAsia="nl-NL"/>
        </w:rPr>
      </w:pPr>
      <w:r w:rsidRPr="005F055E">
        <w:rPr>
          <w:szCs w:val="18"/>
          <w:lang w:eastAsia="nl-NL"/>
        </w:rPr>
        <w:t>Het ministerie van VWS houdt geen overzicht bij van de winst die farmaceutische bedrijven maken. Voor beursgenoteerde bedrijven is dit openbare informatie, aangezien deze bedrijven dit rapporteren in hun jaarverslagen.</w:t>
      </w:r>
    </w:p>
    <w:p w:rsidRPr="005F055E" w:rsidR="00575B14" w:rsidP="00180EEB" w:rsidRDefault="00575B14" w14:paraId="3EA5C788" w14:textId="77777777">
      <w:pPr>
        <w:suppressAutoHyphens/>
      </w:pPr>
    </w:p>
    <w:p w:rsidRPr="005F055E" w:rsidR="00912A7D" w:rsidP="00180EEB" w:rsidRDefault="003E7003" w14:paraId="4AA5EF43" w14:textId="77777777">
      <w:pPr>
        <w:suppressAutoHyphens/>
      </w:pPr>
      <w:r w:rsidRPr="005F055E">
        <w:t>Vraag 154</w:t>
      </w:r>
      <w:r w:rsidRPr="005F055E">
        <w:tab/>
      </w:r>
    </w:p>
    <w:p w:rsidRPr="005F055E" w:rsidR="00912A7D" w:rsidP="00180EEB" w:rsidRDefault="003E7003" w14:paraId="47964A45" w14:textId="77777777">
      <w:pPr>
        <w:suppressAutoHyphens/>
      </w:pPr>
      <w:r w:rsidRPr="005F055E">
        <w:t xml:space="preserve">Hoeveel zorgaanbieders werden in 2024 overgenomen door een private </w:t>
      </w:r>
      <w:proofErr w:type="spellStart"/>
      <w:r w:rsidRPr="005F055E">
        <w:t>equity</w:t>
      </w:r>
      <w:proofErr w:type="spellEnd"/>
      <w:r w:rsidRPr="005F055E">
        <w:t xml:space="preserve"> partij?</w:t>
      </w:r>
      <w:r w:rsidRPr="005F055E">
        <w:tab/>
      </w:r>
    </w:p>
    <w:p w:rsidRPr="005F055E" w:rsidR="003E7003" w:rsidP="00180EEB" w:rsidRDefault="003E7003" w14:paraId="02DC7272" w14:textId="5AD8BB4C">
      <w:pPr>
        <w:suppressAutoHyphens/>
      </w:pPr>
      <w:r w:rsidRPr="005F055E">
        <w:t>Antwoord</w:t>
      </w:r>
    </w:p>
    <w:p w:rsidRPr="005F055E" w:rsidR="00912A7D" w:rsidP="00180EEB" w:rsidRDefault="00632BAA" w14:paraId="43D3FAA7" w14:textId="503AF283">
      <w:pPr>
        <w:suppressAutoHyphens/>
        <w:spacing w:line="240" w:lineRule="atLeast"/>
        <w:rPr>
          <w:color w:val="000000"/>
          <w:szCs w:val="20"/>
          <w:lang w:eastAsia="nl-NL"/>
        </w:rPr>
      </w:pPr>
      <w:r w:rsidRPr="005F055E">
        <w:rPr>
          <w:color w:val="000000"/>
          <w:szCs w:val="20"/>
          <w:lang w:eastAsia="nl-NL"/>
        </w:rPr>
        <w:t>De Nederlandse Zorgautoriteit (</w:t>
      </w:r>
      <w:proofErr w:type="spellStart"/>
      <w:r w:rsidRPr="005F055E">
        <w:rPr>
          <w:color w:val="000000"/>
          <w:szCs w:val="20"/>
          <w:lang w:eastAsia="nl-NL"/>
        </w:rPr>
        <w:t>NZa</w:t>
      </w:r>
      <w:proofErr w:type="spellEnd"/>
      <w:r w:rsidRPr="005F055E">
        <w:rPr>
          <w:color w:val="000000"/>
          <w:szCs w:val="20"/>
          <w:lang w:eastAsia="nl-NL"/>
        </w:rPr>
        <w:t xml:space="preserve">) heeft zicht op concentraties (fusie of overname) van zorgaanbieders waar vijftig of meer personen direct zorg leveren. Op basis van deze cijfers zijn er in 2024 van in totaal 214 goedgekeurde concentraties 99 concentraties goedgekeurd waarbij een private </w:t>
      </w:r>
      <w:proofErr w:type="spellStart"/>
      <w:r w:rsidRPr="005F055E">
        <w:rPr>
          <w:color w:val="000000"/>
          <w:szCs w:val="20"/>
          <w:lang w:eastAsia="nl-NL"/>
        </w:rPr>
        <w:t>equity</w:t>
      </w:r>
      <w:proofErr w:type="spellEnd"/>
      <w:r w:rsidRPr="005F055E">
        <w:rPr>
          <w:color w:val="000000"/>
          <w:szCs w:val="20"/>
          <w:lang w:eastAsia="nl-NL"/>
        </w:rPr>
        <w:t xml:space="preserve"> partij betrokken is of was</w:t>
      </w:r>
      <w:r w:rsidRPr="005F055E">
        <w:rPr>
          <w:color w:val="000000"/>
          <w:szCs w:val="20"/>
          <w:vertAlign w:val="superscript"/>
          <w:lang w:eastAsia="nl-NL"/>
        </w:rPr>
        <w:footnoteReference w:id="54"/>
      </w:r>
      <w:r w:rsidRPr="005F055E">
        <w:rPr>
          <w:color w:val="000000"/>
          <w:szCs w:val="20"/>
          <w:lang w:eastAsia="nl-NL"/>
        </w:rPr>
        <w:t xml:space="preserve">. De kanttekening hierbij is dat de </w:t>
      </w:r>
      <w:proofErr w:type="spellStart"/>
      <w:r w:rsidRPr="005F055E">
        <w:rPr>
          <w:color w:val="000000"/>
          <w:szCs w:val="20"/>
          <w:lang w:eastAsia="nl-NL"/>
        </w:rPr>
        <w:t>NZa</w:t>
      </w:r>
      <w:proofErr w:type="spellEnd"/>
      <w:r w:rsidRPr="005F055E">
        <w:rPr>
          <w:color w:val="000000"/>
          <w:szCs w:val="20"/>
          <w:lang w:eastAsia="nl-NL"/>
        </w:rPr>
        <w:t xml:space="preserve"> niet controleert of de voorgenomen concentratie ook daadwerkelijk plaatsvindt. Het kan dus zo zijn dat het daadwerkelijke aantal concentraties kleiner is. Daarnaast is niet uit deze cijfers te concluderen of er een toename is in het aandeel private </w:t>
      </w:r>
      <w:proofErr w:type="spellStart"/>
      <w:r w:rsidRPr="005F055E">
        <w:rPr>
          <w:color w:val="000000"/>
          <w:szCs w:val="20"/>
          <w:lang w:eastAsia="nl-NL"/>
        </w:rPr>
        <w:t>equity</w:t>
      </w:r>
      <w:proofErr w:type="spellEnd"/>
      <w:r w:rsidRPr="005F055E">
        <w:rPr>
          <w:color w:val="000000"/>
          <w:szCs w:val="20"/>
          <w:lang w:eastAsia="nl-NL"/>
        </w:rPr>
        <w:t xml:space="preserve"> in zorg, omdat er ook concentraties tussen kunnen zitten waarbij een al door private </w:t>
      </w:r>
      <w:proofErr w:type="spellStart"/>
      <w:r w:rsidRPr="005F055E">
        <w:rPr>
          <w:color w:val="000000"/>
          <w:szCs w:val="20"/>
          <w:lang w:eastAsia="nl-NL"/>
        </w:rPr>
        <w:t>equity</w:t>
      </w:r>
      <w:proofErr w:type="spellEnd"/>
      <w:r w:rsidRPr="005F055E">
        <w:rPr>
          <w:color w:val="000000"/>
          <w:szCs w:val="20"/>
          <w:lang w:eastAsia="nl-NL"/>
        </w:rPr>
        <w:t xml:space="preserve"> gefinancierde zorgaanbieder werd overgenomen door een andere private </w:t>
      </w:r>
      <w:proofErr w:type="spellStart"/>
      <w:r w:rsidRPr="005F055E">
        <w:rPr>
          <w:color w:val="000000"/>
          <w:szCs w:val="20"/>
          <w:lang w:eastAsia="nl-NL"/>
        </w:rPr>
        <w:t>equity</w:t>
      </w:r>
      <w:proofErr w:type="spellEnd"/>
      <w:r w:rsidRPr="005F055E">
        <w:rPr>
          <w:color w:val="000000"/>
          <w:szCs w:val="20"/>
          <w:lang w:eastAsia="nl-NL"/>
        </w:rPr>
        <w:t xml:space="preserve"> partij. Er is geen zicht op de hoeveelheid concentraties van zorgaanbieders waarbij minder dan vijftig personen direct zorg verlenen.</w:t>
      </w:r>
    </w:p>
    <w:p w:rsidRPr="005F055E" w:rsidR="00912A7D" w:rsidP="00180EEB" w:rsidRDefault="00912A7D" w14:paraId="5BC29250" w14:textId="77777777">
      <w:pPr>
        <w:suppressAutoHyphens/>
      </w:pPr>
    </w:p>
    <w:p w:rsidRPr="005F055E" w:rsidR="00912A7D" w:rsidP="00180EEB" w:rsidRDefault="003E7003" w14:paraId="46E8DD27" w14:textId="77777777">
      <w:pPr>
        <w:suppressAutoHyphens/>
      </w:pPr>
      <w:r w:rsidRPr="005F055E">
        <w:t>Vraag 155</w:t>
      </w:r>
      <w:r w:rsidRPr="005F055E">
        <w:tab/>
      </w:r>
    </w:p>
    <w:p w:rsidRPr="005F055E" w:rsidR="00912A7D" w:rsidP="00180EEB" w:rsidRDefault="003E7003" w14:paraId="32CC4731" w14:textId="77777777">
      <w:pPr>
        <w:suppressAutoHyphens/>
      </w:pPr>
      <w:r w:rsidRPr="005F055E">
        <w:t xml:space="preserve">Hoeveel winst werd er in 2024 gemaakt in de zorg door private </w:t>
      </w:r>
      <w:proofErr w:type="spellStart"/>
      <w:r w:rsidRPr="005F055E">
        <w:t>equity</w:t>
      </w:r>
      <w:proofErr w:type="spellEnd"/>
      <w:r w:rsidRPr="005F055E">
        <w:t xml:space="preserve"> partijen?</w:t>
      </w:r>
      <w:r w:rsidRPr="005F055E">
        <w:tab/>
      </w:r>
    </w:p>
    <w:p w:rsidRPr="005F055E" w:rsidR="003E7003" w:rsidP="00180EEB" w:rsidRDefault="003E7003" w14:paraId="5E1F373C" w14:textId="6E78FE9A">
      <w:pPr>
        <w:suppressAutoHyphens/>
      </w:pPr>
      <w:r w:rsidRPr="005F055E">
        <w:t>Antwoord</w:t>
      </w:r>
    </w:p>
    <w:p w:rsidRPr="005F055E" w:rsidR="00632BAA" w:rsidP="00180EEB" w:rsidRDefault="00632BAA" w14:paraId="695FFD9B" w14:textId="4C1FE717">
      <w:pPr>
        <w:suppressAutoHyphens/>
        <w:spacing w:line="240" w:lineRule="atLeast"/>
        <w:rPr>
          <w:szCs w:val="20"/>
          <w:lang w:eastAsia="nl-NL"/>
        </w:rPr>
      </w:pPr>
      <w:r w:rsidRPr="005F055E">
        <w:rPr>
          <w:szCs w:val="20"/>
          <w:lang w:eastAsia="nl-NL"/>
        </w:rPr>
        <w:t xml:space="preserve">Het ministerie van VWS beschikt niet over de precieze informatie die u vraagt. Onderstaande tabel geeft een overzicht van het bedrijfsresultaat (de bedrijfsopbrengsten minus de bedrijfslasten, exclusief saldo van financiële en buitengewone baten en lasten) van instellingen met minimaal tien werknemers in de verschillende zorgsectoren in 2023. Op dit moment zijn de cijfers nog niet bekend over 2024 (CBS, Statline). Het ministerie beschikt niet over informatie om dit uit te splitsen naar het gevraagde aandeel van zorgaanbieders met betrokkenheid van private </w:t>
      </w:r>
      <w:proofErr w:type="spellStart"/>
      <w:r w:rsidRPr="005F055E">
        <w:rPr>
          <w:szCs w:val="20"/>
          <w:lang w:eastAsia="nl-NL"/>
        </w:rPr>
        <w:t>equity</w:t>
      </w:r>
      <w:proofErr w:type="spellEnd"/>
      <w:r w:rsidRPr="005F055E">
        <w:rPr>
          <w:szCs w:val="20"/>
          <w:lang w:eastAsia="nl-NL"/>
        </w:rPr>
        <w:t xml:space="preserve"> partijen. </w:t>
      </w:r>
    </w:p>
    <w:tbl>
      <w:tblPr>
        <w:tblStyle w:val="TableNormal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820"/>
        <w:gridCol w:w="1296"/>
      </w:tblGrid>
      <w:tr w:rsidRPr="005F055E" w:rsidR="00632BAA" w:rsidTr="005E2643" w14:paraId="7BF4BBE4" w14:textId="77777777">
        <w:trPr>
          <w:trHeight w:val="479"/>
        </w:trPr>
        <w:tc>
          <w:tcPr>
            <w:tcW w:w="2820" w:type="dxa"/>
            <w:tcBorders>
              <w:top w:val="single" w:color="000000" w:sz="4" w:space="0"/>
              <w:left w:val="single" w:color="000000" w:sz="4" w:space="0"/>
              <w:bottom w:val="single" w:color="000000" w:sz="4" w:space="0"/>
              <w:right w:val="single" w:color="000000" w:sz="4" w:space="0"/>
            </w:tcBorders>
            <w:hideMark/>
          </w:tcPr>
          <w:p w:rsidRPr="005F055E" w:rsidR="00632BAA" w:rsidP="00180EEB" w:rsidRDefault="00632BAA" w14:paraId="229112F4" w14:textId="77777777">
            <w:pPr>
              <w:suppressAutoHyphens/>
              <w:spacing w:line="240" w:lineRule="exact"/>
              <w:ind w:left="107" w:right="231"/>
              <w:rPr>
                <w:rFonts w:ascii="Verdana" w:hAnsi="Verdana" w:eastAsia="Verdana" w:cs="Verdana"/>
                <w:b/>
                <w:bCs/>
                <w:sz w:val="18"/>
              </w:rPr>
            </w:pPr>
            <w:r w:rsidRPr="005F055E">
              <w:rPr>
                <w:rFonts w:ascii="Verdana" w:hAnsi="Verdana" w:eastAsia="Verdana" w:cs="Verdana"/>
                <w:b/>
                <w:bCs/>
                <w:sz w:val="18"/>
              </w:rPr>
              <w:t>Bedrijfsresultaat</w:t>
            </w:r>
            <w:r w:rsidRPr="005F055E">
              <w:rPr>
                <w:rFonts w:ascii="Verdana" w:hAnsi="Verdana" w:eastAsia="Verdana" w:cs="Verdana"/>
                <w:b/>
                <w:bCs/>
                <w:spacing w:val="-16"/>
                <w:sz w:val="18"/>
              </w:rPr>
              <w:t xml:space="preserve"> </w:t>
            </w:r>
            <w:r w:rsidRPr="005F055E">
              <w:rPr>
                <w:rFonts w:ascii="Verdana" w:hAnsi="Verdana" w:eastAsia="Verdana" w:cs="Verdana"/>
                <w:b/>
                <w:bCs/>
                <w:sz w:val="18"/>
              </w:rPr>
              <w:t>per</w:t>
            </w:r>
            <w:r w:rsidRPr="005F055E">
              <w:rPr>
                <w:rFonts w:ascii="Verdana" w:hAnsi="Verdana" w:eastAsia="Verdana" w:cs="Verdana"/>
                <w:b/>
                <w:bCs/>
                <w:spacing w:val="-16"/>
                <w:sz w:val="18"/>
              </w:rPr>
              <w:t xml:space="preserve"> </w:t>
            </w:r>
            <w:r w:rsidRPr="005F055E">
              <w:rPr>
                <w:rFonts w:ascii="Verdana" w:hAnsi="Verdana" w:eastAsia="Verdana" w:cs="Verdana"/>
                <w:b/>
                <w:bCs/>
                <w:sz w:val="18"/>
              </w:rPr>
              <w:t>sector (x € 1 miljoen)</w:t>
            </w:r>
          </w:p>
        </w:tc>
        <w:tc>
          <w:tcPr>
            <w:tcW w:w="1296" w:type="dxa"/>
            <w:tcBorders>
              <w:top w:val="single" w:color="000000" w:sz="4" w:space="0"/>
              <w:left w:val="single" w:color="000000" w:sz="4" w:space="0"/>
              <w:bottom w:val="single" w:color="000000" w:sz="4" w:space="0"/>
              <w:right w:val="single" w:color="000000" w:sz="4" w:space="0"/>
            </w:tcBorders>
            <w:hideMark/>
          </w:tcPr>
          <w:p w:rsidRPr="005F055E" w:rsidR="00632BAA" w:rsidP="00180EEB" w:rsidRDefault="00632BAA" w14:paraId="3290E6D8" w14:textId="77777777">
            <w:pPr>
              <w:suppressAutoHyphens/>
              <w:spacing w:before="41"/>
              <w:rPr>
                <w:rFonts w:ascii="Verdana" w:hAnsi="Verdana" w:eastAsia="Verdana" w:cs="Verdana"/>
                <w:b/>
                <w:bCs/>
                <w:sz w:val="18"/>
              </w:rPr>
            </w:pPr>
            <w:r w:rsidRPr="005F055E">
              <w:rPr>
                <w:rFonts w:ascii="Verdana" w:hAnsi="Verdana" w:eastAsia="Verdana" w:cs="Verdana"/>
                <w:b/>
                <w:bCs/>
                <w:sz w:val="18"/>
              </w:rPr>
              <w:t>2023*</w:t>
            </w:r>
          </w:p>
        </w:tc>
      </w:tr>
      <w:tr w:rsidRPr="005F055E" w:rsidR="00632BAA" w:rsidTr="005E2643" w14:paraId="599326E7" w14:textId="77777777">
        <w:trPr>
          <w:trHeight w:val="239"/>
        </w:trPr>
        <w:tc>
          <w:tcPr>
            <w:tcW w:w="2820" w:type="dxa"/>
            <w:tcBorders>
              <w:top w:val="single" w:color="000000" w:sz="4" w:space="0"/>
              <w:left w:val="single" w:color="000000" w:sz="4" w:space="0"/>
              <w:bottom w:val="single" w:color="000000" w:sz="4" w:space="0"/>
              <w:right w:val="single" w:color="000000" w:sz="4" w:space="0"/>
            </w:tcBorders>
            <w:hideMark/>
          </w:tcPr>
          <w:p w:rsidRPr="005F055E" w:rsidR="00632BAA" w:rsidP="00180EEB" w:rsidRDefault="00632BAA" w14:paraId="76D90858" w14:textId="77777777">
            <w:pPr>
              <w:suppressAutoHyphens/>
              <w:spacing w:before="20" w:line="199" w:lineRule="exact"/>
              <w:ind w:left="107"/>
              <w:rPr>
                <w:rFonts w:ascii="Verdana" w:hAnsi="Verdana" w:eastAsia="Verdana" w:cs="Verdana"/>
                <w:sz w:val="18"/>
              </w:rPr>
            </w:pPr>
            <w:r w:rsidRPr="005F055E">
              <w:rPr>
                <w:rFonts w:ascii="Verdana" w:hAnsi="Verdana" w:eastAsia="Verdana" w:cs="Verdana"/>
                <w:sz w:val="18"/>
              </w:rPr>
              <w:t>Universitair</w:t>
            </w:r>
            <w:r w:rsidRPr="005F055E">
              <w:rPr>
                <w:rFonts w:ascii="Verdana" w:hAnsi="Verdana" w:eastAsia="Verdana" w:cs="Verdana"/>
                <w:spacing w:val="-3"/>
                <w:sz w:val="18"/>
              </w:rPr>
              <w:t xml:space="preserve"> </w:t>
            </w:r>
            <w:r w:rsidRPr="005F055E">
              <w:rPr>
                <w:rFonts w:ascii="Verdana" w:hAnsi="Verdana" w:eastAsia="Verdana" w:cs="Verdana"/>
                <w:sz w:val="18"/>
              </w:rPr>
              <w:t>medische</w:t>
            </w:r>
            <w:r w:rsidRPr="005F055E">
              <w:rPr>
                <w:rFonts w:ascii="Verdana" w:hAnsi="Verdana" w:eastAsia="Verdana" w:cs="Verdana"/>
                <w:spacing w:val="-3"/>
                <w:sz w:val="18"/>
              </w:rPr>
              <w:t xml:space="preserve"> </w:t>
            </w:r>
            <w:r w:rsidRPr="005F055E">
              <w:rPr>
                <w:rFonts w:ascii="Verdana" w:hAnsi="Verdana" w:eastAsia="Verdana" w:cs="Verdana"/>
                <w:spacing w:val="-2"/>
                <w:sz w:val="18"/>
              </w:rPr>
              <w:t>centra</w:t>
            </w:r>
          </w:p>
        </w:tc>
        <w:tc>
          <w:tcPr>
            <w:tcW w:w="1296" w:type="dxa"/>
            <w:tcBorders>
              <w:top w:val="single" w:color="000000" w:sz="4" w:space="0"/>
              <w:left w:val="single" w:color="000000" w:sz="4" w:space="0"/>
              <w:bottom w:val="single" w:color="000000" w:sz="4" w:space="0"/>
              <w:right w:val="single" w:color="000000" w:sz="4" w:space="0"/>
            </w:tcBorders>
            <w:hideMark/>
          </w:tcPr>
          <w:p w:rsidRPr="005F055E" w:rsidR="00632BAA" w:rsidP="00180EEB" w:rsidRDefault="00632BAA" w14:paraId="7F22152C" w14:textId="77777777">
            <w:pPr>
              <w:suppressAutoHyphens/>
              <w:spacing w:before="20" w:line="199" w:lineRule="exact"/>
              <w:ind w:left="6" w:right="2"/>
              <w:rPr>
                <w:rFonts w:ascii="Verdana" w:hAnsi="Verdana" w:eastAsia="Verdana" w:cs="Verdana"/>
                <w:spacing w:val="-5"/>
                <w:sz w:val="18"/>
              </w:rPr>
            </w:pPr>
            <w:r w:rsidRPr="005F055E">
              <w:rPr>
                <w:rFonts w:ascii="Verdana" w:hAnsi="Verdana" w:eastAsia="Verdana" w:cs="Verdana"/>
                <w:spacing w:val="-5"/>
                <w:sz w:val="18"/>
              </w:rPr>
              <w:t>293</w:t>
            </w:r>
          </w:p>
        </w:tc>
      </w:tr>
      <w:tr w:rsidRPr="005F055E" w:rsidR="00632BAA" w:rsidTr="005E2643" w14:paraId="46D4D21A" w14:textId="77777777">
        <w:trPr>
          <w:trHeight w:val="239"/>
        </w:trPr>
        <w:tc>
          <w:tcPr>
            <w:tcW w:w="2820" w:type="dxa"/>
            <w:tcBorders>
              <w:top w:val="single" w:color="000000" w:sz="4" w:space="0"/>
              <w:left w:val="single" w:color="000000" w:sz="4" w:space="0"/>
              <w:bottom w:val="single" w:color="000000" w:sz="4" w:space="0"/>
              <w:right w:val="single" w:color="000000" w:sz="4" w:space="0"/>
            </w:tcBorders>
            <w:hideMark/>
          </w:tcPr>
          <w:p w:rsidRPr="005F055E" w:rsidR="00632BAA" w:rsidP="00180EEB" w:rsidRDefault="00632BAA" w14:paraId="7D4857BD" w14:textId="77777777">
            <w:pPr>
              <w:suppressAutoHyphens/>
              <w:spacing w:before="20" w:line="199" w:lineRule="exact"/>
              <w:ind w:left="107"/>
              <w:rPr>
                <w:rFonts w:ascii="Verdana" w:hAnsi="Verdana" w:eastAsia="Verdana" w:cs="Verdana"/>
                <w:sz w:val="18"/>
              </w:rPr>
            </w:pPr>
            <w:r w:rsidRPr="005F055E">
              <w:rPr>
                <w:rFonts w:ascii="Verdana" w:hAnsi="Verdana" w:eastAsia="Verdana" w:cs="Verdana"/>
                <w:sz w:val="18"/>
              </w:rPr>
              <w:t>Algemene</w:t>
            </w:r>
            <w:r w:rsidRPr="005F055E">
              <w:rPr>
                <w:rFonts w:ascii="Verdana" w:hAnsi="Verdana" w:eastAsia="Verdana" w:cs="Verdana"/>
                <w:spacing w:val="-2"/>
                <w:sz w:val="18"/>
              </w:rPr>
              <w:t xml:space="preserve"> ziekenhuizen</w:t>
            </w:r>
          </w:p>
        </w:tc>
        <w:tc>
          <w:tcPr>
            <w:tcW w:w="1296" w:type="dxa"/>
            <w:tcBorders>
              <w:top w:val="single" w:color="000000" w:sz="4" w:space="0"/>
              <w:left w:val="single" w:color="000000" w:sz="4" w:space="0"/>
              <w:bottom w:val="single" w:color="000000" w:sz="4" w:space="0"/>
              <w:right w:val="single" w:color="000000" w:sz="4" w:space="0"/>
            </w:tcBorders>
            <w:hideMark/>
          </w:tcPr>
          <w:p w:rsidRPr="005F055E" w:rsidR="00632BAA" w:rsidP="00180EEB" w:rsidRDefault="00632BAA" w14:paraId="5B5AD61C" w14:textId="77777777">
            <w:pPr>
              <w:suppressAutoHyphens/>
              <w:spacing w:before="20" w:line="199" w:lineRule="exact"/>
              <w:ind w:left="6" w:right="2"/>
              <w:rPr>
                <w:rFonts w:ascii="Verdana" w:hAnsi="Verdana" w:eastAsia="Verdana" w:cs="Verdana"/>
                <w:spacing w:val="-5"/>
                <w:sz w:val="18"/>
              </w:rPr>
            </w:pPr>
            <w:r w:rsidRPr="005F055E">
              <w:rPr>
                <w:rFonts w:ascii="Verdana" w:hAnsi="Verdana" w:eastAsia="Verdana" w:cs="Verdana"/>
                <w:spacing w:val="-5"/>
                <w:sz w:val="18"/>
              </w:rPr>
              <w:t>408</w:t>
            </w:r>
          </w:p>
        </w:tc>
      </w:tr>
      <w:tr w:rsidRPr="005F055E" w:rsidR="00632BAA" w:rsidTr="005E2643" w14:paraId="7ED25BA1" w14:textId="77777777">
        <w:trPr>
          <w:trHeight w:val="239"/>
        </w:trPr>
        <w:tc>
          <w:tcPr>
            <w:tcW w:w="2820" w:type="dxa"/>
            <w:tcBorders>
              <w:top w:val="single" w:color="000000" w:sz="4" w:space="0"/>
              <w:left w:val="single" w:color="000000" w:sz="4" w:space="0"/>
              <w:bottom w:val="single" w:color="000000" w:sz="4" w:space="0"/>
              <w:right w:val="single" w:color="000000" w:sz="4" w:space="0"/>
            </w:tcBorders>
            <w:hideMark/>
          </w:tcPr>
          <w:p w:rsidRPr="005F055E" w:rsidR="00632BAA" w:rsidP="00180EEB" w:rsidRDefault="00632BAA" w14:paraId="6D8D18CB" w14:textId="77777777">
            <w:pPr>
              <w:suppressAutoHyphens/>
              <w:spacing w:before="20" w:line="199" w:lineRule="exact"/>
              <w:ind w:left="107"/>
              <w:rPr>
                <w:rFonts w:ascii="Verdana" w:hAnsi="Verdana" w:eastAsia="Verdana" w:cs="Verdana"/>
                <w:sz w:val="18"/>
              </w:rPr>
            </w:pPr>
            <w:r w:rsidRPr="005F055E">
              <w:rPr>
                <w:rFonts w:ascii="Verdana" w:hAnsi="Verdana" w:eastAsia="Verdana" w:cs="Verdana"/>
                <w:sz w:val="18"/>
              </w:rPr>
              <w:t>Categorale</w:t>
            </w:r>
            <w:r w:rsidRPr="005F055E">
              <w:rPr>
                <w:rFonts w:ascii="Verdana" w:hAnsi="Verdana" w:eastAsia="Verdana" w:cs="Verdana"/>
                <w:spacing w:val="-5"/>
                <w:sz w:val="18"/>
              </w:rPr>
              <w:t xml:space="preserve"> </w:t>
            </w:r>
            <w:r w:rsidRPr="005F055E">
              <w:rPr>
                <w:rFonts w:ascii="Verdana" w:hAnsi="Verdana" w:eastAsia="Verdana" w:cs="Verdana"/>
                <w:spacing w:val="-2"/>
                <w:sz w:val="18"/>
              </w:rPr>
              <w:t>ziekenhuizen</w:t>
            </w:r>
          </w:p>
        </w:tc>
        <w:tc>
          <w:tcPr>
            <w:tcW w:w="1296" w:type="dxa"/>
            <w:tcBorders>
              <w:top w:val="single" w:color="000000" w:sz="4" w:space="0"/>
              <w:left w:val="single" w:color="000000" w:sz="4" w:space="0"/>
              <w:bottom w:val="single" w:color="000000" w:sz="4" w:space="0"/>
              <w:right w:val="single" w:color="000000" w:sz="4" w:space="0"/>
            </w:tcBorders>
            <w:hideMark/>
          </w:tcPr>
          <w:p w:rsidRPr="005F055E" w:rsidR="00632BAA" w:rsidP="00180EEB" w:rsidRDefault="00632BAA" w14:paraId="58FD0C6B" w14:textId="77777777">
            <w:pPr>
              <w:suppressAutoHyphens/>
              <w:spacing w:before="20" w:line="199" w:lineRule="exact"/>
              <w:ind w:left="6" w:right="2"/>
              <w:rPr>
                <w:rFonts w:ascii="Verdana" w:hAnsi="Verdana" w:eastAsia="Verdana" w:cs="Verdana"/>
                <w:spacing w:val="-5"/>
                <w:sz w:val="18"/>
              </w:rPr>
            </w:pPr>
            <w:r w:rsidRPr="005F055E">
              <w:rPr>
                <w:rFonts w:ascii="Verdana" w:hAnsi="Verdana" w:eastAsia="Verdana" w:cs="Verdana"/>
                <w:spacing w:val="-5"/>
                <w:sz w:val="18"/>
              </w:rPr>
              <w:t>28</w:t>
            </w:r>
          </w:p>
        </w:tc>
      </w:tr>
      <w:tr w:rsidRPr="005F055E" w:rsidR="00632BAA" w:rsidTr="005E2643" w14:paraId="4259936C" w14:textId="77777777">
        <w:trPr>
          <w:trHeight w:val="242"/>
        </w:trPr>
        <w:tc>
          <w:tcPr>
            <w:tcW w:w="2820" w:type="dxa"/>
            <w:tcBorders>
              <w:top w:val="single" w:color="000000" w:sz="4" w:space="0"/>
              <w:left w:val="single" w:color="000000" w:sz="4" w:space="0"/>
              <w:bottom w:val="single" w:color="000000" w:sz="4" w:space="0"/>
              <w:right w:val="single" w:color="000000" w:sz="4" w:space="0"/>
            </w:tcBorders>
            <w:hideMark/>
          </w:tcPr>
          <w:p w:rsidRPr="005F055E" w:rsidR="00632BAA" w:rsidP="00180EEB" w:rsidRDefault="00D55762" w14:paraId="67122BDE" w14:textId="1FFEFED9">
            <w:pPr>
              <w:suppressAutoHyphens/>
              <w:spacing w:before="23" w:line="199" w:lineRule="exact"/>
              <w:ind w:left="107"/>
              <w:rPr>
                <w:rFonts w:ascii="Verdana" w:hAnsi="Verdana" w:eastAsia="Verdana" w:cs="Verdana"/>
                <w:sz w:val="18"/>
              </w:rPr>
            </w:pPr>
            <w:r>
              <w:rPr>
                <w:rFonts w:ascii="Verdana" w:hAnsi="Verdana" w:eastAsia="Verdana" w:cs="Verdana"/>
                <w:sz w:val="18"/>
              </w:rPr>
              <w:t>GGZ</w:t>
            </w:r>
            <w:r w:rsidRPr="005F055E" w:rsidR="00632BAA">
              <w:rPr>
                <w:rFonts w:ascii="Verdana" w:hAnsi="Verdana" w:eastAsia="Verdana" w:cs="Verdana"/>
                <w:spacing w:val="-3"/>
                <w:sz w:val="18"/>
              </w:rPr>
              <w:t xml:space="preserve"> </w:t>
            </w:r>
            <w:r w:rsidRPr="005F055E" w:rsidR="00632BAA">
              <w:rPr>
                <w:rFonts w:ascii="Verdana" w:hAnsi="Verdana" w:eastAsia="Verdana" w:cs="Verdana"/>
                <w:sz w:val="18"/>
              </w:rPr>
              <w:t>met</w:t>
            </w:r>
            <w:r w:rsidRPr="005F055E" w:rsidR="00632BAA">
              <w:rPr>
                <w:rFonts w:ascii="Verdana" w:hAnsi="Verdana" w:eastAsia="Verdana" w:cs="Verdana"/>
                <w:spacing w:val="-1"/>
                <w:sz w:val="18"/>
              </w:rPr>
              <w:t xml:space="preserve"> </w:t>
            </w:r>
            <w:r w:rsidRPr="005F055E" w:rsidR="00632BAA">
              <w:rPr>
                <w:rFonts w:ascii="Verdana" w:hAnsi="Verdana" w:eastAsia="Verdana" w:cs="Verdana"/>
                <w:spacing w:val="-2"/>
                <w:sz w:val="18"/>
              </w:rPr>
              <w:t>overnachting</w:t>
            </w:r>
          </w:p>
        </w:tc>
        <w:tc>
          <w:tcPr>
            <w:tcW w:w="1296" w:type="dxa"/>
            <w:tcBorders>
              <w:top w:val="single" w:color="000000" w:sz="4" w:space="0"/>
              <w:left w:val="single" w:color="000000" w:sz="4" w:space="0"/>
              <w:bottom w:val="single" w:color="000000" w:sz="4" w:space="0"/>
              <w:right w:val="single" w:color="000000" w:sz="4" w:space="0"/>
            </w:tcBorders>
            <w:hideMark/>
          </w:tcPr>
          <w:p w:rsidRPr="005F055E" w:rsidR="00632BAA" w:rsidP="00180EEB" w:rsidRDefault="00632BAA" w14:paraId="3F29D192" w14:textId="77777777">
            <w:pPr>
              <w:suppressAutoHyphens/>
              <w:spacing w:before="23" w:line="199" w:lineRule="exact"/>
              <w:ind w:left="6" w:right="2"/>
              <w:rPr>
                <w:rFonts w:ascii="Verdana" w:hAnsi="Verdana" w:eastAsia="Verdana" w:cs="Verdana"/>
                <w:spacing w:val="-5"/>
                <w:sz w:val="18"/>
              </w:rPr>
            </w:pPr>
            <w:r w:rsidRPr="005F055E">
              <w:rPr>
                <w:rFonts w:ascii="Verdana" w:hAnsi="Verdana" w:eastAsia="Verdana" w:cs="Verdana"/>
                <w:spacing w:val="-5"/>
                <w:sz w:val="18"/>
              </w:rPr>
              <w:t>156</w:t>
            </w:r>
          </w:p>
        </w:tc>
      </w:tr>
      <w:tr w:rsidRPr="005F055E" w:rsidR="00632BAA" w:rsidTr="005E2643" w14:paraId="1326C3A5" w14:textId="77777777">
        <w:trPr>
          <w:trHeight w:val="239"/>
        </w:trPr>
        <w:tc>
          <w:tcPr>
            <w:tcW w:w="2820" w:type="dxa"/>
            <w:tcBorders>
              <w:top w:val="single" w:color="000000" w:sz="4" w:space="0"/>
              <w:left w:val="single" w:color="000000" w:sz="4" w:space="0"/>
              <w:bottom w:val="single" w:color="000000" w:sz="4" w:space="0"/>
              <w:right w:val="single" w:color="000000" w:sz="4" w:space="0"/>
            </w:tcBorders>
            <w:hideMark/>
          </w:tcPr>
          <w:p w:rsidRPr="005F055E" w:rsidR="00632BAA" w:rsidP="00180EEB" w:rsidRDefault="00632BAA" w14:paraId="017977B8" w14:textId="77777777">
            <w:pPr>
              <w:suppressAutoHyphens/>
              <w:spacing w:before="20" w:line="199" w:lineRule="exact"/>
              <w:ind w:left="107"/>
              <w:rPr>
                <w:rFonts w:ascii="Verdana" w:hAnsi="Verdana" w:eastAsia="Verdana" w:cs="Verdana"/>
                <w:sz w:val="18"/>
              </w:rPr>
            </w:pPr>
            <w:r w:rsidRPr="005F055E">
              <w:rPr>
                <w:rFonts w:ascii="Verdana" w:hAnsi="Verdana" w:eastAsia="Verdana" w:cs="Verdana"/>
                <w:spacing w:val="-2"/>
                <w:sz w:val="18"/>
              </w:rPr>
              <w:t>Gehandicaptenzorg</w:t>
            </w:r>
          </w:p>
        </w:tc>
        <w:tc>
          <w:tcPr>
            <w:tcW w:w="1296" w:type="dxa"/>
            <w:tcBorders>
              <w:top w:val="single" w:color="000000" w:sz="4" w:space="0"/>
              <w:left w:val="single" w:color="000000" w:sz="4" w:space="0"/>
              <w:bottom w:val="single" w:color="000000" w:sz="4" w:space="0"/>
              <w:right w:val="single" w:color="000000" w:sz="4" w:space="0"/>
            </w:tcBorders>
            <w:hideMark/>
          </w:tcPr>
          <w:p w:rsidRPr="005F055E" w:rsidR="00632BAA" w:rsidP="00180EEB" w:rsidRDefault="00632BAA" w14:paraId="2BF28D62" w14:textId="77777777">
            <w:pPr>
              <w:suppressAutoHyphens/>
              <w:spacing w:before="20" w:line="199" w:lineRule="exact"/>
              <w:ind w:left="6" w:right="2"/>
              <w:rPr>
                <w:rFonts w:ascii="Verdana" w:hAnsi="Verdana" w:eastAsia="Verdana" w:cs="Verdana"/>
                <w:spacing w:val="-5"/>
                <w:sz w:val="18"/>
              </w:rPr>
            </w:pPr>
            <w:r w:rsidRPr="005F055E">
              <w:rPr>
                <w:rFonts w:ascii="Verdana" w:hAnsi="Verdana" w:eastAsia="Verdana" w:cs="Verdana"/>
                <w:spacing w:val="-5"/>
                <w:sz w:val="18"/>
              </w:rPr>
              <w:t>159</w:t>
            </w:r>
          </w:p>
        </w:tc>
      </w:tr>
      <w:tr w:rsidRPr="005F055E" w:rsidR="00632BAA" w:rsidTr="005E2643" w14:paraId="60F7D14E" w14:textId="77777777">
        <w:trPr>
          <w:trHeight w:val="239"/>
        </w:trPr>
        <w:tc>
          <w:tcPr>
            <w:tcW w:w="2820" w:type="dxa"/>
            <w:tcBorders>
              <w:top w:val="single" w:color="000000" w:sz="4" w:space="0"/>
              <w:left w:val="single" w:color="000000" w:sz="4" w:space="0"/>
              <w:bottom w:val="single" w:color="000000" w:sz="4" w:space="0"/>
              <w:right w:val="single" w:color="000000" w:sz="4" w:space="0"/>
            </w:tcBorders>
            <w:hideMark/>
          </w:tcPr>
          <w:p w:rsidRPr="005F055E" w:rsidR="00632BAA" w:rsidP="00180EEB" w:rsidRDefault="00632BAA" w14:paraId="512C4427" w14:textId="77777777">
            <w:pPr>
              <w:suppressAutoHyphens/>
              <w:spacing w:before="20" w:line="199" w:lineRule="exact"/>
              <w:ind w:left="107"/>
              <w:rPr>
                <w:rFonts w:ascii="Verdana" w:hAnsi="Verdana" w:eastAsia="Verdana" w:cs="Verdana"/>
                <w:sz w:val="18"/>
              </w:rPr>
            </w:pPr>
            <w:r w:rsidRPr="005F055E">
              <w:rPr>
                <w:rFonts w:ascii="Verdana" w:hAnsi="Verdana" w:eastAsia="Verdana" w:cs="Verdana"/>
                <w:sz w:val="18"/>
              </w:rPr>
              <w:t>Jeugdzorg</w:t>
            </w:r>
            <w:r w:rsidRPr="005F055E">
              <w:rPr>
                <w:rFonts w:ascii="Verdana" w:hAnsi="Verdana" w:eastAsia="Verdana" w:cs="Verdana"/>
                <w:spacing w:val="-3"/>
                <w:sz w:val="18"/>
              </w:rPr>
              <w:t xml:space="preserve"> </w:t>
            </w:r>
            <w:r w:rsidRPr="005F055E">
              <w:rPr>
                <w:rFonts w:ascii="Verdana" w:hAnsi="Verdana" w:eastAsia="Verdana" w:cs="Verdana"/>
                <w:sz w:val="18"/>
              </w:rPr>
              <w:t>met</w:t>
            </w:r>
            <w:r w:rsidRPr="005F055E">
              <w:rPr>
                <w:rFonts w:ascii="Verdana" w:hAnsi="Verdana" w:eastAsia="Verdana" w:cs="Verdana"/>
                <w:spacing w:val="-1"/>
                <w:sz w:val="18"/>
              </w:rPr>
              <w:t xml:space="preserve"> </w:t>
            </w:r>
            <w:r w:rsidRPr="005F055E">
              <w:rPr>
                <w:rFonts w:ascii="Verdana" w:hAnsi="Verdana" w:eastAsia="Verdana" w:cs="Verdana"/>
                <w:spacing w:val="-2"/>
                <w:sz w:val="18"/>
              </w:rPr>
              <w:t>overnachting</w:t>
            </w:r>
          </w:p>
        </w:tc>
        <w:tc>
          <w:tcPr>
            <w:tcW w:w="1296" w:type="dxa"/>
            <w:tcBorders>
              <w:top w:val="single" w:color="000000" w:sz="4" w:space="0"/>
              <w:left w:val="single" w:color="000000" w:sz="4" w:space="0"/>
              <w:bottom w:val="single" w:color="000000" w:sz="4" w:space="0"/>
              <w:right w:val="single" w:color="000000" w:sz="4" w:space="0"/>
            </w:tcBorders>
            <w:hideMark/>
          </w:tcPr>
          <w:p w:rsidRPr="005F055E" w:rsidR="00632BAA" w:rsidP="00180EEB" w:rsidRDefault="00632BAA" w14:paraId="2A3F7EFF" w14:textId="77777777">
            <w:pPr>
              <w:suppressAutoHyphens/>
              <w:spacing w:before="20" w:line="199" w:lineRule="exact"/>
              <w:ind w:left="6" w:right="2"/>
              <w:rPr>
                <w:rFonts w:ascii="Verdana" w:hAnsi="Verdana" w:eastAsia="Verdana" w:cs="Verdana"/>
                <w:spacing w:val="-2"/>
                <w:sz w:val="18"/>
              </w:rPr>
            </w:pPr>
            <w:r w:rsidRPr="005F055E">
              <w:rPr>
                <w:rFonts w:ascii="Verdana" w:hAnsi="Verdana" w:eastAsia="Verdana" w:cs="Verdana"/>
                <w:spacing w:val="-2"/>
                <w:sz w:val="18"/>
              </w:rPr>
              <w:t>25</w:t>
            </w:r>
          </w:p>
        </w:tc>
      </w:tr>
      <w:tr w:rsidRPr="005F055E" w:rsidR="00632BAA" w:rsidTr="005E2643" w14:paraId="75901DFD" w14:textId="77777777">
        <w:trPr>
          <w:trHeight w:val="479"/>
        </w:trPr>
        <w:tc>
          <w:tcPr>
            <w:tcW w:w="2820" w:type="dxa"/>
            <w:tcBorders>
              <w:top w:val="single" w:color="000000" w:sz="4" w:space="0"/>
              <w:left w:val="single" w:color="000000" w:sz="4" w:space="0"/>
              <w:bottom w:val="single" w:color="000000" w:sz="4" w:space="0"/>
              <w:right w:val="single" w:color="000000" w:sz="4" w:space="0"/>
            </w:tcBorders>
            <w:hideMark/>
          </w:tcPr>
          <w:p w:rsidRPr="005F055E" w:rsidR="00632BAA" w:rsidP="00180EEB" w:rsidRDefault="00632BAA" w14:paraId="1E2580EB" w14:textId="77777777">
            <w:pPr>
              <w:suppressAutoHyphens/>
              <w:spacing w:line="240" w:lineRule="exact"/>
              <w:ind w:left="107" w:right="418"/>
              <w:rPr>
                <w:rFonts w:ascii="Verdana" w:hAnsi="Verdana" w:eastAsia="Verdana" w:cs="Verdana"/>
                <w:sz w:val="18"/>
              </w:rPr>
            </w:pPr>
            <w:r w:rsidRPr="005F055E">
              <w:rPr>
                <w:rFonts w:ascii="Verdana" w:hAnsi="Verdana" w:eastAsia="Verdana" w:cs="Verdana"/>
                <w:sz w:val="18"/>
              </w:rPr>
              <w:t>Maatschappelijke</w:t>
            </w:r>
            <w:r w:rsidRPr="005F055E">
              <w:rPr>
                <w:rFonts w:ascii="Verdana" w:hAnsi="Verdana" w:eastAsia="Verdana" w:cs="Verdana"/>
                <w:spacing w:val="-16"/>
                <w:sz w:val="18"/>
              </w:rPr>
              <w:t xml:space="preserve"> </w:t>
            </w:r>
            <w:r w:rsidRPr="005F055E">
              <w:rPr>
                <w:rFonts w:ascii="Verdana" w:hAnsi="Verdana" w:eastAsia="Verdana" w:cs="Verdana"/>
                <w:sz w:val="18"/>
              </w:rPr>
              <w:t xml:space="preserve">opvang </w:t>
            </w:r>
            <w:r w:rsidRPr="005F055E">
              <w:rPr>
                <w:rFonts w:ascii="Verdana" w:hAnsi="Verdana" w:eastAsia="Verdana" w:cs="Verdana"/>
                <w:spacing w:val="-2"/>
                <w:sz w:val="18"/>
              </w:rPr>
              <w:t>(24-uurs)</w:t>
            </w:r>
          </w:p>
        </w:tc>
        <w:tc>
          <w:tcPr>
            <w:tcW w:w="1296" w:type="dxa"/>
            <w:tcBorders>
              <w:top w:val="single" w:color="000000" w:sz="4" w:space="0"/>
              <w:left w:val="single" w:color="000000" w:sz="4" w:space="0"/>
              <w:bottom w:val="single" w:color="000000" w:sz="4" w:space="0"/>
              <w:right w:val="single" w:color="000000" w:sz="4" w:space="0"/>
            </w:tcBorders>
            <w:hideMark/>
          </w:tcPr>
          <w:p w:rsidRPr="005F055E" w:rsidR="00632BAA" w:rsidP="00180EEB" w:rsidRDefault="00632BAA" w14:paraId="1FCF7A36" w14:textId="77777777">
            <w:pPr>
              <w:suppressAutoHyphens/>
              <w:spacing w:before="41"/>
              <w:rPr>
                <w:rFonts w:ascii="Verdana" w:hAnsi="Verdana" w:eastAsia="Verdana" w:cs="Verdana"/>
                <w:sz w:val="18"/>
              </w:rPr>
            </w:pPr>
            <w:r w:rsidRPr="005F055E">
              <w:rPr>
                <w:rFonts w:ascii="Verdana" w:hAnsi="Verdana" w:eastAsia="Verdana" w:cs="Verdana"/>
                <w:sz w:val="18"/>
              </w:rPr>
              <w:t>8</w:t>
            </w:r>
          </w:p>
        </w:tc>
      </w:tr>
      <w:tr w:rsidRPr="005F055E" w:rsidR="00632BAA" w:rsidTr="005E2643" w14:paraId="7B1A0F3D" w14:textId="77777777">
        <w:trPr>
          <w:trHeight w:val="239"/>
        </w:trPr>
        <w:tc>
          <w:tcPr>
            <w:tcW w:w="2820" w:type="dxa"/>
            <w:tcBorders>
              <w:top w:val="single" w:color="000000" w:sz="4" w:space="0"/>
              <w:left w:val="single" w:color="000000" w:sz="4" w:space="0"/>
              <w:bottom w:val="single" w:color="000000" w:sz="4" w:space="0"/>
              <w:right w:val="single" w:color="000000" w:sz="4" w:space="0"/>
            </w:tcBorders>
            <w:hideMark/>
          </w:tcPr>
          <w:p w:rsidRPr="005F055E" w:rsidR="00632BAA" w:rsidP="00180EEB" w:rsidRDefault="00632BAA" w14:paraId="34DB71D7" w14:textId="77777777">
            <w:pPr>
              <w:suppressAutoHyphens/>
              <w:spacing w:before="20" w:line="199" w:lineRule="exact"/>
              <w:ind w:left="107"/>
              <w:rPr>
                <w:rFonts w:ascii="Verdana" w:hAnsi="Verdana" w:eastAsia="Verdana" w:cs="Verdana"/>
                <w:sz w:val="18"/>
              </w:rPr>
            </w:pPr>
            <w:r w:rsidRPr="005F055E">
              <w:rPr>
                <w:rFonts w:ascii="Verdana" w:hAnsi="Verdana" w:eastAsia="Verdana" w:cs="Verdana"/>
                <w:sz w:val="18"/>
              </w:rPr>
              <w:t>Ambulante</w:t>
            </w:r>
            <w:r w:rsidRPr="005F055E">
              <w:rPr>
                <w:rFonts w:ascii="Verdana" w:hAnsi="Verdana" w:eastAsia="Verdana" w:cs="Verdana"/>
                <w:spacing w:val="-2"/>
                <w:sz w:val="18"/>
              </w:rPr>
              <w:t xml:space="preserve"> jeugdzorg</w:t>
            </w:r>
          </w:p>
        </w:tc>
        <w:tc>
          <w:tcPr>
            <w:tcW w:w="1296" w:type="dxa"/>
            <w:tcBorders>
              <w:top w:val="single" w:color="000000" w:sz="4" w:space="0"/>
              <w:left w:val="single" w:color="000000" w:sz="4" w:space="0"/>
              <w:bottom w:val="single" w:color="000000" w:sz="4" w:space="0"/>
              <w:right w:val="single" w:color="000000" w:sz="4" w:space="0"/>
            </w:tcBorders>
            <w:hideMark/>
          </w:tcPr>
          <w:p w:rsidRPr="005F055E" w:rsidR="00632BAA" w:rsidP="00180EEB" w:rsidRDefault="00632BAA" w14:paraId="61AB138E" w14:textId="77777777">
            <w:pPr>
              <w:suppressAutoHyphens/>
              <w:spacing w:before="20" w:line="199" w:lineRule="exact"/>
              <w:ind w:left="6" w:right="2"/>
              <w:rPr>
                <w:rFonts w:ascii="Verdana" w:hAnsi="Verdana" w:eastAsia="Verdana" w:cs="Verdana"/>
                <w:spacing w:val="-10"/>
                <w:sz w:val="18"/>
              </w:rPr>
            </w:pPr>
            <w:r w:rsidRPr="005F055E">
              <w:rPr>
                <w:rFonts w:ascii="Verdana" w:hAnsi="Verdana" w:eastAsia="Verdana" w:cs="Verdana"/>
                <w:spacing w:val="-10"/>
                <w:sz w:val="18"/>
              </w:rPr>
              <w:t>24</w:t>
            </w:r>
          </w:p>
        </w:tc>
      </w:tr>
      <w:tr w:rsidRPr="005F055E" w:rsidR="00632BAA" w:rsidTr="005E2643" w14:paraId="4E3EF00D" w14:textId="77777777">
        <w:trPr>
          <w:trHeight w:val="721"/>
        </w:trPr>
        <w:tc>
          <w:tcPr>
            <w:tcW w:w="2820" w:type="dxa"/>
            <w:tcBorders>
              <w:top w:val="single" w:color="000000" w:sz="4" w:space="0"/>
              <w:left w:val="single" w:color="000000" w:sz="4" w:space="0"/>
              <w:bottom w:val="single" w:color="000000" w:sz="4" w:space="0"/>
              <w:right w:val="single" w:color="000000" w:sz="4" w:space="0"/>
            </w:tcBorders>
            <w:hideMark/>
          </w:tcPr>
          <w:p w:rsidRPr="005F055E" w:rsidR="00632BAA" w:rsidP="00180EEB" w:rsidRDefault="00632BAA" w14:paraId="31C7A381" w14:textId="77777777">
            <w:pPr>
              <w:suppressAutoHyphens/>
              <w:spacing w:line="240" w:lineRule="exact"/>
              <w:ind w:left="107" w:right="231"/>
              <w:rPr>
                <w:rFonts w:ascii="Verdana" w:hAnsi="Verdana" w:eastAsia="Verdana" w:cs="Verdana"/>
                <w:sz w:val="18"/>
              </w:rPr>
            </w:pPr>
            <w:r w:rsidRPr="005F055E">
              <w:rPr>
                <w:rFonts w:ascii="Verdana" w:hAnsi="Verdana" w:eastAsia="Verdana" w:cs="Verdana"/>
                <w:spacing w:val="-2"/>
                <w:sz w:val="18"/>
              </w:rPr>
              <w:t>Verpleeg-, verzorgingshuizen, thuiszorg</w:t>
            </w:r>
          </w:p>
        </w:tc>
        <w:tc>
          <w:tcPr>
            <w:tcW w:w="1296" w:type="dxa"/>
            <w:tcBorders>
              <w:top w:val="single" w:color="000000" w:sz="4" w:space="0"/>
              <w:left w:val="single" w:color="000000" w:sz="4" w:space="0"/>
              <w:bottom w:val="single" w:color="000000" w:sz="4" w:space="0"/>
              <w:right w:val="single" w:color="000000" w:sz="4" w:space="0"/>
            </w:tcBorders>
            <w:hideMark/>
          </w:tcPr>
          <w:p w:rsidRPr="005F055E" w:rsidR="00632BAA" w:rsidP="00180EEB" w:rsidRDefault="00632BAA" w14:paraId="52D84795" w14:textId="77777777">
            <w:pPr>
              <w:suppressAutoHyphens/>
              <w:rPr>
                <w:rFonts w:ascii="Verdana" w:hAnsi="Verdana" w:eastAsia="Verdana" w:cs="Verdana"/>
                <w:sz w:val="18"/>
              </w:rPr>
            </w:pPr>
            <w:r w:rsidRPr="005F055E">
              <w:rPr>
                <w:rFonts w:ascii="Verdana" w:hAnsi="Verdana" w:eastAsia="Verdana" w:cs="Verdana"/>
                <w:sz w:val="18"/>
              </w:rPr>
              <w:t>548</w:t>
            </w:r>
          </w:p>
        </w:tc>
      </w:tr>
    </w:tbl>
    <w:p w:rsidRPr="005F055E" w:rsidR="00632BAA" w:rsidP="00180EEB" w:rsidRDefault="00632BAA" w14:paraId="5F8C0327" w14:textId="77777777">
      <w:pPr>
        <w:suppressAutoHyphens/>
        <w:spacing w:before="76" w:line="240" w:lineRule="atLeast"/>
        <w:rPr>
          <w:kern w:val="2"/>
          <w:sz w:val="14"/>
          <w14:ligatures w14:val="standardContextual"/>
        </w:rPr>
      </w:pPr>
      <w:r w:rsidRPr="005F055E">
        <w:rPr>
          <w:sz w:val="14"/>
          <w:szCs w:val="20"/>
          <w:lang w:eastAsia="nl-NL"/>
        </w:rPr>
        <w:t>*voorlopige</w:t>
      </w:r>
      <w:r w:rsidRPr="005F055E">
        <w:rPr>
          <w:spacing w:val="-9"/>
          <w:sz w:val="14"/>
          <w:szCs w:val="20"/>
          <w:lang w:eastAsia="nl-NL"/>
        </w:rPr>
        <w:t xml:space="preserve"> </w:t>
      </w:r>
      <w:r w:rsidRPr="005F055E">
        <w:rPr>
          <w:spacing w:val="-2"/>
          <w:sz w:val="14"/>
          <w:szCs w:val="20"/>
          <w:lang w:eastAsia="nl-NL"/>
        </w:rPr>
        <w:t>cijfers</w:t>
      </w:r>
    </w:p>
    <w:p w:rsidRPr="005F055E" w:rsidR="00632BAA" w:rsidP="00180EEB" w:rsidRDefault="00632BAA" w14:paraId="1961E69B" w14:textId="77777777">
      <w:pPr>
        <w:suppressAutoHyphens/>
        <w:spacing w:before="1" w:line="240" w:lineRule="atLeast"/>
        <w:rPr>
          <w:sz w:val="14"/>
          <w:szCs w:val="20"/>
          <w:lang w:eastAsia="nl-NL"/>
        </w:rPr>
      </w:pPr>
      <w:r w:rsidRPr="005F055E">
        <w:rPr>
          <w:sz w:val="14"/>
          <w:szCs w:val="20"/>
          <w:lang w:eastAsia="nl-NL"/>
        </w:rPr>
        <w:t>Bron:</w:t>
      </w:r>
      <w:r w:rsidRPr="005F055E">
        <w:rPr>
          <w:spacing w:val="-8"/>
          <w:sz w:val="14"/>
          <w:szCs w:val="20"/>
          <w:lang w:eastAsia="nl-NL"/>
        </w:rPr>
        <w:t xml:space="preserve"> </w:t>
      </w:r>
      <w:r w:rsidRPr="005F055E">
        <w:rPr>
          <w:sz w:val="14"/>
          <w:szCs w:val="20"/>
          <w:lang w:eastAsia="nl-NL"/>
        </w:rPr>
        <w:t>CBS</w:t>
      </w:r>
      <w:r w:rsidRPr="005F055E">
        <w:rPr>
          <w:spacing w:val="-5"/>
          <w:sz w:val="14"/>
          <w:szCs w:val="20"/>
          <w:lang w:eastAsia="nl-NL"/>
        </w:rPr>
        <w:t xml:space="preserve"> </w:t>
      </w:r>
      <w:r w:rsidRPr="005F055E">
        <w:rPr>
          <w:sz w:val="14"/>
          <w:szCs w:val="20"/>
          <w:lang w:eastAsia="nl-NL"/>
        </w:rPr>
        <w:t>Statline,</w:t>
      </w:r>
      <w:r w:rsidRPr="005F055E">
        <w:rPr>
          <w:spacing w:val="-4"/>
          <w:sz w:val="14"/>
          <w:szCs w:val="20"/>
          <w:lang w:eastAsia="nl-NL"/>
        </w:rPr>
        <w:t xml:space="preserve"> </w:t>
      </w:r>
      <w:r w:rsidRPr="005F055E">
        <w:rPr>
          <w:sz w:val="14"/>
          <w:szCs w:val="20"/>
          <w:lang w:eastAsia="nl-NL"/>
        </w:rPr>
        <w:t>tabel</w:t>
      </w:r>
      <w:r w:rsidRPr="005F055E">
        <w:rPr>
          <w:spacing w:val="-6"/>
          <w:sz w:val="14"/>
          <w:szCs w:val="20"/>
          <w:lang w:eastAsia="nl-NL"/>
        </w:rPr>
        <w:t xml:space="preserve"> </w:t>
      </w:r>
      <w:r w:rsidRPr="005F055E">
        <w:rPr>
          <w:sz w:val="14"/>
          <w:szCs w:val="20"/>
          <w:lang w:eastAsia="nl-NL"/>
        </w:rPr>
        <w:t>Zorginstellingen;</w:t>
      </w:r>
      <w:r w:rsidRPr="005F055E">
        <w:rPr>
          <w:spacing w:val="-7"/>
          <w:sz w:val="14"/>
          <w:szCs w:val="20"/>
          <w:lang w:eastAsia="nl-NL"/>
        </w:rPr>
        <w:t xml:space="preserve"> </w:t>
      </w:r>
      <w:r w:rsidRPr="005F055E">
        <w:rPr>
          <w:sz w:val="14"/>
          <w:szCs w:val="20"/>
          <w:lang w:eastAsia="nl-NL"/>
        </w:rPr>
        <w:t>financiën</w:t>
      </w:r>
      <w:r w:rsidRPr="005F055E">
        <w:rPr>
          <w:spacing w:val="-5"/>
          <w:sz w:val="14"/>
          <w:szCs w:val="20"/>
          <w:lang w:eastAsia="nl-NL"/>
        </w:rPr>
        <w:t xml:space="preserve"> </w:t>
      </w:r>
      <w:r w:rsidRPr="005F055E">
        <w:rPr>
          <w:sz w:val="14"/>
          <w:szCs w:val="20"/>
          <w:lang w:eastAsia="nl-NL"/>
        </w:rPr>
        <w:t>en</w:t>
      </w:r>
      <w:r w:rsidRPr="005F055E">
        <w:rPr>
          <w:spacing w:val="-6"/>
          <w:sz w:val="14"/>
          <w:szCs w:val="20"/>
          <w:lang w:eastAsia="nl-NL"/>
        </w:rPr>
        <w:t xml:space="preserve"> </w:t>
      </w:r>
      <w:r w:rsidRPr="005F055E">
        <w:rPr>
          <w:spacing w:val="-2"/>
          <w:sz w:val="14"/>
          <w:szCs w:val="20"/>
          <w:lang w:eastAsia="nl-NL"/>
        </w:rPr>
        <w:t>personeel</w:t>
      </w:r>
    </w:p>
    <w:p w:rsidRPr="005F055E" w:rsidR="00912A7D" w:rsidP="00180EEB" w:rsidRDefault="00912A7D" w14:paraId="32D2F9C6" w14:textId="77777777">
      <w:pPr>
        <w:suppressAutoHyphens/>
        <w:rPr>
          <w:highlight w:val="yellow"/>
        </w:rPr>
      </w:pPr>
    </w:p>
    <w:p w:rsidR="006D333D" w:rsidP="00180EEB" w:rsidRDefault="006D333D" w14:paraId="7FEA224E" w14:textId="77777777">
      <w:pPr>
        <w:suppressAutoHyphens/>
      </w:pPr>
    </w:p>
    <w:p w:rsidR="006D333D" w:rsidP="00180EEB" w:rsidRDefault="006D333D" w14:paraId="424E02BB" w14:textId="77777777">
      <w:pPr>
        <w:suppressAutoHyphens/>
      </w:pPr>
    </w:p>
    <w:p w:rsidR="006D333D" w:rsidP="00180EEB" w:rsidRDefault="006D333D" w14:paraId="2BB516AF" w14:textId="77777777">
      <w:pPr>
        <w:suppressAutoHyphens/>
      </w:pPr>
    </w:p>
    <w:p w:rsidRPr="005F055E" w:rsidR="00912A7D" w:rsidP="00180EEB" w:rsidRDefault="003E7003" w14:paraId="360F54B1" w14:textId="45CB84DE">
      <w:pPr>
        <w:suppressAutoHyphens/>
      </w:pPr>
      <w:r w:rsidRPr="005F055E">
        <w:t>Vraag 156</w:t>
      </w:r>
      <w:r w:rsidRPr="005F055E">
        <w:tab/>
      </w:r>
    </w:p>
    <w:p w:rsidRPr="005F055E" w:rsidR="00912A7D" w:rsidP="00180EEB" w:rsidRDefault="003E7003" w14:paraId="4025C552" w14:textId="77777777">
      <w:pPr>
        <w:suppressAutoHyphens/>
      </w:pPr>
      <w:r w:rsidRPr="005F055E">
        <w:t xml:space="preserve">Welk deel van de zorgaanbieders is momenteel in handen van private </w:t>
      </w:r>
      <w:proofErr w:type="spellStart"/>
      <w:r w:rsidRPr="005F055E">
        <w:t>equity</w:t>
      </w:r>
      <w:proofErr w:type="spellEnd"/>
      <w:r w:rsidRPr="005F055E">
        <w:t xml:space="preserve"> investeerders? Kunt u dat uitdrukken als percentage van de totale omzet en het totaal aantal aanbieders? Hoe heeft dit percentage zich in de afgelopen vijf jaar ontwikkeld?</w:t>
      </w:r>
      <w:r w:rsidRPr="005F055E">
        <w:tab/>
      </w:r>
    </w:p>
    <w:p w:rsidRPr="005F055E" w:rsidR="003E7003" w:rsidP="00180EEB" w:rsidRDefault="003E7003" w14:paraId="6E96DF00" w14:textId="0530E74A">
      <w:pPr>
        <w:suppressAutoHyphens/>
      </w:pPr>
      <w:r w:rsidRPr="005F055E">
        <w:t>Antwoord</w:t>
      </w:r>
    </w:p>
    <w:p w:rsidRPr="005F055E" w:rsidR="00632BAA" w:rsidP="00180EEB" w:rsidRDefault="00632BAA" w14:paraId="2EE6F1B1" w14:textId="77777777">
      <w:pPr>
        <w:suppressAutoHyphens/>
        <w:spacing w:line="240" w:lineRule="atLeast"/>
        <w:rPr>
          <w:szCs w:val="20"/>
          <w:lang w:eastAsia="nl-NL"/>
        </w:rPr>
      </w:pPr>
      <w:r w:rsidRPr="005F055E">
        <w:rPr>
          <w:szCs w:val="20"/>
          <w:lang w:eastAsia="nl-NL"/>
        </w:rPr>
        <w:t xml:space="preserve">In onderstaande tabel is het aandeel private </w:t>
      </w:r>
      <w:proofErr w:type="spellStart"/>
      <w:r w:rsidRPr="005F055E">
        <w:rPr>
          <w:szCs w:val="20"/>
          <w:lang w:eastAsia="nl-NL"/>
        </w:rPr>
        <w:t>equity</w:t>
      </w:r>
      <w:proofErr w:type="spellEnd"/>
      <w:r w:rsidRPr="005F055E">
        <w:rPr>
          <w:szCs w:val="20"/>
          <w:lang w:eastAsia="nl-NL"/>
        </w:rPr>
        <w:t xml:space="preserve"> in de zorg weergegeven, uitgedrukt in percentages van de totale omzet van zorgaanbieders met betrokkenheid van private </w:t>
      </w:r>
      <w:proofErr w:type="spellStart"/>
      <w:r w:rsidRPr="005F055E">
        <w:rPr>
          <w:szCs w:val="20"/>
          <w:lang w:eastAsia="nl-NL"/>
        </w:rPr>
        <w:t>equity</w:t>
      </w:r>
      <w:proofErr w:type="spellEnd"/>
      <w:r w:rsidRPr="005F055E">
        <w:rPr>
          <w:szCs w:val="20"/>
          <w:lang w:eastAsia="nl-NL"/>
        </w:rPr>
        <w:t xml:space="preserve"> partijen binnen de Zorgverzekeringswet (</w:t>
      </w:r>
      <w:proofErr w:type="spellStart"/>
      <w:r w:rsidRPr="005F055E">
        <w:rPr>
          <w:szCs w:val="20"/>
          <w:lang w:eastAsia="nl-NL"/>
        </w:rPr>
        <w:t>Zvw</w:t>
      </w:r>
      <w:proofErr w:type="spellEnd"/>
      <w:r w:rsidRPr="005F055E">
        <w:rPr>
          <w:szCs w:val="20"/>
          <w:lang w:eastAsia="nl-NL"/>
        </w:rPr>
        <w:t>) en Wet langdurige zorg (en binnen de verschillende sectoren) in 2022</w:t>
      </w:r>
      <w:r w:rsidRPr="005F055E">
        <w:rPr>
          <w:szCs w:val="20"/>
          <w:vertAlign w:val="superscript"/>
          <w:lang w:eastAsia="nl-NL"/>
        </w:rPr>
        <w:footnoteReference w:id="55"/>
      </w:r>
      <w:r w:rsidRPr="005F055E">
        <w:rPr>
          <w:szCs w:val="20"/>
          <w:lang w:eastAsia="nl-NL"/>
        </w:rPr>
        <w:t xml:space="preserve">. Het ministerie van VWS beschikt niet over dezelfde informatie van andere jaren. Ook beschikt het ministerie van VWS niet over de cijfers van het aantal zorgaanbieders met private </w:t>
      </w:r>
      <w:proofErr w:type="spellStart"/>
      <w:r w:rsidRPr="005F055E">
        <w:rPr>
          <w:szCs w:val="20"/>
          <w:lang w:eastAsia="nl-NL"/>
        </w:rPr>
        <w:t>equity</w:t>
      </w:r>
      <w:proofErr w:type="spellEnd"/>
      <w:r w:rsidRPr="005F055E">
        <w:rPr>
          <w:szCs w:val="20"/>
          <w:lang w:eastAsia="nl-NL"/>
        </w:rPr>
        <w:t xml:space="preserve"> betrokkenheid als percentage van het totaal aantal zorgaanbieders. </w:t>
      </w:r>
    </w:p>
    <w:tbl>
      <w:tblPr>
        <w:tblStyle w:val="TableNormal00"/>
        <w:tblpPr w:leftFromText="141" w:rightFromText="141" w:vertAnchor="text" w:horzAnchor="margin" w:tblpY="43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630"/>
        <w:gridCol w:w="2472"/>
        <w:gridCol w:w="2470"/>
      </w:tblGrid>
      <w:tr w:rsidRPr="005F055E" w:rsidR="00632BAA" w:rsidTr="005E2643" w14:paraId="61E65668" w14:textId="77777777">
        <w:trPr>
          <w:trHeight w:val="719"/>
        </w:trPr>
        <w:tc>
          <w:tcPr>
            <w:tcW w:w="2630" w:type="dxa"/>
            <w:shd w:val="clear" w:color="auto" w:fill="BEBEBE"/>
          </w:tcPr>
          <w:p w:rsidRPr="005F055E" w:rsidR="00632BAA" w:rsidP="00180EEB" w:rsidRDefault="00632BAA" w14:paraId="6CD2D2EA" w14:textId="77777777">
            <w:pPr>
              <w:suppressAutoHyphens/>
              <w:rPr>
                <w:rFonts w:ascii="Verdana" w:hAnsi="Verdana" w:eastAsia="Verdana" w:cs="Verdana"/>
                <w:sz w:val="18"/>
              </w:rPr>
            </w:pPr>
          </w:p>
        </w:tc>
        <w:tc>
          <w:tcPr>
            <w:tcW w:w="2472" w:type="dxa"/>
            <w:shd w:val="clear" w:color="auto" w:fill="BEBEBE"/>
          </w:tcPr>
          <w:p w:rsidRPr="005F055E" w:rsidR="00632BAA" w:rsidP="00180EEB" w:rsidRDefault="00632BAA" w14:paraId="6EF23D03" w14:textId="77777777">
            <w:pPr>
              <w:suppressAutoHyphens/>
              <w:spacing w:line="240" w:lineRule="exact"/>
              <w:ind w:left="177"/>
              <w:rPr>
                <w:rFonts w:ascii="Verdana" w:hAnsi="Verdana" w:eastAsia="Verdana" w:cs="Verdana"/>
                <w:b/>
                <w:sz w:val="18"/>
              </w:rPr>
            </w:pPr>
            <w:r w:rsidRPr="005F055E">
              <w:rPr>
                <w:rFonts w:ascii="Verdana" w:hAnsi="Verdana" w:eastAsia="Verdana" w:cs="Verdana"/>
                <w:b/>
                <w:sz w:val="18"/>
              </w:rPr>
              <w:t xml:space="preserve">Private </w:t>
            </w:r>
            <w:proofErr w:type="spellStart"/>
            <w:r w:rsidRPr="005F055E">
              <w:rPr>
                <w:rFonts w:ascii="Verdana" w:hAnsi="Verdana" w:eastAsia="Verdana" w:cs="Verdana"/>
                <w:b/>
                <w:sz w:val="18"/>
              </w:rPr>
              <w:t>Equity</w:t>
            </w:r>
            <w:proofErr w:type="spellEnd"/>
            <w:r w:rsidRPr="005F055E">
              <w:rPr>
                <w:rFonts w:ascii="Verdana" w:hAnsi="Verdana" w:eastAsia="Verdana" w:cs="Verdana"/>
                <w:b/>
                <w:sz w:val="18"/>
              </w:rPr>
              <w:t xml:space="preserve"> </w:t>
            </w:r>
            <w:r w:rsidRPr="005F055E">
              <w:rPr>
                <w:rFonts w:ascii="Verdana" w:hAnsi="Verdana" w:eastAsia="Verdana" w:cs="Verdana"/>
                <w:b/>
                <w:spacing w:val="-2"/>
                <w:sz w:val="18"/>
              </w:rPr>
              <w:t xml:space="preserve">Participatie </w:t>
            </w:r>
            <w:r w:rsidRPr="005F055E">
              <w:rPr>
                <w:rFonts w:ascii="Verdana" w:hAnsi="Verdana" w:eastAsia="Verdana" w:cs="Verdana"/>
                <w:b/>
                <w:spacing w:val="-4"/>
                <w:sz w:val="18"/>
              </w:rPr>
              <w:t>Zorgverzekeringswet</w:t>
            </w:r>
          </w:p>
        </w:tc>
        <w:tc>
          <w:tcPr>
            <w:tcW w:w="2470" w:type="dxa"/>
            <w:shd w:val="clear" w:color="auto" w:fill="BEBEBE"/>
          </w:tcPr>
          <w:p w:rsidRPr="005F055E" w:rsidR="00632BAA" w:rsidP="00180EEB" w:rsidRDefault="00632BAA" w14:paraId="5E1B8C68" w14:textId="77777777">
            <w:pPr>
              <w:suppressAutoHyphens/>
              <w:spacing w:line="240" w:lineRule="exact"/>
              <w:ind w:left="175" w:right="558"/>
              <w:rPr>
                <w:rFonts w:ascii="Verdana" w:hAnsi="Verdana" w:eastAsia="Verdana" w:cs="Verdana"/>
                <w:b/>
                <w:sz w:val="18"/>
              </w:rPr>
            </w:pPr>
            <w:r w:rsidRPr="005F055E">
              <w:rPr>
                <w:rFonts w:ascii="Verdana" w:hAnsi="Verdana" w:eastAsia="Verdana" w:cs="Verdana"/>
                <w:b/>
                <w:sz w:val="18"/>
              </w:rPr>
              <w:t xml:space="preserve">Private </w:t>
            </w:r>
            <w:proofErr w:type="spellStart"/>
            <w:r w:rsidRPr="005F055E">
              <w:rPr>
                <w:rFonts w:ascii="Verdana" w:hAnsi="Verdana" w:eastAsia="Verdana" w:cs="Verdana"/>
                <w:b/>
                <w:sz w:val="18"/>
              </w:rPr>
              <w:t>Equity</w:t>
            </w:r>
            <w:proofErr w:type="spellEnd"/>
            <w:r w:rsidRPr="005F055E">
              <w:rPr>
                <w:rFonts w:ascii="Verdana" w:hAnsi="Verdana" w:eastAsia="Verdana" w:cs="Verdana"/>
                <w:b/>
                <w:sz w:val="18"/>
              </w:rPr>
              <w:t xml:space="preserve"> participatie</w:t>
            </w:r>
            <w:r w:rsidRPr="005F055E">
              <w:rPr>
                <w:rFonts w:ascii="Verdana" w:hAnsi="Verdana" w:eastAsia="Verdana" w:cs="Verdana"/>
                <w:b/>
                <w:spacing w:val="-16"/>
                <w:sz w:val="18"/>
              </w:rPr>
              <w:t xml:space="preserve"> </w:t>
            </w:r>
            <w:r w:rsidRPr="005F055E">
              <w:rPr>
                <w:rFonts w:ascii="Verdana" w:hAnsi="Verdana" w:eastAsia="Verdana" w:cs="Verdana"/>
                <w:b/>
                <w:sz w:val="18"/>
              </w:rPr>
              <w:t>Wet langdurige</w:t>
            </w:r>
            <w:r w:rsidRPr="005F055E">
              <w:rPr>
                <w:rFonts w:ascii="Verdana" w:hAnsi="Verdana" w:eastAsia="Verdana" w:cs="Verdana"/>
                <w:b/>
                <w:spacing w:val="-10"/>
                <w:sz w:val="18"/>
              </w:rPr>
              <w:t xml:space="preserve"> </w:t>
            </w:r>
            <w:r w:rsidRPr="005F055E">
              <w:rPr>
                <w:rFonts w:ascii="Verdana" w:hAnsi="Verdana" w:eastAsia="Verdana" w:cs="Verdana"/>
                <w:b/>
                <w:spacing w:val="-4"/>
                <w:sz w:val="18"/>
              </w:rPr>
              <w:t>zorg</w:t>
            </w:r>
          </w:p>
        </w:tc>
      </w:tr>
      <w:tr w:rsidRPr="005F055E" w:rsidR="00632BAA" w:rsidTr="005E2643" w14:paraId="1B9E29A5" w14:textId="77777777">
        <w:trPr>
          <w:trHeight w:val="479"/>
        </w:trPr>
        <w:tc>
          <w:tcPr>
            <w:tcW w:w="2630" w:type="dxa"/>
          </w:tcPr>
          <w:p w:rsidRPr="005F055E" w:rsidR="00632BAA" w:rsidP="00180EEB" w:rsidRDefault="00632BAA" w14:paraId="5C8DD1CF" w14:textId="77777777">
            <w:pPr>
              <w:suppressAutoHyphens/>
              <w:spacing w:line="240" w:lineRule="exact"/>
              <w:ind w:left="112" w:right="95"/>
              <w:rPr>
                <w:rFonts w:ascii="Verdana" w:hAnsi="Verdana" w:eastAsia="Verdana" w:cs="Verdana"/>
                <w:sz w:val="18"/>
              </w:rPr>
            </w:pPr>
            <w:r w:rsidRPr="005F055E">
              <w:rPr>
                <w:rFonts w:ascii="Verdana" w:hAnsi="Verdana" w:eastAsia="Verdana" w:cs="Verdana"/>
                <w:sz w:val="18"/>
              </w:rPr>
              <w:t>Medisch</w:t>
            </w:r>
            <w:r w:rsidRPr="005F055E">
              <w:rPr>
                <w:rFonts w:ascii="Verdana" w:hAnsi="Verdana" w:eastAsia="Verdana" w:cs="Verdana"/>
                <w:spacing w:val="-16"/>
                <w:sz w:val="18"/>
              </w:rPr>
              <w:t xml:space="preserve"> </w:t>
            </w:r>
            <w:r w:rsidRPr="005F055E">
              <w:rPr>
                <w:rFonts w:ascii="Verdana" w:hAnsi="Verdana" w:eastAsia="Verdana" w:cs="Verdana"/>
                <w:sz w:val="18"/>
              </w:rPr>
              <w:t xml:space="preserve">specialistische </w:t>
            </w:r>
            <w:r w:rsidRPr="005F055E">
              <w:rPr>
                <w:rFonts w:ascii="Verdana" w:hAnsi="Verdana" w:eastAsia="Verdana" w:cs="Verdana"/>
                <w:spacing w:val="-4"/>
                <w:sz w:val="18"/>
              </w:rPr>
              <w:t>zorg</w:t>
            </w:r>
          </w:p>
        </w:tc>
        <w:tc>
          <w:tcPr>
            <w:tcW w:w="2472" w:type="dxa"/>
          </w:tcPr>
          <w:p w:rsidRPr="005F055E" w:rsidR="00632BAA" w:rsidP="00180EEB" w:rsidRDefault="00632BAA" w14:paraId="47B6DFF8" w14:textId="77777777">
            <w:pPr>
              <w:suppressAutoHyphens/>
              <w:spacing w:before="20"/>
              <w:ind w:left="17"/>
              <w:rPr>
                <w:rFonts w:ascii="Verdana" w:hAnsi="Verdana" w:eastAsia="Verdana" w:cs="Verdana"/>
                <w:sz w:val="18"/>
              </w:rPr>
            </w:pPr>
            <w:r w:rsidRPr="005F055E">
              <w:rPr>
                <w:rFonts w:ascii="Verdana" w:hAnsi="Verdana" w:eastAsia="Verdana" w:cs="Verdana"/>
                <w:spacing w:val="-2"/>
                <w:w w:val="105"/>
                <w:sz w:val="18"/>
              </w:rPr>
              <w:t>~3,75%</w:t>
            </w:r>
          </w:p>
        </w:tc>
        <w:tc>
          <w:tcPr>
            <w:tcW w:w="2470" w:type="dxa"/>
          </w:tcPr>
          <w:p w:rsidRPr="005F055E" w:rsidR="00632BAA" w:rsidP="00180EEB" w:rsidRDefault="00632BAA" w14:paraId="4DBB0AE7" w14:textId="77777777">
            <w:pPr>
              <w:suppressAutoHyphens/>
              <w:spacing w:before="20"/>
              <w:ind w:left="14"/>
              <w:rPr>
                <w:rFonts w:ascii="Verdana" w:hAnsi="Verdana" w:eastAsia="Verdana" w:cs="Verdana"/>
                <w:sz w:val="18"/>
              </w:rPr>
            </w:pPr>
            <w:r w:rsidRPr="005F055E">
              <w:rPr>
                <w:rFonts w:ascii="Verdana" w:hAnsi="Verdana" w:eastAsia="Verdana" w:cs="Verdana"/>
                <w:spacing w:val="-2"/>
                <w:w w:val="105"/>
                <w:sz w:val="18"/>
              </w:rPr>
              <w:t>~1,16%</w:t>
            </w:r>
          </w:p>
        </w:tc>
      </w:tr>
      <w:tr w:rsidRPr="005F055E" w:rsidR="00632BAA" w:rsidTr="005E2643" w14:paraId="0F36BE50" w14:textId="77777777">
        <w:trPr>
          <w:trHeight w:val="718"/>
        </w:trPr>
        <w:tc>
          <w:tcPr>
            <w:tcW w:w="2630" w:type="dxa"/>
          </w:tcPr>
          <w:p w:rsidRPr="005F055E" w:rsidR="00632BAA" w:rsidP="00180EEB" w:rsidRDefault="00632BAA" w14:paraId="1DB05DBC" w14:textId="77777777">
            <w:pPr>
              <w:suppressAutoHyphens/>
              <w:spacing w:line="240" w:lineRule="exact"/>
              <w:ind w:left="112" w:right="95"/>
              <w:rPr>
                <w:rFonts w:ascii="Verdana" w:hAnsi="Verdana" w:eastAsia="Verdana" w:cs="Verdana"/>
                <w:sz w:val="18"/>
              </w:rPr>
            </w:pPr>
            <w:r w:rsidRPr="005F055E">
              <w:rPr>
                <w:rFonts w:ascii="Verdana" w:hAnsi="Verdana" w:eastAsia="Verdana" w:cs="Verdana"/>
                <w:sz w:val="18"/>
              </w:rPr>
              <w:t>Verpleeg- en Verzorgingshuizen</w:t>
            </w:r>
            <w:r w:rsidRPr="005F055E">
              <w:rPr>
                <w:rFonts w:ascii="Verdana" w:hAnsi="Verdana" w:eastAsia="Verdana" w:cs="Verdana"/>
                <w:spacing w:val="-16"/>
                <w:sz w:val="18"/>
              </w:rPr>
              <w:t xml:space="preserve"> </w:t>
            </w:r>
            <w:r w:rsidRPr="005F055E">
              <w:rPr>
                <w:rFonts w:ascii="Verdana" w:hAnsi="Verdana" w:eastAsia="Verdana" w:cs="Verdana"/>
                <w:sz w:val="18"/>
              </w:rPr>
              <w:t xml:space="preserve">en </w:t>
            </w:r>
            <w:r w:rsidRPr="005F055E">
              <w:rPr>
                <w:rFonts w:ascii="Verdana" w:hAnsi="Verdana" w:eastAsia="Verdana" w:cs="Verdana"/>
                <w:spacing w:val="-2"/>
                <w:sz w:val="18"/>
              </w:rPr>
              <w:t>thuiszorg</w:t>
            </w:r>
          </w:p>
        </w:tc>
        <w:tc>
          <w:tcPr>
            <w:tcW w:w="2472" w:type="dxa"/>
          </w:tcPr>
          <w:p w:rsidRPr="005F055E" w:rsidR="00632BAA" w:rsidP="00180EEB" w:rsidRDefault="00632BAA" w14:paraId="1208B105" w14:textId="77777777">
            <w:pPr>
              <w:suppressAutoHyphens/>
              <w:spacing w:before="19"/>
              <w:ind w:left="17"/>
              <w:rPr>
                <w:rFonts w:ascii="Verdana" w:hAnsi="Verdana" w:eastAsia="Verdana" w:cs="Verdana"/>
                <w:sz w:val="18"/>
              </w:rPr>
            </w:pPr>
            <w:r w:rsidRPr="005F055E">
              <w:rPr>
                <w:rFonts w:ascii="Verdana" w:hAnsi="Verdana" w:eastAsia="Verdana" w:cs="Verdana"/>
                <w:spacing w:val="-2"/>
                <w:w w:val="105"/>
                <w:sz w:val="18"/>
              </w:rPr>
              <w:t>~0,73%</w:t>
            </w:r>
          </w:p>
        </w:tc>
        <w:tc>
          <w:tcPr>
            <w:tcW w:w="2470" w:type="dxa"/>
          </w:tcPr>
          <w:p w:rsidRPr="005F055E" w:rsidR="00632BAA" w:rsidP="00180EEB" w:rsidRDefault="00632BAA" w14:paraId="727BB75F" w14:textId="77777777">
            <w:pPr>
              <w:suppressAutoHyphens/>
              <w:spacing w:before="19"/>
              <w:ind w:left="14"/>
              <w:rPr>
                <w:rFonts w:ascii="Verdana" w:hAnsi="Verdana" w:eastAsia="Verdana" w:cs="Verdana"/>
                <w:sz w:val="18"/>
              </w:rPr>
            </w:pPr>
            <w:r w:rsidRPr="005F055E">
              <w:rPr>
                <w:rFonts w:ascii="Verdana" w:hAnsi="Verdana" w:eastAsia="Verdana" w:cs="Verdana"/>
                <w:spacing w:val="-2"/>
                <w:w w:val="105"/>
                <w:sz w:val="18"/>
              </w:rPr>
              <w:t>~0,55%</w:t>
            </w:r>
          </w:p>
        </w:tc>
      </w:tr>
      <w:tr w:rsidRPr="005F055E" w:rsidR="00632BAA" w:rsidTr="005E2643" w14:paraId="54E144C6" w14:textId="77777777">
        <w:trPr>
          <w:trHeight w:val="480"/>
        </w:trPr>
        <w:tc>
          <w:tcPr>
            <w:tcW w:w="2630" w:type="dxa"/>
          </w:tcPr>
          <w:p w:rsidRPr="005F055E" w:rsidR="00632BAA" w:rsidP="00180EEB" w:rsidRDefault="00632BAA" w14:paraId="422FADD9" w14:textId="77777777">
            <w:pPr>
              <w:suppressAutoHyphens/>
              <w:spacing w:line="240" w:lineRule="atLeast"/>
              <w:ind w:left="112" w:right="95"/>
              <w:rPr>
                <w:rFonts w:ascii="Verdana" w:hAnsi="Verdana" w:eastAsia="Verdana" w:cs="Verdana"/>
                <w:sz w:val="18"/>
              </w:rPr>
            </w:pPr>
            <w:r w:rsidRPr="005F055E">
              <w:rPr>
                <w:rFonts w:ascii="Verdana" w:hAnsi="Verdana" w:eastAsia="Verdana" w:cs="Verdana"/>
                <w:spacing w:val="-2"/>
                <w:sz w:val="18"/>
              </w:rPr>
              <w:t>Geestelijke gezondheidszorg</w:t>
            </w:r>
          </w:p>
        </w:tc>
        <w:tc>
          <w:tcPr>
            <w:tcW w:w="2472" w:type="dxa"/>
          </w:tcPr>
          <w:p w:rsidRPr="005F055E" w:rsidR="00632BAA" w:rsidP="00180EEB" w:rsidRDefault="00632BAA" w14:paraId="3A2D2CCF" w14:textId="77777777">
            <w:pPr>
              <w:suppressAutoHyphens/>
              <w:spacing w:before="21"/>
              <w:ind w:left="17"/>
              <w:rPr>
                <w:rFonts w:ascii="Verdana" w:hAnsi="Verdana" w:eastAsia="Verdana" w:cs="Verdana"/>
                <w:sz w:val="18"/>
              </w:rPr>
            </w:pPr>
            <w:r w:rsidRPr="005F055E">
              <w:rPr>
                <w:rFonts w:ascii="Verdana" w:hAnsi="Verdana" w:eastAsia="Verdana" w:cs="Verdana"/>
                <w:spacing w:val="-2"/>
                <w:w w:val="105"/>
                <w:sz w:val="18"/>
              </w:rPr>
              <w:t>~2,20%</w:t>
            </w:r>
          </w:p>
        </w:tc>
        <w:tc>
          <w:tcPr>
            <w:tcW w:w="2470" w:type="dxa"/>
          </w:tcPr>
          <w:p w:rsidRPr="005F055E" w:rsidR="00632BAA" w:rsidP="00180EEB" w:rsidRDefault="00632BAA" w14:paraId="721CC5E8" w14:textId="77777777">
            <w:pPr>
              <w:suppressAutoHyphens/>
              <w:spacing w:before="21"/>
              <w:ind w:left="14"/>
              <w:rPr>
                <w:rFonts w:ascii="Verdana" w:hAnsi="Verdana" w:eastAsia="Verdana" w:cs="Verdana"/>
                <w:sz w:val="18"/>
              </w:rPr>
            </w:pPr>
            <w:r w:rsidRPr="005F055E">
              <w:rPr>
                <w:rFonts w:ascii="Verdana" w:hAnsi="Verdana" w:eastAsia="Verdana" w:cs="Verdana"/>
                <w:spacing w:val="-5"/>
                <w:w w:val="105"/>
                <w:sz w:val="18"/>
              </w:rPr>
              <w:t>~0%</w:t>
            </w:r>
          </w:p>
        </w:tc>
      </w:tr>
      <w:tr w:rsidRPr="005F055E" w:rsidR="00632BAA" w:rsidTr="005E2643" w14:paraId="5D1461B8" w14:textId="77777777">
        <w:trPr>
          <w:trHeight w:val="239"/>
        </w:trPr>
        <w:tc>
          <w:tcPr>
            <w:tcW w:w="2630" w:type="dxa"/>
          </w:tcPr>
          <w:p w:rsidRPr="005F055E" w:rsidR="00632BAA" w:rsidP="00180EEB" w:rsidRDefault="00632BAA" w14:paraId="6118448F" w14:textId="77777777">
            <w:pPr>
              <w:suppressAutoHyphens/>
              <w:spacing w:before="20" w:line="199" w:lineRule="exact"/>
              <w:ind w:left="112"/>
              <w:rPr>
                <w:rFonts w:ascii="Verdana" w:hAnsi="Verdana" w:eastAsia="Verdana" w:cs="Verdana"/>
                <w:sz w:val="18"/>
              </w:rPr>
            </w:pPr>
            <w:r w:rsidRPr="005F055E">
              <w:rPr>
                <w:rFonts w:ascii="Verdana" w:hAnsi="Verdana" w:eastAsia="Verdana" w:cs="Verdana"/>
                <w:spacing w:val="-2"/>
                <w:sz w:val="18"/>
              </w:rPr>
              <w:t>Gehandicaptenzorg</w:t>
            </w:r>
          </w:p>
        </w:tc>
        <w:tc>
          <w:tcPr>
            <w:tcW w:w="2472" w:type="dxa"/>
          </w:tcPr>
          <w:p w:rsidRPr="005F055E" w:rsidR="00632BAA" w:rsidP="00180EEB" w:rsidRDefault="00632BAA" w14:paraId="7B0AF99D" w14:textId="77777777">
            <w:pPr>
              <w:suppressAutoHyphens/>
              <w:spacing w:before="20" w:line="199" w:lineRule="exact"/>
              <w:ind w:left="17"/>
              <w:rPr>
                <w:rFonts w:ascii="Verdana" w:hAnsi="Verdana" w:eastAsia="Verdana" w:cs="Verdana"/>
                <w:sz w:val="18"/>
              </w:rPr>
            </w:pPr>
            <w:r w:rsidRPr="005F055E">
              <w:rPr>
                <w:rFonts w:ascii="Verdana" w:hAnsi="Verdana" w:eastAsia="Verdana" w:cs="Verdana"/>
                <w:spacing w:val="-5"/>
                <w:w w:val="105"/>
                <w:sz w:val="18"/>
              </w:rPr>
              <w:t>~0%</w:t>
            </w:r>
          </w:p>
        </w:tc>
        <w:tc>
          <w:tcPr>
            <w:tcW w:w="2470" w:type="dxa"/>
          </w:tcPr>
          <w:p w:rsidRPr="005F055E" w:rsidR="00632BAA" w:rsidP="00180EEB" w:rsidRDefault="00632BAA" w14:paraId="6F16E9CD" w14:textId="77777777">
            <w:pPr>
              <w:suppressAutoHyphens/>
              <w:spacing w:before="20" w:line="199" w:lineRule="exact"/>
              <w:ind w:left="14"/>
              <w:rPr>
                <w:rFonts w:ascii="Verdana" w:hAnsi="Verdana" w:eastAsia="Verdana" w:cs="Verdana"/>
                <w:sz w:val="18"/>
              </w:rPr>
            </w:pPr>
            <w:r w:rsidRPr="005F055E">
              <w:rPr>
                <w:rFonts w:ascii="Verdana" w:hAnsi="Verdana" w:eastAsia="Verdana" w:cs="Verdana"/>
                <w:spacing w:val="-5"/>
                <w:w w:val="105"/>
                <w:sz w:val="18"/>
              </w:rPr>
              <w:t>~0%</w:t>
            </w:r>
          </w:p>
        </w:tc>
      </w:tr>
      <w:tr w:rsidRPr="005F055E" w:rsidR="00632BAA" w:rsidTr="005E2643" w14:paraId="7CFF2223" w14:textId="77777777">
        <w:trPr>
          <w:trHeight w:val="239"/>
        </w:trPr>
        <w:tc>
          <w:tcPr>
            <w:tcW w:w="2630" w:type="dxa"/>
          </w:tcPr>
          <w:p w:rsidRPr="005F055E" w:rsidR="00632BAA" w:rsidP="00180EEB" w:rsidRDefault="00632BAA" w14:paraId="71F5C09C" w14:textId="77777777">
            <w:pPr>
              <w:suppressAutoHyphens/>
              <w:spacing w:before="20" w:line="199" w:lineRule="exact"/>
              <w:ind w:left="112"/>
              <w:rPr>
                <w:rFonts w:ascii="Verdana" w:hAnsi="Verdana" w:eastAsia="Verdana" w:cs="Verdana"/>
                <w:sz w:val="18"/>
              </w:rPr>
            </w:pPr>
            <w:r w:rsidRPr="005F055E">
              <w:rPr>
                <w:rFonts w:ascii="Verdana" w:hAnsi="Verdana" w:eastAsia="Verdana" w:cs="Verdana"/>
                <w:spacing w:val="-2"/>
                <w:sz w:val="18"/>
              </w:rPr>
              <w:t>Huisartsenzorg</w:t>
            </w:r>
          </w:p>
        </w:tc>
        <w:tc>
          <w:tcPr>
            <w:tcW w:w="2472" w:type="dxa"/>
          </w:tcPr>
          <w:p w:rsidRPr="005F055E" w:rsidR="00632BAA" w:rsidP="00180EEB" w:rsidRDefault="00632BAA" w14:paraId="7BEB08AB" w14:textId="77777777">
            <w:pPr>
              <w:suppressAutoHyphens/>
              <w:spacing w:before="20" w:line="199" w:lineRule="exact"/>
              <w:ind w:left="17"/>
              <w:rPr>
                <w:rFonts w:ascii="Verdana" w:hAnsi="Verdana" w:eastAsia="Verdana" w:cs="Verdana"/>
                <w:sz w:val="18"/>
              </w:rPr>
            </w:pPr>
            <w:r w:rsidRPr="005F055E">
              <w:rPr>
                <w:rFonts w:ascii="Verdana" w:hAnsi="Verdana" w:eastAsia="Verdana" w:cs="Verdana"/>
                <w:spacing w:val="-4"/>
                <w:w w:val="105"/>
                <w:sz w:val="18"/>
              </w:rPr>
              <w:t>~&lt;1%</w:t>
            </w:r>
          </w:p>
        </w:tc>
        <w:tc>
          <w:tcPr>
            <w:tcW w:w="2470" w:type="dxa"/>
          </w:tcPr>
          <w:p w:rsidRPr="005F055E" w:rsidR="00632BAA" w:rsidP="00180EEB" w:rsidRDefault="00632BAA" w14:paraId="02B88CD3" w14:textId="77777777">
            <w:pPr>
              <w:suppressAutoHyphens/>
              <w:spacing w:before="20" w:line="199" w:lineRule="exact"/>
              <w:ind w:left="14"/>
              <w:rPr>
                <w:rFonts w:ascii="Verdana" w:hAnsi="Verdana" w:eastAsia="Verdana" w:cs="Verdana"/>
                <w:sz w:val="18"/>
              </w:rPr>
            </w:pPr>
            <w:r w:rsidRPr="005F055E">
              <w:rPr>
                <w:rFonts w:ascii="Verdana" w:hAnsi="Verdana" w:eastAsia="Verdana" w:cs="Verdana"/>
                <w:spacing w:val="-10"/>
                <w:sz w:val="18"/>
              </w:rPr>
              <w:t>-</w:t>
            </w:r>
          </w:p>
        </w:tc>
      </w:tr>
      <w:tr w:rsidRPr="005F055E" w:rsidR="00632BAA" w:rsidTr="005E2643" w14:paraId="4D0909ED" w14:textId="77777777">
        <w:trPr>
          <w:trHeight w:val="241"/>
        </w:trPr>
        <w:tc>
          <w:tcPr>
            <w:tcW w:w="2630" w:type="dxa"/>
          </w:tcPr>
          <w:p w:rsidRPr="005F055E" w:rsidR="00632BAA" w:rsidP="00180EEB" w:rsidRDefault="00632BAA" w14:paraId="62CD8E5A" w14:textId="77777777">
            <w:pPr>
              <w:suppressAutoHyphens/>
              <w:spacing w:before="23" w:line="199" w:lineRule="exact"/>
              <w:ind w:left="112"/>
              <w:rPr>
                <w:rFonts w:ascii="Verdana" w:hAnsi="Verdana" w:eastAsia="Verdana" w:cs="Verdana"/>
                <w:sz w:val="18"/>
              </w:rPr>
            </w:pPr>
            <w:r w:rsidRPr="005F055E">
              <w:rPr>
                <w:rFonts w:ascii="Verdana" w:hAnsi="Verdana" w:eastAsia="Verdana" w:cs="Verdana"/>
                <w:spacing w:val="-2"/>
                <w:sz w:val="18"/>
              </w:rPr>
              <w:t>Kraamzorg</w:t>
            </w:r>
          </w:p>
        </w:tc>
        <w:tc>
          <w:tcPr>
            <w:tcW w:w="2472" w:type="dxa"/>
          </w:tcPr>
          <w:p w:rsidRPr="005F055E" w:rsidR="00632BAA" w:rsidP="00180EEB" w:rsidRDefault="00632BAA" w14:paraId="02DB0A5C" w14:textId="77777777">
            <w:pPr>
              <w:suppressAutoHyphens/>
              <w:spacing w:before="23" w:line="199" w:lineRule="exact"/>
              <w:ind w:left="17"/>
              <w:rPr>
                <w:rFonts w:ascii="Verdana" w:hAnsi="Verdana" w:eastAsia="Verdana" w:cs="Verdana"/>
                <w:sz w:val="18"/>
              </w:rPr>
            </w:pPr>
            <w:r w:rsidRPr="005F055E">
              <w:rPr>
                <w:rFonts w:ascii="Verdana" w:hAnsi="Verdana" w:eastAsia="Verdana" w:cs="Verdana"/>
                <w:w w:val="115"/>
                <w:sz w:val="18"/>
              </w:rPr>
              <w:t>~20</w:t>
            </w:r>
            <w:r w:rsidRPr="005F055E">
              <w:rPr>
                <w:rFonts w:ascii="Verdana" w:hAnsi="Verdana" w:eastAsia="Verdana" w:cs="Verdana"/>
                <w:spacing w:val="-2"/>
                <w:w w:val="115"/>
                <w:sz w:val="18"/>
              </w:rPr>
              <w:t xml:space="preserve"> </w:t>
            </w:r>
            <w:r w:rsidRPr="005F055E">
              <w:rPr>
                <w:rFonts w:ascii="Verdana" w:hAnsi="Verdana" w:eastAsia="Verdana" w:cs="Verdana"/>
                <w:w w:val="115"/>
                <w:sz w:val="18"/>
              </w:rPr>
              <w:t>–</w:t>
            </w:r>
            <w:r w:rsidRPr="005F055E">
              <w:rPr>
                <w:rFonts w:ascii="Verdana" w:hAnsi="Verdana" w:eastAsia="Verdana" w:cs="Verdana"/>
                <w:spacing w:val="-2"/>
                <w:w w:val="115"/>
                <w:sz w:val="18"/>
              </w:rPr>
              <w:t xml:space="preserve"> </w:t>
            </w:r>
            <w:r w:rsidRPr="005F055E">
              <w:rPr>
                <w:rFonts w:ascii="Verdana" w:hAnsi="Verdana" w:eastAsia="Verdana" w:cs="Verdana"/>
                <w:spacing w:val="-5"/>
                <w:w w:val="115"/>
                <w:sz w:val="18"/>
              </w:rPr>
              <w:t>25%</w:t>
            </w:r>
          </w:p>
        </w:tc>
        <w:tc>
          <w:tcPr>
            <w:tcW w:w="2470" w:type="dxa"/>
          </w:tcPr>
          <w:p w:rsidRPr="005F055E" w:rsidR="00632BAA" w:rsidP="00180EEB" w:rsidRDefault="00632BAA" w14:paraId="282921F9" w14:textId="77777777">
            <w:pPr>
              <w:suppressAutoHyphens/>
              <w:spacing w:before="23" w:line="199" w:lineRule="exact"/>
              <w:ind w:left="14"/>
              <w:rPr>
                <w:rFonts w:ascii="Verdana" w:hAnsi="Verdana" w:eastAsia="Verdana" w:cs="Verdana"/>
                <w:sz w:val="18"/>
              </w:rPr>
            </w:pPr>
            <w:r w:rsidRPr="005F055E">
              <w:rPr>
                <w:rFonts w:ascii="Verdana" w:hAnsi="Verdana" w:eastAsia="Verdana" w:cs="Verdana"/>
                <w:spacing w:val="-10"/>
                <w:sz w:val="18"/>
              </w:rPr>
              <w:t>-</w:t>
            </w:r>
          </w:p>
        </w:tc>
      </w:tr>
      <w:tr w:rsidRPr="005F055E" w:rsidR="00632BAA" w:rsidTr="005E2643" w14:paraId="31575D59" w14:textId="77777777">
        <w:trPr>
          <w:trHeight w:val="242"/>
        </w:trPr>
        <w:tc>
          <w:tcPr>
            <w:tcW w:w="2630" w:type="dxa"/>
          </w:tcPr>
          <w:p w:rsidRPr="005F055E" w:rsidR="00632BAA" w:rsidP="00180EEB" w:rsidRDefault="00632BAA" w14:paraId="6ECEA9FA" w14:textId="77777777">
            <w:pPr>
              <w:suppressAutoHyphens/>
              <w:spacing w:before="20" w:line="202" w:lineRule="exact"/>
              <w:ind w:left="112"/>
              <w:rPr>
                <w:rFonts w:ascii="Verdana" w:hAnsi="Verdana" w:eastAsia="Verdana" w:cs="Verdana"/>
                <w:sz w:val="18"/>
              </w:rPr>
            </w:pPr>
            <w:r w:rsidRPr="005F055E">
              <w:rPr>
                <w:rFonts w:ascii="Verdana" w:hAnsi="Verdana" w:eastAsia="Verdana" w:cs="Verdana"/>
                <w:sz w:val="18"/>
              </w:rPr>
              <w:t>Paramedische</w:t>
            </w:r>
            <w:r w:rsidRPr="005F055E">
              <w:rPr>
                <w:rFonts w:ascii="Verdana" w:hAnsi="Verdana" w:eastAsia="Verdana" w:cs="Verdana"/>
                <w:spacing w:val="51"/>
                <w:sz w:val="18"/>
              </w:rPr>
              <w:t xml:space="preserve"> </w:t>
            </w:r>
            <w:r w:rsidRPr="005F055E">
              <w:rPr>
                <w:rFonts w:ascii="Verdana" w:hAnsi="Verdana" w:eastAsia="Verdana" w:cs="Verdana"/>
                <w:spacing w:val="-4"/>
                <w:sz w:val="18"/>
              </w:rPr>
              <w:t>zorg</w:t>
            </w:r>
          </w:p>
        </w:tc>
        <w:tc>
          <w:tcPr>
            <w:tcW w:w="2472" w:type="dxa"/>
          </w:tcPr>
          <w:p w:rsidRPr="005F055E" w:rsidR="00632BAA" w:rsidP="00180EEB" w:rsidRDefault="00632BAA" w14:paraId="095BD6B5" w14:textId="77777777">
            <w:pPr>
              <w:suppressAutoHyphens/>
              <w:spacing w:before="20" w:line="202" w:lineRule="exact"/>
              <w:ind w:left="17"/>
              <w:rPr>
                <w:rFonts w:ascii="Verdana" w:hAnsi="Verdana" w:eastAsia="Verdana" w:cs="Verdana"/>
                <w:sz w:val="18"/>
              </w:rPr>
            </w:pPr>
            <w:r w:rsidRPr="005F055E">
              <w:rPr>
                <w:rFonts w:ascii="Verdana" w:hAnsi="Verdana" w:eastAsia="Verdana" w:cs="Verdana"/>
                <w:w w:val="105"/>
                <w:sz w:val="18"/>
              </w:rPr>
              <w:t>~4</w:t>
            </w:r>
            <w:r w:rsidRPr="005F055E">
              <w:rPr>
                <w:rFonts w:ascii="Verdana" w:hAnsi="Verdana" w:eastAsia="Verdana" w:cs="Verdana"/>
                <w:spacing w:val="8"/>
                <w:w w:val="105"/>
                <w:sz w:val="18"/>
              </w:rPr>
              <w:t xml:space="preserve"> </w:t>
            </w:r>
            <w:r w:rsidRPr="005F055E">
              <w:rPr>
                <w:rFonts w:ascii="Verdana" w:hAnsi="Verdana" w:eastAsia="Verdana" w:cs="Verdana"/>
                <w:w w:val="105"/>
                <w:sz w:val="18"/>
              </w:rPr>
              <w:t>–</w:t>
            </w:r>
            <w:r w:rsidRPr="005F055E">
              <w:rPr>
                <w:rFonts w:ascii="Verdana" w:hAnsi="Verdana" w:eastAsia="Verdana" w:cs="Verdana"/>
                <w:spacing w:val="12"/>
                <w:w w:val="105"/>
                <w:sz w:val="18"/>
              </w:rPr>
              <w:t xml:space="preserve"> </w:t>
            </w:r>
            <w:r w:rsidRPr="005F055E">
              <w:rPr>
                <w:rFonts w:ascii="Verdana" w:hAnsi="Verdana" w:eastAsia="Verdana" w:cs="Verdana"/>
                <w:spacing w:val="-5"/>
                <w:w w:val="105"/>
                <w:sz w:val="18"/>
              </w:rPr>
              <w:t>10%</w:t>
            </w:r>
          </w:p>
        </w:tc>
        <w:tc>
          <w:tcPr>
            <w:tcW w:w="2470" w:type="dxa"/>
          </w:tcPr>
          <w:p w:rsidRPr="005F055E" w:rsidR="00632BAA" w:rsidP="00180EEB" w:rsidRDefault="00632BAA" w14:paraId="23488D09" w14:textId="77777777">
            <w:pPr>
              <w:suppressAutoHyphens/>
              <w:spacing w:before="20" w:line="202" w:lineRule="exact"/>
              <w:ind w:left="14"/>
              <w:rPr>
                <w:rFonts w:ascii="Verdana" w:hAnsi="Verdana" w:eastAsia="Verdana" w:cs="Verdana"/>
                <w:sz w:val="18"/>
              </w:rPr>
            </w:pPr>
            <w:r w:rsidRPr="005F055E">
              <w:rPr>
                <w:rFonts w:ascii="Verdana" w:hAnsi="Verdana" w:eastAsia="Verdana" w:cs="Verdana"/>
                <w:spacing w:val="-10"/>
                <w:sz w:val="18"/>
              </w:rPr>
              <w:t>-</w:t>
            </w:r>
          </w:p>
        </w:tc>
      </w:tr>
      <w:tr w:rsidRPr="005F055E" w:rsidR="00632BAA" w:rsidTr="005E2643" w14:paraId="2CED19F1" w14:textId="77777777">
        <w:trPr>
          <w:trHeight w:val="239"/>
        </w:trPr>
        <w:tc>
          <w:tcPr>
            <w:tcW w:w="2630" w:type="dxa"/>
          </w:tcPr>
          <w:p w:rsidRPr="005F055E" w:rsidR="00632BAA" w:rsidP="00180EEB" w:rsidRDefault="00632BAA" w14:paraId="7FA4F951" w14:textId="77777777">
            <w:pPr>
              <w:suppressAutoHyphens/>
              <w:spacing w:before="20" w:line="199" w:lineRule="exact"/>
              <w:ind w:left="112"/>
              <w:rPr>
                <w:rFonts w:ascii="Verdana" w:hAnsi="Verdana" w:eastAsia="Verdana" w:cs="Verdana"/>
                <w:sz w:val="18"/>
              </w:rPr>
            </w:pPr>
            <w:r w:rsidRPr="005F055E">
              <w:rPr>
                <w:rFonts w:ascii="Verdana" w:hAnsi="Verdana" w:eastAsia="Verdana" w:cs="Verdana"/>
                <w:spacing w:val="-2"/>
                <w:sz w:val="18"/>
              </w:rPr>
              <w:t>Mondzorg</w:t>
            </w:r>
          </w:p>
        </w:tc>
        <w:tc>
          <w:tcPr>
            <w:tcW w:w="2472" w:type="dxa"/>
          </w:tcPr>
          <w:p w:rsidRPr="005F055E" w:rsidR="00632BAA" w:rsidP="00180EEB" w:rsidRDefault="00632BAA" w14:paraId="76FD9E65" w14:textId="77777777">
            <w:pPr>
              <w:suppressAutoHyphens/>
              <w:spacing w:before="20" w:line="199" w:lineRule="exact"/>
              <w:ind w:left="17"/>
              <w:rPr>
                <w:rFonts w:ascii="Verdana" w:hAnsi="Verdana" w:eastAsia="Verdana" w:cs="Verdana"/>
                <w:sz w:val="18"/>
              </w:rPr>
            </w:pPr>
            <w:r w:rsidRPr="005F055E">
              <w:rPr>
                <w:rFonts w:ascii="Verdana" w:hAnsi="Verdana" w:eastAsia="Verdana" w:cs="Verdana"/>
                <w:w w:val="115"/>
                <w:sz w:val="18"/>
              </w:rPr>
              <w:t>~19</w:t>
            </w:r>
            <w:r w:rsidRPr="005F055E">
              <w:rPr>
                <w:rFonts w:ascii="Verdana" w:hAnsi="Verdana" w:eastAsia="Verdana" w:cs="Verdana"/>
                <w:spacing w:val="-2"/>
                <w:w w:val="115"/>
                <w:sz w:val="18"/>
              </w:rPr>
              <w:t xml:space="preserve"> </w:t>
            </w:r>
            <w:r w:rsidRPr="005F055E">
              <w:rPr>
                <w:rFonts w:ascii="Verdana" w:hAnsi="Verdana" w:eastAsia="Verdana" w:cs="Verdana"/>
                <w:w w:val="115"/>
                <w:sz w:val="18"/>
              </w:rPr>
              <w:t>–</w:t>
            </w:r>
            <w:r w:rsidRPr="005F055E">
              <w:rPr>
                <w:rFonts w:ascii="Verdana" w:hAnsi="Verdana" w:eastAsia="Verdana" w:cs="Verdana"/>
                <w:spacing w:val="-2"/>
                <w:w w:val="115"/>
                <w:sz w:val="18"/>
              </w:rPr>
              <w:t xml:space="preserve"> </w:t>
            </w:r>
            <w:r w:rsidRPr="005F055E">
              <w:rPr>
                <w:rFonts w:ascii="Verdana" w:hAnsi="Verdana" w:eastAsia="Verdana" w:cs="Verdana"/>
                <w:spacing w:val="-5"/>
                <w:w w:val="115"/>
                <w:sz w:val="18"/>
              </w:rPr>
              <w:t>26%</w:t>
            </w:r>
          </w:p>
        </w:tc>
        <w:tc>
          <w:tcPr>
            <w:tcW w:w="2470" w:type="dxa"/>
          </w:tcPr>
          <w:p w:rsidRPr="005F055E" w:rsidR="00632BAA" w:rsidP="00180EEB" w:rsidRDefault="00632BAA" w14:paraId="7AB28033" w14:textId="77777777">
            <w:pPr>
              <w:suppressAutoHyphens/>
              <w:spacing w:before="20" w:line="199" w:lineRule="exact"/>
              <w:ind w:left="14"/>
              <w:rPr>
                <w:rFonts w:ascii="Verdana" w:hAnsi="Verdana" w:eastAsia="Verdana" w:cs="Verdana"/>
                <w:sz w:val="18"/>
              </w:rPr>
            </w:pPr>
            <w:r w:rsidRPr="005F055E">
              <w:rPr>
                <w:rFonts w:ascii="Verdana" w:hAnsi="Verdana" w:eastAsia="Verdana" w:cs="Verdana"/>
                <w:spacing w:val="-10"/>
                <w:sz w:val="18"/>
              </w:rPr>
              <w:t>-</w:t>
            </w:r>
          </w:p>
        </w:tc>
      </w:tr>
    </w:tbl>
    <w:p w:rsidRPr="005F055E" w:rsidR="00632BAA" w:rsidP="00180EEB" w:rsidRDefault="00632BAA" w14:paraId="1F08FE4E" w14:textId="77777777">
      <w:pPr>
        <w:suppressAutoHyphens/>
        <w:spacing w:before="157" w:line="240" w:lineRule="atLeast"/>
        <w:rPr>
          <w:szCs w:val="20"/>
          <w:lang w:eastAsia="nl-NL"/>
        </w:rPr>
      </w:pPr>
      <w:r w:rsidRPr="005F055E">
        <w:rPr>
          <w:i/>
          <w:szCs w:val="20"/>
          <w:lang w:eastAsia="nl-NL"/>
        </w:rPr>
        <w:t>Aandeel</w:t>
      </w:r>
      <w:r w:rsidRPr="005F055E">
        <w:rPr>
          <w:i/>
          <w:spacing w:val="-2"/>
          <w:szCs w:val="20"/>
          <w:lang w:eastAsia="nl-NL"/>
        </w:rPr>
        <w:t xml:space="preserve"> </w:t>
      </w:r>
      <w:r w:rsidRPr="005F055E">
        <w:rPr>
          <w:i/>
          <w:szCs w:val="20"/>
          <w:lang w:eastAsia="nl-NL"/>
        </w:rPr>
        <w:t>private</w:t>
      </w:r>
      <w:r w:rsidRPr="005F055E">
        <w:rPr>
          <w:i/>
          <w:spacing w:val="-2"/>
          <w:szCs w:val="20"/>
          <w:lang w:eastAsia="nl-NL"/>
        </w:rPr>
        <w:t xml:space="preserve"> </w:t>
      </w:r>
      <w:proofErr w:type="spellStart"/>
      <w:r w:rsidRPr="005F055E">
        <w:rPr>
          <w:i/>
          <w:szCs w:val="20"/>
          <w:lang w:eastAsia="nl-NL"/>
        </w:rPr>
        <w:t>equity</w:t>
      </w:r>
      <w:proofErr w:type="spellEnd"/>
      <w:r w:rsidRPr="005F055E">
        <w:rPr>
          <w:i/>
          <w:spacing w:val="-3"/>
          <w:szCs w:val="20"/>
          <w:lang w:eastAsia="nl-NL"/>
        </w:rPr>
        <w:t xml:space="preserve"> </w:t>
      </w:r>
      <w:r w:rsidRPr="005F055E">
        <w:rPr>
          <w:i/>
          <w:szCs w:val="20"/>
          <w:lang w:eastAsia="nl-NL"/>
        </w:rPr>
        <w:t>in</w:t>
      </w:r>
      <w:r w:rsidRPr="005F055E">
        <w:rPr>
          <w:i/>
          <w:spacing w:val="-3"/>
          <w:szCs w:val="20"/>
          <w:lang w:eastAsia="nl-NL"/>
        </w:rPr>
        <w:t xml:space="preserve"> </w:t>
      </w:r>
      <w:r w:rsidRPr="005F055E">
        <w:rPr>
          <w:i/>
          <w:szCs w:val="20"/>
          <w:lang w:eastAsia="nl-NL"/>
        </w:rPr>
        <w:t>wettelijke</w:t>
      </w:r>
      <w:r w:rsidRPr="005F055E">
        <w:rPr>
          <w:i/>
          <w:spacing w:val="-2"/>
          <w:szCs w:val="20"/>
          <w:lang w:eastAsia="nl-NL"/>
        </w:rPr>
        <w:t xml:space="preserve"> </w:t>
      </w:r>
      <w:r w:rsidRPr="005F055E">
        <w:rPr>
          <w:i/>
          <w:szCs w:val="20"/>
          <w:lang w:eastAsia="nl-NL"/>
        </w:rPr>
        <w:t>geldstromen</w:t>
      </w:r>
      <w:r w:rsidRPr="005F055E">
        <w:rPr>
          <w:i/>
          <w:spacing w:val="-1"/>
          <w:szCs w:val="20"/>
          <w:lang w:eastAsia="nl-NL"/>
        </w:rPr>
        <w:t xml:space="preserve"> </w:t>
      </w:r>
      <w:proofErr w:type="spellStart"/>
      <w:r w:rsidRPr="005F055E">
        <w:rPr>
          <w:i/>
          <w:szCs w:val="20"/>
          <w:lang w:eastAsia="nl-NL"/>
        </w:rPr>
        <w:t>Zvw</w:t>
      </w:r>
      <w:proofErr w:type="spellEnd"/>
      <w:r w:rsidRPr="005F055E">
        <w:rPr>
          <w:i/>
          <w:spacing w:val="-3"/>
          <w:szCs w:val="20"/>
          <w:lang w:eastAsia="nl-NL"/>
        </w:rPr>
        <w:t xml:space="preserve"> </w:t>
      </w:r>
      <w:r w:rsidRPr="005F055E">
        <w:rPr>
          <w:i/>
          <w:szCs w:val="20"/>
          <w:lang w:eastAsia="nl-NL"/>
        </w:rPr>
        <w:t>en</w:t>
      </w:r>
      <w:r w:rsidRPr="005F055E">
        <w:rPr>
          <w:i/>
          <w:spacing w:val="-1"/>
          <w:szCs w:val="20"/>
          <w:lang w:eastAsia="nl-NL"/>
        </w:rPr>
        <w:t xml:space="preserve"> </w:t>
      </w:r>
      <w:proofErr w:type="spellStart"/>
      <w:r w:rsidRPr="005F055E">
        <w:rPr>
          <w:i/>
          <w:szCs w:val="20"/>
          <w:lang w:eastAsia="nl-NL"/>
        </w:rPr>
        <w:t>Wlz</w:t>
      </w:r>
      <w:proofErr w:type="spellEnd"/>
      <w:r w:rsidRPr="005F055E">
        <w:rPr>
          <w:i/>
          <w:spacing w:val="-3"/>
          <w:szCs w:val="20"/>
          <w:lang w:eastAsia="nl-NL"/>
        </w:rPr>
        <w:t xml:space="preserve"> </w:t>
      </w:r>
      <w:r w:rsidRPr="005F055E">
        <w:rPr>
          <w:i/>
          <w:szCs w:val="20"/>
          <w:lang w:eastAsia="nl-NL"/>
        </w:rPr>
        <w:t>per</w:t>
      </w:r>
      <w:r w:rsidRPr="005F055E">
        <w:rPr>
          <w:i/>
          <w:spacing w:val="-2"/>
          <w:szCs w:val="20"/>
          <w:lang w:eastAsia="nl-NL"/>
        </w:rPr>
        <w:t xml:space="preserve"> </w:t>
      </w:r>
      <w:r w:rsidRPr="005F055E">
        <w:rPr>
          <w:i/>
          <w:szCs w:val="20"/>
          <w:lang w:eastAsia="nl-NL"/>
        </w:rPr>
        <w:t>sector</w:t>
      </w:r>
      <w:r w:rsidRPr="005F055E">
        <w:rPr>
          <w:i/>
          <w:spacing w:val="-2"/>
          <w:szCs w:val="20"/>
          <w:lang w:eastAsia="nl-NL"/>
        </w:rPr>
        <w:t xml:space="preserve"> </w:t>
      </w:r>
      <w:r w:rsidRPr="005F055E">
        <w:rPr>
          <w:i/>
          <w:szCs w:val="20"/>
          <w:lang w:eastAsia="nl-NL"/>
        </w:rPr>
        <w:t>in</w:t>
      </w:r>
      <w:r w:rsidRPr="005F055E">
        <w:rPr>
          <w:i/>
          <w:spacing w:val="-1"/>
          <w:szCs w:val="20"/>
          <w:lang w:eastAsia="nl-NL"/>
        </w:rPr>
        <w:t xml:space="preserve"> </w:t>
      </w:r>
      <w:r w:rsidRPr="005F055E">
        <w:rPr>
          <w:i/>
          <w:spacing w:val="-4"/>
          <w:szCs w:val="20"/>
          <w:lang w:eastAsia="nl-NL"/>
        </w:rPr>
        <w:t>2022</w:t>
      </w:r>
    </w:p>
    <w:p w:rsidRPr="005F055E" w:rsidR="00632BAA" w:rsidP="00180EEB" w:rsidRDefault="00632BAA" w14:paraId="3710C250" w14:textId="77777777">
      <w:pPr>
        <w:suppressAutoHyphens/>
        <w:spacing w:line="240" w:lineRule="atLeast"/>
        <w:rPr>
          <w:szCs w:val="18"/>
          <w:lang w:eastAsia="nl-NL"/>
        </w:rPr>
      </w:pPr>
    </w:p>
    <w:p w:rsidR="00912A7D" w:rsidP="00180EEB" w:rsidRDefault="00912A7D" w14:paraId="28689468" w14:textId="77777777">
      <w:pPr>
        <w:suppressAutoHyphens/>
      </w:pPr>
    </w:p>
    <w:p w:rsidR="00F36E36" w:rsidP="00180EEB" w:rsidRDefault="00F36E36" w14:paraId="29252084" w14:textId="77777777">
      <w:pPr>
        <w:suppressAutoHyphens/>
      </w:pPr>
    </w:p>
    <w:p w:rsidR="00F36E36" w:rsidP="00180EEB" w:rsidRDefault="00F36E36" w14:paraId="620B78F0" w14:textId="77777777">
      <w:pPr>
        <w:suppressAutoHyphens/>
      </w:pPr>
    </w:p>
    <w:p w:rsidR="00F36E36" w:rsidP="00180EEB" w:rsidRDefault="00F36E36" w14:paraId="375D2CB7" w14:textId="77777777">
      <w:pPr>
        <w:suppressAutoHyphens/>
      </w:pPr>
    </w:p>
    <w:p w:rsidR="00F36E36" w:rsidP="00180EEB" w:rsidRDefault="00F36E36" w14:paraId="04B74406" w14:textId="77777777">
      <w:pPr>
        <w:suppressAutoHyphens/>
      </w:pPr>
    </w:p>
    <w:p w:rsidR="00F36E36" w:rsidP="00180EEB" w:rsidRDefault="00F36E36" w14:paraId="2EF0CE35" w14:textId="77777777">
      <w:pPr>
        <w:suppressAutoHyphens/>
      </w:pPr>
    </w:p>
    <w:p w:rsidR="00F36E36" w:rsidP="00180EEB" w:rsidRDefault="00F36E36" w14:paraId="5B107C99" w14:textId="77777777">
      <w:pPr>
        <w:suppressAutoHyphens/>
      </w:pPr>
    </w:p>
    <w:p w:rsidR="00F36E36" w:rsidP="00180EEB" w:rsidRDefault="00F36E36" w14:paraId="799EBFD0" w14:textId="77777777">
      <w:pPr>
        <w:suppressAutoHyphens/>
      </w:pPr>
    </w:p>
    <w:p w:rsidR="00F36E36" w:rsidP="00180EEB" w:rsidRDefault="00F36E36" w14:paraId="3872DBA5" w14:textId="77777777">
      <w:pPr>
        <w:suppressAutoHyphens/>
      </w:pPr>
    </w:p>
    <w:p w:rsidRPr="005F055E" w:rsidR="00912A7D" w:rsidP="00180EEB" w:rsidRDefault="003E7003" w14:paraId="03EC5F22" w14:textId="77777777">
      <w:pPr>
        <w:suppressAutoHyphens/>
      </w:pPr>
      <w:r w:rsidRPr="005F055E">
        <w:t>Vraag 157</w:t>
      </w:r>
      <w:r w:rsidRPr="005F055E">
        <w:tab/>
      </w:r>
    </w:p>
    <w:p w:rsidRPr="005F055E" w:rsidR="00912A7D" w:rsidP="00180EEB" w:rsidRDefault="003E7003" w14:paraId="0D0EA639" w14:textId="77777777">
      <w:pPr>
        <w:suppressAutoHyphens/>
      </w:pPr>
      <w:r w:rsidRPr="005F055E">
        <w:t>Hoeveel zou het opleveren als het winstverbod zou worden verbreed naar de hele zorg?</w:t>
      </w:r>
      <w:r w:rsidRPr="005F055E">
        <w:tab/>
      </w:r>
    </w:p>
    <w:p w:rsidRPr="005F055E" w:rsidR="003E7003" w:rsidP="00180EEB" w:rsidRDefault="003E7003" w14:paraId="2CF5EA8D" w14:textId="1E0A5293">
      <w:pPr>
        <w:suppressAutoHyphens/>
      </w:pPr>
      <w:r w:rsidRPr="005F055E">
        <w:t>Antwoord</w:t>
      </w:r>
    </w:p>
    <w:p w:rsidRPr="005F055E" w:rsidR="00632BAA" w:rsidP="00180EEB" w:rsidRDefault="00632BAA" w14:paraId="01C6FFED" w14:textId="11D06636">
      <w:pPr>
        <w:suppressAutoHyphens/>
        <w:spacing w:line="240" w:lineRule="atLeast"/>
        <w:rPr>
          <w:szCs w:val="20"/>
          <w:lang w:eastAsia="nl-NL"/>
        </w:rPr>
      </w:pPr>
      <w:r w:rsidRPr="005F055E">
        <w:rPr>
          <w:szCs w:val="20"/>
          <w:lang w:eastAsia="nl-NL"/>
        </w:rPr>
        <w:t>Er is geen integraal overzicht van uitgekeerde winsten van zorgaanbieders. In de Wet toelating zorginstellingen (</w:t>
      </w:r>
      <w:proofErr w:type="spellStart"/>
      <w:r w:rsidRPr="005F055E">
        <w:rPr>
          <w:szCs w:val="20"/>
          <w:lang w:eastAsia="nl-NL"/>
        </w:rPr>
        <w:t>Wtzi</w:t>
      </w:r>
      <w:proofErr w:type="spellEnd"/>
      <w:r w:rsidRPr="005F055E">
        <w:rPr>
          <w:szCs w:val="20"/>
          <w:lang w:eastAsia="nl-NL"/>
        </w:rPr>
        <w:t>) is voor zorginstellingen die zorg verlenen waarop aanspraak bestaat uit hoofde van de Zorgverzekeringswet (</w:t>
      </w:r>
      <w:proofErr w:type="spellStart"/>
      <w:r w:rsidRPr="005F055E">
        <w:rPr>
          <w:szCs w:val="20"/>
          <w:lang w:eastAsia="nl-NL"/>
        </w:rPr>
        <w:t>Zvw</w:t>
      </w:r>
      <w:proofErr w:type="spellEnd"/>
      <w:r w:rsidRPr="005F055E">
        <w:rPr>
          <w:szCs w:val="20"/>
          <w:lang w:eastAsia="nl-NL"/>
        </w:rPr>
        <w:t>) of de Wet Langdurige Zorg (</w:t>
      </w:r>
      <w:proofErr w:type="spellStart"/>
      <w:r w:rsidRPr="005F055E">
        <w:rPr>
          <w:szCs w:val="20"/>
          <w:lang w:eastAsia="nl-NL"/>
        </w:rPr>
        <w:t>Wlz</w:t>
      </w:r>
      <w:proofErr w:type="spellEnd"/>
      <w:r w:rsidRPr="005F055E">
        <w:rPr>
          <w:szCs w:val="20"/>
          <w:lang w:eastAsia="nl-NL"/>
        </w:rPr>
        <w:t>), een verbod op winstuitkering vastgelegd. Daarbij is bij algemene maatregel van bestuur voor een aantal categorieën instellingen een uitzondering gemaakt: die categorieën instellingen mogen dus wel winst uitkeren. Er is ook geen zicht op de financiële gevolgen van gedragseffecten die zouden optreden bij een verbreding van het verbod op winstuitkering. Denk hierbij aan zorgaanbieders die stoppen met het aanbieden van zorg waardoor het toch al schaarse aanbod vermindert. In de publicatie ‘Zorgkeuzes in Kaart’</w:t>
      </w:r>
      <w:r w:rsidRPr="005F055E">
        <w:rPr>
          <w:szCs w:val="20"/>
          <w:vertAlign w:val="superscript"/>
          <w:lang w:eastAsia="nl-NL"/>
        </w:rPr>
        <w:footnoteReference w:id="56"/>
      </w:r>
      <w:r w:rsidRPr="005F055E">
        <w:rPr>
          <w:szCs w:val="20"/>
          <w:lang w:eastAsia="nl-NL"/>
        </w:rPr>
        <w:t xml:space="preserve"> is geconcludeerd dat een algeheel verbod op winstuitkering leidt tot transitiekosten bij zorgaanbieders die in de huidige situatie winst uit mogen keren. Deze transitiekosten werden geraamd op jaarlijks € 80 miljoen gedurende twee jaar. </w:t>
      </w:r>
    </w:p>
    <w:p w:rsidRPr="005F055E" w:rsidR="00912A7D" w:rsidP="00180EEB" w:rsidRDefault="00632BAA" w14:paraId="079A0FE2" w14:textId="4A54E729">
      <w:pPr>
        <w:suppressAutoHyphens/>
      </w:pPr>
      <w:r w:rsidRPr="005F055E">
        <w:rPr>
          <w:szCs w:val="20"/>
          <w:lang w:eastAsia="nl-NL"/>
        </w:rPr>
        <w:t>Deze combinatie van factoren maakt het niet mogelijk om in beeld te brengen wat een verbreding van het winstuitkeringsverbod naar de gehele zorg zou opleveren of kosten.</w:t>
      </w:r>
    </w:p>
    <w:p w:rsidRPr="005F055E" w:rsidR="00912A7D" w:rsidP="00180EEB" w:rsidRDefault="00912A7D" w14:paraId="4ADBB098" w14:textId="77777777">
      <w:pPr>
        <w:suppressAutoHyphens/>
      </w:pPr>
    </w:p>
    <w:p w:rsidRPr="005F055E" w:rsidR="00912A7D" w:rsidP="00180EEB" w:rsidRDefault="003E7003" w14:paraId="062BD6F5" w14:textId="77777777">
      <w:pPr>
        <w:suppressAutoHyphens/>
      </w:pPr>
      <w:r w:rsidRPr="005F055E">
        <w:t>Vraag 158</w:t>
      </w:r>
      <w:r w:rsidRPr="005F055E">
        <w:tab/>
      </w:r>
    </w:p>
    <w:p w:rsidRPr="005F055E" w:rsidR="00912A7D" w:rsidP="00180EEB" w:rsidRDefault="003E7003" w14:paraId="2EFEA1F7" w14:textId="77777777">
      <w:pPr>
        <w:suppressAutoHyphens/>
      </w:pPr>
      <w:r w:rsidRPr="005F055E">
        <w:t>Hoeveel mensen maakten in 2024 hun volledige eigen risico vol?</w:t>
      </w:r>
      <w:r w:rsidRPr="005F055E">
        <w:tab/>
      </w:r>
    </w:p>
    <w:p w:rsidRPr="005F055E" w:rsidR="003E7003" w:rsidP="00180EEB" w:rsidRDefault="003E7003" w14:paraId="7133FE42" w14:textId="79983E18">
      <w:pPr>
        <w:suppressAutoHyphens/>
      </w:pPr>
      <w:r w:rsidRPr="005F055E">
        <w:t>Antwoord</w:t>
      </w:r>
    </w:p>
    <w:p w:rsidRPr="005F055E" w:rsidR="00912A7D" w:rsidP="00180EEB" w:rsidRDefault="00575B14" w14:paraId="55FDC324" w14:textId="00765E17">
      <w:pPr>
        <w:suppressAutoHyphens/>
        <w:spacing w:line="276" w:lineRule="auto"/>
        <w:rPr>
          <w:szCs w:val="18"/>
        </w:rPr>
      </w:pPr>
      <w:r w:rsidRPr="005F055E">
        <w:rPr>
          <w:szCs w:val="18"/>
        </w:rPr>
        <w:t>Voor 2024 wordt verwacht dat 7,2 miljoen mensen (circa 50% van de volwassen verzekerden) hun volledige verplicht eigen risico hebben volgemaakt.</w:t>
      </w:r>
    </w:p>
    <w:p w:rsidRPr="005F055E" w:rsidR="00912A7D" w:rsidP="00180EEB" w:rsidRDefault="00912A7D" w14:paraId="01F45622" w14:textId="77777777">
      <w:pPr>
        <w:suppressAutoHyphens/>
      </w:pPr>
    </w:p>
    <w:p w:rsidRPr="005F055E" w:rsidR="00912A7D" w:rsidP="00180EEB" w:rsidRDefault="003E7003" w14:paraId="27EA976B" w14:textId="77777777">
      <w:pPr>
        <w:suppressAutoHyphens/>
      </w:pPr>
      <w:r w:rsidRPr="005F055E">
        <w:t>Vraag 159</w:t>
      </w:r>
      <w:r w:rsidRPr="005F055E">
        <w:tab/>
      </w:r>
    </w:p>
    <w:p w:rsidRPr="005F055E" w:rsidR="00912A7D" w:rsidP="00180EEB" w:rsidRDefault="003E7003" w14:paraId="6A77D6F1" w14:textId="77777777">
      <w:pPr>
        <w:suppressAutoHyphens/>
      </w:pPr>
      <w:r w:rsidRPr="005F055E">
        <w:t>Hoeveel mensen hebben in 2025 hun gehele eigen risico in de eerste maand van het jaar opgemaakt?</w:t>
      </w:r>
      <w:r w:rsidRPr="005F055E">
        <w:tab/>
      </w:r>
    </w:p>
    <w:p w:rsidRPr="005F055E" w:rsidR="003E7003" w:rsidP="00180EEB" w:rsidRDefault="003E7003" w14:paraId="72AE1E6A" w14:textId="6DBF99B0">
      <w:pPr>
        <w:suppressAutoHyphens/>
      </w:pPr>
      <w:r w:rsidRPr="005F055E">
        <w:t>Antwoord</w:t>
      </w:r>
    </w:p>
    <w:p w:rsidRPr="005F055E" w:rsidR="00912A7D" w:rsidP="00180EEB" w:rsidRDefault="00575B14" w14:paraId="7F02E833" w14:textId="651E8CD5">
      <w:pPr>
        <w:suppressAutoHyphens/>
      </w:pPr>
      <w:r w:rsidRPr="005F055E">
        <w:t>Hierover zijn geen gegevens beschikbaar.</w:t>
      </w:r>
    </w:p>
    <w:p w:rsidRPr="005F055E" w:rsidR="00575B14" w:rsidP="00180EEB" w:rsidRDefault="00575B14" w14:paraId="58653742" w14:textId="77777777">
      <w:pPr>
        <w:suppressAutoHyphens/>
      </w:pPr>
    </w:p>
    <w:p w:rsidRPr="005F055E" w:rsidR="00912A7D" w:rsidP="00180EEB" w:rsidRDefault="003E7003" w14:paraId="41072468" w14:textId="77777777">
      <w:pPr>
        <w:suppressAutoHyphens/>
      </w:pPr>
      <w:r w:rsidRPr="005F055E">
        <w:t>Vraag 160</w:t>
      </w:r>
      <w:r w:rsidRPr="005F055E">
        <w:tab/>
      </w:r>
    </w:p>
    <w:p w:rsidRPr="005F055E" w:rsidR="00912A7D" w:rsidP="00180EEB" w:rsidRDefault="003E7003" w14:paraId="5C3966E8" w14:textId="77777777">
      <w:pPr>
        <w:suppressAutoHyphens/>
      </w:pPr>
      <w:r w:rsidRPr="005F055E">
        <w:t>Hoeveel zou het jaarlijks kosten om zowel het verplicht als het vrijwillig eigen risico af te schaffen? Welk deel hiervan bestaat uit het wegvallen van het zogeheten ‘remgeldeffect’?</w:t>
      </w:r>
      <w:r w:rsidRPr="005F055E">
        <w:tab/>
      </w:r>
    </w:p>
    <w:p w:rsidRPr="005F055E" w:rsidR="003E7003" w:rsidP="00180EEB" w:rsidRDefault="003E7003" w14:paraId="1CD1ACD7" w14:textId="4A0C7D8D">
      <w:pPr>
        <w:suppressAutoHyphens/>
      </w:pPr>
      <w:r w:rsidRPr="005F055E">
        <w:t>Antwoord</w:t>
      </w:r>
    </w:p>
    <w:p w:rsidRPr="005F055E" w:rsidR="00575B14" w:rsidP="00180EEB" w:rsidRDefault="00885DD3" w14:paraId="4D0A0F7B" w14:textId="3CB71021">
      <w:pPr>
        <w:suppressAutoHyphens/>
        <w:spacing w:line="276" w:lineRule="auto"/>
        <w:rPr>
          <w:szCs w:val="18"/>
        </w:rPr>
      </w:pPr>
      <w:r>
        <w:rPr>
          <w:szCs w:val="18"/>
        </w:rPr>
        <w:t xml:space="preserve">In het Hoofdlijnenakkoord is afgesproken </w:t>
      </w:r>
      <w:r w:rsidRPr="005F055E" w:rsidR="00575B14">
        <w:rPr>
          <w:szCs w:val="18"/>
        </w:rPr>
        <w:t>om het verplicht eigen risico per 2027 te verlagen naar € 165 en het eigen risico voor medisch specialistische zorg te trancheren (op € 50 per behandelprestatie in 2027). De kosten hiervan (€ 4,1 miljard in 2027) zijn reeds verwerkt in de begroting.</w:t>
      </w:r>
    </w:p>
    <w:p w:rsidRPr="005F055E" w:rsidR="00592988" w:rsidP="00180EEB" w:rsidRDefault="00575B14" w14:paraId="23E334C2" w14:textId="695253FC">
      <w:pPr>
        <w:suppressAutoHyphens/>
        <w:spacing w:line="276" w:lineRule="auto"/>
        <w:rPr>
          <w:szCs w:val="18"/>
        </w:rPr>
      </w:pPr>
      <w:r w:rsidRPr="005F055E">
        <w:rPr>
          <w:szCs w:val="18"/>
        </w:rPr>
        <w:t>Het kost naar verwachting € 2,7 miljard extra om het verplicht eigen risico, dat per 2027 dus al verlaagd wordt naar € 165, volledig af te schaffen. Hiervan betreft € 1,6 miljard de derving van de opbrengsten van het verplicht eigen risico. Naar verwachting zal het remgeldeffect ongeveer € 1,1 miljard bedragen. Voor het remgeld wordt normaliter aangesloten bij ramingen van het CPB; he</w:t>
      </w:r>
      <w:r w:rsidRPr="005F055E">
        <w:t xml:space="preserve">t </w:t>
      </w:r>
      <w:r w:rsidRPr="005F055E">
        <w:rPr>
          <w:szCs w:val="18"/>
        </w:rPr>
        <w:t>CPB zou daarom om een actuele inschatting van de remgeldeffecten gevraagd moeten worden.</w:t>
      </w:r>
      <w:r w:rsidRPr="005F055E" w:rsidR="00592988">
        <w:rPr>
          <w:szCs w:val="18"/>
        </w:rPr>
        <w:t xml:space="preserve"> Doordat mensen zich minder bewust zijn van de kosten zullen zij sneller en vaker een beroep doen op de zorg. Dit kan zowel om noodzakelijke als niet-noodzakelijke zorg gaan.</w:t>
      </w:r>
    </w:p>
    <w:p w:rsidRPr="005F055E" w:rsidR="00575B14" w:rsidP="00180EEB" w:rsidRDefault="00575B14" w14:paraId="257F146D" w14:textId="5151EF31">
      <w:pPr>
        <w:suppressAutoHyphens/>
        <w:spacing w:line="276" w:lineRule="auto"/>
        <w:rPr>
          <w:szCs w:val="18"/>
        </w:rPr>
      </w:pPr>
      <w:r w:rsidRPr="005F055E">
        <w:rPr>
          <w:szCs w:val="18"/>
        </w:rPr>
        <w:t>In 2023 is onderzoek gedaan naar het vrijwillig eigen risico.</w:t>
      </w:r>
      <w:r w:rsidRPr="005F055E">
        <w:rPr>
          <w:rStyle w:val="Voetnootmarkering"/>
          <w:szCs w:val="18"/>
        </w:rPr>
        <w:footnoteReference w:id="57"/>
      </w:r>
      <w:r w:rsidRPr="005F055E">
        <w:rPr>
          <w:szCs w:val="18"/>
        </w:rPr>
        <w:t xml:space="preserve"> Afschaffing van het vrijwillig eigen risico zou leiden tot een toename van de totale zorguitgaven met circa € 120 miljoen per jaar. Dit bestaat volledig uit het wegvallen van het remgeldeffect.</w:t>
      </w:r>
    </w:p>
    <w:p w:rsidRPr="005F055E" w:rsidR="00575B14" w:rsidP="00180EEB" w:rsidRDefault="00575B14" w14:paraId="173F69D9" w14:textId="77777777">
      <w:pPr>
        <w:suppressAutoHyphens/>
        <w:spacing w:line="276" w:lineRule="auto"/>
        <w:rPr>
          <w:szCs w:val="18"/>
        </w:rPr>
      </w:pPr>
      <w:r w:rsidRPr="005F055E">
        <w:rPr>
          <w:szCs w:val="18"/>
        </w:rPr>
        <w:t>De kosten van het afschaffen van zowel het verplicht als vrijwillig eigen risico zullen jaarlijks toenemen, vanwege de stijging van de zorgkosten.</w:t>
      </w:r>
    </w:p>
    <w:p w:rsidRPr="005F055E" w:rsidR="00912A7D" w:rsidP="00180EEB" w:rsidRDefault="00912A7D" w14:paraId="085167F0" w14:textId="77777777">
      <w:pPr>
        <w:suppressAutoHyphens/>
      </w:pPr>
    </w:p>
    <w:p w:rsidRPr="005F055E" w:rsidR="00912A7D" w:rsidP="00180EEB" w:rsidRDefault="003E7003" w14:paraId="2CAC2776" w14:textId="77777777">
      <w:pPr>
        <w:suppressAutoHyphens/>
      </w:pPr>
      <w:r w:rsidRPr="005F055E">
        <w:t>Vraag 161</w:t>
      </w:r>
      <w:r w:rsidRPr="005F055E">
        <w:tab/>
      </w:r>
    </w:p>
    <w:p w:rsidRPr="005F055E" w:rsidR="00912A7D" w:rsidP="00180EEB" w:rsidRDefault="003E7003" w14:paraId="3F2BFD8B" w14:textId="77777777">
      <w:pPr>
        <w:suppressAutoHyphens/>
      </w:pPr>
      <w:r w:rsidRPr="005F055E">
        <w:t>Hoeveel zou het kosten om mondzorg op te nemen in het basispakket? Hoeveel zou het kosten als dit zou gebeuren zonder eigen risico?</w:t>
      </w:r>
      <w:r w:rsidRPr="005F055E">
        <w:tab/>
      </w:r>
    </w:p>
    <w:p w:rsidRPr="005F055E" w:rsidR="003E7003" w:rsidP="00180EEB" w:rsidRDefault="003E7003" w14:paraId="32E06FF9" w14:textId="63729E33">
      <w:pPr>
        <w:suppressAutoHyphens/>
      </w:pPr>
      <w:r w:rsidRPr="005F055E">
        <w:t>Antwoord</w:t>
      </w:r>
    </w:p>
    <w:p w:rsidRPr="005F055E" w:rsidR="00912A7D" w:rsidP="00180EEB" w:rsidRDefault="00632BAA" w14:paraId="4B713BF1" w14:textId="6C01B611">
      <w:pPr>
        <w:suppressAutoHyphens/>
        <w:spacing w:line="240" w:lineRule="atLeast"/>
        <w:rPr>
          <w:szCs w:val="18"/>
          <w:lang w:eastAsia="nl-NL"/>
        </w:rPr>
      </w:pPr>
      <w:r w:rsidRPr="005F055E">
        <w:rPr>
          <w:szCs w:val="18"/>
          <w:lang w:eastAsia="nl-NL"/>
        </w:rPr>
        <w:t>Het Zorginstituut is gevraagd om te adviseren over een passende aanspraak op mondzorg en heeft vorig jaar in dit kader een kostenanalyse opgeleverd.</w:t>
      </w:r>
      <w:r w:rsidRPr="005F055E">
        <w:rPr>
          <w:szCs w:val="18"/>
          <w:vertAlign w:val="superscript"/>
          <w:lang w:eastAsia="nl-NL"/>
        </w:rPr>
        <w:footnoteReference w:id="58"/>
      </w:r>
      <w:r w:rsidRPr="005F055E">
        <w:rPr>
          <w:szCs w:val="18"/>
          <w:lang w:eastAsia="nl-NL"/>
        </w:rPr>
        <w:t xml:space="preserve"> In dit rapport zijn meerdere scenario’s doorgerekend: 1. jaarlijkse controles, 2. gebitsreiniging en het maken van foto’s, 3. aanspraak mondzorg jeugd uitbreiden voor volwassenen, 4. medisch noodzakelijke handelingen en 5. verruiming van de huidige aanspraak tot de leeftijd van 25 jaar. De budgetimpact van het meest uitgebreide pakket (scenario 3) wordt</w:t>
      </w:r>
      <w:r w:rsidRPr="005F055E" w:rsidR="000256C7">
        <w:rPr>
          <w:szCs w:val="18"/>
          <w:lang w:eastAsia="nl-NL"/>
        </w:rPr>
        <w:t xml:space="preserve"> geschat</w:t>
      </w:r>
      <w:r w:rsidRPr="005F055E">
        <w:rPr>
          <w:szCs w:val="18"/>
          <w:lang w:eastAsia="nl-NL"/>
        </w:rPr>
        <w:t xml:space="preserve"> tussen € 1,6 en </w:t>
      </w:r>
      <w:r w:rsidRPr="005F055E" w:rsidR="000256C7">
        <w:rPr>
          <w:szCs w:val="18"/>
          <w:lang w:eastAsia="nl-NL"/>
        </w:rPr>
        <w:t xml:space="preserve">€ </w:t>
      </w:r>
      <w:r w:rsidRPr="005F055E">
        <w:rPr>
          <w:szCs w:val="18"/>
          <w:lang w:eastAsia="nl-NL"/>
        </w:rPr>
        <w:t>1,7 miljard geschat, uitgaande van een eigen risico van € 385</w:t>
      </w:r>
      <w:r w:rsidRPr="005F055E" w:rsidR="000256C7">
        <w:rPr>
          <w:szCs w:val="18"/>
          <w:lang w:eastAsia="nl-NL"/>
        </w:rPr>
        <w:t>, en tussen € 2,3 en € 2,5 miljard uitgaande van een eigen risico van € 165</w:t>
      </w:r>
      <w:r w:rsidRPr="005F055E">
        <w:rPr>
          <w:szCs w:val="18"/>
          <w:lang w:eastAsia="nl-NL"/>
        </w:rPr>
        <w:t xml:space="preserve">. Zonder eigen risico zou de budgetimpact tussen € 2,9 en </w:t>
      </w:r>
      <w:r w:rsidRPr="005F055E" w:rsidR="000256C7">
        <w:rPr>
          <w:szCs w:val="18"/>
          <w:lang w:eastAsia="nl-NL"/>
        </w:rPr>
        <w:t xml:space="preserve">€ </w:t>
      </w:r>
      <w:r w:rsidRPr="005F055E">
        <w:rPr>
          <w:szCs w:val="18"/>
          <w:lang w:eastAsia="nl-NL"/>
        </w:rPr>
        <w:t>3,2 miljard liggen. Genoemde bedragen zijn in prijspeil 2023.</w:t>
      </w:r>
    </w:p>
    <w:p w:rsidRPr="005F055E" w:rsidR="00341727" w:rsidP="00180EEB" w:rsidRDefault="00341727" w14:paraId="04205906" w14:textId="37C9DCF5">
      <w:pPr>
        <w:tabs>
          <w:tab w:val="left" w:pos="1005"/>
        </w:tabs>
        <w:suppressAutoHyphens/>
      </w:pPr>
      <w:r w:rsidRPr="005F055E">
        <w:tab/>
      </w:r>
    </w:p>
    <w:p w:rsidRPr="005F055E" w:rsidR="00912A7D" w:rsidP="00180EEB" w:rsidRDefault="003E7003" w14:paraId="18BAE953" w14:textId="77777777">
      <w:pPr>
        <w:suppressAutoHyphens/>
      </w:pPr>
      <w:r w:rsidRPr="005F055E">
        <w:t>Vraag 162</w:t>
      </w:r>
      <w:r w:rsidRPr="005F055E">
        <w:tab/>
      </w:r>
    </w:p>
    <w:p w:rsidRPr="005F055E" w:rsidR="00912A7D" w:rsidP="00180EEB" w:rsidRDefault="003E7003" w14:paraId="71F04F9C" w14:textId="77777777">
      <w:pPr>
        <w:suppressAutoHyphens/>
      </w:pPr>
      <w:r w:rsidRPr="005F055E">
        <w:t>Hoeveel zou het kosten om periodieke controles bij de tandarts op te nemen in het basispakket? Hoeveel zou het kosten als dit zou gebeuren zonder eigen risico?</w:t>
      </w:r>
      <w:r w:rsidRPr="005F055E">
        <w:tab/>
      </w:r>
    </w:p>
    <w:p w:rsidRPr="005F055E" w:rsidR="003E7003" w:rsidP="00180EEB" w:rsidRDefault="003E7003" w14:paraId="67348250" w14:textId="5595E147">
      <w:pPr>
        <w:suppressAutoHyphens/>
      </w:pPr>
      <w:r w:rsidRPr="005F055E">
        <w:t>Antwoord</w:t>
      </w:r>
    </w:p>
    <w:p w:rsidRPr="005F055E" w:rsidR="00632BAA" w:rsidP="00180EEB" w:rsidRDefault="00632BAA" w14:paraId="45B2CCC3" w14:textId="3A707594">
      <w:pPr>
        <w:suppressAutoHyphens/>
        <w:spacing w:line="240" w:lineRule="atLeast"/>
        <w:rPr>
          <w:szCs w:val="18"/>
          <w:lang w:eastAsia="nl-NL"/>
        </w:rPr>
      </w:pPr>
      <w:bookmarkStart w:name="_Hlk210925932" w:id="27"/>
      <w:r w:rsidRPr="005F055E">
        <w:rPr>
          <w:szCs w:val="18"/>
          <w:lang w:eastAsia="nl-NL"/>
        </w:rPr>
        <w:t>Het Zorginstituut heeft ingeschat wat de budgetimpact zou zijn als periodieke controles ook voor volwassenen in het basispakket komen.</w:t>
      </w:r>
      <w:r w:rsidRPr="005F055E">
        <w:rPr>
          <w:szCs w:val="18"/>
          <w:vertAlign w:val="superscript"/>
          <w:lang w:eastAsia="nl-NL"/>
        </w:rPr>
        <w:footnoteReference w:id="59"/>
      </w:r>
      <w:r w:rsidRPr="005F055E">
        <w:rPr>
          <w:szCs w:val="18"/>
          <w:lang w:eastAsia="nl-NL"/>
        </w:rPr>
        <w:t xml:space="preserve"> Er is een scenario doorgerekend waarbij er 1 periodieke controle per jaar aan het basispakket toegevoegd wordt en een scenario waarbij er 2 periodieke controles per jaar toegevoegd worden. Bij 1 periodieke controle per jaar zou de geschatte budgetimpact tussen € 137 en </w:t>
      </w:r>
      <w:r w:rsidRPr="005F055E" w:rsidR="000256C7">
        <w:rPr>
          <w:szCs w:val="18"/>
          <w:lang w:eastAsia="nl-NL"/>
        </w:rPr>
        <w:t xml:space="preserve">€ </w:t>
      </w:r>
      <w:r w:rsidRPr="005F055E">
        <w:rPr>
          <w:szCs w:val="18"/>
          <w:lang w:eastAsia="nl-NL"/>
        </w:rPr>
        <w:t>150 miljoen liggen met een eigen risico van € 385</w:t>
      </w:r>
      <w:r w:rsidRPr="005F055E" w:rsidR="000256C7">
        <w:rPr>
          <w:szCs w:val="18"/>
          <w:lang w:eastAsia="nl-NL"/>
        </w:rPr>
        <w:t xml:space="preserve">, en tussen </w:t>
      </w:r>
      <w:r w:rsidRPr="005F055E" w:rsidR="000256C7">
        <w:rPr>
          <w:szCs w:val="18"/>
        </w:rPr>
        <w:t>€ 172 en € 188 miljoen met een eigen risico van € 165. Zonder eigen risico wordt de budgetimpact geschat</w:t>
      </w:r>
      <w:r w:rsidRPr="005F055E">
        <w:rPr>
          <w:szCs w:val="18"/>
          <w:lang w:eastAsia="nl-NL"/>
        </w:rPr>
        <w:t xml:space="preserve"> tussen € 297 en </w:t>
      </w:r>
      <w:r w:rsidRPr="005F055E" w:rsidR="008D1697">
        <w:rPr>
          <w:szCs w:val="18"/>
          <w:lang w:eastAsia="nl-NL"/>
        </w:rPr>
        <w:t xml:space="preserve">€ </w:t>
      </w:r>
      <w:r w:rsidRPr="005F055E">
        <w:rPr>
          <w:szCs w:val="18"/>
          <w:lang w:eastAsia="nl-NL"/>
        </w:rPr>
        <w:t xml:space="preserve">321 miljoen. Bij 2 periodieke controles is de budgetimpact ingeschat tussen € 277 en </w:t>
      </w:r>
      <w:r w:rsidRPr="005F055E" w:rsidR="000256C7">
        <w:rPr>
          <w:szCs w:val="18"/>
          <w:lang w:eastAsia="nl-NL"/>
        </w:rPr>
        <w:t xml:space="preserve">€ </w:t>
      </w:r>
      <w:r w:rsidRPr="005F055E">
        <w:rPr>
          <w:szCs w:val="18"/>
          <w:lang w:eastAsia="nl-NL"/>
        </w:rPr>
        <w:t>304 miljoen met een eigen risico van € 385 en</w:t>
      </w:r>
      <w:r w:rsidRPr="005F055E" w:rsidR="000256C7">
        <w:rPr>
          <w:szCs w:val="18"/>
          <w:lang w:eastAsia="nl-NL"/>
        </w:rPr>
        <w:t xml:space="preserve"> tussen </w:t>
      </w:r>
      <w:r w:rsidRPr="005F055E" w:rsidR="000256C7">
        <w:rPr>
          <w:szCs w:val="18"/>
        </w:rPr>
        <w:t>€ 350 en 383 miljoen met een eigen risico van € 165. Zonder eigen risico wordt de budgetimpact geschat</w:t>
      </w:r>
      <w:r w:rsidRPr="005F055E">
        <w:rPr>
          <w:szCs w:val="18"/>
          <w:lang w:eastAsia="nl-NL"/>
        </w:rPr>
        <w:t xml:space="preserve"> tussen € 595 en </w:t>
      </w:r>
      <w:r w:rsidRPr="005F055E" w:rsidR="000256C7">
        <w:rPr>
          <w:szCs w:val="18"/>
          <w:lang w:eastAsia="nl-NL"/>
        </w:rPr>
        <w:t xml:space="preserve">€ </w:t>
      </w:r>
      <w:r w:rsidRPr="005F055E">
        <w:rPr>
          <w:szCs w:val="18"/>
          <w:lang w:eastAsia="nl-NL"/>
        </w:rPr>
        <w:t>642 miljoen. Genoemde bedragen zijn in prijspeil 2023.</w:t>
      </w:r>
    </w:p>
    <w:bookmarkEnd w:id="27"/>
    <w:p w:rsidRPr="005F055E" w:rsidR="00912A7D" w:rsidP="00180EEB" w:rsidRDefault="00912A7D" w14:paraId="3EC3BE0E" w14:textId="77777777">
      <w:pPr>
        <w:suppressAutoHyphens/>
      </w:pPr>
    </w:p>
    <w:p w:rsidRPr="005F055E" w:rsidR="00912A7D" w:rsidP="00180EEB" w:rsidRDefault="003E7003" w14:paraId="360A3C0E" w14:textId="77777777">
      <w:pPr>
        <w:suppressAutoHyphens/>
      </w:pPr>
      <w:r w:rsidRPr="005F055E">
        <w:t>Vraag 163</w:t>
      </w:r>
      <w:r w:rsidRPr="005F055E">
        <w:tab/>
      </w:r>
    </w:p>
    <w:p w:rsidRPr="005F055E" w:rsidR="00912A7D" w:rsidP="00180EEB" w:rsidRDefault="003E7003" w14:paraId="63B20BE0" w14:textId="77777777">
      <w:pPr>
        <w:suppressAutoHyphens/>
      </w:pPr>
      <w:r w:rsidRPr="005F055E">
        <w:t>Hoeveel zou het kosten om fysiotherapie op te nemen in het basispakket? Hoeveel zou het kosten als dit zou gebeuren zonder eigen risico?</w:t>
      </w:r>
      <w:r w:rsidRPr="005F055E">
        <w:tab/>
      </w:r>
    </w:p>
    <w:p w:rsidRPr="005F055E" w:rsidR="003E7003" w:rsidP="00180EEB" w:rsidRDefault="003E7003" w14:paraId="6478359D" w14:textId="41AEA30D">
      <w:pPr>
        <w:suppressAutoHyphens/>
      </w:pPr>
      <w:r w:rsidRPr="005F055E">
        <w:t>Antwoord</w:t>
      </w:r>
    </w:p>
    <w:p w:rsidRPr="005F055E" w:rsidR="00912A7D" w:rsidP="00180EEB" w:rsidRDefault="00632BAA" w14:paraId="3DD58938" w14:textId="58044B4E">
      <w:pPr>
        <w:tabs>
          <w:tab w:val="left" w:pos="2220"/>
        </w:tabs>
        <w:suppressAutoHyphens/>
        <w:spacing w:line="240" w:lineRule="atLeast"/>
        <w:rPr>
          <w:szCs w:val="18"/>
          <w:lang w:eastAsia="nl-NL"/>
        </w:rPr>
      </w:pPr>
      <w:r w:rsidRPr="005F055E">
        <w:rPr>
          <w:szCs w:val="18"/>
          <w:lang w:eastAsia="nl-NL"/>
        </w:rPr>
        <w:t xml:space="preserve">In het rapport </w:t>
      </w:r>
      <w:r w:rsidRPr="005F055E">
        <w:rPr>
          <w:i/>
          <w:iCs/>
          <w:szCs w:val="18"/>
          <w:lang w:eastAsia="nl-NL"/>
        </w:rPr>
        <w:t>Passende aanspraak fysio- en oefentherapie</w:t>
      </w:r>
      <w:r w:rsidRPr="005F055E">
        <w:rPr>
          <w:szCs w:val="18"/>
          <w:lang w:eastAsia="nl-NL"/>
        </w:rPr>
        <w:t xml:space="preserve"> van het Zorginstituut</w:t>
      </w:r>
      <w:r w:rsidRPr="005F055E">
        <w:rPr>
          <w:szCs w:val="18"/>
          <w:vertAlign w:val="superscript"/>
          <w:lang w:eastAsia="nl-NL"/>
        </w:rPr>
        <w:footnoteReference w:id="60"/>
      </w:r>
      <w:r w:rsidRPr="005F055E">
        <w:rPr>
          <w:szCs w:val="18"/>
          <w:lang w:eastAsia="nl-NL"/>
        </w:rPr>
        <w:t xml:space="preserve"> staat dat in 2022 € 0,67 miljard aan eerstelijns fysiotherapie én oefentherapie vergoed werd vanuit de basisverzekering. En € 1,11 miljard vanuit de aanvullende verzekering. Het is niet bekend hoeveel geld patiënten aan eerstelijns fysio- en oefentherapie uitgeven buiten de basisverzekering en aanvullende verzekering om. VWS heeft dus geen compleet inzicht in wat het zou kosten om álle fysiotherapie (en oefentherapie) op te nemen in het basispakket. Dit zou nader onderzocht en geanalyseerd kunnen worden. Daarbij moet dan ook rekening gehouden worden met het effect van het eigen risico</w:t>
      </w:r>
      <w:r w:rsidRPr="005F055E" w:rsidR="000256C7">
        <w:rPr>
          <w:szCs w:val="18"/>
          <w:lang w:eastAsia="nl-NL"/>
        </w:rPr>
        <w:t xml:space="preserve"> en gedragseffecten als gevolg van de opname in het basispakket</w:t>
      </w:r>
      <w:r w:rsidRPr="005F055E">
        <w:rPr>
          <w:szCs w:val="18"/>
          <w:lang w:eastAsia="nl-NL"/>
        </w:rPr>
        <w:t xml:space="preserve">. Zo’n berekening is op de korte termijn niet mogelijk. </w:t>
      </w:r>
    </w:p>
    <w:p w:rsidRPr="005F055E" w:rsidR="00341727" w:rsidP="00180EEB" w:rsidRDefault="00341727" w14:paraId="7A3DB0D2" w14:textId="77777777">
      <w:pPr>
        <w:suppressAutoHyphens/>
      </w:pPr>
      <w:bookmarkStart w:name="_Hlk213422037" w:id="28"/>
    </w:p>
    <w:p w:rsidRPr="005F055E" w:rsidR="00912A7D" w:rsidP="00180EEB" w:rsidRDefault="003E7003" w14:paraId="02EF7233" w14:textId="77777777">
      <w:pPr>
        <w:suppressAutoHyphens/>
      </w:pPr>
      <w:bookmarkStart w:name="_Hlk213410417" w:id="29"/>
      <w:r w:rsidRPr="005F055E">
        <w:t>Vraag 164</w:t>
      </w:r>
      <w:r w:rsidRPr="005F055E">
        <w:tab/>
      </w:r>
    </w:p>
    <w:p w:rsidRPr="005F055E" w:rsidR="00912A7D" w:rsidP="00180EEB" w:rsidRDefault="003E7003" w14:paraId="17F0C5F5" w14:textId="77777777">
      <w:pPr>
        <w:suppressAutoHyphens/>
      </w:pPr>
      <w:r w:rsidRPr="005F055E">
        <w:t>Hoeveel geld zou het kosten om anticonceptie voor iedereen in Nederland vanuit de basisverzekering te vergoeden?</w:t>
      </w:r>
    </w:p>
    <w:p w:rsidRPr="005F055E" w:rsidR="003E7003" w:rsidP="00180EEB" w:rsidRDefault="003E7003" w14:paraId="72ADC038" w14:textId="0AE70081">
      <w:pPr>
        <w:suppressAutoHyphens/>
      </w:pPr>
      <w:r w:rsidRPr="005F055E">
        <w:t>Antwoord</w:t>
      </w:r>
    </w:p>
    <w:p w:rsidRPr="005F055E" w:rsidR="00632BAA" w:rsidP="00180EEB" w:rsidRDefault="00F965F3" w14:paraId="1D99399B" w14:textId="3B6639EC">
      <w:pPr>
        <w:suppressAutoHyphens/>
        <w:spacing w:line="240" w:lineRule="atLeast"/>
        <w:rPr>
          <w:szCs w:val="18"/>
          <w:lang w:eastAsia="nl-NL"/>
        </w:rPr>
      </w:pPr>
      <w:bookmarkStart w:name="_Hlk178245980" w:id="30"/>
      <w:r>
        <w:rPr>
          <w:szCs w:val="18"/>
          <w:lang w:eastAsia="nl-NL"/>
        </w:rPr>
        <w:t xml:space="preserve">Bij de beantwoording is de staatssecretaris uitgegaan van anticonceptie </w:t>
      </w:r>
      <w:r w:rsidR="002D1668">
        <w:rPr>
          <w:szCs w:val="18"/>
          <w:lang w:eastAsia="nl-NL"/>
        </w:rPr>
        <w:t xml:space="preserve">voor </w:t>
      </w:r>
      <w:r>
        <w:rPr>
          <w:szCs w:val="18"/>
          <w:lang w:eastAsia="nl-NL"/>
        </w:rPr>
        <w:t xml:space="preserve">vrouwen. </w:t>
      </w:r>
      <w:r w:rsidRPr="005F055E" w:rsidR="00632BAA">
        <w:rPr>
          <w:szCs w:val="18"/>
          <w:lang w:eastAsia="nl-NL"/>
        </w:rPr>
        <w:t>Voor vrouwen jonger dan 21 jaar is in de Regeling zorgverzekering (</w:t>
      </w:r>
      <w:proofErr w:type="spellStart"/>
      <w:r w:rsidRPr="005F055E" w:rsidR="00632BAA">
        <w:rPr>
          <w:szCs w:val="18"/>
          <w:lang w:eastAsia="nl-NL"/>
        </w:rPr>
        <w:t>Rzv</w:t>
      </w:r>
      <w:proofErr w:type="spellEnd"/>
      <w:r w:rsidRPr="005F055E" w:rsidR="00632BAA">
        <w:rPr>
          <w:szCs w:val="18"/>
          <w:lang w:eastAsia="nl-NL"/>
        </w:rPr>
        <w:t xml:space="preserve">) reeds bepaald dat anticonceptie is verzekerd (art. 2.6 onder i </w:t>
      </w:r>
      <w:proofErr w:type="spellStart"/>
      <w:r w:rsidRPr="005F055E" w:rsidR="00632BAA">
        <w:rPr>
          <w:szCs w:val="18"/>
          <w:lang w:eastAsia="nl-NL"/>
        </w:rPr>
        <w:t>Rzv</w:t>
      </w:r>
      <w:proofErr w:type="spellEnd"/>
      <w:r w:rsidRPr="005F055E" w:rsidR="00632BAA">
        <w:rPr>
          <w:szCs w:val="18"/>
          <w:lang w:eastAsia="nl-NL"/>
        </w:rPr>
        <w:t xml:space="preserve"> jo. art. 2.16 </w:t>
      </w:r>
      <w:proofErr w:type="spellStart"/>
      <w:r w:rsidRPr="005F055E" w:rsidR="00632BAA">
        <w:rPr>
          <w:szCs w:val="18"/>
          <w:lang w:eastAsia="nl-NL"/>
        </w:rPr>
        <w:t>Rzv</w:t>
      </w:r>
      <w:proofErr w:type="spellEnd"/>
      <w:r w:rsidRPr="005F055E" w:rsidR="00632BAA">
        <w:rPr>
          <w:szCs w:val="18"/>
          <w:lang w:eastAsia="nl-NL"/>
        </w:rPr>
        <w:t xml:space="preserve">, art. 2.5 lid 2 </w:t>
      </w:r>
      <w:proofErr w:type="spellStart"/>
      <w:r w:rsidRPr="005F055E" w:rsidR="00632BAA">
        <w:rPr>
          <w:szCs w:val="18"/>
          <w:lang w:eastAsia="nl-NL"/>
        </w:rPr>
        <w:t>Rzv</w:t>
      </w:r>
      <w:proofErr w:type="spellEnd"/>
      <w:r w:rsidRPr="005F055E" w:rsidR="00632BAA">
        <w:rPr>
          <w:szCs w:val="18"/>
          <w:lang w:eastAsia="nl-NL"/>
        </w:rPr>
        <w:t xml:space="preserve"> jo. art. 64 uit bijlage 2 </w:t>
      </w:r>
      <w:proofErr w:type="spellStart"/>
      <w:r w:rsidRPr="005F055E" w:rsidR="00632BAA">
        <w:rPr>
          <w:szCs w:val="18"/>
          <w:lang w:eastAsia="nl-NL"/>
        </w:rPr>
        <w:t>Rzv</w:t>
      </w:r>
      <w:proofErr w:type="spellEnd"/>
      <w:r w:rsidRPr="005F055E" w:rsidR="00632BAA">
        <w:rPr>
          <w:szCs w:val="18"/>
          <w:lang w:eastAsia="nl-NL"/>
        </w:rPr>
        <w:t xml:space="preserve">). De kosten voor het toevoegen van anticonceptie </w:t>
      </w:r>
      <w:r w:rsidR="00447E61">
        <w:rPr>
          <w:szCs w:val="18"/>
          <w:lang w:eastAsia="nl-NL"/>
        </w:rPr>
        <w:t>in de</w:t>
      </w:r>
      <w:r w:rsidR="004C3F86">
        <w:rPr>
          <w:szCs w:val="18"/>
          <w:lang w:eastAsia="nl-NL"/>
        </w:rPr>
        <w:t xml:space="preserve"> </w:t>
      </w:r>
      <w:r w:rsidR="00447E61">
        <w:rPr>
          <w:szCs w:val="18"/>
          <w:lang w:eastAsia="nl-NL"/>
        </w:rPr>
        <w:t>vorm van hormon</w:t>
      </w:r>
      <w:r w:rsidR="00F669AA">
        <w:rPr>
          <w:szCs w:val="18"/>
          <w:lang w:eastAsia="nl-NL"/>
        </w:rPr>
        <w:t xml:space="preserve"> (de </w:t>
      </w:r>
      <w:r w:rsidR="00447E61">
        <w:rPr>
          <w:szCs w:val="18"/>
          <w:lang w:eastAsia="nl-NL"/>
        </w:rPr>
        <w:t>pil</w:t>
      </w:r>
      <w:r w:rsidR="00F669AA">
        <w:rPr>
          <w:szCs w:val="18"/>
          <w:lang w:eastAsia="nl-NL"/>
        </w:rPr>
        <w:t>)</w:t>
      </w:r>
      <w:r w:rsidR="00447E61">
        <w:rPr>
          <w:szCs w:val="18"/>
          <w:lang w:eastAsia="nl-NL"/>
        </w:rPr>
        <w:t xml:space="preserve"> of spiraal, condooms </w:t>
      </w:r>
      <w:r w:rsidR="00F669AA">
        <w:rPr>
          <w:szCs w:val="18"/>
          <w:lang w:eastAsia="nl-NL"/>
        </w:rPr>
        <w:t>niet meegeteld</w:t>
      </w:r>
      <w:r w:rsidR="004C3F86">
        <w:rPr>
          <w:szCs w:val="18"/>
          <w:lang w:eastAsia="nl-NL"/>
        </w:rPr>
        <w:t xml:space="preserve"> </w:t>
      </w:r>
      <w:r w:rsidRPr="005F055E" w:rsidR="00632BAA">
        <w:rPr>
          <w:szCs w:val="18"/>
          <w:lang w:eastAsia="nl-NL"/>
        </w:rPr>
        <w:t>voor vrouwen vanaf 21 jaar aan het basispakket worden op basis van gegevens uit 2020 geschat op € 25 miljoen per jaar. Als anticonceptie wordt uitgezonderd van het eigen risico, bedragen de kosten € 60 miljoen per jaar</w:t>
      </w:r>
      <w:r w:rsidRPr="005F055E" w:rsidR="00D73F76">
        <w:rPr>
          <w:szCs w:val="18"/>
          <w:lang w:eastAsia="nl-NL"/>
        </w:rPr>
        <w:t xml:space="preserve"> </w:t>
      </w:r>
      <w:r w:rsidRPr="005F055E" w:rsidR="00632BAA">
        <w:rPr>
          <w:szCs w:val="18"/>
          <w:lang w:eastAsia="nl-NL"/>
        </w:rPr>
        <w:t>(volume en prijspeil 2020).</w:t>
      </w:r>
      <w:r w:rsidR="00B12CDF">
        <w:rPr>
          <w:szCs w:val="18"/>
          <w:lang w:eastAsia="nl-NL"/>
        </w:rPr>
        <w:t xml:space="preserve"> De effecten op de nominale premie is zeer beperkt. </w:t>
      </w:r>
    </w:p>
    <w:bookmarkEnd w:id="28"/>
    <w:bookmarkEnd w:id="29"/>
    <w:bookmarkEnd w:id="30"/>
    <w:p w:rsidRPr="005F055E" w:rsidR="00912A7D" w:rsidP="00180EEB" w:rsidRDefault="00912A7D" w14:paraId="168E7CB3" w14:textId="77777777">
      <w:pPr>
        <w:suppressAutoHyphens/>
      </w:pPr>
    </w:p>
    <w:p w:rsidRPr="005F055E" w:rsidR="00912A7D" w:rsidP="00180EEB" w:rsidRDefault="003E7003" w14:paraId="449F8FF2" w14:textId="77777777">
      <w:pPr>
        <w:suppressAutoHyphens/>
      </w:pPr>
      <w:r w:rsidRPr="005F055E">
        <w:t>Vraag 165</w:t>
      </w:r>
      <w:r w:rsidRPr="005F055E">
        <w:tab/>
      </w:r>
    </w:p>
    <w:p w:rsidRPr="005F055E" w:rsidR="00912A7D" w:rsidP="00180EEB" w:rsidRDefault="003E7003" w14:paraId="24B692F6" w14:textId="77777777">
      <w:pPr>
        <w:suppressAutoHyphens/>
      </w:pPr>
      <w:r w:rsidRPr="005F055E">
        <w:t>Kunt u een overzicht sturen welke zaken aan het basispakket zijn toegevoegd of eruit zijn gehaald, vanaf 2006 tot en met 2025?</w:t>
      </w:r>
      <w:r w:rsidRPr="005F055E">
        <w:tab/>
      </w:r>
    </w:p>
    <w:p w:rsidRPr="005F055E" w:rsidR="003E7003" w:rsidP="00180EEB" w:rsidRDefault="003E7003" w14:paraId="0EB40BAC" w14:textId="38620DC2">
      <w:pPr>
        <w:suppressAutoHyphens/>
      </w:pPr>
      <w:r w:rsidRPr="005F055E">
        <w:t>Antwoord</w:t>
      </w:r>
    </w:p>
    <w:p w:rsidRPr="005F055E" w:rsidR="00341727" w:rsidP="00180EEB" w:rsidRDefault="00341727" w14:paraId="58505DAB" w14:textId="77777777">
      <w:pPr>
        <w:suppressAutoHyphens/>
        <w:rPr>
          <w:rFonts w:cs="GMBLJ B+ Univers"/>
          <w:color w:val="211D1F"/>
          <w:szCs w:val="18"/>
        </w:rPr>
      </w:pPr>
      <w:r w:rsidRPr="005F055E">
        <w:rPr>
          <w:rFonts w:cs="GMBLJ B+ Univers"/>
          <w:color w:val="211D1F"/>
          <w:szCs w:val="18"/>
        </w:rPr>
        <w:t>Het basispakket vergoedt de meeste zorg waarvan zorgpartijen zoals de beroepsgroepen, patiëntenorganisaties en de zorgverzekeraars het erover eens zijn dat deze zorg effectief is. Deze zorg komt daarmee in aanmerking voor vergoeding vanuit het basispakket. Het basispakket kent daarmee geen gedetailleerde lijst, maar sluit aan bij wat beschouwd wordt als goede en effectieve zorg door de partijen. Hierdoor vergoedt de basisverzekering zorg die aansluit bij de meest actuele ontwikkelingen en inzichten in de medische wetenschap. Dit wordt ook wel een «open instroom» genoemd.</w:t>
      </w:r>
    </w:p>
    <w:p w:rsidRPr="005F055E" w:rsidR="00341727" w:rsidP="00180EEB" w:rsidRDefault="00341727" w14:paraId="1E263B3F" w14:textId="77777777">
      <w:pPr>
        <w:suppressAutoHyphens/>
        <w:rPr>
          <w:rFonts w:cs="GMBLJ B+ Univers"/>
          <w:color w:val="211D1F"/>
          <w:szCs w:val="18"/>
        </w:rPr>
      </w:pPr>
      <w:r w:rsidRPr="005F055E">
        <w:rPr>
          <w:rFonts w:cs="GMBLJ B+ Univers"/>
          <w:color w:val="211D1F"/>
          <w:szCs w:val="18"/>
        </w:rPr>
        <w:t>Ongeveer 90% van de verzekerde zorg behoort tot dit open gedeelte van het basispakket. Hiervoor hoeft de overheid niet standaard een toetsing (beoordeling) te doen voor toelating tot de basisverzekering. Om deze reden is het niet mogelijk een volledig beeld te geven van alle zaken die aan het basispakket zijn toegevoegd of eruit gehaald.</w:t>
      </w:r>
    </w:p>
    <w:p w:rsidRPr="005F055E" w:rsidR="00341727" w:rsidP="00180EEB" w:rsidRDefault="00341727" w14:paraId="3BBB965C" w14:textId="77777777">
      <w:pPr>
        <w:suppressAutoHyphens/>
        <w:rPr>
          <w:rFonts w:cs="GMBLJ B+ Univers"/>
          <w:color w:val="211D1F"/>
          <w:szCs w:val="18"/>
        </w:rPr>
      </w:pPr>
      <w:r w:rsidRPr="005F055E">
        <w:rPr>
          <w:rFonts w:cs="GMBLJ B+ Univers"/>
          <w:color w:val="211D1F"/>
          <w:szCs w:val="18"/>
        </w:rPr>
        <w:t>Voor sommige vormen van zorg geldt de open instroom niet. De aard en omvang van de verzekerde zorg is beperkt vanwege beleidsmatige of politieke redenen. Wijzigingen van deze aanspraak vereisen aanpassing van het Besluit zorgverzekering of Regeling zorgverzekering. Dit geldt voor bijvoorbeeld fysiotherapie en dure geneesmiddelen. De tabellen 1 en 2 geven een overzicht van respectievelijk de uitbreidingen en beperkingen in het basispakket. Deze uitbreidingen en beperkingen worden ook jaarlijks met de Kamer gedeeld in het kader van de voorgestelde wijzigingen in de basisverzekering voor het aankomende jaar.</w:t>
      </w:r>
    </w:p>
    <w:p w:rsidRPr="005F055E" w:rsidR="00341727" w:rsidP="00180EEB" w:rsidRDefault="00341727" w14:paraId="26842349" w14:textId="77777777">
      <w:pPr>
        <w:suppressAutoHyphens/>
        <w:rPr>
          <w:rFonts w:cs="GMBLJ B+ Univers"/>
          <w:color w:val="211D1F"/>
          <w:szCs w:val="18"/>
        </w:rPr>
      </w:pPr>
      <w:r w:rsidRPr="005F055E">
        <w:rPr>
          <w:rFonts w:cs="GMBLJ B+ Univers"/>
          <w:color w:val="211D1F"/>
          <w:szCs w:val="18"/>
        </w:rPr>
        <w:t>Ook kan zorg voorwaardelijk worden toegelaten. In zo’n geval wordt zorg die nog niet bewezen effectief is, toch tijdelijk toegelaten worden tot het basispakket. Als voorwaarde wordt gesteld dat in de periode van de tijdelijke toelating gegevens worden verzameld over de effectiviteit van de zorg. Tabel 3 betreft de voorwaardelijk toegelaten behandelingen.</w:t>
      </w:r>
    </w:p>
    <w:p w:rsidRPr="005F055E" w:rsidR="00341727" w:rsidP="00180EEB" w:rsidRDefault="00341727" w14:paraId="364A7585" w14:textId="77777777">
      <w:pPr>
        <w:suppressAutoHyphens/>
        <w:rPr>
          <w:rFonts w:cs="GMBLJ B+ Univers"/>
          <w:color w:val="211D1F"/>
          <w:szCs w:val="18"/>
        </w:rPr>
      </w:pPr>
      <w:r w:rsidRPr="005F055E">
        <w:rPr>
          <w:rFonts w:cs="GMBLJ B+ Univers"/>
          <w:color w:val="211D1F"/>
          <w:szCs w:val="18"/>
        </w:rPr>
        <w:t>Tot slot wordt maandelijks de aanspraak op extramurale geneesmiddelen gewijzigd via een aanpassing van de Regeling zorgverzekering. Vanwege de enorme omvang van deze wijzigingen wordt hiervan geen lijst gedeeld. Dit gaat om veel middelen die maandelijks nieuw worden opgenomen in, of verwijderd uit het basispakket en betreft wijzigingen op productniveau. De wijzigingen zijn in te zien via de Regeling zorgverzekering en de wijzigingen worden maandelijks gepubliceerd in de Staatscourant.</w:t>
      </w:r>
    </w:p>
    <w:p w:rsidR="00341727" w:rsidP="00180EEB" w:rsidRDefault="00341727" w14:paraId="618B4C87" w14:textId="77777777">
      <w:pPr>
        <w:suppressAutoHyphens/>
        <w:rPr>
          <w:rFonts w:cs="GMBLJ B+ Univers"/>
          <w:color w:val="211D1F"/>
          <w:szCs w:val="18"/>
        </w:rPr>
      </w:pPr>
      <w:r w:rsidRPr="005F055E">
        <w:rPr>
          <w:rFonts w:cs="GMBLJ B+ Univers"/>
          <w:color w:val="211D1F"/>
          <w:szCs w:val="18"/>
        </w:rPr>
        <w:t>Hieronder zijn in tabel 1 en 2 wél de wijzigingen opgenomen die eerder met de Kamer zijn gedeeld in het kader van de voorgestelde wijzigingen in de basisverzekering.</w:t>
      </w:r>
    </w:p>
    <w:p w:rsidRPr="005F055E" w:rsidR="00341727" w:rsidP="00180EEB" w:rsidRDefault="00341727" w14:paraId="3803AF62" w14:textId="77777777">
      <w:pPr>
        <w:suppressAutoHyphens/>
        <w:spacing w:before="240"/>
        <w:rPr>
          <w:color w:val="211D1F"/>
          <w:sz w:val="14"/>
          <w:szCs w:val="14"/>
        </w:rPr>
      </w:pPr>
      <w:r w:rsidRPr="005F055E">
        <w:rPr>
          <w:b/>
          <w:bCs/>
          <w:color w:val="211D1F"/>
          <w:sz w:val="14"/>
          <w:szCs w:val="14"/>
        </w:rPr>
        <w:t>Tabel 1: Overzicht politiek besloten uitbreidingen basispakket 2006–2025</w:t>
      </w:r>
    </w:p>
    <w:tbl>
      <w:tblPr>
        <w:tblStyle w:val="Onopgemaaktetabel4"/>
        <w:tblW w:w="0" w:type="auto"/>
        <w:tblBorders>
          <w:top w:val="single" w:color="auto" w:sz="4" w:space="0"/>
          <w:insideH w:val="single" w:color="auto" w:sz="4" w:space="0"/>
        </w:tblBorders>
        <w:tblLook w:val="04A0" w:firstRow="1" w:lastRow="0" w:firstColumn="1" w:lastColumn="0" w:noHBand="0" w:noVBand="1"/>
      </w:tblPr>
      <w:tblGrid>
        <w:gridCol w:w="1086"/>
        <w:gridCol w:w="7941"/>
      </w:tblGrid>
      <w:tr w:rsidRPr="005F055E" w:rsidR="00341727" w:rsidTr="005E2643" w14:paraId="70BFFBF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006C225D"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Jaar</w:t>
            </w:r>
          </w:p>
        </w:tc>
        <w:tc>
          <w:tcPr>
            <w:tcW w:w="8111" w:type="dxa"/>
            <w:shd w:val="clear" w:color="auto" w:fill="auto"/>
          </w:tcPr>
          <w:p w:rsidRPr="005F055E" w:rsidR="00341727" w:rsidP="00180EEB" w:rsidRDefault="00341727" w14:paraId="4F6F0281" w14:textId="77777777">
            <w:pPr>
              <w:suppressAutoHyphens/>
              <w:cnfStyle w:val="100000000000" w:firstRow="1" w:lastRow="0" w:firstColumn="0" w:lastColumn="0" w:oddVBand="0" w:evenVBand="0" w:oddHBand="0" w:evenHBand="0" w:firstRowFirstColumn="0" w:firstRowLastColumn="0" w:lastRowFirstColumn="0" w:lastRowLastColumn="0"/>
              <w:rPr>
                <w:rFonts w:ascii="Verdana" w:hAnsi="Verdana"/>
                <w:b w:val="0"/>
                <w:bCs w:val="0"/>
                <w:color w:val="211D1F"/>
                <w:sz w:val="14"/>
                <w:szCs w:val="14"/>
              </w:rPr>
            </w:pPr>
            <w:r w:rsidRPr="005F055E">
              <w:rPr>
                <w:rFonts w:ascii="Verdana" w:hAnsi="Verdana"/>
                <w:b w:val="0"/>
                <w:bCs w:val="0"/>
                <w:color w:val="211D1F"/>
                <w:sz w:val="14"/>
                <w:szCs w:val="14"/>
              </w:rPr>
              <w:t>Uitbreiding</w:t>
            </w:r>
          </w:p>
        </w:tc>
      </w:tr>
      <w:tr w:rsidRPr="005F055E" w:rsidR="00341727" w:rsidTr="005E2643" w14:paraId="6BC734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1031DD4B"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2006</w:t>
            </w:r>
          </w:p>
        </w:tc>
        <w:tc>
          <w:tcPr>
            <w:tcW w:w="8111" w:type="dxa"/>
            <w:shd w:val="clear" w:color="auto" w:fill="auto"/>
          </w:tcPr>
          <w:p w:rsidRPr="005F055E" w:rsidR="00341727" w:rsidP="00180EEB" w:rsidRDefault="00341727" w14:paraId="64034050"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geen uitbreidingen basispakket</w:t>
            </w:r>
          </w:p>
        </w:tc>
      </w:tr>
      <w:tr w:rsidRPr="005F055E" w:rsidR="00341727" w:rsidTr="005E2643" w14:paraId="461CC613" w14:textId="77777777">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5435DA81"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2007</w:t>
            </w:r>
          </w:p>
        </w:tc>
        <w:tc>
          <w:tcPr>
            <w:tcW w:w="8111" w:type="dxa"/>
            <w:shd w:val="clear" w:color="auto" w:fill="auto"/>
          </w:tcPr>
          <w:p w:rsidRPr="005F055E" w:rsidR="00341727" w:rsidP="00180EEB" w:rsidRDefault="00341727" w14:paraId="310C7622"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uitbreiding aantal zittingen psychotherapie</w:t>
            </w:r>
          </w:p>
        </w:tc>
      </w:tr>
      <w:tr w:rsidRPr="005F055E" w:rsidR="00341727" w:rsidTr="005E2643" w14:paraId="5E8849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58E7AAEE"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2008</w:t>
            </w:r>
          </w:p>
        </w:tc>
        <w:tc>
          <w:tcPr>
            <w:tcW w:w="8111" w:type="dxa"/>
            <w:shd w:val="clear" w:color="auto" w:fill="auto"/>
          </w:tcPr>
          <w:p w:rsidRPr="005F055E" w:rsidR="00341727" w:rsidP="00180EEB" w:rsidRDefault="00341727" w14:paraId="4A95591B"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jeugdtandzorg t/m 21 jaar</w:t>
            </w:r>
          </w:p>
        </w:tc>
      </w:tr>
      <w:tr w:rsidRPr="005F055E" w:rsidR="00341727" w:rsidTr="005E2643" w14:paraId="3B4ED82E" w14:textId="77777777">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2D6C6AE4"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2009</w:t>
            </w:r>
          </w:p>
        </w:tc>
        <w:tc>
          <w:tcPr>
            <w:tcW w:w="8111" w:type="dxa"/>
            <w:shd w:val="clear" w:color="auto" w:fill="auto"/>
          </w:tcPr>
          <w:p w:rsidRPr="005F055E" w:rsidR="00341727" w:rsidP="00180EEB" w:rsidRDefault="00341727" w14:paraId="334D6600"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dyslexiezorg aan kinderen t/m 12 jaar</w:t>
            </w:r>
          </w:p>
        </w:tc>
      </w:tr>
      <w:tr w:rsidRPr="005F055E" w:rsidR="00341727" w:rsidTr="005E2643" w14:paraId="1CBF40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5AC82FCE"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2010</w:t>
            </w:r>
          </w:p>
        </w:tc>
        <w:tc>
          <w:tcPr>
            <w:tcW w:w="8111" w:type="dxa"/>
            <w:shd w:val="clear" w:color="auto" w:fill="auto"/>
          </w:tcPr>
          <w:p w:rsidRPr="005F055E" w:rsidR="00341727" w:rsidP="00180EEB" w:rsidRDefault="00341727" w14:paraId="4CDEDC89"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geen uitbreidingen basispakket</w:t>
            </w:r>
          </w:p>
        </w:tc>
      </w:tr>
      <w:tr w:rsidRPr="005F055E" w:rsidR="00341727" w:rsidTr="005E2643" w14:paraId="23AB3DFD" w14:textId="77777777">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7017421A"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2011</w:t>
            </w:r>
          </w:p>
        </w:tc>
        <w:tc>
          <w:tcPr>
            <w:tcW w:w="8111" w:type="dxa"/>
            <w:shd w:val="clear" w:color="auto" w:fill="auto"/>
          </w:tcPr>
          <w:p w:rsidRPr="005F055E" w:rsidR="00341727" w:rsidP="00180EEB" w:rsidRDefault="00341727" w14:paraId="474FDB9A"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bekkenfysiotherapie in verband met urine-incontinentie </w:t>
            </w:r>
          </w:p>
          <w:p w:rsidRPr="005F055E" w:rsidR="00341727" w:rsidP="00180EEB" w:rsidRDefault="00341727" w14:paraId="5DA87C09"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stoppen met roken</w:t>
            </w:r>
          </w:p>
        </w:tc>
      </w:tr>
      <w:tr w:rsidRPr="005F055E" w:rsidR="00341727" w:rsidTr="005E2643" w14:paraId="746EA4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7B75C8C8"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2012</w:t>
            </w:r>
          </w:p>
        </w:tc>
        <w:tc>
          <w:tcPr>
            <w:tcW w:w="8111" w:type="dxa"/>
            <w:shd w:val="clear" w:color="auto" w:fill="auto"/>
          </w:tcPr>
          <w:p w:rsidRPr="005F055E" w:rsidR="00341727" w:rsidP="00180EEB" w:rsidRDefault="00341727" w14:paraId="70A4917F"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geen uitbreidingen basispakket</w:t>
            </w:r>
          </w:p>
        </w:tc>
      </w:tr>
      <w:tr w:rsidRPr="005F055E" w:rsidR="00341727" w:rsidTr="005E2643" w14:paraId="14FFE724" w14:textId="77777777">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53A039D6"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2013</w:t>
            </w:r>
          </w:p>
        </w:tc>
        <w:tc>
          <w:tcPr>
            <w:tcW w:w="8111" w:type="dxa"/>
            <w:shd w:val="clear" w:color="auto" w:fill="auto"/>
          </w:tcPr>
          <w:p w:rsidRPr="005F055E" w:rsidR="00341727" w:rsidP="00180EEB" w:rsidRDefault="00341727" w14:paraId="44D7BA0F"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brillenglazen voor kinderen met medische indicatie </w:t>
            </w:r>
          </w:p>
          <w:p w:rsidRPr="005F055E" w:rsidR="00341727" w:rsidP="00180EEB" w:rsidRDefault="00341727" w14:paraId="230999D5"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vervallen minimum leeftijdsgrens van 6 jaar bij fluorideapplicatie blijvende gebitselementen </w:t>
            </w:r>
          </w:p>
          <w:p w:rsidRPr="005F055E" w:rsidR="00341727" w:rsidP="00180EEB" w:rsidRDefault="00341727" w14:paraId="425F45B0"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geriatrische revalidatie (overheveling uit AWBZ) </w:t>
            </w:r>
          </w:p>
          <w:p w:rsidRPr="005F055E" w:rsidR="00341727" w:rsidP="00180EEB" w:rsidRDefault="00341727" w14:paraId="5C014B73"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bruikleen hulpmiddelen (overheveling uit AWBZ)</w:t>
            </w:r>
          </w:p>
          <w:p w:rsidRPr="005F055E" w:rsidR="00341727" w:rsidP="00180EEB" w:rsidRDefault="00341727" w14:paraId="38B864CD"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stoppen met roken</w:t>
            </w:r>
          </w:p>
        </w:tc>
      </w:tr>
      <w:tr w:rsidRPr="005F055E" w:rsidR="00341727" w:rsidTr="005E2643" w14:paraId="6352AD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3852FB50"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2014</w:t>
            </w:r>
          </w:p>
        </w:tc>
        <w:tc>
          <w:tcPr>
            <w:tcW w:w="8111" w:type="dxa"/>
            <w:shd w:val="clear" w:color="auto" w:fill="auto"/>
          </w:tcPr>
          <w:p w:rsidRPr="005F055E" w:rsidR="00341727" w:rsidP="00180EEB" w:rsidRDefault="00341727" w14:paraId="627FFE7B"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geen uitbreidingen basispakket</w:t>
            </w:r>
          </w:p>
        </w:tc>
      </w:tr>
      <w:tr w:rsidRPr="005F055E" w:rsidR="00341727" w:rsidTr="005E2643" w14:paraId="5EFF632B" w14:textId="77777777">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75D2C711"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2015</w:t>
            </w:r>
          </w:p>
        </w:tc>
        <w:tc>
          <w:tcPr>
            <w:tcW w:w="8111" w:type="dxa"/>
            <w:shd w:val="clear" w:color="auto" w:fill="auto"/>
          </w:tcPr>
          <w:p w:rsidRPr="005F055E" w:rsidR="00341727" w:rsidP="00180EEB" w:rsidRDefault="00341727" w14:paraId="322BCD0A"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niet-invasieve prenatale test (NIPT) </w:t>
            </w:r>
          </w:p>
          <w:p w:rsidRPr="005F055E" w:rsidR="00341727" w:rsidP="00180EEB" w:rsidRDefault="00341727" w14:paraId="5565C7D5"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zintuiglijk gehandicaptenzorg (overheveling uit AWBZ) </w:t>
            </w:r>
          </w:p>
          <w:p w:rsidRPr="005F055E" w:rsidR="00341727" w:rsidP="00180EEB" w:rsidRDefault="00341727" w14:paraId="3CB00FFE"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verpleging en verzorging zonder verblijf (overheveling uit AWBZ) </w:t>
            </w:r>
          </w:p>
          <w:p w:rsidRPr="005F055E" w:rsidR="00341727" w:rsidP="00180EEB" w:rsidRDefault="00341727" w14:paraId="49626667"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tweede en derde jaar intramurale geneeskundige geestelijke gezondheidszorg (overheveling uit de AWBZ)</w:t>
            </w:r>
          </w:p>
        </w:tc>
      </w:tr>
      <w:tr w:rsidRPr="005F055E" w:rsidR="00341727" w:rsidTr="005E2643" w14:paraId="3D2150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068C5C17"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2016</w:t>
            </w:r>
          </w:p>
        </w:tc>
        <w:tc>
          <w:tcPr>
            <w:tcW w:w="8111" w:type="dxa"/>
            <w:shd w:val="clear" w:color="auto" w:fill="auto"/>
          </w:tcPr>
          <w:p w:rsidRPr="005F055E" w:rsidR="00341727" w:rsidP="00180EEB" w:rsidRDefault="00341727" w14:paraId="51B58E4F"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geen uitbreidingen basispakket</w:t>
            </w:r>
          </w:p>
        </w:tc>
      </w:tr>
      <w:tr w:rsidRPr="005F055E" w:rsidR="00341727" w:rsidTr="005E2643" w14:paraId="5DE97755" w14:textId="77777777">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420BDD40"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2017</w:t>
            </w:r>
          </w:p>
        </w:tc>
        <w:tc>
          <w:tcPr>
            <w:tcW w:w="8111" w:type="dxa"/>
            <w:shd w:val="clear" w:color="auto" w:fill="auto"/>
          </w:tcPr>
          <w:p w:rsidRPr="005F055E" w:rsidR="00341727" w:rsidP="00180EEB" w:rsidRDefault="00341727" w14:paraId="5C33C33B"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fysiotherapie bij claudicatio </w:t>
            </w:r>
            <w:proofErr w:type="spellStart"/>
            <w:r w:rsidRPr="005F055E">
              <w:rPr>
                <w:rFonts w:ascii="Verdana" w:hAnsi="Verdana"/>
                <w:color w:val="211D1F"/>
                <w:sz w:val="14"/>
                <w:szCs w:val="14"/>
              </w:rPr>
              <w:t>intermittens</w:t>
            </w:r>
            <w:proofErr w:type="spellEnd"/>
            <w:r w:rsidRPr="005F055E">
              <w:rPr>
                <w:rFonts w:ascii="Verdana" w:hAnsi="Verdana"/>
                <w:color w:val="211D1F"/>
                <w:sz w:val="14"/>
                <w:szCs w:val="14"/>
              </w:rPr>
              <w:t xml:space="preserve"> (etalagebenen) </w:t>
            </w:r>
          </w:p>
          <w:p w:rsidRPr="005F055E" w:rsidR="00341727" w:rsidP="00180EEB" w:rsidRDefault="00341727" w14:paraId="48D58640"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plastische chirurgie bij het uitvoeren van een bovenooglidcorrectie </w:t>
            </w:r>
          </w:p>
          <w:p w:rsidRPr="005F055E" w:rsidR="00341727" w:rsidP="00180EEB" w:rsidRDefault="00341727" w14:paraId="428C1A98"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borstvergroting bij agenesie of aplasie van de borst </w:t>
            </w:r>
          </w:p>
          <w:p w:rsidRPr="005F055E" w:rsidR="00341727" w:rsidP="00180EEB" w:rsidRDefault="00341727" w14:paraId="13E50ECA"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circumcisie om medische redenen </w:t>
            </w:r>
          </w:p>
          <w:p w:rsidRPr="005F055E" w:rsidR="00341727" w:rsidP="00180EEB" w:rsidRDefault="00341727" w14:paraId="55751F7E"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(uitgestelde) fronttandvervanging bij verzekerden tot hun drieëntwintigste levensjaar </w:t>
            </w:r>
          </w:p>
          <w:p w:rsidRPr="005F055E" w:rsidR="00341727" w:rsidP="00180EEB" w:rsidRDefault="00341727" w14:paraId="094602E3"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bijzondere tandheelkunde, </w:t>
            </w:r>
            <w:proofErr w:type="spellStart"/>
            <w:r w:rsidRPr="005F055E">
              <w:rPr>
                <w:rFonts w:ascii="Verdana" w:hAnsi="Verdana"/>
                <w:color w:val="211D1F"/>
                <w:sz w:val="14"/>
                <w:szCs w:val="14"/>
              </w:rPr>
              <w:t>implantaatgedragen</w:t>
            </w:r>
            <w:proofErr w:type="spellEnd"/>
            <w:r w:rsidRPr="005F055E">
              <w:rPr>
                <w:rFonts w:ascii="Verdana" w:hAnsi="Verdana"/>
                <w:color w:val="211D1F"/>
                <w:sz w:val="14"/>
                <w:szCs w:val="14"/>
              </w:rPr>
              <w:t xml:space="preserve"> gebitsprothesen voor verzekerden die voor eigen rekening implantaten heeft laten plaatsen</w:t>
            </w:r>
          </w:p>
        </w:tc>
      </w:tr>
      <w:tr w:rsidRPr="005F055E" w:rsidR="00341727" w:rsidTr="005E2643" w14:paraId="3DB83E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6093F2E9"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2018</w:t>
            </w:r>
          </w:p>
        </w:tc>
        <w:tc>
          <w:tcPr>
            <w:tcW w:w="8111" w:type="dxa"/>
            <w:shd w:val="clear" w:color="auto" w:fill="auto"/>
          </w:tcPr>
          <w:p w:rsidRPr="005F055E" w:rsidR="00341727" w:rsidP="00180EEB" w:rsidRDefault="00341727" w14:paraId="26DAB83A"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fysiotherapie bij artrose aan heup- en kniegewrichten </w:t>
            </w:r>
          </w:p>
          <w:p w:rsidRPr="005F055E" w:rsidR="00341727" w:rsidP="00180EEB" w:rsidRDefault="00341727" w14:paraId="2FDA4BE8"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verleggen van de afbakening tussen het basispakket en de Jeugdwet als het gaat om verzorging bij verzekerden jonger dan achttien jaar </w:t>
            </w:r>
          </w:p>
          <w:p w:rsidRPr="005F055E" w:rsidR="00341727" w:rsidP="00180EEB" w:rsidRDefault="00341727" w14:paraId="649EDE04"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wijzigen van de prestatie zittend ziekenvervoer bij oncologische behandelingen waar het gaat om immuuntherapie met geneesmiddelen</w:t>
            </w:r>
          </w:p>
        </w:tc>
      </w:tr>
      <w:tr w:rsidRPr="005F055E" w:rsidR="00341727" w:rsidTr="005E2643" w14:paraId="3DAE9195" w14:textId="77777777">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603E03E6"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2019</w:t>
            </w:r>
          </w:p>
        </w:tc>
        <w:tc>
          <w:tcPr>
            <w:tcW w:w="8111" w:type="dxa"/>
            <w:shd w:val="clear" w:color="auto" w:fill="auto"/>
          </w:tcPr>
          <w:p w:rsidRPr="00056279" w:rsidR="00341727" w:rsidP="00180EEB" w:rsidRDefault="00341727" w14:paraId="462887A4"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lang w:val="en-US"/>
              </w:rPr>
            </w:pPr>
            <w:proofErr w:type="spellStart"/>
            <w:r w:rsidRPr="00056279">
              <w:rPr>
                <w:rFonts w:ascii="Verdana" w:hAnsi="Verdana"/>
                <w:color w:val="211D1F"/>
                <w:sz w:val="14"/>
                <w:szCs w:val="14"/>
                <w:lang w:val="en-US"/>
              </w:rPr>
              <w:t>fysiotherapie</w:t>
            </w:r>
            <w:proofErr w:type="spellEnd"/>
            <w:r w:rsidRPr="00056279">
              <w:rPr>
                <w:rFonts w:ascii="Verdana" w:hAnsi="Verdana"/>
                <w:color w:val="211D1F"/>
                <w:sz w:val="14"/>
                <w:szCs w:val="14"/>
                <w:lang w:val="en-US"/>
              </w:rPr>
              <w:t xml:space="preserve"> </w:t>
            </w:r>
            <w:proofErr w:type="spellStart"/>
            <w:r w:rsidRPr="00056279">
              <w:rPr>
                <w:rFonts w:ascii="Verdana" w:hAnsi="Verdana"/>
                <w:color w:val="211D1F"/>
                <w:sz w:val="14"/>
                <w:szCs w:val="14"/>
                <w:lang w:val="en-US"/>
              </w:rPr>
              <w:t>bij</w:t>
            </w:r>
            <w:proofErr w:type="spellEnd"/>
            <w:r w:rsidRPr="00056279">
              <w:rPr>
                <w:rFonts w:ascii="Verdana" w:hAnsi="Verdana"/>
                <w:color w:val="211D1F"/>
                <w:sz w:val="14"/>
                <w:szCs w:val="14"/>
                <w:lang w:val="en-US"/>
              </w:rPr>
              <w:t xml:space="preserve"> Chronic Obstructive Pulmonary Disease (COPD) </w:t>
            </w:r>
          </w:p>
          <w:p w:rsidRPr="005F055E" w:rsidR="00341727" w:rsidP="00180EEB" w:rsidRDefault="00341727" w14:paraId="1BE86670"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uitbreiding aanspraak ziekenvervoer naar consulten, (na)controles en (bloed)onderzoek die nodig zijn voor de oncologische behandelingen, nierdialyses en vergelijkbare situaties die onder de hardheidsclausule vallen</w:t>
            </w:r>
          </w:p>
        </w:tc>
      </w:tr>
      <w:tr w:rsidRPr="005F055E" w:rsidR="00341727" w:rsidTr="005E2643" w14:paraId="5AF8F5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6D13D220"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2020</w:t>
            </w:r>
          </w:p>
        </w:tc>
        <w:tc>
          <w:tcPr>
            <w:tcW w:w="8111" w:type="dxa"/>
            <w:shd w:val="clear" w:color="auto" w:fill="auto"/>
          </w:tcPr>
          <w:p w:rsidRPr="005F055E" w:rsidR="00341727" w:rsidP="00180EEB" w:rsidRDefault="00341727" w14:paraId="2C70FD07"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Geneeskundige zorg van de specialist ouderengeneeskunde en de arts verstandelijk gehandicapten is overgeheveld vanuit de «Tijdelijke subsidieregeling extramurale behandeling» naar de </w:t>
            </w:r>
            <w:proofErr w:type="spellStart"/>
            <w:r w:rsidRPr="005F055E">
              <w:rPr>
                <w:rFonts w:ascii="Verdana" w:hAnsi="Verdana"/>
                <w:color w:val="211D1F"/>
                <w:sz w:val="14"/>
                <w:szCs w:val="14"/>
              </w:rPr>
              <w:t>Zvw</w:t>
            </w:r>
            <w:proofErr w:type="spellEnd"/>
            <w:r w:rsidRPr="005F055E">
              <w:rPr>
                <w:rFonts w:ascii="Verdana" w:hAnsi="Verdana"/>
                <w:color w:val="211D1F"/>
                <w:sz w:val="14"/>
                <w:szCs w:val="14"/>
              </w:rPr>
              <w:t xml:space="preserve">. </w:t>
            </w:r>
          </w:p>
          <w:p w:rsidRPr="005F055E" w:rsidR="00341727" w:rsidP="00180EEB" w:rsidRDefault="00341727" w14:paraId="05A7C280"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Verruiming in de vergoeding van apotheekbereidingen van geneesmiddelen. </w:t>
            </w:r>
          </w:p>
          <w:p w:rsidRPr="005F055E" w:rsidR="00341727" w:rsidP="00180EEB" w:rsidRDefault="00341727" w14:paraId="0FDD4A85"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De geriatrische revalidatiezorg is formeel (als categorie) aan de aanspraak voor ziekenvervoer toegevoegd. </w:t>
            </w:r>
          </w:p>
          <w:p w:rsidRPr="005F055E" w:rsidR="00341727" w:rsidP="00180EEB" w:rsidRDefault="00341727" w14:paraId="378095A0"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In situaties waarop normaal gesproken vervoer wordt vergoed, en dit vervoer op tenminste drie achtereenvolgende dagen nodig is, kan de zorgverzekeraar een vergoeding voor de kosten van logeren verstrekken die gedeeltelijk in de plaats komt van een vergoeding voor vervoerskosten.</w:t>
            </w:r>
          </w:p>
        </w:tc>
      </w:tr>
      <w:tr w:rsidRPr="005F055E" w:rsidR="00341727" w:rsidTr="005E2643" w14:paraId="413965C2" w14:textId="77777777">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1BF4583E"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2021</w:t>
            </w:r>
          </w:p>
        </w:tc>
        <w:tc>
          <w:tcPr>
            <w:tcW w:w="8111" w:type="dxa"/>
            <w:shd w:val="clear" w:color="auto" w:fill="auto"/>
          </w:tcPr>
          <w:p w:rsidRPr="005F055E" w:rsidR="00341727" w:rsidP="00180EEB" w:rsidRDefault="00341727" w14:paraId="07E9F6D4"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Dagbehandeling voor verschillende patiëntgroepen, de gedragswetenschapper (gespecialiseerde psycholoog en orthopedagoog-generalist) en de paramedische zorg is overgeheveld vanuit de «Tijdelijke subsidieregeling extramurale behandeling» naar de </w:t>
            </w:r>
            <w:proofErr w:type="spellStart"/>
            <w:r w:rsidRPr="005F055E">
              <w:rPr>
                <w:rFonts w:ascii="Verdana" w:hAnsi="Verdana"/>
                <w:color w:val="211D1F"/>
                <w:sz w:val="14"/>
                <w:szCs w:val="14"/>
              </w:rPr>
              <w:t>Zvw</w:t>
            </w:r>
            <w:proofErr w:type="spellEnd"/>
            <w:r w:rsidRPr="005F055E">
              <w:rPr>
                <w:rFonts w:ascii="Verdana" w:hAnsi="Verdana"/>
                <w:color w:val="211D1F"/>
                <w:sz w:val="14"/>
                <w:szCs w:val="14"/>
              </w:rPr>
              <w:t xml:space="preserve">. </w:t>
            </w:r>
          </w:p>
          <w:p w:rsidRPr="005F055E" w:rsidR="00341727" w:rsidP="00180EEB" w:rsidRDefault="00341727" w14:paraId="35AECE40"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Ziekenvervoer van en naar dagbehandeling die onderdeel is van een zorgprogramma bij chronisch progressieve degeneratieve aandoeningen, niet- aangeboren hersenletsel of in verband met een verstandelijke beperking is toegevoegd aan het basispakket. </w:t>
            </w:r>
          </w:p>
          <w:p w:rsidRPr="005F055E" w:rsidR="00341727" w:rsidP="00180EEB" w:rsidRDefault="00341727" w14:paraId="0E2B3FAD"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Orgaandonoren hoeven geen verplicht eigen risico meer te betalen voor medische kosten die verband houden met de donatie en die optreden na 13 weken na de donatie bij leven. </w:t>
            </w:r>
          </w:p>
          <w:p w:rsidRPr="005F055E" w:rsidR="00341727" w:rsidP="00180EEB" w:rsidRDefault="00341727" w14:paraId="2C367BD5"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Het maximaal aantal behandelingen en onderhoudsbehandelingen voor COPD-patiënten in subcategorie B2 is gelijkgetrokken met die van categorieën C en D.</w:t>
            </w:r>
          </w:p>
        </w:tc>
      </w:tr>
      <w:tr w:rsidRPr="005F055E" w:rsidR="00341727" w:rsidTr="005E2643" w14:paraId="6CB7C9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520192FA"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2022</w:t>
            </w:r>
          </w:p>
        </w:tc>
        <w:tc>
          <w:tcPr>
            <w:tcW w:w="8111" w:type="dxa"/>
            <w:shd w:val="clear" w:color="auto" w:fill="auto"/>
          </w:tcPr>
          <w:p w:rsidRPr="005F055E" w:rsidR="00341727" w:rsidP="00180EEB" w:rsidRDefault="00341727" w14:paraId="21704FF2"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geen uitbreidingen basispakket</w:t>
            </w:r>
          </w:p>
        </w:tc>
      </w:tr>
      <w:tr w:rsidRPr="005F055E" w:rsidR="00341727" w:rsidTr="005E2643" w14:paraId="483F739F" w14:textId="77777777">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61BC5A33"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2023</w:t>
            </w:r>
          </w:p>
        </w:tc>
        <w:tc>
          <w:tcPr>
            <w:tcW w:w="8111" w:type="dxa"/>
            <w:shd w:val="clear" w:color="auto" w:fill="auto"/>
          </w:tcPr>
          <w:p w:rsidRPr="005F055E" w:rsidR="00341727" w:rsidP="00180EEB" w:rsidRDefault="00341727" w14:paraId="11DD3C0F"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Fysio- en oefentherapie voor een valpreventieve beweeginterventie is aan het basispakket toegevoegd. </w:t>
            </w:r>
          </w:p>
          <w:p w:rsidRPr="005F055E" w:rsidR="00341727" w:rsidP="00180EEB" w:rsidRDefault="00341727" w14:paraId="6F55C3A5"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De kraamzorg is geflexibiliseerd. Dit houdt in dat kraamzorg gedurende ten hoogste 6 weken, in plaats van gedurende ten hoogste 10 dagen, geleverd mag worden (gerekend vanaf de dag van bevalling).</w:t>
            </w:r>
          </w:p>
        </w:tc>
      </w:tr>
      <w:tr w:rsidRPr="005F055E" w:rsidR="00341727" w:rsidTr="005E2643" w14:paraId="14305E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45437D24"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2024</w:t>
            </w:r>
          </w:p>
        </w:tc>
        <w:tc>
          <w:tcPr>
            <w:tcW w:w="8111" w:type="dxa"/>
            <w:shd w:val="clear" w:color="auto" w:fill="auto"/>
          </w:tcPr>
          <w:p w:rsidRPr="005F055E" w:rsidR="00341727" w:rsidP="00180EEB" w:rsidRDefault="00341727" w14:paraId="4924BAE0"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Fysio- en oefentherapie bij reumatoïde artritis met ernstige functionele beperkingen is aan het basispakket toegevoegd. </w:t>
            </w:r>
          </w:p>
          <w:p w:rsidRPr="005F055E" w:rsidR="00341727" w:rsidP="00180EEB" w:rsidRDefault="00341727" w14:paraId="2121F353"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Het maximaal aantal behandelingen voor COPD-patiënten vervalt.</w:t>
            </w:r>
          </w:p>
          <w:p w:rsidRPr="005F055E" w:rsidR="00341727" w:rsidP="00180EEB" w:rsidRDefault="00341727" w14:paraId="2E8089BA"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De beperkende voorwaarden op de aanspraak voor geriatrische revalidatiezorg zijn geschrapt. Zo vervalt de voorwaarde dat iemand eerst in een ziekenhuis moet hebben gelegen. Ook kan vanaf 2025 thuis gestart worden met revalideren.</w:t>
            </w:r>
          </w:p>
        </w:tc>
      </w:tr>
      <w:tr w:rsidRPr="005F055E" w:rsidR="00341727" w:rsidTr="005E2643" w14:paraId="4548C211" w14:textId="77777777">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1EA5CAE9"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2025</w:t>
            </w:r>
          </w:p>
        </w:tc>
        <w:tc>
          <w:tcPr>
            <w:tcW w:w="8111" w:type="dxa"/>
            <w:shd w:val="clear" w:color="auto" w:fill="auto"/>
          </w:tcPr>
          <w:p w:rsidRPr="005F055E" w:rsidR="00341727" w:rsidP="00180EEB" w:rsidRDefault="00341727" w14:paraId="59661CE4"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Het definitief toelaten tot het basispakket van langdurige gepersonaliseerde gesuperviseerde actieve oefentherapie bij reumatoïde artritis met ernstige functionele beperkingen. </w:t>
            </w:r>
          </w:p>
          <w:p w:rsidRPr="005F055E" w:rsidR="00341727" w:rsidP="00180EEB" w:rsidRDefault="00341727" w14:paraId="3D6F4546"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De restricties op het aantal behandelingen voor gesuperviseerde oefentherapie bij COPD worden uit het basispakket geschrapt.</w:t>
            </w:r>
          </w:p>
          <w:p w:rsidRPr="005F055E" w:rsidR="00341727" w:rsidP="00180EEB" w:rsidRDefault="00341727" w14:paraId="70C15E3A"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Het verbreden van de aanspraak op geriatrische revalidatiezorg waarbij de geriatrische revalidatiezorg ook thuis geleverd kan worden</w:t>
            </w:r>
          </w:p>
        </w:tc>
      </w:tr>
      <w:tr w:rsidRPr="005F055E" w:rsidR="00341727" w:rsidTr="005E2643" w14:paraId="2A1D7696"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1349EEB4" w14:textId="77777777">
            <w:pPr>
              <w:suppressAutoHyphens/>
              <w:rPr>
                <w:rFonts w:ascii="Verdana" w:hAnsi="Verdana"/>
                <w:color w:val="211D1F"/>
                <w:sz w:val="14"/>
                <w:szCs w:val="14"/>
              </w:rPr>
            </w:pPr>
          </w:p>
        </w:tc>
        <w:tc>
          <w:tcPr>
            <w:tcW w:w="8111" w:type="dxa"/>
            <w:shd w:val="clear" w:color="auto" w:fill="auto"/>
          </w:tcPr>
          <w:p w:rsidRPr="005F055E" w:rsidR="00341727" w:rsidP="00180EEB" w:rsidRDefault="00341727" w14:paraId="165731C8"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p>
        </w:tc>
      </w:tr>
    </w:tbl>
    <w:p w:rsidRPr="005F055E" w:rsidR="00341727" w:rsidP="00180EEB" w:rsidRDefault="00341727" w14:paraId="475B236C" w14:textId="77777777">
      <w:pPr>
        <w:suppressAutoHyphens/>
        <w:rPr>
          <w:szCs w:val="18"/>
        </w:rPr>
      </w:pPr>
    </w:p>
    <w:p w:rsidRPr="005F055E" w:rsidR="00341727" w:rsidP="00180EEB" w:rsidRDefault="00341727" w14:paraId="0E6AB24A" w14:textId="77777777">
      <w:pPr>
        <w:suppressAutoHyphens/>
        <w:rPr>
          <w:sz w:val="14"/>
          <w:szCs w:val="14"/>
        </w:rPr>
      </w:pPr>
      <w:r w:rsidRPr="005F055E">
        <w:rPr>
          <w:b/>
          <w:bCs/>
          <w:sz w:val="14"/>
          <w:szCs w:val="14"/>
        </w:rPr>
        <w:t xml:space="preserve">Tabel 2: </w:t>
      </w:r>
      <w:r w:rsidRPr="005F055E">
        <w:rPr>
          <w:b/>
          <w:bCs/>
          <w:color w:val="211D1F"/>
          <w:sz w:val="14"/>
          <w:szCs w:val="14"/>
        </w:rPr>
        <w:t>Overzicht politiek besloten beperkingen basispakket 2006–2025</w:t>
      </w:r>
    </w:p>
    <w:tbl>
      <w:tblPr>
        <w:tblStyle w:val="Onopgemaaktetabel4"/>
        <w:tblW w:w="0" w:type="auto"/>
        <w:tblBorders>
          <w:top w:val="single" w:color="auto" w:sz="4" w:space="0"/>
          <w:insideH w:val="single" w:color="auto" w:sz="4" w:space="0"/>
        </w:tblBorders>
        <w:tblLook w:val="04A0" w:firstRow="1" w:lastRow="0" w:firstColumn="1" w:lastColumn="0" w:noHBand="0" w:noVBand="1"/>
      </w:tblPr>
      <w:tblGrid>
        <w:gridCol w:w="1085"/>
        <w:gridCol w:w="7942"/>
      </w:tblGrid>
      <w:tr w:rsidRPr="005F055E" w:rsidR="00341727" w:rsidTr="005E2643" w14:paraId="59212EA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2E46825F"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Jaar</w:t>
            </w:r>
          </w:p>
        </w:tc>
        <w:tc>
          <w:tcPr>
            <w:tcW w:w="8111" w:type="dxa"/>
            <w:shd w:val="clear" w:color="auto" w:fill="auto"/>
          </w:tcPr>
          <w:p w:rsidRPr="005F055E" w:rsidR="00341727" w:rsidP="00180EEB" w:rsidRDefault="00341727" w14:paraId="620446E8" w14:textId="77777777">
            <w:pPr>
              <w:suppressAutoHyphens/>
              <w:cnfStyle w:val="100000000000" w:firstRow="1" w:lastRow="0" w:firstColumn="0" w:lastColumn="0" w:oddVBand="0" w:evenVBand="0" w:oddHBand="0" w:evenHBand="0" w:firstRowFirstColumn="0" w:firstRowLastColumn="0" w:lastRowFirstColumn="0" w:lastRowLastColumn="0"/>
              <w:rPr>
                <w:rFonts w:ascii="Verdana" w:hAnsi="Verdana"/>
                <w:b w:val="0"/>
                <w:bCs w:val="0"/>
                <w:color w:val="211D1F"/>
                <w:sz w:val="14"/>
                <w:szCs w:val="14"/>
              </w:rPr>
            </w:pPr>
            <w:r w:rsidRPr="005F055E">
              <w:rPr>
                <w:rFonts w:ascii="Verdana" w:hAnsi="Verdana"/>
                <w:b w:val="0"/>
                <w:bCs w:val="0"/>
                <w:color w:val="211D1F"/>
                <w:sz w:val="14"/>
                <w:szCs w:val="14"/>
              </w:rPr>
              <w:t>Beperking</w:t>
            </w:r>
          </w:p>
        </w:tc>
      </w:tr>
      <w:tr w:rsidRPr="005F055E" w:rsidR="00341727" w:rsidTr="005E2643" w14:paraId="47441D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6907F750"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2006</w:t>
            </w:r>
          </w:p>
        </w:tc>
        <w:tc>
          <w:tcPr>
            <w:tcW w:w="8111" w:type="dxa"/>
            <w:shd w:val="clear" w:color="auto" w:fill="auto"/>
          </w:tcPr>
          <w:p w:rsidRPr="005F055E" w:rsidR="00341727" w:rsidP="00180EEB" w:rsidRDefault="00341727" w14:paraId="71A7A3CF"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geen beperkingen basispakket</w:t>
            </w:r>
          </w:p>
        </w:tc>
      </w:tr>
      <w:tr w:rsidRPr="005F055E" w:rsidR="00341727" w:rsidTr="005E2643" w14:paraId="4CA5D85E" w14:textId="77777777">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1B338231"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2007</w:t>
            </w:r>
          </w:p>
        </w:tc>
        <w:tc>
          <w:tcPr>
            <w:tcW w:w="8111" w:type="dxa"/>
            <w:shd w:val="clear" w:color="auto" w:fill="auto"/>
          </w:tcPr>
          <w:p w:rsidRPr="005F055E" w:rsidR="00341727" w:rsidP="00180EEB" w:rsidRDefault="00341727" w14:paraId="22164D72"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geen beperkingen basispakket</w:t>
            </w:r>
          </w:p>
        </w:tc>
      </w:tr>
      <w:tr w:rsidRPr="005F055E" w:rsidR="00341727" w:rsidTr="005E2643" w14:paraId="313E21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116A72B5"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2008</w:t>
            </w:r>
          </w:p>
        </w:tc>
        <w:tc>
          <w:tcPr>
            <w:tcW w:w="8111" w:type="dxa"/>
            <w:shd w:val="clear" w:color="auto" w:fill="auto"/>
          </w:tcPr>
          <w:p w:rsidRPr="005F055E" w:rsidR="00341727" w:rsidP="00180EEB" w:rsidRDefault="00341727" w14:paraId="3BBF3417"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geen beperkingen basispakket</w:t>
            </w:r>
          </w:p>
        </w:tc>
      </w:tr>
      <w:tr w:rsidRPr="005F055E" w:rsidR="00341727" w:rsidTr="005E2643" w14:paraId="0F03602B" w14:textId="77777777">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37A6B88A"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2009</w:t>
            </w:r>
          </w:p>
        </w:tc>
        <w:tc>
          <w:tcPr>
            <w:tcW w:w="8111" w:type="dxa"/>
            <w:shd w:val="clear" w:color="auto" w:fill="auto"/>
          </w:tcPr>
          <w:p w:rsidRPr="005F055E" w:rsidR="00341727" w:rsidP="00180EEB" w:rsidRDefault="00341727" w14:paraId="12024D05"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slaapmiddelen </w:t>
            </w:r>
          </w:p>
          <w:p w:rsidRPr="005F055E" w:rsidR="00341727" w:rsidP="00180EEB" w:rsidRDefault="00341727" w14:paraId="7D5165D8"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cholesterolverlagers </w:t>
            </w:r>
          </w:p>
          <w:p w:rsidRPr="005F055E" w:rsidR="00341727" w:rsidP="00180EEB" w:rsidRDefault="00341727" w14:paraId="36BD160A"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hulpmiddelen</w:t>
            </w:r>
          </w:p>
        </w:tc>
      </w:tr>
      <w:tr w:rsidRPr="005F055E" w:rsidR="00341727" w:rsidTr="005E2643" w14:paraId="00E3D0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0F8CFFA1"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2010</w:t>
            </w:r>
          </w:p>
        </w:tc>
        <w:tc>
          <w:tcPr>
            <w:tcW w:w="8111" w:type="dxa"/>
            <w:shd w:val="clear" w:color="auto" w:fill="auto"/>
          </w:tcPr>
          <w:p w:rsidRPr="005F055E" w:rsidR="00341727" w:rsidP="00180EEB" w:rsidRDefault="00341727" w14:paraId="2F378B32"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acetylcysteïne</w:t>
            </w:r>
          </w:p>
        </w:tc>
      </w:tr>
      <w:tr w:rsidRPr="005F055E" w:rsidR="00341727" w:rsidTr="005E2643" w14:paraId="478D7C86" w14:textId="77777777">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3EC1FE49"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2011</w:t>
            </w:r>
          </w:p>
        </w:tc>
        <w:tc>
          <w:tcPr>
            <w:tcW w:w="8111" w:type="dxa"/>
            <w:shd w:val="clear" w:color="auto" w:fill="auto"/>
          </w:tcPr>
          <w:p w:rsidRPr="005F055E" w:rsidR="00341727" w:rsidP="00180EEB" w:rsidRDefault="00341727" w14:paraId="33451D2C"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antidepressiva </w:t>
            </w:r>
          </w:p>
          <w:p w:rsidRPr="005F055E" w:rsidR="00341727" w:rsidP="00180EEB" w:rsidRDefault="00341727" w14:paraId="7D7D0071"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jeugd tandzorg boven 18 jaar </w:t>
            </w:r>
          </w:p>
          <w:p w:rsidRPr="005F055E" w:rsidR="00341727" w:rsidP="00180EEB" w:rsidRDefault="00341727" w14:paraId="3F86D8A0"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extracties </w:t>
            </w:r>
          </w:p>
          <w:p w:rsidRPr="005F055E" w:rsidR="00341727" w:rsidP="00180EEB" w:rsidRDefault="00341727" w14:paraId="3331496B"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anticonceptie </w:t>
            </w:r>
          </w:p>
          <w:p w:rsidRPr="005F055E" w:rsidR="00341727" w:rsidP="00180EEB" w:rsidRDefault="00341727" w14:paraId="04DA58CE"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fysiotherapie 9 naar 12 behandelingen voor eigen rekening</w:t>
            </w:r>
          </w:p>
        </w:tc>
      </w:tr>
      <w:tr w:rsidRPr="005F055E" w:rsidR="00341727" w:rsidTr="005E2643" w14:paraId="52B1AC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19EF0888"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2012</w:t>
            </w:r>
          </w:p>
        </w:tc>
        <w:tc>
          <w:tcPr>
            <w:tcW w:w="8111" w:type="dxa"/>
            <w:shd w:val="clear" w:color="auto" w:fill="auto"/>
          </w:tcPr>
          <w:p w:rsidRPr="005F055E" w:rsidR="00341727" w:rsidP="00180EEB" w:rsidRDefault="00341727" w14:paraId="022719CF"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fysiotherapie 12 naar 20 behandelingen voor eigen rekening </w:t>
            </w:r>
          </w:p>
          <w:p w:rsidRPr="005F055E" w:rsidR="00341727" w:rsidP="00180EEB" w:rsidRDefault="00341727" w14:paraId="3115C9DB"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fysiotherapie, beperking chronische lijst </w:t>
            </w:r>
          </w:p>
          <w:p w:rsidRPr="005F055E" w:rsidR="00341727" w:rsidP="00180EEB" w:rsidRDefault="00341727" w14:paraId="2BED9E1E"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maagzuurremmers, met uitzondering van chronisch gebruik </w:t>
            </w:r>
          </w:p>
          <w:p w:rsidRPr="005F055E" w:rsidR="00341727" w:rsidP="00180EEB" w:rsidRDefault="00341727" w14:paraId="55D7C149"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stoppen met roken </w:t>
            </w:r>
          </w:p>
          <w:p w:rsidRPr="005F055E" w:rsidR="00341727" w:rsidP="00180EEB" w:rsidRDefault="00341727" w14:paraId="511EE5EF"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dieetadvisering </w:t>
            </w:r>
          </w:p>
          <w:p w:rsidRPr="005F055E" w:rsidR="00341727" w:rsidP="00180EEB" w:rsidRDefault="00341727" w14:paraId="2967E88D"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eerstelijns psychologische zorg, van 8 naar 5 behandelingen </w:t>
            </w:r>
          </w:p>
          <w:p w:rsidRPr="005F055E" w:rsidR="00341727" w:rsidP="00180EEB" w:rsidRDefault="00341727" w14:paraId="12514430"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aanpassingsstoornissen</w:t>
            </w:r>
          </w:p>
        </w:tc>
      </w:tr>
      <w:tr w:rsidRPr="005F055E" w:rsidR="00341727" w:rsidTr="005E2643" w14:paraId="31BCE875" w14:textId="77777777">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053538CD"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2013</w:t>
            </w:r>
          </w:p>
        </w:tc>
        <w:tc>
          <w:tcPr>
            <w:tcW w:w="8111" w:type="dxa"/>
            <w:shd w:val="clear" w:color="auto" w:fill="auto"/>
          </w:tcPr>
          <w:p w:rsidRPr="005F055E" w:rsidR="00341727" w:rsidP="00180EEB" w:rsidRDefault="00341727" w14:paraId="65D0BDF4"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eenvoudige mobiliteitshulpmiddelen </w:t>
            </w:r>
          </w:p>
          <w:p w:rsidRPr="005F055E" w:rsidR="00341727" w:rsidP="00180EEB" w:rsidRDefault="00341727" w14:paraId="14141D4C"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redressiehelm </w:t>
            </w:r>
          </w:p>
          <w:p w:rsidRPr="005F055E" w:rsidR="00341727" w:rsidP="00180EEB" w:rsidRDefault="00341727" w14:paraId="62B4B669"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beperking aantal terug te plaatsen embryo’s bij ivf </w:t>
            </w:r>
          </w:p>
          <w:p w:rsidRPr="005F055E" w:rsidR="00341727" w:rsidP="00180EEB" w:rsidRDefault="00341727" w14:paraId="49C6D720"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vruchtbaarheidsbehandelingen voor vrouwen van 43 jaar of ouder </w:t>
            </w:r>
          </w:p>
          <w:p w:rsidRPr="005F055E" w:rsidR="00341727" w:rsidP="00180EEB" w:rsidRDefault="00341727" w14:paraId="6C37BF90"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paracetamol/codeïne</w:t>
            </w:r>
          </w:p>
        </w:tc>
      </w:tr>
      <w:tr w:rsidRPr="005F055E" w:rsidR="00341727" w:rsidTr="005E2643" w14:paraId="67AB0C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372E8EC5"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2014</w:t>
            </w:r>
          </w:p>
        </w:tc>
        <w:tc>
          <w:tcPr>
            <w:tcW w:w="8111" w:type="dxa"/>
            <w:shd w:val="clear" w:color="auto" w:fill="auto"/>
          </w:tcPr>
          <w:p w:rsidRPr="005F055E" w:rsidR="00341727" w:rsidP="00180EEB" w:rsidRDefault="00341727" w14:paraId="1027F33C"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geen beperkingen basispakket</w:t>
            </w:r>
          </w:p>
        </w:tc>
      </w:tr>
      <w:tr w:rsidRPr="005F055E" w:rsidR="00341727" w:rsidTr="005E2643" w14:paraId="2BACF200" w14:textId="77777777">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280004B4"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2015</w:t>
            </w:r>
          </w:p>
        </w:tc>
        <w:tc>
          <w:tcPr>
            <w:tcW w:w="8111" w:type="dxa"/>
            <w:shd w:val="clear" w:color="auto" w:fill="auto"/>
          </w:tcPr>
          <w:p w:rsidRPr="005F055E" w:rsidR="00341727" w:rsidP="00180EEB" w:rsidRDefault="00341727" w14:paraId="23C130C1" w14:textId="111FB3DC">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jeugd-</w:t>
            </w:r>
            <w:r w:rsidR="00D55762">
              <w:rPr>
                <w:rFonts w:ascii="Verdana" w:hAnsi="Verdana"/>
                <w:color w:val="211D1F"/>
                <w:sz w:val="14"/>
                <w:szCs w:val="14"/>
              </w:rPr>
              <w:t>GGZ</w:t>
            </w:r>
            <w:r w:rsidRPr="005F055E">
              <w:rPr>
                <w:rFonts w:ascii="Verdana" w:hAnsi="Verdana"/>
                <w:color w:val="211D1F"/>
                <w:sz w:val="14"/>
                <w:szCs w:val="14"/>
              </w:rPr>
              <w:t xml:space="preserve">, inclusief dyslexiezorg voor kinderen naar Jeugdwet </w:t>
            </w:r>
          </w:p>
          <w:p w:rsidRPr="005F055E" w:rsidR="00341727" w:rsidP="00180EEB" w:rsidRDefault="00341727" w14:paraId="45781AE7"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combinatietest voor zwangere vrouwen vanaf 36 jaar</w:t>
            </w:r>
          </w:p>
        </w:tc>
      </w:tr>
      <w:tr w:rsidRPr="005F055E" w:rsidR="00341727" w:rsidTr="005E2643" w14:paraId="74DDD2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24CCBAED"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2016</w:t>
            </w:r>
          </w:p>
        </w:tc>
        <w:tc>
          <w:tcPr>
            <w:tcW w:w="8111" w:type="dxa"/>
            <w:shd w:val="clear" w:color="auto" w:fill="auto"/>
          </w:tcPr>
          <w:p w:rsidRPr="005F055E" w:rsidR="00341727" w:rsidP="00180EEB" w:rsidRDefault="00341727" w14:paraId="5D2BD02A"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geen beperkingen basispakket</w:t>
            </w:r>
          </w:p>
        </w:tc>
      </w:tr>
      <w:tr w:rsidRPr="005F055E" w:rsidR="00341727" w:rsidTr="005E2643" w14:paraId="5A5AED20" w14:textId="77777777">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7CE8BEAB"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2017</w:t>
            </w:r>
          </w:p>
        </w:tc>
        <w:tc>
          <w:tcPr>
            <w:tcW w:w="8111" w:type="dxa"/>
            <w:shd w:val="clear" w:color="auto" w:fill="auto"/>
          </w:tcPr>
          <w:p w:rsidRPr="005F055E" w:rsidR="00341727" w:rsidP="00180EEB" w:rsidRDefault="00341727" w14:paraId="07E79565"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geen beperkingen basispakket</w:t>
            </w:r>
          </w:p>
        </w:tc>
      </w:tr>
      <w:tr w:rsidRPr="005F055E" w:rsidR="00341727" w:rsidTr="005E2643" w14:paraId="2D8CAC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6D47CF9F"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2018</w:t>
            </w:r>
          </w:p>
        </w:tc>
        <w:tc>
          <w:tcPr>
            <w:tcW w:w="8111" w:type="dxa"/>
            <w:shd w:val="clear" w:color="auto" w:fill="auto"/>
          </w:tcPr>
          <w:p w:rsidRPr="005F055E" w:rsidR="00341727" w:rsidP="00180EEB" w:rsidRDefault="00341727" w14:paraId="76F4EF49"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geen beperkingen basispakket</w:t>
            </w:r>
          </w:p>
        </w:tc>
      </w:tr>
      <w:tr w:rsidRPr="005F055E" w:rsidR="00341727" w:rsidTr="005E2643" w14:paraId="199540D8" w14:textId="77777777">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08BC8A4F"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2019</w:t>
            </w:r>
          </w:p>
        </w:tc>
        <w:tc>
          <w:tcPr>
            <w:tcW w:w="8111" w:type="dxa"/>
            <w:shd w:val="clear" w:color="auto" w:fill="auto"/>
          </w:tcPr>
          <w:p w:rsidRPr="005F055E" w:rsidR="00341727" w:rsidP="00180EEB" w:rsidRDefault="00341727" w14:paraId="4412A01D"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vitaminen, mineralen en paracetamol waarvoor een gelijkwaardig of nagenoeg gelijkwaardig alternatief bestaat in de vrije verkoop</w:t>
            </w:r>
          </w:p>
        </w:tc>
      </w:tr>
      <w:tr w:rsidRPr="005F055E" w:rsidR="00341727" w:rsidTr="005E2643" w14:paraId="5FD188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0DE55CD0"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2020</w:t>
            </w:r>
          </w:p>
        </w:tc>
        <w:tc>
          <w:tcPr>
            <w:tcW w:w="8111" w:type="dxa"/>
            <w:shd w:val="clear" w:color="auto" w:fill="auto"/>
          </w:tcPr>
          <w:p w:rsidRPr="005F055E" w:rsidR="00341727" w:rsidP="00180EEB" w:rsidRDefault="00341727" w14:paraId="33264FD6"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Vitamine D, inclusief hoge doseringen.</w:t>
            </w:r>
          </w:p>
        </w:tc>
      </w:tr>
      <w:tr w:rsidRPr="005F055E" w:rsidR="00341727" w:rsidTr="005E2643" w14:paraId="493E6F7A" w14:textId="77777777">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045C52BB"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2021</w:t>
            </w:r>
          </w:p>
        </w:tc>
        <w:tc>
          <w:tcPr>
            <w:tcW w:w="8111" w:type="dxa"/>
            <w:shd w:val="clear" w:color="auto" w:fill="auto"/>
          </w:tcPr>
          <w:p w:rsidRPr="005F055E" w:rsidR="00341727" w:rsidP="00180EEB" w:rsidRDefault="00341727" w14:paraId="64DE8FC5"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geen beperkingen basispakket</w:t>
            </w:r>
          </w:p>
        </w:tc>
      </w:tr>
      <w:tr w:rsidRPr="005F055E" w:rsidR="00341727" w:rsidTr="005E2643" w14:paraId="4C26B8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7B477F45"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2022</w:t>
            </w:r>
          </w:p>
        </w:tc>
        <w:tc>
          <w:tcPr>
            <w:tcW w:w="8111" w:type="dxa"/>
            <w:shd w:val="clear" w:color="auto" w:fill="auto"/>
          </w:tcPr>
          <w:p w:rsidRPr="005F055E" w:rsidR="00341727" w:rsidP="00180EEB" w:rsidRDefault="00341727" w14:paraId="00EA861D"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combinatietest voor zwangere vrouwen </w:t>
            </w:r>
          </w:p>
          <w:p w:rsidRPr="005F055E" w:rsidR="00341727" w:rsidP="00180EEB" w:rsidRDefault="00341727" w14:paraId="4027A661"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proofErr w:type="spellStart"/>
            <w:r w:rsidRPr="005F055E">
              <w:rPr>
                <w:rFonts w:ascii="Verdana" w:hAnsi="Verdana"/>
                <w:color w:val="211D1F"/>
                <w:sz w:val="14"/>
                <w:szCs w:val="14"/>
              </w:rPr>
              <w:t>colecalciferol</w:t>
            </w:r>
            <w:proofErr w:type="spellEnd"/>
            <w:r w:rsidRPr="005F055E">
              <w:rPr>
                <w:rFonts w:ascii="Verdana" w:hAnsi="Verdana"/>
                <w:color w:val="211D1F"/>
                <w:sz w:val="14"/>
                <w:szCs w:val="14"/>
              </w:rPr>
              <w:t xml:space="preserve">-bevattende geneesmiddelen en </w:t>
            </w:r>
            <w:proofErr w:type="spellStart"/>
            <w:r w:rsidRPr="005F055E">
              <w:rPr>
                <w:rFonts w:ascii="Verdana" w:hAnsi="Verdana"/>
                <w:color w:val="211D1F"/>
                <w:sz w:val="14"/>
                <w:szCs w:val="14"/>
              </w:rPr>
              <w:t>calcifediol</w:t>
            </w:r>
            <w:proofErr w:type="spellEnd"/>
          </w:p>
        </w:tc>
      </w:tr>
      <w:tr w:rsidRPr="005F055E" w:rsidR="00341727" w:rsidTr="005E2643" w14:paraId="25F33EBE" w14:textId="77777777">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04867C58"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2023</w:t>
            </w:r>
          </w:p>
        </w:tc>
        <w:tc>
          <w:tcPr>
            <w:tcW w:w="8111" w:type="dxa"/>
            <w:shd w:val="clear" w:color="auto" w:fill="auto"/>
          </w:tcPr>
          <w:p w:rsidRPr="005F055E" w:rsidR="00341727" w:rsidP="00180EEB" w:rsidRDefault="00341727" w14:paraId="365CECBF"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geen beperkingen basispakket</w:t>
            </w:r>
          </w:p>
        </w:tc>
      </w:tr>
      <w:tr w:rsidRPr="005F055E" w:rsidR="00341727" w:rsidTr="005E2643" w14:paraId="4F2C5F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7FBAD350"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2024</w:t>
            </w:r>
          </w:p>
        </w:tc>
        <w:tc>
          <w:tcPr>
            <w:tcW w:w="8111" w:type="dxa"/>
            <w:shd w:val="clear" w:color="auto" w:fill="auto"/>
          </w:tcPr>
          <w:p w:rsidRPr="005F055E" w:rsidR="00341727" w:rsidP="00180EEB" w:rsidRDefault="00341727" w14:paraId="3D49B187"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geen beperkingen basispakket</w:t>
            </w:r>
          </w:p>
        </w:tc>
      </w:tr>
      <w:tr w:rsidRPr="005F055E" w:rsidR="00341727" w:rsidTr="005E2643" w14:paraId="281A1A58" w14:textId="77777777">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7457F0E9"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2025</w:t>
            </w:r>
          </w:p>
        </w:tc>
        <w:tc>
          <w:tcPr>
            <w:tcW w:w="8111" w:type="dxa"/>
            <w:shd w:val="clear" w:color="auto" w:fill="auto"/>
          </w:tcPr>
          <w:p w:rsidRPr="005F055E" w:rsidR="00341727" w:rsidP="00180EEB" w:rsidRDefault="00341727" w14:paraId="6CC204D1"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Codeïne, met uitzondering voor ernstige, langdurige diarree.</w:t>
            </w:r>
          </w:p>
          <w:p w:rsidRPr="005F055E" w:rsidR="00341727" w:rsidP="00180EEB" w:rsidRDefault="00341727" w14:paraId="6A3FAE99"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Per 1 januari 2025 is de counseling bij prenatale screening, als laatste onderdeel van dit programma, overgeheveld van de Zorgverzekeringswet (</w:t>
            </w:r>
            <w:proofErr w:type="spellStart"/>
            <w:r w:rsidRPr="005F055E">
              <w:rPr>
                <w:rFonts w:ascii="Verdana" w:hAnsi="Verdana"/>
                <w:color w:val="211D1F"/>
                <w:sz w:val="14"/>
                <w:szCs w:val="14"/>
              </w:rPr>
              <w:t>Zvw</w:t>
            </w:r>
            <w:proofErr w:type="spellEnd"/>
            <w:r w:rsidRPr="005F055E">
              <w:rPr>
                <w:rFonts w:ascii="Verdana" w:hAnsi="Verdana"/>
                <w:color w:val="211D1F"/>
                <w:sz w:val="14"/>
                <w:szCs w:val="14"/>
              </w:rPr>
              <w:t>) naar de rijksbegroting. De financiering hiervan zal voortaan plaatsvinden via de Regionale Centra. Dit betekent dat counseling niet langer onderdeel uitmaakt van het basispakket van de zorgverzekering.</w:t>
            </w:r>
          </w:p>
        </w:tc>
      </w:tr>
      <w:tr w:rsidRPr="005F055E" w:rsidR="00341727" w:rsidTr="005E2643" w14:paraId="55C07CFA"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5F055E" w:rsidR="00341727" w:rsidP="00180EEB" w:rsidRDefault="00341727" w14:paraId="0C7177FD" w14:textId="77777777">
            <w:pPr>
              <w:suppressAutoHyphens/>
              <w:rPr>
                <w:rFonts w:ascii="Verdana" w:hAnsi="Verdana"/>
                <w:b w:val="0"/>
                <w:bCs w:val="0"/>
                <w:color w:val="211D1F"/>
                <w:sz w:val="14"/>
                <w:szCs w:val="14"/>
              </w:rPr>
            </w:pPr>
          </w:p>
        </w:tc>
        <w:tc>
          <w:tcPr>
            <w:tcW w:w="8111" w:type="dxa"/>
            <w:shd w:val="clear" w:color="auto" w:fill="auto"/>
          </w:tcPr>
          <w:p w:rsidRPr="005F055E" w:rsidR="00341727" w:rsidP="00180EEB" w:rsidRDefault="00341727" w14:paraId="7814EC77"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p>
        </w:tc>
      </w:tr>
    </w:tbl>
    <w:p w:rsidRPr="005F055E" w:rsidR="00341727" w:rsidP="00180EEB" w:rsidRDefault="00341727" w14:paraId="54876473" w14:textId="77777777">
      <w:pPr>
        <w:suppressAutoHyphens/>
        <w:rPr>
          <w:sz w:val="14"/>
          <w:szCs w:val="14"/>
        </w:rPr>
      </w:pPr>
    </w:p>
    <w:p w:rsidRPr="005F055E" w:rsidR="00341727" w:rsidP="00180EEB" w:rsidRDefault="00341727" w14:paraId="6925839D" w14:textId="77777777">
      <w:pPr>
        <w:suppressAutoHyphens/>
        <w:rPr>
          <w:sz w:val="14"/>
          <w:szCs w:val="14"/>
        </w:rPr>
      </w:pPr>
      <w:r w:rsidRPr="005F055E">
        <w:rPr>
          <w:b/>
          <w:bCs/>
          <w:sz w:val="14"/>
          <w:szCs w:val="14"/>
        </w:rPr>
        <w:t xml:space="preserve">Tabel 3: </w:t>
      </w:r>
      <w:r w:rsidRPr="005F055E">
        <w:rPr>
          <w:b/>
          <w:bCs/>
          <w:color w:val="211D1F"/>
          <w:sz w:val="14"/>
          <w:szCs w:val="14"/>
        </w:rPr>
        <w:t>Overzicht voorwaardelijk toegelaten behandelingen 2012–2025</w:t>
      </w:r>
    </w:p>
    <w:tbl>
      <w:tblPr>
        <w:tblStyle w:val="Onopgemaaktetabel4"/>
        <w:tblW w:w="0" w:type="auto"/>
        <w:tblBorders>
          <w:top w:val="single" w:color="auto" w:sz="4" w:space="0"/>
          <w:insideH w:val="single" w:color="auto" w:sz="4" w:space="0"/>
        </w:tblBorders>
        <w:tblLook w:val="04A0" w:firstRow="1" w:lastRow="0" w:firstColumn="1" w:lastColumn="0" w:noHBand="0" w:noVBand="1"/>
      </w:tblPr>
      <w:tblGrid>
        <w:gridCol w:w="1086"/>
        <w:gridCol w:w="7941"/>
      </w:tblGrid>
      <w:tr w:rsidRPr="005F055E" w:rsidR="00341727" w:rsidTr="005E2643" w14:paraId="0C16720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5F055E" w:rsidR="00341727" w:rsidP="00180EEB" w:rsidRDefault="00341727" w14:paraId="5F371731"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Jaar</w:t>
            </w:r>
          </w:p>
        </w:tc>
        <w:tc>
          <w:tcPr>
            <w:tcW w:w="7982" w:type="dxa"/>
            <w:shd w:val="clear" w:color="auto" w:fill="auto"/>
          </w:tcPr>
          <w:p w:rsidRPr="005F055E" w:rsidR="00341727" w:rsidP="00180EEB" w:rsidRDefault="00341727" w14:paraId="5F81A7FD" w14:textId="77777777">
            <w:pPr>
              <w:suppressAutoHyphens/>
              <w:cnfStyle w:val="100000000000" w:firstRow="1" w:lastRow="0" w:firstColumn="0" w:lastColumn="0" w:oddVBand="0" w:evenVBand="0" w:oddHBand="0" w:evenHBand="0" w:firstRowFirstColumn="0" w:firstRowLastColumn="0" w:lastRowFirstColumn="0" w:lastRowLastColumn="0"/>
              <w:rPr>
                <w:rFonts w:ascii="Verdana" w:hAnsi="Verdana"/>
                <w:b w:val="0"/>
                <w:bCs w:val="0"/>
                <w:color w:val="211D1F"/>
                <w:sz w:val="14"/>
                <w:szCs w:val="14"/>
              </w:rPr>
            </w:pPr>
            <w:r w:rsidRPr="005F055E">
              <w:rPr>
                <w:rFonts w:ascii="Verdana" w:hAnsi="Verdana"/>
                <w:b w:val="0"/>
                <w:bCs w:val="0"/>
                <w:color w:val="211D1F"/>
                <w:sz w:val="14"/>
                <w:szCs w:val="14"/>
              </w:rPr>
              <w:t>Voorwaardelijk toegelaten behandelingen</w:t>
            </w:r>
          </w:p>
        </w:tc>
      </w:tr>
      <w:tr w:rsidRPr="005F055E" w:rsidR="00341727" w:rsidTr="005E2643" w14:paraId="72812E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5F055E" w:rsidR="00341727" w:rsidP="00180EEB" w:rsidRDefault="00341727" w14:paraId="542207BB"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2012</w:t>
            </w:r>
          </w:p>
        </w:tc>
        <w:tc>
          <w:tcPr>
            <w:tcW w:w="7982" w:type="dxa"/>
            <w:shd w:val="clear" w:color="auto" w:fill="auto"/>
          </w:tcPr>
          <w:p w:rsidRPr="005F055E" w:rsidR="00341727" w:rsidP="00180EEB" w:rsidRDefault="00341727" w14:paraId="388F74D0"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anesthesiologische pijnbestrijdingstechnieken bij patiënten met chronische aspecifieke lage rugpijn</w:t>
            </w:r>
          </w:p>
        </w:tc>
      </w:tr>
      <w:tr w:rsidRPr="005F055E" w:rsidR="00341727" w:rsidTr="005E2643" w14:paraId="4553BFAA" w14:textId="77777777">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5F055E" w:rsidR="00341727" w:rsidP="00180EEB" w:rsidRDefault="00341727" w14:paraId="60D8FDAF"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2013</w:t>
            </w:r>
          </w:p>
        </w:tc>
        <w:tc>
          <w:tcPr>
            <w:tcW w:w="7982" w:type="dxa"/>
            <w:shd w:val="clear" w:color="auto" w:fill="auto"/>
          </w:tcPr>
          <w:p w:rsidRPr="005F055E" w:rsidR="00341727" w:rsidP="00180EEB" w:rsidRDefault="00341727" w14:paraId="7F88FCB6"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renale denervatie bij patiënten met therapieresistentie behandeling van een herseninfarct met toepassing van intra-arteriële </w:t>
            </w:r>
            <w:proofErr w:type="spellStart"/>
            <w:r w:rsidRPr="005F055E">
              <w:rPr>
                <w:rFonts w:ascii="Verdana" w:hAnsi="Verdana"/>
                <w:color w:val="211D1F"/>
                <w:sz w:val="14"/>
                <w:szCs w:val="14"/>
              </w:rPr>
              <w:t>thrombolyse</w:t>
            </w:r>
            <w:proofErr w:type="spellEnd"/>
          </w:p>
        </w:tc>
      </w:tr>
      <w:tr w:rsidRPr="005F055E" w:rsidR="00341727" w:rsidTr="005E2643" w14:paraId="2AC927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5F055E" w:rsidR="00341727" w:rsidP="00180EEB" w:rsidRDefault="00341727" w14:paraId="38ECA5D0"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2014</w:t>
            </w:r>
          </w:p>
        </w:tc>
        <w:tc>
          <w:tcPr>
            <w:tcW w:w="7982" w:type="dxa"/>
            <w:shd w:val="clear" w:color="auto" w:fill="auto"/>
          </w:tcPr>
          <w:p w:rsidRPr="005F055E" w:rsidR="00341727" w:rsidP="00180EEB" w:rsidRDefault="00341727" w14:paraId="69A1FA38"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het endoscopisch in plaats van chirurgisch behandelen van abcessen bij patiënten met geïnfecteerde pancreasnecrose</w:t>
            </w:r>
          </w:p>
          <w:p w:rsidRPr="005F055E" w:rsidR="00341727" w:rsidP="00180EEB" w:rsidRDefault="00341727" w14:paraId="06093880"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autologe stamceltransplantaties bij </w:t>
            </w:r>
            <w:proofErr w:type="spellStart"/>
            <w:r w:rsidRPr="005F055E">
              <w:rPr>
                <w:rFonts w:ascii="Verdana" w:hAnsi="Verdana"/>
                <w:color w:val="211D1F"/>
                <w:sz w:val="14"/>
                <w:szCs w:val="14"/>
              </w:rPr>
              <w:t>therapierefractaire</w:t>
            </w:r>
            <w:proofErr w:type="spellEnd"/>
            <w:r w:rsidRPr="005F055E">
              <w:rPr>
                <w:rFonts w:ascii="Verdana" w:hAnsi="Verdana"/>
                <w:color w:val="211D1F"/>
                <w:sz w:val="14"/>
                <w:szCs w:val="14"/>
              </w:rPr>
              <w:t xml:space="preserve"> patiënten (patiënten die niet voldoende reageren op medicamenteuze behandeling met o.a. TNF-alfa blokkers) met de ziekte van </w:t>
            </w:r>
            <w:proofErr w:type="spellStart"/>
            <w:r w:rsidRPr="005F055E">
              <w:rPr>
                <w:rFonts w:ascii="Verdana" w:hAnsi="Verdana"/>
                <w:color w:val="211D1F"/>
                <w:sz w:val="14"/>
                <w:szCs w:val="14"/>
              </w:rPr>
              <w:t>Crohn</w:t>
            </w:r>
            <w:proofErr w:type="spellEnd"/>
          </w:p>
        </w:tc>
      </w:tr>
      <w:tr w:rsidRPr="005F055E" w:rsidR="00341727" w:rsidTr="005E2643" w14:paraId="39AA76BB" w14:textId="77777777">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5F055E" w:rsidR="00341727" w:rsidP="00180EEB" w:rsidRDefault="00341727" w14:paraId="01F07DF5"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2015</w:t>
            </w:r>
          </w:p>
        </w:tc>
        <w:tc>
          <w:tcPr>
            <w:tcW w:w="7982" w:type="dxa"/>
            <w:shd w:val="clear" w:color="auto" w:fill="auto"/>
          </w:tcPr>
          <w:p w:rsidRPr="005F055E" w:rsidR="00341727" w:rsidP="00180EEB" w:rsidRDefault="00341727" w14:paraId="021CD19C"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het geneesmiddel </w:t>
            </w:r>
            <w:proofErr w:type="spellStart"/>
            <w:r w:rsidRPr="005F055E">
              <w:rPr>
                <w:rFonts w:ascii="Verdana" w:hAnsi="Verdana"/>
                <w:color w:val="211D1F"/>
                <w:sz w:val="14"/>
                <w:szCs w:val="14"/>
              </w:rPr>
              <w:t>Belimumab</w:t>
            </w:r>
            <w:proofErr w:type="spellEnd"/>
            <w:r w:rsidRPr="005F055E">
              <w:rPr>
                <w:rFonts w:ascii="Verdana" w:hAnsi="Verdana"/>
                <w:color w:val="211D1F"/>
                <w:sz w:val="14"/>
                <w:szCs w:val="14"/>
              </w:rPr>
              <w:t xml:space="preserve"> (</w:t>
            </w:r>
            <w:proofErr w:type="spellStart"/>
            <w:r w:rsidRPr="005F055E">
              <w:rPr>
                <w:rFonts w:ascii="Verdana" w:hAnsi="Verdana"/>
                <w:color w:val="211D1F"/>
                <w:sz w:val="14"/>
                <w:szCs w:val="14"/>
              </w:rPr>
              <w:t>Benlysta</w:t>
            </w:r>
            <w:proofErr w:type="spellEnd"/>
            <w:r w:rsidRPr="005F055E">
              <w:rPr>
                <w:rFonts w:ascii="Verdana" w:hAnsi="Verdana"/>
                <w:color w:val="211D1F"/>
                <w:sz w:val="14"/>
                <w:szCs w:val="14"/>
              </w:rPr>
              <w:t xml:space="preserve">®) bij een deel van de volwassen patiënten met Systemische Lupus </w:t>
            </w:r>
            <w:proofErr w:type="spellStart"/>
            <w:r w:rsidRPr="005F055E">
              <w:rPr>
                <w:rFonts w:ascii="Verdana" w:hAnsi="Verdana"/>
                <w:color w:val="211D1F"/>
                <w:sz w:val="14"/>
                <w:szCs w:val="14"/>
              </w:rPr>
              <w:t>erythematosus</w:t>
            </w:r>
            <w:proofErr w:type="spellEnd"/>
            <w:r w:rsidRPr="005F055E">
              <w:rPr>
                <w:rFonts w:ascii="Verdana" w:hAnsi="Verdana"/>
                <w:color w:val="211D1F"/>
                <w:sz w:val="14"/>
                <w:szCs w:val="14"/>
              </w:rPr>
              <w:t xml:space="preserve"> (SLE) </w:t>
            </w:r>
          </w:p>
          <w:p w:rsidRPr="005F055E" w:rsidR="00341727" w:rsidP="00180EEB" w:rsidRDefault="00341727" w14:paraId="26A20A98"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tumor infiltrerende lymfocyten (TIL) bij patiënten met uitgezaaid melanoom in de laatste stadia </w:t>
            </w:r>
          </w:p>
          <w:p w:rsidRPr="005F055E" w:rsidR="00341727" w:rsidP="00180EEB" w:rsidRDefault="00341727" w14:paraId="317D272E"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een bepaald type chemotherapie (HIPEC) ter preventie van uitzaaiingen in de buik bij bepaalde patiënten met darmkanker</w:t>
            </w:r>
          </w:p>
          <w:p w:rsidRPr="005F055E" w:rsidR="00341727" w:rsidP="00180EEB" w:rsidRDefault="00341727" w14:paraId="2954EA3A"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borstreconstructie na borstkanker met autologe vet transplantatie</w:t>
            </w:r>
          </w:p>
        </w:tc>
      </w:tr>
      <w:tr w:rsidRPr="005F055E" w:rsidR="00341727" w:rsidTr="005E2643" w14:paraId="20101C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5F055E" w:rsidR="00341727" w:rsidP="00180EEB" w:rsidRDefault="00341727" w14:paraId="5B99BE98"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2016</w:t>
            </w:r>
          </w:p>
        </w:tc>
        <w:tc>
          <w:tcPr>
            <w:tcW w:w="7982" w:type="dxa"/>
            <w:shd w:val="clear" w:color="auto" w:fill="auto"/>
          </w:tcPr>
          <w:p w:rsidRPr="005F055E" w:rsidR="00341727" w:rsidP="00180EEB" w:rsidRDefault="00341727" w14:paraId="3431C52E"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percutane </w:t>
            </w:r>
            <w:proofErr w:type="spellStart"/>
            <w:r w:rsidRPr="005F055E">
              <w:rPr>
                <w:rFonts w:ascii="Verdana" w:hAnsi="Verdana"/>
                <w:color w:val="211D1F"/>
                <w:sz w:val="14"/>
                <w:szCs w:val="14"/>
              </w:rPr>
              <w:t>transforaminale</w:t>
            </w:r>
            <w:proofErr w:type="spellEnd"/>
            <w:r w:rsidRPr="005F055E">
              <w:rPr>
                <w:rFonts w:ascii="Verdana" w:hAnsi="Verdana"/>
                <w:color w:val="211D1F"/>
                <w:sz w:val="14"/>
                <w:szCs w:val="14"/>
              </w:rPr>
              <w:t xml:space="preserve"> endoscopische </w:t>
            </w:r>
            <w:proofErr w:type="spellStart"/>
            <w:r w:rsidRPr="005F055E">
              <w:rPr>
                <w:rFonts w:ascii="Verdana" w:hAnsi="Verdana"/>
                <w:color w:val="211D1F"/>
                <w:sz w:val="14"/>
                <w:szCs w:val="14"/>
              </w:rPr>
              <w:t>discectomie</w:t>
            </w:r>
            <w:proofErr w:type="spellEnd"/>
            <w:r w:rsidRPr="005F055E">
              <w:rPr>
                <w:rFonts w:ascii="Verdana" w:hAnsi="Verdana"/>
                <w:color w:val="211D1F"/>
                <w:sz w:val="14"/>
                <w:szCs w:val="14"/>
              </w:rPr>
              <w:t xml:space="preserve"> (PTED) bij </w:t>
            </w:r>
            <w:proofErr w:type="spellStart"/>
            <w:r w:rsidRPr="005F055E">
              <w:rPr>
                <w:rFonts w:ascii="Verdana" w:hAnsi="Verdana"/>
                <w:color w:val="211D1F"/>
                <w:sz w:val="14"/>
                <w:szCs w:val="14"/>
              </w:rPr>
              <w:t>lumbosacraal</w:t>
            </w:r>
            <w:proofErr w:type="spellEnd"/>
            <w:r w:rsidRPr="005F055E">
              <w:rPr>
                <w:rFonts w:ascii="Verdana" w:hAnsi="Verdana"/>
                <w:color w:val="211D1F"/>
                <w:sz w:val="14"/>
                <w:szCs w:val="14"/>
              </w:rPr>
              <w:t xml:space="preserve"> </w:t>
            </w:r>
            <w:proofErr w:type="spellStart"/>
            <w:r w:rsidRPr="005F055E">
              <w:rPr>
                <w:rFonts w:ascii="Verdana" w:hAnsi="Verdana"/>
                <w:color w:val="211D1F"/>
                <w:sz w:val="14"/>
                <w:szCs w:val="14"/>
              </w:rPr>
              <w:t>radiculair</w:t>
            </w:r>
            <w:proofErr w:type="spellEnd"/>
            <w:r w:rsidRPr="005F055E">
              <w:rPr>
                <w:rFonts w:ascii="Verdana" w:hAnsi="Verdana"/>
                <w:color w:val="211D1F"/>
                <w:sz w:val="14"/>
                <w:szCs w:val="14"/>
              </w:rPr>
              <w:t xml:space="preserve"> syndroom en lumbale hernia </w:t>
            </w:r>
          </w:p>
          <w:p w:rsidRPr="005F055E" w:rsidR="00341727" w:rsidP="00180EEB" w:rsidRDefault="00341727" w14:paraId="74664821"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behandeling van medicamenteus onbehandelbare chronische clusterhoofdpijn met </w:t>
            </w:r>
            <w:proofErr w:type="spellStart"/>
            <w:r w:rsidRPr="005F055E">
              <w:rPr>
                <w:rFonts w:ascii="Verdana" w:hAnsi="Verdana"/>
                <w:color w:val="211D1F"/>
                <w:sz w:val="14"/>
                <w:szCs w:val="14"/>
              </w:rPr>
              <w:t>occipitale</w:t>
            </w:r>
            <w:proofErr w:type="spellEnd"/>
            <w:r w:rsidRPr="005F055E">
              <w:rPr>
                <w:rFonts w:ascii="Verdana" w:hAnsi="Verdana"/>
                <w:color w:val="211D1F"/>
                <w:sz w:val="14"/>
                <w:szCs w:val="14"/>
              </w:rPr>
              <w:t xml:space="preserve"> zenuwstimulatie </w:t>
            </w:r>
          </w:p>
          <w:p w:rsidRPr="005F055E" w:rsidR="00341727" w:rsidP="00180EEB" w:rsidRDefault="00341727" w14:paraId="12EA12B3"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het geneesmiddel </w:t>
            </w:r>
            <w:proofErr w:type="spellStart"/>
            <w:r w:rsidRPr="005F055E">
              <w:rPr>
                <w:rFonts w:ascii="Verdana" w:hAnsi="Verdana"/>
                <w:color w:val="211D1F"/>
                <w:sz w:val="14"/>
                <w:szCs w:val="14"/>
              </w:rPr>
              <w:t>fampridine</w:t>
            </w:r>
            <w:proofErr w:type="spellEnd"/>
            <w:r w:rsidRPr="005F055E">
              <w:rPr>
                <w:rFonts w:ascii="Verdana" w:hAnsi="Verdana"/>
                <w:color w:val="211D1F"/>
                <w:sz w:val="14"/>
                <w:szCs w:val="14"/>
              </w:rPr>
              <w:t xml:space="preserve"> (</w:t>
            </w:r>
            <w:proofErr w:type="spellStart"/>
            <w:r w:rsidRPr="005F055E">
              <w:rPr>
                <w:rFonts w:ascii="Verdana" w:hAnsi="Verdana"/>
                <w:color w:val="211D1F"/>
                <w:sz w:val="14"/>
                <w:szCs w:val="14"/>
              </w:rPr>
              <w:t>Fampyra</w:t>
            </w:r>
            <w:proofErr w:type="spellEnd"/>
            <w:r w:rsidRPr="005F055E">
              <w:rPr>
                <w:rFonts w:ascii="Verdana" w:hAnsi="Verdana"/>
                <w:color w:val="211D1F"/>
                <w:sz w:val="14"/>
                <w:szCs w:val="14"/>
              </w:rPr>
              <w:t xml:space="preserve">®) bij multiple sclerosis (MS) </w:t>
            </w:r>
          </w:p>
          <w:p w:rsidRPr="005F055E" w:rsidR="00341727" w:rsidP="00180EEB" w:rsidRDefault="00341727" w14:paraId="38DC287B"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dendritische </w:t>
            </w:r>
            <w:proofErr w:type="spellStart"/>
            <w:r w:rsidRPr="005F055E">
              <w:rPr>
                <w:rFonts w:ascii="Verdana" w:hAnsi="Verdana"/>
                <w:color w:val="211D1F"/>
                <w:sz w:val="14"/>
                <w:szCs w:val="14"/>
              </w:rPr>
              <w:t>celvaccinaties</w:t>
            </w:r>
            <w:proofErr w:type="spellEnd"/>
            <w:r w:rsidRPr="005F055E">
              <w:rPr>
                <w:rFonts w:ascii="Verdana" w:hAnsi="Verdana"/>
                <w:color w:val="211D1F"/>
                <w:sz w:val="14"/>
                <w:szCs w:val="14"/>
              </w:rPr>
              <w:t xml:space="preserve"> bij patiënten met stadium IIIB en IIIC melanoom na complete resectie</w:t>
            </w:r>
          </w:p>
          <w:p w:rsidRPr="005F055E" w:rsidR="00341727" w:rsidP="00180EEB" w:rsidRDefault="00341727" w14:paraId="7109CD26"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sacrale neuromodulatie bij therapieresistente functionele obstipatie met vertraagde darmpassage</w:t>
            </w:r>
          </w:p>
        </w:tc>
      </w:tr>
      <w:tr w:rsidRPr="005F055E" w:rsidR="00341727" w:rsidTr="005E2643" w14:paraId="42FAF679" w14:textId="77777777">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5F055E" w:rsidR="00341727" w:rsidP="00180EEB" w:rsidRDefault="00341727" w14:paraId="25159715"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2017</w:t>
            </w:r>
          </w:p>
        </w:tc>
        <w:tc>
          <w:tcPr>
            <w:tcW w:w="7982" w:type="dxa"/>
            <w:shd w:val="clear" w:color="auto" w:fill="auto"/>
          </w:tcPr>
          <w:p w:rsidRPr="005F055E" w:rsidR="00341727" w:rsidP="00180EEB" w:rsidRDefault="00341727" w14:paraId="4851C4F7"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geïntensifieerde, alkylerende chemotherapie met autologe stamceltransplantatie voor behandeling van stadium III BRCA1-like borstkanker </w:t>
            </w:r>
          </w:p>
          <w:p w:rsidRPr="005F055E" w:rsidR="00341727" w:rsidP="00180EEB" w:rsidRDefault="00341727" w14:paraId="03FE0463"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combinatiebehandeling van </w:t>
            </w:r>
            <w:proofErr w:type="spellStart"/>
            <w:r w:rsidRPr="005F055E">
              <w:rPr>
                <w:rFonts w:ascii="Verdana" w:hAnsi="Verdana"/>
                <w:color w:val="211D1F"/>
                <w:sz w:val="14"/>
                <w:szCs w:val="14"/>
              </w:rPr>
              <w:t>cytoreductieve</w:t>
            </w:r>
            <w:proofErr w:type="spellEnd"/>
            <w:r w:rsidRPr="005F055E">
              <w:rPr>
                <w:rFonts w:ascii="Verdana" w:hAnsi="Verdana"/>
                <w:color w:val="211D1F"/>
                <w:sz w:val="14"/>
                <w:szCs w:val="14"/>
              </w:rPr>
              <w:t xml:space="preserve"> chirurgie en hypertherme </w:t>
            </w:r>
            <w:proofErr w:type="spellStart"/>
            <w:r w:rsidRPr="005F055E">
              <w:rPr>
                <w:rFonts w:ascii="Verdana" w:hAnsi="Verdana"/>
                <w:color w:val="211D1F"/>
                <w:sz w:val="14"/>
                <w:szCs w:val="14"/>
              </w:rPr>
              <w:t>intraperitoneale</w:t>
            </w:r>
            <w:proofErr w:type="spellEnd"/>
            <w:r w:rsidRPr="005F055E">
              <w:rPr>
                <w:rFonts w:ascii="Verdana" w:hAnsi="Verdana"/>
                <w:color w:val="211D1F"/>
                <w:sz w:val="14"/>
                <w:szCs w:val="14"/>
              </w:rPr>
              <w:t xml:space="preserve"> chemotherapie (HIPEC) bij patiënten met zowel maagcarcinoom als synchrone buikvliesmetastasen of tumorpositief buikvocht</w:t>
            </w:r>
          </w:p>
        </w:tc>
      </w:tr>
      <w:tr w:rsidRPr="005F055E" w:rsidR="00341727" w:rsidTr="005E2643" w14:paraId="588224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5F055E" w:rsidR="00341727" w:rsidP="00180EEB" w:rsidRDefault="00341727" w14:paraId="30CE55C0"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2018</w:t>
            </w:r>
          </w:p>
        </w:tc>
        <w:tc>
          <w:tcPr>
            <w:tcW w:w="7982" w:type="dxa"/>
            <w:shd w:val="clear" w:color="auto" w:fill="auto"/>
          </w:tcPr>
          <w:p w:rsidRPr="005F055E" w:rsidR="00341727" w:rsidP="00180EEB" w:rsidRDefault="00341727" w14:paraId="76BC7FC3"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geen nieuwe voorwaardelijke toelatingen tot het basispakket </w:t>
            </w:r>
          </w:p>
          <w:p w:rsidRPr="005F055E" w:rsidR="00341727" w:rsidP="00180EEB" w:rsidRDefault="00341727" w14:paraId="387E53F3"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verlenging van de periode van voorwaardelijke toelating van percutane </w:t>
            </w:r>
            <w:proofErr w:type="spellStart"/>
            <w:r w:rsidRPr="005F055E">
              <w:rPr>
                <w:rFonts w:ascii="Verdana" w:hAnsi="Verdana"/>
                <w:color w:val="211D1F"/>
                <w:sz w:val="14"/>
                <w:szCs w:val="14"/>
              </w:rPr>
              <w:t>transforaminale</w:t>
            </w:r>
            <w:proofErr w:type="spellEnd"/>
            <w:r w:rsidRPr="005F055E">
              <w:rPr>
                <w:rFonts w:ascii="Verdana" w:hAnsi="Verdana"/>
                <w:color w:val="211D1F"/>
                <w:sz w:val="14"/>
                <w:szCs w:val="14"/>
              </w:rPr>
              <w:t xml:space="preserve"> endoscopische </w:t>
            </w:r>
            <w:proofErr w:type="spellStart"/>
            <w:r w:rsidRPr="005F055E">
              <w:rPr>
                <w:rFonts w:ascii="Verdana" w:hAnsi="Verdana"/>
                <w:color w:val="211D1F"/>
                <w:sz w:val="14"/>
                <w:szCs w:val="14"/>
              </w:rPr>
              <w:t>discectomie</w:t>
            </w:r>
            <w:proofErr w:type="spellEnd"/>
            <w:r w:rsidRPr="005F055E">
              <w:rPr>
                <w:rFonts w:ascii="Verdana" w:hAnsi="Verdana"/>
                <w:color w:val="211D1F"/>
                <w:sz w:val="14"/>
                <w:szCs w:val="14"/>
              </w:rPr>
              <w:t xml:space="preserve"> (PTED) bij </w:t>
            </w:r>
            <w:proofErr w:type="spellStart"/>
            <w:r w:rsidRPr="005F055E">
              <w:rPr>
                <w:rFonts w:ascii="Verdana" w:hAnsi="Verdana"/>
                <w:color w:val="211D1F"/>
                <w:sz w:val="14"/>
                <w:szCs w:val="14"/>
              </w:rPr>
              <w:t>lumbosacraal</w:t>
            </w:r>
            <w:proofErr w:type="spellEnd"/>
            <w:r w:rsidRPr="005F055E">
              <w:rPr>
                <w:rFonts w:ascii="Verdana" w:hAnsi="Verdana"/>
                <w:color w:val="211D1F"/>
                <w:sz w:val="14"/>
                <w:szCs w:val="14"/>
              </w:rPr>
              <w:t xml:space="preserve"> </w:t>
            </w:r>
            <w:proofErr w:type="spellStart"/>
            <w:r w:rsidRPr="005F055E">
              <w:rPr>
                <w:rFonts w:ascii="Verdana" w:hAnsi="Verdana"/>
                <w:color w:val="211D1F"/>
                <w:sz w:val="14"/>
                <w:szCs w:val="14"/>
              </w:rPr>
              <w:t>radiculair</w:t>
            </w:r>
            <w:proofErr w:type="spellEnd"/>
            <w:r w:rsidRPr="005F055E">
              <w:rPr>
                <w:rFonts w:ascii="Verdana" w:hAnsi="Verdana"/>
                <w:color w:val="211D1F"/>
                <w:sz w:val="14"/>
                <w:szCs w:val="14"/>
              </w:rPr>
              <w:t xml:space="preserve"> syndroom en lumbale hernia tot 1 december 2020 </w:t>
            </w:r>
          </w:p>
          <w:p w:rsidRPr="005F055E" w:rsidR="00341727" w:rsidP="00180EEB" w:rsidRDefault="00341727" w14:paraId="616771B5"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verlenging van de periode van voorwaardelijke toelating van borstreconstructie na borstkanker met autologe vet transplantatie tot 1 oktober 2022</w:t>
            </w:r>
          </w:p>
        </w:tc>
      </w:tr>
      <w:tr w:rsidRPr="005F055E" w:rsidR="00341727" w:rsidTr="005E2643" w14:paraId="00352C8E" w14:textId="77777777">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5F055E" w:rsidR="00341727" w:rsidP="00180EEB" w:rsidRDefault="00341727" w14:paraId="13B333CF"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2019</w:t>
            </w:r>
          </w:p>
        </w:tc>
        <w:tc>
          <w:tcPr>
            <w:tcW w:w="7982" w:type="dxa"/>
            <w:shd w:val="clear" w:color="auto" w:fill="auto"/>
          </w:tcPr>
          <w:p w:rsidRPr="005F055E" w:rsidR="00341727" w:rsidP="00180EEB" w:rsidRDefault="00341727" w14:paraId="5CD75507"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proofErr w:type="spellStart"/>
            <w:r w:rsidRPr="005F055E">
              <w:rPr>
                <w:rFonts w:ascii="Verdana" w:hAnsi="Verdana"/>
                <w:color w:val="211D1F"/>
                <w:sz w:val="14"/>
                <w:szCs w:val="14"/>
              </w:rPr>
              <w:t>CardioMEMS</w:t>
            </w:r>
            <w:proofErr w:type="spellEnd"/>
            <w:r w:rsidRPr="005F055E">
              <w:rPr>
                <w:rFonts w:ascii="Verdana" w:hAnsi="Verdana"/>
                <w:color w:val="211D1F"/>
                <w:sz w:val="14"/>
                <w:szCs w:val="14"/>
              </w:rPr>
              <w:t xml:space="preserve"> </w:t>
            </w:r>
            <w:proofErr w:type="spellStart"/>
            <w:r w:rsidRPr="005F055E">
              <w:rPr>
                <w:rFonts w:ascii="Verdana" w:hAnsi="Verdana"/>
                <w:color w:val="211D1F"/>
                <w:sz w:val="14"/>
                <w:szCs w:val="14"/>
              </w:rPr>
              <w:t>arteria</w:t>
            </w:r>
            <w:proofErr w:type="spellEnd"/>
            <w:r w:rsidRPr="005F055E">
              <w:rPr>
                <w:rFonts w:ascii="Verdana" w:hAnsi="Verdana"/>
                <w:color w:val="211D1F"/>
                <w:sz w:val="14"/>
                <w:szCs w:val="14"/>
              </w:rPr>
              <w:t xml:space="preserve"> </w:t>
            </w:r>
            <w:proofErr w:type="spellStart"/>
            <w:r w:rsidRPr="005F055E">
              <w:rPr>
                <w:rFonts w:ascii="Verdana" w:hAnsi="Verdana"/>
                <w:color w:val="211D1F"/>
                <w:sz w:val="14"/>
                <w:szCs w:val="14"/>
              </w:rPr>
              <w:t>pulmonalis</w:t>
            </w:r>
            <w:proofErr w:type="spellEnd"/>
            <w:r w:rsidRPr="005F055E">
              <w:rPr>
                <w:rFonts w:ascii="Verdana" w:hAnsi="Verdana"/>
                <w:color w:val="211D1F"/>
                <w:sz w:val="14"/>
                <w:szCs w:val="14"/>
              </w:rPr>
              <w:t xml:space="preserve"> monitoring bij patiënten met </w:t>
            </w:r>
            <w:proofErr w:type="spellStart"/>
            <w:r w:rsidRPr="005F055E">
              <w:rPr>
                <w:rFonts w:ascii="Verdana" w:hAnsi="Verdana"/>
                <w:color w:val="211D1F"/>
                <w:sz w:val="14"/>
                <w:szCs w:val="14"/>
              </w:rPr>
              <w:t>chronischhartfalen</w:t>
            </w:r>
            <w:proofErr w:type="spellEnd"/>
            <w:r w:rsidRPr="005F055E">
              <w:rPr>
                <w:rFonts w:ascii="Verdana" w:hAnsi="Verdana"/>
                <w:color w:val="211D1F"/>
                <w:sz w:val="14"/>
                <w:szCs w:val="14"/>
              </w:rPr>
              <w:t xml:space="preserve"> New York </w:t>
            </w:r>
            <w:proofErr w:type="spellStart"/>
            <w:r w:rsidRPr="005F055E">
              <w:rPr>
                <w:rFonts w:ascii="Verdana" w:hAnsi="Verdana"/>
                <w:color w:val="211D1F"/>
                <w:sz w:val="14"/>
                <w:szCs w:val="14"/>
              </w:rPr>
              <w:t>Heart</w:t>
            </w:r>
            <w:proofErr w:type="spellEnd"/>
            <w:r w:rsidRPr="005F055E">
              <w:rPr>
                <w:rFonts w:ascii="Verdana" w:hAnsi="Verdana"/>
                <w:color w:val="211D1F"/>
                <w:sz w:val="14"/>
                <w:szCs w:val="14"/>
              </w:rPr>
              <w:t xml:space="preserve"> Association (NYHA) klasse III met recidiverende ziekenhuisopnamen </w:t>
            </w:r>
          </w:p>
          <w:p w:rsidRPr="005F055E" w:rsidR="00341727" w:rsidP="00180EEB" w:rsidRDefault="00341727" w14:paraId="4BE5DCA9"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De behandeling met </w:t>
            </w:r>
            <w:proofErr w:type="spellStart"/>
            <w:r w:rsidRPr="005F055E">
              <w:rPr>
                <w:rFonts w:ascii="Verdana" w:hAnsi="Verdana"/>
                <w:color w:val="211D1F"/>
                <w:sz w:val="14"/>
                <w:szCs w:val="14"/>
              </w:rPr>
              <w:t>Binamed</w:t>
            </w:r>
            <w:proofErr w:type="spellEnd"/>
            <w:r w:rsidRPr="005F055E">
              <w:rPr>
                <w:rFonts w:ascii="Verdana" w:hAnsi="Verdana"/>
                <w:color w:val="211D1F"/>
                <w:sz w:val="14"/>
                <w:szCs w:val="14"/>
              </w:rPr>
              <w:t xml:space="preserve"> medische zilverkleding of </w:t>
            </w:r>
            <w:proofErr w:type="spellStart"/>
            <w:r w:rsidRPr="005F055E">
              <w:rPr>
                <w:rFonts w:ascii="Verdana" w:hAnsi="Verdana"/>
                <w:color w:val="211D1F"/>
                <w:sz w:val="14"/>
                <w:szCs w:val="14"/>
              </w:rPr>
              <w:t>Dermacura</w:t>
            </w:r>
            <w:proofErr w:type="spellEnd"/>
            <w:r w:rsidRPr="005F055E">
              <w:rPr>
                <w:rFonts w:ascii="Verdana" w:hAnsi="Verdana"/>
                <w:color w:val="211D1F"/>
                <w:sz w:val="14"/>
                <w:szCs w:val="14"/>
              </w:rPr>
              <w:t xml:space="preserve"> antibacterieel verbandkleding van kinderen en volwassenen met matig tot ernstig constitutioneel eczeem </w:t>
            </w:r>
          </w:p>
          <w:p w:rsidRPr="005F055E" w:rsidR="00341727" w:rsidP="00180EEB" w:rsidRDefault="00341727" w14:paraId="4C4F278B"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Langdurige actieve fysiotherapie vanaf de eenentwintigste behandeling bij patiënten met axiale </w:t>
            </w:r>
            <w:proofErr w:type="spellStart"/>
            <w:r w:rsidRPr="005F055E">
              <w:rPr>
                <w:rFonts w:ascii="Verdana" w:hAnsi="Verdana"/>
                <w:color w:val="211D1F"/>
                <w:sz w:val="14"/>
                <w:szCs w:val="14"/>
              </w:rPr>
              <w:t>spondyloartritis</w:t>
            </w:r>
            <w:proofErr w:type="spellEnd"/>
            <w:r w:rsidRPr="005F055E">
              <w:rPr>
                <w:rFonts w:ascii="Verdana" w:hAnsi="Verdana"/>
                <w:color w:val="211D1F"/>
                <w:sz w:val="14"/>
                <w:szCs w:val="14"/>
              </w:rPr>
              <w:t xml:space="preserve"> met ernstige functionele beperkingen; </w:t>
            </w:r>
          </w:p>
          <w:p w:rsidRPr="005F055E" w:rsidR="00341727" w:rsidP="00180EEB" w:rsidRDefault="00341727" w14:paraId="13ACEBC5"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Langdurige actieve fysiotherapie vanaf de eenentwintigste behandeling bij patiënten met reumatoïde artritis met ernstige functionele beperkingen. </w:t>
            </w:r>
          </w:p>
          <w:p w:rsidRPr="005F055E" w:rsidR="00341727" w:rsidP="00180EEB" w:rsidRDefault="00341727" w14:paraId="6BDDAA19"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Verlenging van de periode van voorwaardelijke toelatingen van de behandeling met tumor infiltrerende lymfocyten van uitgezaaid melanoom </w:t>
            </w:r>
            <w:proofErr w:type="spellStart"/>
            <w:r w:rsidRPr="005F055E">
              <w:rPr>
                <w:rFonts w:ascii="Verdana" w:hAnsi="Verdana"/>
                <w:color w:val="211D1F"/>
                <w:sz w:val="14"/>
                <w:szCs w:val="14"/>
              </w:rPr>
              <w:t>irresectabel</w:t>
            </w:r>
            <w:proofErr w:type="spellEnd"/>
            <w:r w:rsidRPr="005F055E">
              <w:rPr>
                <w:rFonts w:ascii="Verdana" w:hAnsi="Verdana"/>
                <w:color w:val="211D1F"/>
                <w:sz w:val="14"/>
                <w:szCs w:val="14"/>
              </w:rPr>
              <w:t xml:space="preserve"> stadium </w:t>
            </w:r>
            <w:proofErr w:type="spellStart"/>
            <w:r w:rsidRPr="005F055E">
              <w:rPr>
                <w:rFonts w:ascii="Verdana" w:hAnsi="Verdana"/>
                <w:color w:val="211D1F"/>
                <w:sz w:val="14"/>
                <w:szCs w:val="14"/>
              </w:rPr>
              <w:t>IIIc</w:t>
            </w:r>
            <w:proofErr w:type="spellEnd"/>
            <w:r w:rsidRPr="005F055E">
              <w:rPr>
                <w:rFonts w:ascii="Verdana" w:hAnsi="Verdana"/>
                <w:color w:val="211D1F"/>
                <w:sz w:val="14"/>
                <w:szCs w:val="14"/>
              </w:rPr>
              <w:t xml:space="preserve"> en stadium IV tot 1 juli 2022. </w:t>
            </w:r>
          </w:p>
          <w:p w:rsidRPr="005F055E" w:rsidR="00341727" w:rsidP="00180EEB" w:rsidRDefault="00341727" w14:paraId="31D37080"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Verlenging van de periode van voorwaardelijke toelatingen van de behandeling met dendritische cel vaccinaties van patiënten met stadium IIIB en IIIC melanoom na complete resectie tot 1 augustus 2022, en </w:t>
            </w:r>
          </w:p>
          <w:p w:rsidRPr="005F055E" w:rsidR="00341727" w:rsidP="00180EEB" w:rsidRDefault="00341727" w14:paraId="178FBC3D"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Verlenging van de periode van voorwaardelijke toelatingen van de behandeling met sacrale neuromodulatie voor therapieresistente, functionele obstipatie met vertraagde darmpassage tot 1 januari 2022</w:t>
            </w:r>
          </w:p>
        </w:tc>
      </w:tr>
      <w:tr w:rsidRPr="005F055E" w:rsidR="00341727" w:rsidTr="005E2643" w14:paraId="51D847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5F055E" w:rsidR="00341727" w:rsidP="00180EEB" w:rsidRDefault="00341727" w14:paraId="12FB0680"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2020</w:t>
            </w:r>
          </w:p>
        </w:tc>
        <w:tc>
          <w:tcPr>
            <w:tcW w:w="7982" w:type="dxa"/>
            <w:shd w:val="clear" w:color="auto" w:fill="auto"/>
          </w:tcPr>
          <w:p w:rsidRPr="005F055E" w:rsidR="00341727" w:rsidP="00180EEB" w:rsidRDefault="00341727" w14:paraId="433517D8"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proofErr w:type="spellStart"/>
            <w:r w:rsidRPr="005F055E">
              <w:rPr>
                <w:rFonts w:ascii="Verdana" w:hAnsi="Verdana"/>
                <w:color w:val="211D1F"/>
                <w:sz w:val="14"/>
                <w:szCs w:val="14"/>
              </w:rPr>
              <w:t>Nusinersen</w:t>
            </w:r>
            <w:proofErr w:type="spellEnd"/>
            <w:r w:rsidRPr="005F055E">
              <w:rPr>
                <w:rFonts w:ascii="Verdana" w:hAnsi="Verdana"/>
                <w:color w:val="211D1F"/>
                <w:sz w:val="14"/>
                <w:szCs w:val="14"/>
              </w:rPr>
              <w:t xml:space="preserve"> (</w:t>
            </w:r>
            <w:proofErr w:type="spellStart"/>
            <w:r w:rsidRPr="005F055E">
              <w:rPr>
                <w:rFonts w:ascii="Verdana" w:hAnsi="Verdana"/>
                <w:color w:val="211D1F"/>
                <w:sz w:val="14"/>
                <w:szCs w:val="14"/>
              </w:rPr>
              <w:t>Spinraza</w:t>
            </w:r>
            <w:proofErr w:type="spellEnd"/>
            <w:r w:rsidRPr="005F055E">
              <w:rPr>
                <w:rFonts w:ascii="Verdana" w:hAnsi="Verdana"/>
                <w:color w:val="211D1F"/>
                <w:sz w:val="14"/>
                <w:szCs w:val="14"/>
              </w:rPr>
              <w:t xml:space="preserve">®) bij patiënten met 5q spinale spieratrofie (SMA) die 9,5 jaar en ouder zijn; </w:t>
            </w:r>
          </w:p>
          <w:p w:rsidRPr="005F055E" w:rsidR="00341727" w:rsidP="00180EEB" w:rsidRDefault="00341727" w14:paraId="66E09C47"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Hypertherme </w:t>
            </w:r>
            <w:proofErr w:type="spellStart"/>
            <w:r w:rsidRPr="005F055E">
              <w:rPr>
                <w:rFonts w:ascii="Verdana" w:hAnsi="Verdana"/>
                <w:color w:val="211D1F"/>
                <w:sz w:val="14"/>
                <w:szCs w:val="14"/>
              </w:rPr>
              <w:t>intraperitoneale</w:t>
            </w:r>
            <w:proofErr w:type="spellEnd"/>
            <w:r w:rsidRPr="005F055E">
              <w:rPr>
                <w:rFonts w:ascii="Verdana" w:hAnsi="Verdana"/>
                <w:color w:val="211D1F"/>
                <w:sz w:val="14"/>
                <w:szCs w:val="14"/>
              </w:rPr>
              <w:t xml:space="preserve"> chemotherapie (HIPEC) toegevoegd aan primaire debulking bij patiënten met stadium III ovariumcarcinoom.</w:t>
            </w:r>
          </w:p>
        </w:tc>
      </w:tr>
      <w:tr w:rsidRPr="005F055E" w:rsidR="00341727" w:rsidTr="005E2643" w14:paraId="15A53AFA" w14:textId="77777777">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5F055E" w:rsidR="00341727" w:rsidP="00180EEB" w:rsidRDefault="00341727" w14:paraId="714B4946"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2021</w:t>
            </w:r>
          </w:p>
        </w:tc>
        <w:tc>
          <w:tcPr>
            <w:tcW w:w="7982" w:type="dxa"/>
            <w:shd w:val="clear" w:color="auto" w:fill="auto"/>
          </w:tcPr>
          <w:p w:rsidRPr="005F055E" w:rsidR="00341727" w:rsidP="00180EEB" w:rsidRDefault="00341727" w14:paraId="7046F2E5"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proofErr w:type="spellStart"/>
            <w:r w:rsidRPr="005F055E">
              <w:rPr>
                <w:rFonts w:ascii="Verdana" w:hAnsi="Verdana"/>
                <w:color w:val="211D1F"/>
                <w:sz w:val="14"/>
                <w:szCs w:val="14"/>
              </w:rPr>
              <w:t>Larotrectinib</w:t>
            </w:r>
            <w:proofErr w:type="spellEnd"/>
            <w:r w:rsidRPr="005F055E">
              <w:rPr>
                <w:rFonts w:ascii="Verdana" w:hAnsi="Verdana"/>
                <w:color w:val="211D1F"/>
                <w:sz w:val="14"/>
                <w:szCs w:val="14"/>
              </w:rPr>
              <w:t xml:space="preserve"> (</w:t>
            </w:r>
            <w:proofErr w:type="spellStart"/>
            <w:r w:rsidRPr="005F055E">
              <w:rPr>
                <w:rFonts w:ascii="Verdana" w:hAnsi="Verdana"/>
                <w:color w:val="211D1F"/>
                <w:sz w:val="14"/>
                <w:szCs w:val="14"/>
              </w:rPr>
              <w:t>Vitrakvi</w:t>
            </w:r>
            <w:proofErr w:type="spellEnd"/>
            <w:r w:rsidRPr="005F055E">
              <w:rPr>
                <w:rFonts w:ascii="Verdana" w:hAnsi="Verdana"/>
                <w:color w:val="211D1F"/>
                <w:sz w:val="14"/>
                <w:szCs w:val="14"/>
              </w:rPr>
              <w:t xml:space="preserve">®) voor de behandeling van volwassen en pediatrische patiënten met solide tumoren die een </w:t>
            </w:r>
            <w:proofErr w:type="spellStart"/>
            <w:r w:rsidRPr="005F055E">
              <w:rPr>
                <w:rFonts w:ascii="Verdana" w:hAnsi="Verdana"/>
                <w:color w:val="211D1F"/>
                <w:sz w:val="14"/>
                <w:szCs w:val="14"/>
              </w:rPr>
              <w:t>neurotrofe</w:t>
            </w:r>
            <w:proofErr w:type="spellEnd"/>
            <w:r w:rsidRPr="005F055E">
              <w:rPr>
                <w:rFonts w:ascii="Verdana" w:hAnsi="Verdana"/>
                <w:color w:val="211D1F"/>
                <w:sz w:val="14"/>
                <w:szCs w:val="14"/>
              </w:rPr>
              <w:t xml:space="preserve"> </w:t>
            </w:r>
            <w:proofErr w:type="spellStart"/>
            <w:r w:rsidRPr="005F055E">
              <w:rPr>
                <w:rFonts w:ascii="Verdana" w:hAnsi="Verdana"/>
                <w:color w:val="211D1F"/>
                <w:sz w:val="14"/>
                <w:szCs w:val="14"/>
              </w:rPr>
              <w:t>tyrosine</w:t>
            </w:r>
            <w:proofErr w:type="spellEnd"/>
            <w:r w:rsidRPr="005F055E">
              <w:rPr>
                <w:rFonts w:ascii="Verdana" w:hAnsi="Verdana"/>
                <w:color w:val="211D1F"/>
                <w:sz w:val="14"/>
                <w:szCs w:val="14"/>
              </w:rPr>
              <w:t xml:space="preserve"> receptor kinase-</w:t>
            </w:r>
            <w:proofErr w:type="spellStart"/>
            <w:r w:rsidRPr="005F055E">
              <w:rPr>
                <w:rFonts w:ascii="Verdana" w:hAnsi="Verdana"/>
                <w:color w:val="211D1F"/>
                <w:sz w:val="14"/>
                <w:szCs w:val="14"/>
              </w:rPr>
              <w:t>genfusie</w:t>
            </w:r>
            <w:proofErr w:type="spellEnd"/>
            <w:r w:rsidRPr="005F055E">
              <w:rPr>
                <w:rFonts w:ascii="Verdana" w:hAnsi="Verdana"/>
                <w:color w:val="211D1F"/>
                <w:sz w:val="14"/>
                <w:szCs w:val="14"/>
              </w:rPr>
              <w:t xml:space="preserve"> vertonen </w:t>
            </w:r>
          </w:p>
          <w:p w:rsidRPr="005F055E" w:rsidR="00341727" w:rsidP="00180EEB" w:rsidRDefault="00341727" w14:paraId="6CE12DC1"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proofErr w:type="spellStart"/>
            <w:r w:rsidRPr="005F055E">
              <w:rPr>
                <w:rFonts w:ascii="Verdana" w:hAnsi="Verdana"/>
                <w:color w:val="211D1F"/>
                <w:sz w:val="14"/>
                <w:szCs w:val="14"/>
              </w:rPr>
              <w:t>Entrectinib</w:t>
            </w:r>
            <w:proofErr w:type="spellEnd"/>
            <w:r w:rsidRPr="005F055E">
              <w:rPr>
                <w:rFonts w:ascii="Verdana" w:hAnsi="Verdana"/>
                <w:color w:val="211D1F"/>
                <w:sz w:val="14"/>
                <w:szCs w:val="14"/>
              </w:rPr>
              <w:t xml:space="preserve"> (</w:t>
            </w:r>
            <w:proofErr w:type="spellStart"/>
            <w:r w:rsidRPr="005F055E">
              <w:rPr>
                <w:rFonts w:ascii="Verdana" w:hAnsi="Verdana"/>
                <w:color w:val="211D1F"/>
                <w:sz w:val="14"/>
                <w:szCs w:val="14"/>
              </w:rPr>
              <w:t>Rozlytrek</w:t>
            </w:r>
            <w:proofErr w:type="spellEnd"/>
            <w:r w:rsidRPr="005F055E">
              <w:rPr>
                <w:rFonts w:ascii="Verdana" w:hAnsi="Verdana"/>
                <w:color w:val="211D1F"/>
                <w:sz w:val="14"/>
                <w:szCs w:val="14"/>
              </w:rPr>
              <w:t xml:space="preserve">®) voor de behandeling van volwassen patiënten en kinderen van 12 jaar en ouder met solide tumoren die een </w:t>
            </w:r>
            <w:proofErr w:type="spellStart"/>
            <w:r w:rsidRPr="005F055E">
              <w:rPr>
                <w:rFonts w:ascii="Verdana" w:hAnsi="Verdana"/>
                <w:color w:val="211D1F"/>
                <w:sz w:val="14"/>
                <w:szCs w:val="14"/>
              </w:rPr>
              <w:t>neurotrofe</w:t>
            </w:r>
            <w:proofErr w:type="spellEnd"/>
            <w:r w:rsidRPr="005F055E">
              <w:rPr>
                <w:rFonts w:ascii="Verdana" w:hAnsi="Verdana"/>
                <w:color w:val="211D1F"/>
                <w:sz w:val="14"/>
                <w:szCs w:val="14"/>
              </w:rPr>
              <w:t xml:space="preserve"> </w:t>
            </w:r>
            <w:proofErr w:type="spellStart"/>
            <w:r w:rsidRPr="005F055E">
              <w:rPr>
                <w:rFonts w:ascii="Verdana" w:hAnsi="Verdana"/>
                <w:color w:val="211D1F"/>
                <w:sz w:val="14"/>
                <w:szCs w:val="14"/>
              </w:rPr>
              <w:t>tyrosine</w:t>
            </w:r>
            <w:proofErr w:type="spellEnd"/>
            <w:r w:rsidRPr="005F055E">
              <w:rPr>
                <w:rFonts w:ascii="Verdana" w:hAnsi="Verdana"/>
                <w:color w:val="211D1F"/>
                <w:sz w:val="14"/>
                <w:szCs w:val="14"/>
              </w:rPr>
              <w:t xml:space="preserve"> receptor kinase- </w:t>
            </w:r>
            <w:proofErr w:type="spellStart"/>
            <w:r w:rsidRPr="005F055E">
              <w:rPr>
                <w:rFonts w:ascii="Verdana" w:hAnsi="Verdana"/>
                <w:color w:val="211D1F"/>
                <w:sz w:val="14"/>
                <w:szCs w:val="14"/>
              </w:rPr>
              <w:t>genfusie</w:t>
            </w:r>
            <w:proofErr w:type="spellEnd"/>
            <w:r w:rsidRPr="005F055E">
              <w:rPr>
                <w:rFonts w:ascii="Verdana" w:hAnsi="Verdana"/>
                <w:color w:val="211D1F"/>
                <w:sz w:val="14"/>
                <w:szCs w:val="14"/>
              </w:rPr>
              <w:t xml:space="preserve"> vertonen</w:t>
            </w:r>
          </w:p>
        </w:tc>
      </w:tr>
      <w:tr w:rsidRPr="005F055E" w:rsidR="00341727" w:rsidTr="005E2643" w14:paraId="73C470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5F055E" w:rsidR="00341727" w:rsidP="00180EEB" w:rsidRDefault="00341727" w14:paraId="7ED45804"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2022</w:t>
            </w:r>
          </w:p>
        </w:tc>
        <w:tc>
          <w:tcPr>
            <w:tcW w:w="7982" w:type="dxa"/>
            <w:shd w:val="clear" w:color="auto" w:fill="auto"/>
          </w:tcPr>
          <w:p w:rsidRPr="005F055E" w:rsidR="00341727" w:rsidP="00180EEB" w:rsidRDefault="00341727" w14:paraId="3341916F"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Geen nieuwe voorwaardelijke toelatingen tot het basispakket </w:t>
            </w:r>
          </w:p>
          <w:p w:rsidRPr="005F055E" w:rsidR="00341727" w:rsidP="00180EEB" w:rsidRDefault="00341727" w14:paraId="75750C17"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verlenging van de periode van voorwaardelijke toelating van: </w:t>
            </w:r>
          </w:p>
          <w:p w:rsidRPr="005F055E" w:rsidR="00341727" w:rsidP="00180EEB" w:rsidRDefault="00341727" w14:paraId="265DB41C"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borstreconstructie na borstkanker met autologe vet transplantatie tot 1 januari 2023; </w:t>
            </w:r>
          </w:p>
          <w:p w:rsidRPr="005F055E" w:rsidR="00341727" w:rsidP="00180EEB" w:rsidRDefault="00341727" w14:paraId="73D3636C"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proofErr w:type="spellStart"/>
            <w:r w:rsidRPr="005F055E">
              <w:rPr>
                <w:rFonts w:ascii="Verdana" w:hAnsi="Verdana"/>
                <w:color w:val="211D1F"/>
                <w:sz w:val="14"/>
                <w:szCs w:val="14"/>
              </w:rPr>
              <w:t>VTumor</w:t>
            </w:r>
            <w:proofErr w:type="spellEnd"/>
            <w:r w:rsidRPr="005F055E">
              <w:rPr>
                <w:rFonts w:ascii="Verdana" w:hAnsi="Verdana"/>
                <w:color w:val="211D1F"/>
                <w:sz w:val="14"/>
                <w:szCs w:val="14"/>
              </w:rPr>
              <w:t xml:space="preserve"> infiltrerende lymfocyten van uitgezaaid melanoom </w:t>
            </w:r>
            <w:proofErr w:type="spellStart"/>
            <w:r w:rsidRPr="005F055E">
              <w:rPr>
                <w:rFonts w:ascii="Verdana" w:hAnsi="Verdana"/>
                <w:color w:val="211D1F"/>
                <w:sz w:val="14"/>
                <w:szCs w:val="14"/>
              </w:rPr>
              <w:t>irresectabel</w:t>
            </w:r>
            <w:proofErr w:type="spellEnd"/>
            <w:r w:rsidRPr="005F055E">
              <w:rPr>
                <w:rFonts w:ascii="Verdana" w:hAnsi="Verdana"/>
                <w:color w:val="211D1F"/>
                <w:sz w:val="14"/>
                <w:szCs w:val="14"/>
              </w:rPr>
              <w:t xml:space="preserve"> stadium IIIC en stadium IV tot 1 januari 2023; </w:t>
            </w:r>
          </w:p>
          <w:p w:rsidRPr="005F055E" w:rsidR="00341727" w:rsidP="00180EEB" w:rsidRDefault="00341727" w14:paraId="0F9A0A7E"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proofErr w:type="spellStart"/>
            <w:r w:rsidRPr="005F055E">
              <w:rPr>
                <w:rFonts w:ascii="Verdana" w:hAnsi="Verdana"/>
                <w:color w:val="211D1F"/>
                <w:sz w:val="14"/>
                <w:szCs w:val="14"/>
              </w:rPr>
              <w:t>Binamed</w:t>
            </w:r>
            <w:proofErr w:type="spellEnd"/>
            <w:r w:rsidRPr="005F055E">
              <w:rPr>
                <w:rFonts w:ascii="Verdana" w:hAnsi="Verdana"/>
                <w:color w:val="211D1F"/>
                <w:sz w:val="14"/>
                <w:szCs w:val="14"/>
              </w:rPr>
              <w:t xml:space="preserve"> medische zilverkleding of </w:t>
            </w:r>
            <w:proofErr w:type="spellStart"/>
            <w:r w:rsidRPr="005F055E">
              <w:rPr>
                <w:rFonts w:ascii="Verdana" w:hAnsi="Verdana"/>
                <w:color w:val="211D1F"/>
                <w:sz w:val="14"/>
                <w:szCs w:val="14"/>
              </w:rPr>
              <w:t>Dermacura</w:t>
            </w:r>
            <w:proofErr w:type="spellEnd"/>
            <w:r w:rsidRPr="005F055E">
              <w:rPr>
                <w:rFonts w:ascii="Verdana" w:hAnsi="Verdana"/>
                <w:color w:val="211D1F"/>
                <w:sz w:val="14"/>
                <w:szCs w:val="14"/>
              </w:rPr>
              <w:t xml:space="preserve"> antibacterieel verbandkleding van kinderen en volwassenen met matig tot ernstig constitutioneel eczeem tot 1 januari 2024; </w:t>
            </w:r>
          </w:p>
          <w:p w:rsidRPr="005F055E" w:rsidR="00341727" w:rsidP="00180EEB" w:rsidRDefault="00341727" w14:paraId="239138C0"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Langdurige actieve fysiotherapie bij patiënten met reumatoïde artritis met ernstige functionele beperkingen tot 1 januari 2024; </w:t>
            </w:r>
          </w:p>
          <w:p w:rsidRPr="005F055E" w:rsidR="00341727" w:rsidP="00180EEB" w:rsidRDefault="00341727" w14:paraId="153AE157"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proofErr w:type="spellStart"/>
            <w:r w:rsidRPr="005F055E">
              <w:rPr>
                <w:rFonts w:ascii="Verdana" w:hAnsi="Verdana"/>
                <w:color w:val="211D1F"/>
                <w:sz w:val="14"/>
                <w:szCs w:val="14"/>
              </w:rPr>
              <w:t>CardioMEMS</w:t>
            </w:r>
            <w:proofErr w:type="spellEnd"/>
            <w:r w:rsidRPr="005F055E">
              <w:rPr>
                <w:rFonts w:ascii="Verdana" w:hAnsi="Verdana"/>
                <w:color w:val="211D1F"/>
                <w:sz w:val="14"/>
                <w:szCs w:val="14"/>
              </w:rPr>
              <w:t xml:space="preserve"> </w:t>
            </w:r>
            <w:proofErr w:type="spellStart"/>
            <w:r w:rsidRPr="005F055E">
              <w:rPr>
                <w:rFonts w:ascii="Verdana" w:hAnsi="Verdana"/>
                <w:color w:val="211D1F"/>
                <w:sz w:val="14"/>
                <w:szCs w:val="14"/>
              </w:rPr>
              <w:t>arteria</w:t>
            </w:r>
            <w:proofErr w:type="spellEnd"/>
            <w:r w:rsidRPr="005F055E">
              <w:rPr>
                <w:rFonts w:ascii="Verdana" w:hAnsi="Verdana"/>
                <w:color w:val="211D1F"/>
                <w:sz w:val="14"/>
                <w:szCs w:val="14"/>
              </w:rPr>
              <w:t xml:space="preserve"> </w:t>
            </w:r>
            <w:proofErr w:type="spellStart"/>
            <w:r w:rsidRPr="005F055E">
              <w:rPr>
                <w:rFonts w:ascii="Verdana" w:hAnsi="Verdana"/>
                <w:color w:val="211D1F"/>
                <w:sz w:val="14"/>
                <w:szCs w:val="14"/>
              </w:rPr>
              <w:t>pulmonalis</w:t>
            </w:r>
            <w:proofErr w:type="spellEnd"/>
            <w:r w:rsidRPr="005F055E">
              <w:rPr>
                <w:rFonts w:ascii="Verdana" w:hAnsi="Verdana"/>
                <w:color w:val="211D1F"/>
                <w:sz w:val="14"/>
                <w:szCs w:val="14"/>
              </w:rPr>
              <w:t xml:space="preserve"> monitoring bij patiënten met chronisch hartfalen New York </w:t>
            </w:r>
            <w:proofErr w:type="spellStart"/>
            <w:r w:rsidRPr="005F055E">
              <w:rPr>
                <w:rFonts w:ascii="Verdana" w:hAnsi="Verdana"/>
                <w:color w:val="211D1F"/>
                <w:sz w:val="14"/>
                <w:szCs w:val="14"/>
              </w:rPr>
              <w:t>Heart</w:t>
            </w:r>
            <w:proofErr w:type="spellEnd"/>
            <w:r w:rsidRPr="005F055E">
              <w:rPr>
                <w:rFonts w:ascii="Verdana" w:hAnsi="Verdana"/>
                <w:color w:val="211D1F"/>
                <w:sz w:val="14"/>
                <w:szCs w:val="14"/>
              </w:rPr>
              <w:t xml:space="preserve"> Association klasse III met recidiverende ziekenhuisopnamen tot 1 maart 2024; </w:t>
            </w:r>
          </w:p>
          <w:p w:rsidRPr="005F055E" w:rsidR="00341727" w:rsidP="00180EEB" w:rsidRDefault="00341727" w14:paraId="0EE373F1"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Langdurige actieve fysiotherapie bij patiënten met axiale </w:t>
            </w:r>
            <w:proofErr w:type="spellStart"/>
            <w:r w:rsidRPr="005F055E">
              <w:rPr>
                <w:rFonts w:ascii="Verdana" w:hAnsi="Verdana"/>
                <w:color w:val="211D1F"/>
                <w:sz w:val="14"/>
                <w:szCs w:val="14"/>
              </w:rPr>
              <w:t>spondyloartritis</w:t>
            </w:r>
            <w:proofErr w:type="spellEnd"/>
            <w:r w:rsidRPr="005F055E">
              <w:rPr>
                <w:rFonts w:ascii="Verdana" w:hAnsi="Verdana"/>
                <w:color w:val="211D1F"/>
                <w:sz w:val="14"/>
                <w:szCs w:val="14"/>
              </w:rPr>
              <w:t xml:space="preserve"> met ernstige functionele beperkingen tot 1 juli 2024; </w:t>
            </w:r>
          </w:p>
          <w:p w:rsidRPr="005F055E" w:rsidR="00341727" w:rsidP="00180EEB" w:rsidRDefault="00341727" w14:paraId="46E393E8"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Combinatiebehandeling van </w:t>
            </w:r>
            <w:proofErr w:type="spellStart"/>
            <w:r w:rsidRPr="005F055E">
              <w:rPr>
                <w:rFonts w:ascii="Verdana" w:hAnsi="Verdana"/>
                <w:color w:val="211D1F"/>
                <w:sz w:val="14"/>
                <w:szCs w:val="14"/>
              </w:rPr>
              <w:t>cytoreductieve</w:t>
            </w:r>
            <w:proofErr w:type="spellEnd"/>
            <w:r w:rsidRPr="005F055E">
              <w:rPr>
                <w:rFonts w:ascii="Verdana" w:hAnsi="Verdana"/>
                <w:color w:val="211D1F"/>
                <w:sz w:val="14"/>
                <w:szCs w:val="14"/>
              </w:rPr>
              <w:t xml:space="preserve"> chirurgie en hypertherme </w:t>
            </w:r>
            <w:proofErr w:type="spellStart"/>
            <w:r w:rsidRPr="005F055E">
              <w:rPr>
                <w:rFonts w:ascii="Verdana" w:hAnsi="Verdana"/>
                <w:color w:val="211D1F"/>
                <w:sz w:val="14"/>
                <w:szCs w:val="14"/>
              </w:rPr>
              <w:t>intraperitoneale</w:t>
            </w:r>
            <w:proofErr w:type="spellEnd"/>
            <w:r w:rsidRPr="005F055E">
              <w:rPr>
                <w:rFonts w:ascii="Verdana" w:hAnsi="Verdana"/>
                <w:color w:val="211D1F"/>
                <w:sz w:val="14"/>
                <w:szCs w:val="14"/>
              </w:rPr>
              <w:t xml:space="preserve"> chemotherapie bij patiënten met zowel maagcarcinoom als synchrone buikvliesmetastasen of tumorpositief buikvocht tot 1 oktober 2024. </w:t>
            </w:r>
          </w:p>
          <w:p w:rsidRPr="005F055E" w:rsidR="00341727" w:rsidP="00180EEB" w:rsidRDefault="00341727" w14:paraId="23ADFD54"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Geïntensiveerde, alkylerende chemotherapie met stamceltransplantatie voor de behandeling van patiënten van 18 tot en met 65 jaar met BRCA1-like, stadium III borstkanker tot 1 januari 2025; </w:t>
            </w:r>
          </w:p>
          <w:p w:rsidRPr="005F055E" w:rsidR="00341727" w:rsidP="00180EEB" w:rsidRDefault="00341727" w14:paraId="64DC5562"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Einde voorwaardelijke toelating i.v.m. afronding project: Dendritische cel vaccinaties bij patiënten met melanoom stadium IIIB en IIIC; Sacrale neurostimulatie bij patiënten met therapieresistente, functionele obstipatie met vertraagde darmpassage.</w:t>
            </w:r>
          </w:p>
        </w:tc>
      </w:tr>
      <w:tr w:rsidRPr="005F055E" w:rsidR="00341727" w:rsidTr="005E2643" w14:paraId="1037B533" w14:textId="77777777">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5F055E" w:rsidR="00341727" w:rsidP="00180EEB" w:rsidRDefault="00341727" w14:paraId="521FF81E"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2023</w:t>
            </w:r>
          </w:p>
        </w:tc>
        <w:tc>
          <w:tcPr>
            <w:tcW w:w="7982" w:type="dxa"/>
            <w:shd w:val="clear" w:color="auto" w:fill="auto"/>
          </w:tcPr>
          <w:p w:rsidRPr="005F055E" w:rsidR="00341727" w:rsidP="00180EEB" w:rsidRDefault="00341727" w14:paraId="2F7E77A2"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Verlenging van de periode van voorwaardelijke toelating langdurige actieve fysiotherapie of oefentherapie voor de behandeling van patiënten met reumatoïde artritis en ernstige functionele beperkingen tot 1 januari 2025. </w:t>
            </w:r>
          </w:p>
          <w:p w:rsidRPr="005F055E" w:rsidR="00341727" w:rsidP="00180EEB" w:rsidRDefault="00341727" w14:paraId="21C04870"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Verlenging van de periode van de voorwaardelijke toelating langdurige actieve fysiotherapie of oefentherapie voor de behandeling van patiënten met axiale </w:t>
            </w:r>
            <w:proofErr w:type="spellStart"/>
            <w:r w:rsidRPr="005F055E">
              <w:rPr>
                <w:rFonts w:ascii="Verdana" w:hAnsi="Verdana"/>
                <w:color w:val="211D1F"/>
                <w:sz w:val="14"/>
                <w:szCs w:val="14"/>
              </w:rPr>
              <w:t>spondyloartritis</w:t>
            </w:r>
            <w:proofErr w:type="spellEnd"/>
            <w:r w:rsidRPr="005F055E">
              <w:rPr>
                <w:rFonts w:ascii="Verdana" w:hAnsi="Verdana"/>
                <w:color w:val="211D1F"/>
                <w:sz w:val="14"/>
                <w:szCs w:val="14"/>
              </w:rPr>
              <w:t xml:space="preserve"> en ernstige functionele beperkingen tot 1 januari 2026. </w:t>
            </w:r>
          </w:p>
          <w:p w:rsidRPr="005F055E" w:rsidR="00341727" w:rsidP="00180EEB" w:rsidRDefault="00341727" w14:paraId="68A7A835"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Verlenging van de periode van voorwaardelijke toelating van eerstelijns paramedische herstelzorg voor COVID-19-patiënten tot 1 januari 2025. </w:t>
            </w:r>
          </w:p>
          <w:p w:rsidRPr="005F055E" w:rsidR="00341727" w:rsidP="00180EEB" w:rsidRDefault="00341727" w14:paraId="02ECE9F3"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Einde voorwaardelijke toelating i.v.m. afronding project: </w:t>
            </w:r>
          </w:p>
          <w:p w:rsidRPr="005F055E" w:rsidR="00341727" w:rsidP="00180EEB" w:rsidRDefault="00341727" w14:paraId="55D7C9F2"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de behandeling met tumor infiltrerende lymfocyten van uitgezaaid melanoom </w:t>
            </w:r>
            <w:proofErr w:type="spellStart"/>
            <w:r w:rsidRPr="005F055E">
              <w:rPr>
                <w:rFonts w:ascii="Verdana" w:hAnsi="Verdana"/>
                <w:color w:val="211D1F"/>
                <w:sz w:val="14"/>
                <w:szCs w:val="14"/>
              </w:rPr>
              <w:t>irresectabel</w:t>
            </w:r>
            <w:proofErr w:type="spellEnd"/>
            <w:r w:rsidRPr="005F055E">
              <w:rPr>
                <w:rFonts w:ascii="Verdana" w:hAnsi="Verdana"/>
                <w:color w:val="211D1F"/>
                <w:sz w:val="14"/>
                <w:szCs w:val="14"/>
              </w:rPr>
              <w:t xml:space="preserve"> stadium </w:t>
            </w:r>
            <w:proofErr w:type="spellStart"/>
            <w:r w:rsidRPr="005F055E">
              <w:rPr>
                <w:rFonts w:ascii="Verdana" w:hAnsi="Verdana"/>
                <w:color w:val="211D1F"/>
                <w:sz w:val="14"/>
                <w:szCs w:val="14"/>
              </w:rPr>
              <w:t>IIIc</w:t>
            </w:r>
            <w:proofErr w:type="spellEnd"/>
            <w:r w:rsidRPr="005F055E">
              <w:rPr>
                <w:rFonts w:ascii="Verdana" w:hAnsi="Verdana"/>
                <w:color w:val="211D1F"/>
                <w:sz w:val="14"/>
                <w:szCs w:val="14"/>
              </w:rPr>
              <w:t xml:space="preserve"> en stadium IV. </w:t>
            </w:r>
          </w:p>
          <w:p w:rsidRPr="005F055E" w:rsidR="00341727" w:rsidP="00180EEB" w:rsidRDefault="00341727" w14:paraId="526B2B5F"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Borstreconstructie na borstkanker met autologe vet transplantatie. </w:t>
            </w:r>
          </w:p>
          <w:p w:rsidRPr="005F055E" w:rsidR="00341727" w:rsidP="00180EEB" w:rsidRDefault="00341727" w14:paraId="746BBFEA"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proofErr w:type="spellStart"/>
            <w:r w:rsidRPr="005F055E">
              <w:rPr>
                <w:rFonts w:ascii="Verdana" w:hAnsi="Verdana"/>
                <w:color w:val="211D1F"/>
                <w:sz w:val="14"/>
                <w:szCs w:val="14"/>
              </w:rPr>
              <w:t>Larotrectinib</w:t>
            </w:r>
            <w:proofErr w:type="spellEnd"/>
            <w:r w:rsidRPr="005F055E">
              <w:rPr>
                <w:rFonts w:ascii="Verdana" w:hAnsi="Verdana"/>
                <w:color w:val="211D1F"/>
                <w:sz w:val="14"/>
                <w:szCs w:val="14"/>
              </w:rPr>
              <w:t xml:space="preserve"> voor de behandeling van volwassen en pediatrische patiënten met solide tumoren die een </w:t>
            </w:r>
            <w:proofErr w:type="spellStart"/>
            <w:r w:rsidRPr="005F055E">
              <w:rPr>
                <w:rFonts w:ascii="Verdana" w:hAnsi="Verdana"/>
                <w:color w:val="211D1F"/>
                <w:sz w:val="14"/>
                <w:szCs w:val="14"/>
              </w:rPr>
              <w:t>neurotrofe</w:t>
            </w:r>
            <w:proofErr w:type="spellEnd"/>
            <w:r w:rsidRPr="005F055E">
              <w:rPr>
                <w:rFonts w:ascii="Verdana" w:hAnsi="Verdana"/>
                <w:color w:val="211D1F"/>
                <w:sz w:val="14"/>
                <w:szCs w:val="14"/>
              </w:rPr>
              <w:t xml:space="preserve"> </w:t>
            </w:r>
            <w:proofErr w:type="spellStart"/>
            <w:r w:rsidRPr="005F055E">
              <w:rPr>
                <w:rFonts w:ascii="Verdana" w:hAnsi="Verdana"/>
                <w:color w:val="211D1F"/>
                <w:sz w:val="14"/>
                <w:szCs w:val="14"/>
              </w:rPr>
              <w:t>tyrosine</w:t>
            </w:r>
            <w:proofErr w:type="spellEnd"/>
            <w:r w:rsidRPr="005F055E">
              <w:rPr>
                <w:rFonts w:ascii="Verdana" w:hAnsi="Verdana"/>
                <w:color w:val="211D1F"/>
                <w:sz w:val="14"/>
                <w:szCs w:val="14"/>
              </w:rPr>
              <w:t xml:space="preserve"> receptor kinase-</w:t>
            </w:r>
            <w:proofErr w:type="spellStart"/>
            <w:r w:rsidRPr="005F055E">
              <w:rPr>
                <w:rFonts w:ascii="Verdana" w:hAnsi="Verdana"/>
                <w:color w:val="211D1F"/>
                <w:sz w:val="14"/>
                <w:szCs w:val="14"/>
              </w:rPr>
              <w:t>genfusie</w:t>
            </w:r>
            <w:proofErr w:type="spellEnd"/>
            <w:r w:rsidRPr="005F055E">
              <w:rPr>
                <w:rFonts w:ascii="Verdana" w:hAnsi="Verdana"/>
                <w:color w:val="211D1F"/>
                <w:sz w:val="14"/>
                <w:szCs w:val="14"/>
              </w:rPr>
              <w:t xml:space="preserve"> vertonen. </w:t>
            </w:r>
          </w:p>
          <w:p w:rsidRPr="005F055E" w:rsidR="00341727" w:rsidP="00180EEB" w:rsidRDefault="00341727" w14:paraId="64AE5D21"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proofErr w:type="spellStart"/>
            <w:r w:rsidRPr="005F055E">
              <w:rPr>
                <w:rFonts w:ascii="Verdana" w:hAnsi="Verdana"/>
                <w:color w:val="211D1F"/>
                <w:sz w:val="14"/>
                <w:szCs w:val="14"/>
              </w:rPr>
              <w:t>Entrectinib</w:t>
            </w:r>
            <w:proofErr w:type="spellEnd"/>
            <w:r w:rsidRPr="005F055E">
              <w:rPr>
                <w:rFonts w:ascii="Verdana" w:hAnsi="Verdana"/>
                <w:color w:val="211D1F"/>
                <w:sz w:val="14"/>
                <w:szCs w:val="14"/>
              </w:rPr>
              <w:t xml:space="preserve"> voor de behandeling van volwassen patiënten en kinderen van 12 jaar en ouder met solide tumoren die een </w:t>
            </w:r>
            <w:proofErr w:type="spellStart"/>
            <w:r w:rsidRPr="005F055E">
              <w:rPr>
                <w:rFonts w:ascii="Verdana" w:hAnsi="Verdana"/>
                <w:color w:val="211D1F"/>
                <w:sz w:val="14"/>
                <w:szCs w:val="14"/>
              </w:rPr>
              <w:t>neurotrofe</w:t>
            </w:r>
            <w:proofErr w:type="spellEnd"/>
            <w:r w:rsidRPr="005F055E">
              <w:rPr>
                <w:rFonts w:ascii="Verdana" w:hAnsi="Verdana"/>
                <w:color w:val="211D1F"/>
                <w:sz w:val="14"/>
                <w:szCs w:val="14"/>
              </w:rPr>
              <w:t xml:space="preserve"> </w:t>
            </w:r>
            <w:proofErr w:type="spellStart"/>
            <w:r w:rsidRPr="005F055E">
              <w:rPr>
                <w:rFonts w:ascii="Verdana" w:hAnsi="Verdana"/>
                <w:color w:val="211D1F"/>
                <w:sz w:val="14"/>
                <w:szCs w:val="14"/>
              </w:rPr>
              <w:t>tyrosine</w:t>
            </w:r>
            <w:proofErr w:type="spellEnd"/>
            <w:r w:rsidRPr="005F055E">
              <w:rPr>
                <w:rFonts w:ascii="Verdana" w:hAnsi="Verdana"/>
                <w:color w:val="211D1F"/>
                <w:sz w:val="14"/>
                <w:szCs w:val="14"/>
              </w:rPr>
              <w:t xml:space="preserve"> receptor kinase-</w:t>
            </w:r>
            <w:proofErr w:type="spellStart"/>
            <w:r w:rsidRPr="005F055E">
              <w:rPr>
                <w:rFonts w:ascii="Verdana" w:hAnsi="Verdana"/>
                <w:color w:val="211D1F"/>
                <w:sz w:val="14"/>
                <w:szCs w:val="14"/>
              </w:rPr>
              <w:t>genfusie</w:t>
            </w:r>
            <w:proofErr w:type="spellEnd"/>
            <w:r w:rsidRPr="005F055E">
              <w:rPr>
                <w:rFonts w:ascii="Verdana" w:hAnsi="Verdana"/>
                <w:color w:val="211D1F"/>
                <w:sz w:val="14"/>
                <w:szCs w:val="14"/>
              </w:rPr>
              <w:t xml:space="preserve"> vertonen.</w:t>
            </w:r>
          </w:p>
        </w:tc>
      </w:tr>
      <w:tr w:rsidRPr="005F055E" w:rsidR="00341727" w:rsidTr="005E2643" w14:paraId="563AC4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5F055E" w:rsidR="00341727" w:rsidP="00180EEB" w:rsidRDefault="00341727" w14:paraId="442F22D2"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2024</w:t>
            </w:r>
          </w:p>
        </w:tc>
        <w:tc>
          <w:tcPr>
            <w:tcW w:w="7982" w:type="dxa"/>
            <w:shd w:val="clear" w:color="auto" w:fill="auto"/>
          </w:tcPr>
          <w:p w:rsidRPr="005F055E" w:rsidR="00341727" w:rsidP="00180EEB" w:rsidRDefault="00341727" w14:paraId="5F579C18"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Geen nieuwe voorwaardelijke toelatingen tot het basispakket. </w:t>
            </w:r>
          </w:p>
          <w:p w:rsidRPr="005F055E" w:rsidR="00341727" w:rsidP="00180EEB" w:rsidRDefault="00341727" w14:paraId="3F0C1B56"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Verlenging van de periode van voorwaardelijke toelating Blaasinstillatie met blaasspoelvloeistoffen met </w:t>
            </w:r>
            <w:proofErr w:type="spellStart"/>
            <w:r w:rsidRPr="005F055E">
              <w:rPr>
                <w:rFonts w:ascii="Verdana" w:hAnsi="Verdana"/>
                <w:color w:val="211D1F"/>
                <w:sz w:val="14"/>
                <w:szCs w:val="14"/>
              </w:rPr>
              <w:t>chondroïtinesulfaat</w:t>
            </w:r>
            <w:proofErr w:type="spellEnd"/>
            <w:r w:rsidRPr="005F055E">
              <w:rPr>
                <w:rFonts w:ascii="Verdana" w:hAnsi="Verdana"/>
                <w:color w:val="211D1F"/>
                <w:sz w:val="14"/>
                <w:szCs w:val="14"/>
              </w:rPr>
              <w:t xml:space="preserve"> en/of </w:t>
            </w:r>
            <w:proofErr w:type="spellStart"/>
            <w:r w:rsidRPr="005F055E">
              <w:rPr>
                <w:rFonts w:ascii="Verdana" w:hAnsi="Verdana"/>
                <w:color w:val="211D1F"/>
                <w:sz w:val="14"/>
                <w:szCs w:val="14"/>
              </w:rPr>
              <w:t>hyaluronzuur</w:t>
            </w:r>
            <w:proofErr w:type="spellEnd"/>
            <w:r w:rsidRPr="005F055E">
              <w:rPr>
                <w:rFonts w:ascii="Verdana" w:hAnsi="Verdana"/>
                <w:color w:val="211D1F"/>
                <w:sz w:val="14"/>
                <w:szCs w:val="14"/>
              </w:rPr>
              <w:t xml:space="preserve">- voor de behandeling van patiënten met blaaspijnsyndroom met niet transurethraal behandelbare </w:t>
            </w:r>
            <w:proofErr w:type="spellStart"/>
            <w:r w:rsidRPr="005F055E">
              <w:rPr>
                <w:rFonts w:ascii="Verdana" w:hAnsi="Verdana"/>
                <w:color w:val="211D1F"/>
                <w:sz w:val="14"/>
                <w:szCs w:val="14"/>
              </w:rPr>
              <w:t>Hunnerse</w:t>
            </w:r>
            <w:proofErr w:type="spellEnd"/>
            <w:r w:rsidRPr="005F055E">
              <w:rPr>
                <w:rFonts w:ascii="Verdana" w:hAnsi="Verdana"/>
                <w:color w:val="211D1F"/>
                <w:sz w:val="14"/>
                <w:szCs w:val="14"/>
              </w:rPr>
              <w:t xml:space="preserve"> laesies te verlengen tot 1 januari 2027.</w:t>
            </w:r>
          </w:p>
          <w:p w:rsidRPr="005F055E" w:rsidR="00341727" w:rsidP="00180EEB" w:rsidRDefault="00341727" w14:paraId="4E818B2E"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Voorwaardelijke toelating combinatiebehandeling van </w:t>
            </w:r>
            <w:proofErr w:type="spellStart"/>
            <w:r w:rsidRPr="005F055E">
              <w:rPr>
                <w:rFonts w:ascii="Verdana" w:hAnsi="Verdana"/>
                <w:color w:val="211D1F"/>
                <w:sz w:val="14"/>
                <w:szCs w:val="14"/>
              </w:rPr>
              <w:t>cytoreductieve</w:t>
            </w:r>
            <w:proofErr w:type="spellEnd"/>
            <w:r w:rsidRPr="005F055E">
              <w:rPr>
                <w:rFonts w:ascii="Verdana" w:hAnsi="Verdana"/>
                <w:color w:val="211D1F"/>
                <w:sz w:val="14"/>
                <w:szCs w:val="14"/>
              </w:rPr>
              <w:t xml:space="preserve"> chirurgie en hypertherme </w:t>
            </w:r>
            <w:proofErr w:type="spellStart"/>
            <w:r w:rsidRPr="005F055E">
              <w:rPr>
                <w:rFonts w:ascii="Verdana" w:hAnsi="Verdana"/>
                <w:color w:val="211D1F"/>
                <w:sz w:val="14"/>
                <w:szCs w:val="14"/>
              </w:rPr>
              <w:t>intraperitoneale</w:t>
            </w:r>
            <w:proofErr w:type="spellEnd"/>
            <w:r w:rsidRPr="005F055E">
              <w:rPr>
                <w:rFonts w:ascii="Verdana" w:hAnsi="Verdana"/>
                <w:color w:val="211D1F"/>
                <w:sz w:val="14"/>
                <w:szCs w:val="14"/>
              </w:rPr>
              <w:t xml:space="preserve"> chemotherapie (HIPEC) bij patiënten met zowel maagcarcinoom als synchrone buikvliesmetastasen of tumorpositief buikvocht is met 9 maanden verlengd tot 1 juli 2025.</w:t>
            </w:r>
          </w:p>
          <w:p w:rsidRPr="005F055E" w:rsidR="00341727" w:rsidP="00180EEB" w:rsidRDefault="00341727" w14:paraId="5AC554DA"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Einde voorwaardelijke toelating i.v.m. afronding project: </w:t>
            </w:r>
          </w:p>
          <w:p w:rsidRPr="005F055E" w:rsidR="00341727" w:rsidP="00180EEB" w:rsidRDefault="00341727" w14:paraId="5F5513AC"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proofErr w:type="spellStart"/>
            <w:r w:rsidRPr="005F055E">
              <w:rPr>
                <w:rFonts w:ascii="Verdana" w:hAnsi="Verdana"/>
                <w:color w:val="211D1F"/>
                <w:sz w:val="14"/>
                <w:szCs w:val="14"/>
              </w:rPr>
              <w:t>CardioMEMS</w:t>
            </w:r>
            <w:proofErr w:type="spellEnd"/>
            <w:r w:rsidRPr="005F055E">
              <w:rPr>
                <w:rFonts w:ascii="Verdana" w:hAnsi="Verdana"/>
                <w:color w:val="211D1F"/>
                <w:sz w:val="14"/>
                <w:szCs w:val="14"/>
              </w:rPr>
              <w:t xml:space="preserve"> </w:t>
            </w:r>
            <w:proofErr w:type="spellStart"/>
            <w:r w:rsidRPr="005F055E">
              <w:rPr>
                <w:rFonts w:ascii="Verdana" w:hAnsi="Verdana"/>
                <w:color w:val="211D1F"/>
                <w:sz w:val="14"/>
                <w:szCs w:val="14"/>
              </w:rPr>
              <w:t>arteria</w:t>
            </w:r>
            <w:proofErr w:type="spellEnd"/>
            <w:r w:rsidRPr="005F055E">
              <w:rPr>
                <w:rFonts w:ascii="Verdana" w:hAnsi="Verdana"/>
                <w:color w:val="211D1F"/>
                <w:sz w:val="14"/>
                <w:szCs w:val="14"/>
              </w:rPr>
              <w:t xml:space="preserve"> </w:t>
            </w:r>
            <w:proofErr w:type="spellStart"/>
            <w:r w:rsidRPr="005F055E">
              <w:rPr>
                <w:rFonts w:ascii="Verdana" w:hAnsi="Verdana"/>
                <w:color w:val="211D1F"/>
                <w:sz w:val="14"/>
                <w:szCs w:val="14"/>
              </w:rPr>
              <w:t>pulmonalis</w:t>
            </w:r>
            <w:proofErr w:type="spellEnd"/>
            <w:r w:rsidRPr="005F055E">
              <w:rPr>
                <w:rFonts w:ascii="Verdana" w:hAnsi="Verdana"/>
                <w:color w:val="211D1F"/>
                <w:sz w:val="14"/>
                <w:szCs w:val="14"/>
              </w:rPr>
              <w:t xml:space="preserve"> monitoring bij patiënten met chronisch hartfalen New York </w:t>
            </w:r>
            <w:proofErr w:type="spellStart"/>
            <w:r w:rsidRPr="005F055E">
              <w:rPr>
                <w:rFonts w:ascii="Verdana" w:hAnsi="Verdana"/>
                <w:color w:val="211D1F"/>
                <w:sz w:val="14"/>
                <w:szCs w:val="14"/>
              </w:rPr>
              <w:t>Heart</w:t>
            </w:r>
            <w:proofErr w:type="spellEnd"/>
            <w:r w:rsidRPr="005F055E">
              <w:rPr>
                <w:rFonts w:ascii="Verdana" w:hAnsi="Verdana"/>
                <w:color w:val="211D1F"/>
                <w:sz w:val="14"/>
                <w:szCs w:val="14"/>
              </w:rPr>
              <w:t xml:space="preserve"> Association (NYHA) klasse III met recidiverende ziekenhuisopnamen </w:t>
            </w:r>
          </w:p>
          <w:p w:rsidRPr="005F055E" w:rsidR="00341727" w:rsidP="00180EEB" w:rsidRDefault="00341727" w14:paraId="5DE09D93"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PA </w:t>
            </w:r>
            <w:proofErr w:type="spellStart"/>
            <w:r w:rsidRPr="005F055E">
              <w:rPr>
                <w:rFonts w:ascii="Verdana" w:hAnsi="Verdana"/>
                <w:color w:val="211D1F"/>
                <w:sz w:val="14"/>
                <w:szCs w:val="14"/>
              </w:rPr>
              <w:t>telemonitoring</w:t>
            </w:r>
            <w:proofErr w:type="spellEnd"/>
            <w:r w:rsidRPr="005F055E">
              <w:rPr>
                <w:rFonts w:ascii="Verdana" w:hAnsi="Verdana"/>
                <w:color w:val="211D1F"/>
                <w:sz w:val="14"/>
                <w:szCs w:val="14"/>
              </w:rPr>
              <w:t xml:space="preserve"> bij patiënten met chronisch hartfalen</w:t>
            </w:r>
          </w:p>
          <w:p w:rsidRPr="005F055E" w:rsidR="00341727" w:rsidP="00180EEB" w:rsidRDefault="00341727" w14:paraId="0D0A066B"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langdurige actieve fysiotherapie vanaf de eenentwintigste behandeling bij patiënten met reumatoïde artritis met ernstige functionele beperkingen</w:t>
            </w:r>
          </w:p>
          <w:p w:rsidRPr="005F055E" w:rsidR="00341727" w:rsidP="00180EEB" w:rsidRDefault="00341727" w14:paraId="54A4ED91"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Paramedische herstelzorg na Covid-19</w:t>
            </w:r>
          </w:p>
        </w:tc>
      </w:tr>
      <w:tr w:rsidRPr="005F055E" w:rsidR="00341727" w:rsidTr="005E2643" w14:paraId="2A7B5001" w14:textId="77777777">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5F055E" w:rsidR="00341727" w:rsidP="00180EEB" w:rsidRDefault="00341727" w14:paraId="278F0B0E" w14:textId="77777777">
            <w:pPr>
              <w:suppressAutoHyphens/>
              <w:rPr>
                <w:rFonts w:ascii="Verdana" w:hAnsi="Verdana"/>
                <w:b w:val="0"/>
                <w:bCs w:val="0"/>
                <w:color w:val="211D1F"/>
                <w:sz w:val="14"/>
                <w:szCs w:val="14"/>
              </w:rPr>
            </w:pPr>
            <w:r w:rsidRPr="005F055E">
              <w:rPr>
                <w:rFonts w:ascii="Verdana" w:hAnsi="Verdana"/>
                <w:b w:val="0"/>
                <w:bCs w:val="0"/>
                <w:color w:val="211D1F"/>
                <w:sz w:val="14"/>
                <w:szCs w:val="14"/>
              </w:rPr>
              <w:t>2025</w:t>
            </w:r>
          </w:p>
        </w:tc>
        <w:tc>
          <w:tcPr>
            <w:tcW w:w="7982" w:type="dxa"/>
            <w:shd w:val="clear" w:color="auto" w:fill="auto"/>
          </w:tcPr>
          <w:p w:rsidRPr="005F055E" w:rsidR="00341727" w:rsidP="00180EEB" w:rsidRDefault="00341727" w14:paraId="35A7D00F"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Geen nieuwe voorwaardelijke toelatingen tot het basispakket.</w:t>
            </w:r>
          </w:p>
          <w:p w:rsidRPr="005F055E" w:rsidR="00341727" w:rsidP="00180EEB" w:rsidRDefault="00341727" w14:paraId="01E59D3B"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Einde voorwaardelijke toelating i.v.m. afronding project:</w:t>
            </w:r>
          </w:p>
          <w:p w:rsidRPr="005F055E" w:rsidR="00341727" w:rsidP="00180EEB" w:rsidRDefault="00341727" w14:paraId="60CD8260"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Geïntensifieerde, alkylerende chemotherapie met stamceltransplantatie voor de behandeling van patiënten van 18 tot en met 65 jaar met BRCA1-like, stadium III borstkanker.</w:t>
            </w:r>
          </w:p>
          <w:p w:rsidRPr="005F055E" w:rsidR="00341727" w:rsidP="00180EEB" w:rsidRDefault="00341727" w14:paraId="470F8195"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Combinatiebehandeling van </w:t>
            </w:r>
            <w:proofErr w:type="spellStart"/>
            <w:r w:rsidRPr="005F055E">
              <w:rPr>
                <w:rFonts w:ascii="Verdana" w:hAnsi="Verdana"/>
                <w:color w:val="211D1F"/>
                <w:sz w:val="14"/>
                <w:szCs w:val="14"/>
              </w:rPr>
              <w:t>cytoreductieve</w:t>
            </w:r>
            <w:proofErr w:type="spellEnd"/>
            <w:r w:rsidRPr="005F055E">
              <w:rPr>
                <w:rFonts w:ascii="Verdana" w:hAnsi="Verdana"/>
                <w:color w:val="211D1F"/>
                <w:sz w:val="14"/>
                <w:szCs w:val="14"/>
              </w:rPr>
              <w:t xml:space="preserve"> chirurgie en hypertherme </w:t>
            </w:r>
            <w:proofErr w:type="spellStart"/>
            <w:r w:rsidRPr="005F055E">
              <w:rPr>
                <w:rFonts w:ascii="Verdana" w:hAnsi="Verdana"/>
                <w:color w:val="211D1F"/>
                <w:sz w:val="14"/>
                <w:szCs w:val="14"/>
              </w:rPr>
              <w:t>intraperitoneale</w:t>
            </w:r>
            <w:proofErr w:type="spellEnd"/>
            <w:r w:rsidRPr="005F055E">
              <w:rPr>
                <w:rFonts w:ascii="Verdana" w:hAnsi="Verdana"/>
                <w:color w:val="211D1F"/>
                <w:sz w:val="14"/>
                <w:szCs w:val="14"/>
              </w:rPr>
              <w:t xml:space="preserve"> chemotherapie bij patiënten met zowel maagcarcinoom als synchrone buikvliesmetastasen of tumorpositief buikvocht.</w:t>
            </w:r>
          </w:p>
          <w:p w:rsidRPr="005F055E" w:rsidR="00341727" w:rsidP="00180EEB" w:rsidRDefault="00341727" w14:paraId="38EB0067"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olor w:val="211D1F"/>
                <w:sz w:val="14"/>
                <w:szCs w:val="14"/>
              </w:rPr>
            </w:pPr>
            <w:r w:rsidRPr="005F055E">
              <w:rPr>
                <w:rFonts w:ascii="Verdana" w:hAnsi="Verdana"/>
                <w:color w:val="211D1F"/>
                <w:sz w:val="14"/>
                <w:szCs w:val="14"/>
              </w:rPr>
              <w:t xml:space="preserve">Langdurige actieve fysiotherapie vanaf de eenentwintigste behandeling bij patiënten met axiale </w:t>
            </w:r>
            <w:proofErr w:type="spellStart"/>
            <w:r w:rsidRPr="005F055E">
              <w:rPr>
                <w:rFonts w:ascii="Verdana" w:hAnsi="Verdana"/>
                <w:color w:val="211D1F"/>
                <w:sz w:val="14"/>
                <w:szCs w:val="14"/>
              </w:rPr>
              <w:t>spondyloartritis</w:t>
            </w:r>
            <w:proofErr w:type="spellEnd"/>
            <w:r w:rsidRPr="005F055E">
              <w:rPr>
                <w:rFonts w:ascii="Verdana" w:hAnsi="Verdana"/>
                <w:color w:val="211D1F"/>
                <w:sz w:val="14"/>
                <w:szCs w:val="14"/>
              </w:rPr>
              <w:t xml:space="preserve"> met ernstige functionele beperkingen.</w:t>
            </w:r>
          </w:p>
        </w:tc>
      </w:tr>
      <w:tr w:rsidRPr="005F055E" w:rsidR="00341727" w:rsidTr="005E2643" w14:paraId="1E0B6C24"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5F055E" w:rsidR="00341727" w:rsidP="00180EEB" w:rsidRDefault="00341727" w14:paraId="57B8EF02" w14:textId="77777777">
            <w:pPr>
              <w:suppressAutoHyphens/>
              <w:rPr>
                <w:rFonts w:ascii="Verdana" w:hAnsi="Verdana"/>
                <w:b w:val="0"/>
                <w:bCs w:val="0"/>
                <w:color w:val="211D1F"/>
                <w:sz w:val="14"/>
                <w:szCs w:val="14"/>
              </w:rPr>
            </w:pPr>
          </w:p>
        </w:tc>
        <w:tc>
          <w:tcPr>
            <w:tcW w:w="7982" w:type="dxa"/>
            <w:shd w:val="clear" w:color="auto" w:fill="auto"/>
          </w:tcPr>
          <w:p w:rsidRPr="005F055E" w:rsidR="00341727" w:rsidP="00180EEB" w:rsidRDefault="00341727" w14:paraId="6CB605DA"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olor w:val="211D1F"/>
                <w:sz w:val="14"/>
                <w:szCs w:val="14"/>
              </w:rPr>
            </w:pPr>
          </w:p>
        </w:tc>
      </w:tr>
    </w:tbl>
    <w:p w:rsidR="00912A7D" w:rsidP="00180EEB" w:rsidRDefault="00912A7D" w14:paraId="6454CF42" w14:textId="77777777">
      <w:pPr>
        <w:suppressAutoHyphens/>
      </w:pPr>
    </w:p>
    <w:p w:rsidRPr="005F055E" w:rsidR="00912A7D" w:rsidP="00180EEB" w:rsidRDefault="003E7003" w14:paraId="4C341750" w14:textId="77777777">
      <w:pPr>
        <w:suppressAutoHyphens/>
      </w:pPr>
      <w:bookmarkStart w:name="_Hlk213422011" w:id="31"/>
      <w:r w:rsidRPr="005F055E">
        <w:t>Vraag 166</w:t>
      </w:r>
      <w:r w:rsidRPr="005F055E">
        <w:tab/>
      </w:r>
    </w:p>
    <w:p w:rsidRPr="005F055E" w:rsidR="00912A7D" w:rsidP="00180EEB" w:rsidRDefault="003E7003" w14:paraId="17A627E7" w14:textId="77777777">
      <w:pPr>
        <w:suppressAutoHyphens/>
      </w:pPr>
      <w:r w:rsidRPr="005F055E">
        <w:t>Hoeveel zou het kosten om Pre Expositie Profylaxe (</w:t>
      </w:r>
      <w:proofErr w:type="spellStart"/>
      <w:r w:rsidRPr="005F055E">
        <w:t>PrEP</w:t>
      </w:r>
      <w:proofErr w:type="spellEnd"/>
      <w:r w:rsidRPr="005F055E">
        <w:t>) voor de volledige doelgroep te vergoeden, zonder eigen bijdrage?</w:t>
      </w:r>
      <w:r w:rsidRPr="005F055E">
        <w:tab/>
      </w:r>
    </w:p>
    <w:p w:rsidRPr="005F055E" w:rsidR="003E7003" w:rsidP="00180EEB" w:rsidRDefault="003E7003" w14:paraId="2C308B8B" w14:textId="056F3DE5">
      <w:pPr>
        <w:suppressAutoHyphens/>
      </w:pPr>
      <w:r w:rsidRPr="005F055E">
        <w:t>Antwoord</w:t>
      </w:r>
    </w:p>
    <w:p w:rsidRPr="005F055E" w:rsidR="00575A49" w:rsidP="00180EEB" w:rsidRDefault="00575A49" w14:paraId="53D2EB62" w14:textId="77777777">
      <w:pPr>
        <w:suppressAutoHyphens/>
        <w:spacing w:line="240" w:lineRule="atLeast"/>
        <w:rPr>
          <w:rFonts w:cstheme="minorHAnsi"/>
          <w:bCs/>
          <w:color w:val="000000" w:themeColor="text1"/>
          <w:szCs w:val="18"/>
          <w:lang w:eastAsia="nl-NL"/>
        </w:rPr>
      </w:pPr>
      <w:r w:rsidRPr="005F055E">
        <w:rPr>
          <w:rFonts w:cstheme="minorHAnsi"/>
          <w:bCs/>
          <w:color w:val="000000" w:themeColor="text1"/>
          <w:szCs w:val="18"/>
          <w:lang w:eastAsia="nl-NL"/>
        </w:rPr>
        <w:t xml:space="preserve">De omvang van de volledige doelgroep die in aanmerking komt voor </w:t>
      </w:r>
      <w:proofErr w:type="spellStart"/>
      <w:r w:rsidRPr="005F055E">
        <w:rPr>
          <w:rFonts w:cstheme="minorHAnsi"/>
          <w:bCs/>
          <w:color w:val="000000" w:themeColor="text1"/>
          <w:szCs w:val="18"/>
          <w:lang w:eastAsia="nl-NL"/>
        </w:rPr>
        <w:t>PrEP</w:t>
      </w:r>
      <w:proofErr w:type="spellEnd"/>
      <w:r w:rsidRPr="005F055E">
        <w:rPr>
          <w:rFonts w:cstheme="minorHAnsi"/>
          <w:bCs/>
          <w:color w:val="000000" w:themeColor="text1"/>
          <w:szCs w:val="18"/>
          <w:lang w:eastAsia="nl-NL"/>
        </w:rPr>
        <w:t xml:space="preserve">-medicatie is lastig in te schatten. Het aantal personen kan wijzigen afhankelijk van onder andere seksueel gedrag, kennis over hiv en </w:t>
      </w:r>
      <w:proofErr w:type="spellStart"/>
      <w:r w:rsidRPr="005F055E">
        <w:rPr>
          <w:rFonts w:cstheme="minorHAnsi"/>
          <w:bCs/>
          <w:color w:val="000000" w:themeColor="text1"/>
          <w:szCs w:val="18"/>
          <w:lang w:eastAsia="nl-NL"/>
        </w:rPr>
        <w:t>PrEP</w:t>
      </w:r>
      <w:proofErr w:type="spellEnd"/>
      <w:r w:rsidRPr="005F055E">
        <w:rPr>
          <w:rFonts w:cstheme="minorHAnsi"/>
          <w:bCs/>
          <w:color w:val="000000" w:themeColor="text1"/>
          <w:szCs w:val="18"/>
          <w:lang w:eastAsia="nl-NL"/>
        </w:rPr>
        <w:t xml:space="preserve">, risicoperceptie, bereidheid om </w:t>
      </w:r>
      <w:proofErr w:type="spellStart"/>
      <w:r w:rsidRPr="005F055E">
        <w:rPr>
          <w:rFonts w:cstheme="minorHAnsi"/>
          <w:bCs/>
          <w:color w:val="000000" w:themeColor="text1"/>
          <w:szCs w:val="18"/>
          <w:lang w:eastAsia="nl-NL"/>
        </w:rPr>
        <w:t>PrEP</w:t>
      </w:r>
      <w:proofErr w:type="spellEnd"/>
      <w:r w:rsidRPr="005F055E">
        <w:rPr>
          <w:rFonts w:cstheme="minorHAnsi"/>
          <w:bCs/>
          <w:color w:val="000000" w:themeColor="text1"/>
          <w:szCs w:val="18"/>
          <w:lang w:eastAsia="nl-NL"/>
        </w:rPr>
        <w:t xml:space="preserve"> te gebruiken, aanbod van </w:t>
      </w:r>
      <w:proofErr w:type="spellStart"/>
      <w:r w:rsidRPr="005F055E">
        <w:rPr>
          <w:rFonts w:cstheme="minorHAnsi"/>
          <w:bCs/>
          <w:color w:val="000000" w:themeColor="text1"/>
          <w:szCs w:val="18"/>
          <w:lang w:eastAsia="nl-NL"/>
        </w:rPr>
        <w:t>PrEP</w:t>
      </w:r>
      <w:proofErr w:type="spellEnd"/>
      <w:r w:rsidRPr="005F055E">
        <w:rPr>
          <w:rFonts w:cstheme="minorHAnsi"/>
          <w:bCs/>
          <w:color w:val="000000" w:themeColor="text1"/>
          <w:szCs w:val="18"/>
          <w:lang w:eastAsia="nl-NL"/>
        </w:rPr>
        <w:t xml:space="preserve">-zorg en andere sociale omstandigheden zoals stigma. </w:t>
      </w:r>
    </w:p>
    <w:p w:rsidRPr="005F055E" w:rsidR="00575A49" w:rsidP="00180EEB" w:rsidRDefault="00575A49" w14:paraId="5D9CEEF5" w14:textId="77777777">
      <w:pPr>
        <w:suppressAutoHyphens/>
        <w:spacing w:line="240" w:lineRule="atLeast"/>
        <w:rPr>
          <w:szCs w:val="20"/>
          <w:lang w:eastAsia="nl-NL"/>
        </w:rPr>
      </w:pPr>
      <w:r w:rsidRPr="005F055E">
        <w:rPr>
          <w:szCs w:val="20"/>
          <w:lang w:eastAsia="nl-NL"/>
        </w:rPr>
        <w:t xml:space="preserve">Volgens </w:t>
      </w:r>
      <w:r w:rsidRPr="005F055E">
        <w:rPr>
          <w:szCs w:val="18"/>
          <w:lang w:eastAsia="nl-NL"/>
        </w:rPr>
        <w:t>gegevens over het geneesmiddelengebruik in Nederland</w:t>
      </w:r>
      <w:r w:rsidRPr="005F055E">
        <w:rPr>
          <w:szCs w:val="20"/>
          <w:lang w:eastAsia="nl-NL"/>
        </w:rPr>
        <w:t xml:space="preserve"> (Stichting Farmaceutische Kengetallen) zijn er nu zo’n 18.000 personen die </w:t>
      </w:r>
      <w:proofErr w:type="spellStart"/>
      <w:r w:rsidRPr="005F055E">
        <w:rPr>
          <w:szCs w:val="20"/>
          <w:lang w:eastAsia="nl-NL"/>
        </w:rPr>
        <w:t>PrEP</w:t>
      </w:r>
      <w:proofErr w:type="spellEnd"/>
      <w:r w:rsidRPr="005F055E">
        <w:rPr>
          <w:szCs w:val="20"/>
          <w:lang w:eastAsia="nl-NL"/>
        </w:rPr>
        <w:t xml:space="preserve"> gebruiken via de GGD, huisarts of andere zorgaanbieder. Bij de </w:t>
      </w:r>
      <w:proofErr w:type="spellStart"/>
      <w:r w:rsidRPr="005F055E">
        <w:rPr>
          <w:szCs w:val="20"/>
          <w:lang w:eastAsia="nl-NL"/>
        </w:rPr>
        <w:t>GGD’en</w:t>
      </w:r>
      <w:proofErr w:type="spellEnd"/>
      <w:r w:rsidRPr="005F055E">
        <w:rPr>
          <w:szCs w:val="20"/>
          <w:lang w:eastAsia="nl-NL"/>
        </w:rPr>
        <w:t xml:space="preserve"> staan per 1 juli 2025 nog 1.235 mensen op de wachtlijst voor </w:t>
      </w:r>
      <w:proofErr w:type="spellStart"/>
      <w:r w:rsidRPr="005F055E">
        <w:rPr>
          <w:szCs w:val="20"/>
          <w:lang w:eastAsia="nl-NL"/>
        </w:rPr>
        <w:t>PrEP</w:t>
      </w:r>
      <w:proofErr w:type="spellEnd"/>
      <w:r w:rsidRPr="005F055E">
        <w:rPr>
          <w:szCs w:val="20"/>
          <w:lang w:eastAsia="nl-NL"/>
        </w:rPr>
        <w:t>-zorg. De prijs van </w:t>
      </w:r>
      <w:proofErr w:type="spellStart"/>
      <w:r w:rsidRPr="005F055E">
        <w:rPr>
          <w:szCs w:val="20"/>
          <w:lang w:eastAsia="nl-NL"/>
        </w:rPr>
        <w:t>PrEP</w:t>
      </w:r>
      <w:proofErr w:type="spellEnd"/>
      <w:r w:rsidRPr="005F055E">
        <w:rPr>
          <w:szCs w:val="20"/>
          <w:lang w:eastAsia="nl-NL"/>
        </w:rPr>
        <w:t xml:space="preserve">-pillen op de vrije markt varieert per apotheek en per merk, het goedkoopste actuele aanbod bedraagt € 16 voor 30 pillen. </w:t>
      </w:r>
    </w:p>
    <w:p w:rsidRPr="005F055E" w:rsidR="00912A7D" w:rsidP="00180EEB" w:rsidRDefault="00575A49" w14:paraId="556CCD8E" w14:textId="0406404A">
      <w:pPr>
        <w:suppressAutoHyphens/>
        <w:spacing w:line="240" w:lineRule="atLeast"/>
        <w:rPr>
          <w:szCs w:val="20"/>
          <w:lang w:eastAsia="nl-NL"/>
        </w:rPr>
      </w:pPr>
      <w:r w:rsidRPr="005F055E">
        <w:rPr>
          <w:szCs w:val="20"/>
          <w:lang w:eastAsia="nl-NL"/>
        </w:rPr>
        <w:t xml:space="preserve">Uitgaande van dagelijks gebruik en deze laagste prijs, komen de jaarlijkse kosten voor de genoemde gebruikersgroep uit op € 3,74 miljoen. </w:t>
      </w:r>
    </w:p>
    <w:bookmarkEnd w:id="31"/>
    <w:p w:rsidRPr="005F055E" w:rsidR="00912A7D" w:rsidP="00180EEB" w:rsidRDefault="00912A7D" w14:paraId="5FDE9CE4" w14:textId="77777777">
      <w:pPr>
        <w:suppressAutoHyphens/>
      </w:pPr>
    </w:p>
    <w:p w:rsidRPr="005F055E" w:rsidR="00912A7D" w:rsidP="00180EEB" w:rsidRDefault="003E7003" w14:paraId="78C1A20C" w14:textId="77777777">
      <w:pPr>
        <w:suppressAutoHyphens/>
      </w:pPr>
      <w:r w:rsidRPr="005F055E">
        <w:t>Vraag 167</w:t>
      </w:r>
      <w:r w:rsidRPr="005F055E">
        <w:tab/>
      </w:r>
    </w:p>
    <w:p w:rsidRPr="005F055E" w:rsidR="00912A7D" w:rsidP="00180EEB" w:rsidRDefault="003E7003" w14:paraId="4597A69C" w14:textId="77777777">
      <w:pPr>
        <w:suppressAutoHyphens/>
      </w:pPr>
      <w:r w:rsidRPr="005F055E">
        <w:t>Hoeveel zou het kosten om de eigen bijdrage voor geneesmiddelen af te schaffen?</w:t>
      </w:r>
      <w:r w:rsidRPr="005F055E">
        <w:tab/>
      </w:r>
    </w:p>
    <w:p w:rsidRPr="005F055E" w:rsidR="003E7003" w:rsidP="00180EEB" w:rsidRDefault="003E7003" w14:paraId="5D6626F7" w14:textId="3772AE5B">
      <w:pPr>
        <w:suppressAutoHyphens/>
      </w:pPr>
      <w:r w:rsidRPr="005F055E">
        <w:t>Antwoord</w:t>
      </w:r>
    </w:p>
    <w:p w:rsidRPr="005F055E" w:rsidR="00632BAA" w:rsidP="00180EEB" w:rsidRDefault="00632BAA" w14:paraId="5A489DF0" w14:textId="22DA1F29">
      <w:pPr>
        <w:suppressAutoHyphens/>
        <w:spacing w:line="240" w:lineRule="atLeast"/>
        <w:rPr>
          <w:szCs w:val="18"/>
          <w:lang w:eastAsia="nl-NL"/>
        </w:rPr>
      </w:pPr>
      <w:r w:rsidRPr="005F055E">
        <w:rPr>
          <w:szCs w:val="18"/>
          <w:lang w:eastAsia="nl-NL"/>
        </w:rPr>
        <w:t xml:space="preserve">In 2024 werd € 126 miljoen euro aan eigen bijdragen betaald voor extramurale geneesmiddelen. Daarvan werd € 61 miljoen euro door de burger zelf betaald, en € 65 miljoen euro door de zorgverzekeraars, als gevolg van de maximering van 250 euro per kalenderjaar van de eigen bijdrage. Deze maximering is recent verlengd tot eind 2026. In de afgelopen jaren is het aandeel eigen bijdragen dat voor rekening van de zorgverzekeraar komt groter geworden. Het afschaffen van de eigen bijdrage zou dus tenminste € 61 miljoen euro kosten. </w:t>
      </w:r>
    </w:p>
    <w:p w:rsidRPr="00F36E36" w:rsidR="00605490" w:rsidP="00180EEB" w:rsidRDefault="00632BAA" w14:paraId="4D285048" w14:textId="57E57A9C">
      <w:pPr>
        <w:suppressAutoHyphens/>
        <w:spacing w:line="240" w:lineRule="atLeast"/>
        <w:rPr>
          <w:szCs w:val="18"/>
          <w:lang w:eastAsia="nl-NL"/>
        </w:rPr>
      </w:pPr>
      <w:r w:rsidRPr="005F055E">
        <w:rPr>
          <w:szCs w:val="18"/>
          <w:lang w:eastAsia="nl-NL"/>
        </w:rPr>
        <w:t>Het afschaffen van de eigen bijdrage zou in de praktijk neerkomen op het opheffen van de clustersystematiek van het geneesmiddelenvergoedingssysteem (GVS), en daarmee mogelijk ook tot andere meerkosten leiden. Er spelen diverse uitdagingen rondom het GVS. Hierover is uw kamer met de brief van 26 juni 2025</w:t>
      </w:r>
      <w:r w:rsidRPr="005F055E">
        <w:rPr>
          <w:szCs w:val="18"/>
          <w:vertAlign w:val="superscript"/>
          <w:lang w:eastAsia="nl-NL"/>
        </w:rPr>
        <w:footnoteReference w:id="61"/>
      </w:r>
      <w:r w:rsidRPr="005F055E">
        <w:rPr>
          <w:szCs w:val="18"/>
          <w:lang w:eastAsia="nl-NL"/>
        </w:rPr>
        <w:t xml:space="preserve"> geïnformeerd. In deze brief wordt nader ingegaan op de mogelijkheid om de clustering en vergoedingslimieten op te heffen (met als gevolg het verdwijnen van de huidige eigen bijdrage).</w:t>
      </w:r>
    </w:p>
    <w:p w:rsidRPr="005F055E" w:rsidR="00912A7D" w:rsidP="00180EEB" w:rsidRDefault="00912A7D" w14:paraId="1ADDEDF5" w14:textId="77777777">
      <w:pPr>
        <w:suppressAutoHyphens/>
      </w:pPr>
    </w:p>
    <w:p w:rsidRPr="005F055E" w:rsidR="00912A7D" w:rsidP="00180EEB" w:rsidRDefault="003E7003" w14:paraId="19314761" w14:textId="77777777">
      <w:pPr>
        <w:suppressAutoHyphens/>
      </w:pPr>
      <w:r w:rsidRPr="005F055E">
        <w:t>Vraag 168</w:t>
      </w:r>
      <w:r w:rsidRPr="005F055E">
        <w:tab/>
      </w:r>
    </w:p>
    <w:p w:rsidRPr="005F055E" w:rsidR="00912A7D" w:rsidP="00180EEB" w:rsidRDefault="003E7003" w14:paraId="21D7203B" w14:textId="77777777">
      <w:pPr>
        <w:suppressAutoHyphens/>
      </w:pPr>
      <w:r w:rsidRPr="005F055E">
        <w:t>Welke rol ziet u voor de openbare apothekers bij het doen van investeringen in medische preventie en in het sociaal en medisch domein?</w:t>
      </w:r>
      <w:r w:rsidRPr="005F055E">
        <w:tab/>
      </w:r>
    </w:p>
    <w:p w:rsidRPr="005F055E" w:rsidR="00341727" w:rsidP="00180EEB" w:rsidRDefault="003E7003" w14:paraId="51C9D117" w14:textId="12FD4937">
      <w:pPr>
        <w:suppressAutoHyphens/>
      </w:pPr>
      <w:r w:rsidRPr="005F055E">
        <w:t>Antwoord</w:t>
      </w:r>
    </w:p>
    <w:p w:rsidRPr="005F055E" w:rsidR="00341727" w:rsidP="00180EEB" w:rsidRDefault="00341727" w14:paraId="0432E1BF" w14:textId="562E7E57">
      <w:pPr>
        <w:suppressAutoHyphens/>
        <w:rPr>
          <w:szCs w:val="18"/>
        </w:rPr>
      </w:pPr>
      <w:r w:rsidRPr="005F055E">
        <w:rPr>
          <w:szCs w:val="18"/>
        </w:rPr>
        <w:t>Openbare apothekers zijn geen financiers, maar uitvoerders van zorgafspraken. De staatssecretaris Jeugd, Preventie en Sport ziet dan ook geen rol voor apothekers voor het doen van investeringen. Wel kunnen apothekers, net als andere zorgverleners, een belangrijke rol spelen in het verstrekken van betrouwbare informatie aan burgers over (medische) preventie, bijvoorbeeld over vaccins en vaccinaties. Mogelijk kunnen apothekers in de toekomst op meer vlakken een bijdrage leveren, maar daar kan de staatssecretaris nu niet op vooruitlopen.</w:t>
      </w:r>
    </w:p>
    <w:p w:rsidRPr="005F055E" w:rsidR="00912A7D" w:rsidP="00180EEB" w:rsidRDefault="00912A7D" w14:paraId="179B85F8" w14:textId="77777777">
      <w:pPr>
        <w:suppressAutoHyphens/>
      </w:pPr>
    </w:p>
    <w:p w:rsidRPr="005F055E" w:rsidR="00912A7D" w:rsidP="00180EEB" w:rsidRDefault="003E7003" w14:paraId="7B87E41C" w14:textId="77777777">
      <w:pPr>
        <w:suppressAutoHyphens/>
      </w:pPr>
      <w:r w:rsidRPr="005F055E">
        <w:t>Vraag 169</w:t>
      </w:r>
      <w:r w:rsidRPr="005F055E">
        <w:tab/>
      </w:r>
    </w:p>
    <w:p w:rsidRPr="005F055E" w:rsidR="00912A7D" w:rsidP="00180EEB" w:rsidRDefault="003E7003" w14:paraId="686DDDD5" w14:textId="77777777">
      <w:pPr>
        <w:suppressAutoHyphens/>
      </w:pPr>
      <w:r w:rsidRPr="005F055E">
        <w:t>Hoeveel zou het kosten om de eigen bijdrage voor kraamzorg af te schaffen?</w:t>
      </w:r>
      <w:r w:rsidRPr="005F055E">
        <w:tab/>
      </w:r>
    </w:p>
    <w:p w:rsidRPr="005F055E" w:rsidR="003E7003" w:rsidP="00180EEB" w:rsidRDefault="003E7003" w14:paraId="7E4F7AB0" w14:textId="2746F691">
      <w:pPr>
        <w:suppressAutoHyphens/>
      </w:pPr>
      <w:r w:rsidRPr="005F055E">
        <w:t>Antwoord</w:t>
      </w:r>
    </w:p>
    <w:p w:rsidRPr="005F055E" w:rsidR="00632BAA" w:rsidP="00180EEB" w:rsidRDefault="00632BAA" w14:paraId="4551F4B2" w14:textId="72B1343D">
      <w:pPr>
        <w:suppressAutoHyphens/>
        <w:spacing w:line="240" w:lineRule="atLeast"/>
        <w:rPr>
          <w:szCs w:val="18"/>
          <w:lang w:eastAsia="nl-NL"/>
        </w:rPr>
      </w:pPr>
      <w:r w:rsidRPr="005F055E">
        <w:rPr>
          <w:szCs w:val="18"/>
          <w:lang w:eastAsia="nl-NL"/>
        </w:rPr>
        <w:t>Het afschaffen van de eigen bijdrage voor kraamzorg leidt tot hogere kosten, vanwege twee effecten. Ten eerste vindt er een financieringsschuif plaats van private uitgaven naar collectieve uitgaven. Ten tweede vindt er een gedragseffect plaats, doordat het wegvallen van de eigen bijdrage leidt tot een hogere vraag naar kraamzorg. Gezien de huidige capaciteitsproblemen in de kraamzorg zal aan deze hogere vraag waarschijnlijk op korte termijn slechts beperkt voldaan kunnen worden.</w:t>
      </w:r>
    </w:p>
    <w:p w:rsidRPr="00F36E36" w:rsidR="00912A7D" w:rsidP="00180EEB" w:rsidRDefault="00632BAA" w14:paraId="20C540B2" w14:textId="199D9821">
      <w:pPr>
        <w:suppressAutoHyphens/>
        <w:spacing w:line="240" w:lineRule="atLeast"/>
        <w:rPr>
          <w:szCs w:val="18"/>
          <w:lang w:eastAsia="nl-NL"/>
        </w:rPr>
      </w:pPr>
      <w:r w:rsidRPr="005F055E">
        <w:rPr>
          <w:szCs w:val="18"/>
          <w:lang w:eastAsia="nl-NL"/>
        </w:rPr>
        <w:t>Volgens gegevens van het Zorginstituut bedraagt het totaal van eigen bijdragen in de kraamzorg in 2024 ruim € 21 miljoen. De structurele kosten van afschaffen zullen echter hoger zijn, doordat er nog rekening gehouden moet worden met het bovengenoemde gedragseffect. In het kader van de beantwoording van de motie van de leden Stoffer en Dijk (36800-54), waarin de regering wordt verzocht scenario’s en (financiële) effecten van het afschaffen van de eigen bijdrage voor de kraamzorg en poliklinische bevalling in kaart te brengen, worden deze effecten nader in kaart gebracht. Uw Kamer wordt hier vóór de behandeling van de begroting over geïnformeerd.</w:t>
      </w:r>
    </w:p>
    <w:p w:rsidRPr="005F055E" w:rsidR="00912A7D" w:rsidP="00180EEB" w:rsidRDefault="00912A7D" w14:paraId="6BC2369E" w14:textId="77777777">
      <w:pPr>
        <w:suppressAutoHyphens/>
      </w:pPr>
    </w:p>
    <w:p w:rsidRPr="005F055E" w:rsidR="00912A7D" w:rsidP="00180EEB" w:rsidRDefault="003E7003" w14:paraId="2FCFCCA8" w14:textId="77777777">
      <w:pPr>
        <w:suppressAutoHyphens/>
      </w:pPr>
      <w:r w:rsidRPr="005F055E">
        <w:t>Vraag 170</w:t>
      </w:r>
      <w:r w:rsidRPr="005F055E">
        <w:tab/>
      </w:r>
    </w:p>
    <w:p w:rsidRPr="005F055E" w:rsidR="00912A7D" w:rsidP="00180EEB" w:rsidRDefault="003E7003" w14:paraId="4418BD05" w14:textId="77777777">
      <w:pPr>
        <w:suppressAutoHyphens/>
      </w:pPr>
      <w:r w:rsidRPr="005F055E">
        <w:t>Wat is de ontwikkeling van de zorgkosten in relatie tot de ontwikkeling van het bbp in de jaren 2010–2025 volgens de Zorgrekeningen van het Centraal Bureau voor de Statistiek (CBS)? Wat is de prognose voor de jaren 2026–2030? Kunt u dit in een tabel weergeven?</w:t>
      </w:r>
      <w:r w:rsidRPr="005F055E">
        <w:tab/>
      </w:r>
    </w:p>
    <w:p w:rsidRPr="005F055E" w:rsidR="003E7003" w:rsidP="00180EEB" w:rsidRDefault="003E7003" w14:paraId="4A22AD0B" w14:textId="51EB1F33">
      <w:pPr>
        <w:suppressAutoHyphens/>
      </w:pPr>
      <w:r w:rsidRPr="005F055E">
        <w:t>Antwoord</w:t>
      </w:r>
    </w:p>
    <w:p w:rsidRPr="005F055E" w:rsidR="00341727" w:rsidP="00180EEB" w:rsidRDefault="00341727" w14:paraId="7A6FC55D" w14:textId="77777777">
      <w:pPr>
        <w:suppressAutoHyphens/>
        <w:ind w:right="96"/>
      </w:pPr>
      <w:r w:rsidRPr="005F055E">
        <w:t xml:space="preserve">Op basis van de CBS-zorgrekeningencijfers zijn er twee definities van </w:t>
      </w:r>
    </w:p>
    <w:p w:rsidRPr="005F055E" w:rsidR="00341727" w:rsidP="00180EEB" w:rsidRDefault="00341727" w14:paraId="2CF38BEE" w14:textId="77777777">
      <w:pPr>
        <w:suppressAutoHyphens/>
        <w:ind w:right="96"/>
      </w:pPr>
      <w:r w:rsidRPr="005F055E">
        <w:t>zorguitgaven die regelmatig worden gebruikt:</w:t>
      </w:r>
    </w:p>
    <w:p w:rsidRPr="005F055E" w:rsidR="00341727" w:rsidP="00180EEB" w:rsidRDefault="00341727" w14:paraId="164BE8C7" w14:textId="77777777">
      <w:pPr>
        <w:pStyle w:val="Lijstalinea"/>
        <w:numPr>
          <w:ilvl w:val="0"/>
          <w:numId w:val="13"/>
        </w:numPr>
        <w:suppressAutoHyphens/>
        <w:spacing w:before="1" w:after="0" w:line="276" w:lineRule="auto"/>
        <w:ind w:right="96"/>
      </w:pPr>
      <w:r w:rsidRPr="005F055E">
        <w:t>De zorguitgaven aan geneeskundige en langdurige zorg. Tot deze uitgaven worden ook de zorgkosten gerekend die betaald worden via de aanvullende verzekeringen en eigen betalingen evenals de uitgaven aan beleids- en beheerorganisaties.</w:t>
      </w:r>
    </w:p>
    <w:p w:rsidRPr="005F055E" w:rsidR="00341727" w:rsidP="00180EEB" w:rsidRDefault="00341727" w14:paraId="792DE06C" w14:textId="77777777">
      <w:pPr>
        <w:pStyle w:val="Lijstalinea"/>
        <w:numPr>
          <w:ilvl w:val="0"/>
          <w:numId w:val="13"/>
        </w:numPr>
        <w:suppressAutoHyphens/>
        <w:spacing w:before="1" w:after="0" w:line="276" w:lineRule="auto"/>
        <w:ind w:right="96"/>
      </w:pPr>
      <w:r w:rsidRPr="005F055E">
        <w:t>De uitgaven aan zorg en welzijn, ook wel de brede definitie van zorg genoemd. Dit zijn uitgaven aan geneeskundige en langdurige zorg aangevuld met de uitgaven aan kinderopvang, delen van de jeugdzorg, maatschappelijke opvang (waaronder asielopvang), sociaal werk en welzijnsuitgaven.</w:t>
      </w:r>
    </w:p>
    <w:p w:rsidRPr="005F055E" w:rsidR="00341727" w:rsidP="00180EEB" w:rsidRDefault="00341727" w14:paraId="70079009" w14:textId="77777777">
      <w:pPr>
        <w:pStyle w:val="Lijstalinea"/>
        <w:suppressAutoHyphens/>
        <w:ind w:left="479" w:right="96"/>
      </w:pPr>
    </w:p>
    <w:p w:rsidRPr="005F055E" w:rsidR="00341727" w:rsidP="00180EEB" w:rsidRDefault="00341727" w14:paraId="6D2D8C66" w14:textId="77777777">
      <w:pPr>
        <w:suppressAutoHyphens/>
        <w:ind w:right="96"/>
      </w:pPr>
      <w:r w:rsidRPr="005F055E">
        <w:t>Beide uitgavendefinities zijn ruimer dan die worden gebruikt in de VWS-begroting.</w:t>
      </w:r>
    </w:p>
    <w:p w:rsidRPr="005F055E" w:rsidR="00341727" w:rsidP="00180EEB" w:rsidRDefault="00341727" w14:paraId="07700AE3" w14:textId="77777777">
      <w:pPr>
        <w:suppressAutoHyphens/>
      </w:pPr>
    </w:p>
    <w:tbl>
      <w:tblPr>
        <w:tblW w:w="7000" w:type="dxa"/>
        <w:tblCellMar>
          <w:left w:w="70" w:type="dxa"/>
          <w:right w:w="70" w:type="dxa"/>
        </w:tblCellMar>
        <w:tblLook w:val="04A0" w:firstRow="1" w:lastRow="0" w:firstColumn="1" w:lastColumn="0" w:noHBand="0" w:noVBand="1"/>
      </w:tblPr>
      <w:tblGrid>
        <w:gridCol w:w="1337"/>
        <w:gridCol w:w="1698"/>
        <w:gridCol w:w="971"/>
        <w:gridCol w:w="2023"/>
        <w:gridCol w:w="971"/>
      </w:tblGrid>
      <w:tr w:rsidRPr="005F055E" w:rsidR="00341727" w:rsidTr="005E2643" w14:paraId="314A35B7" w14:textId="77777777">
        <w:trPr>
          <w:trHeight w:val="564"/>
        </w:trPr>
        <w:tc>
          <w:tcPr>
            <w:tcW w:w="1337" w:type="dxa"/>
            <w:tcBorders>
              <w:top w:val="nil"/>
              <w:left w:val="nil"/>
              <w:bottom w:val="nil"/>
              <w:right w:val="nil"/>
            </w:tcBorders>
            <w:shd w:val="clear" w:color="auto" w:fill="auto"/>
            <w:noWrap/>
            <w:vAlign w:val="bottom"/>
            <w:hideMark/>
          </w:tcPr>
          <w:p w:rsidRPr="005F055E" w:rsidR="00341727" w:rsidP="00180EEB" w:rsidRDefault="00341727" w14:paraId="705E543E" w14:textId="77777777">
            <w:pPr>
              <w:suppressAutoHyphens/>
              <w:spacing w:line="240" w:lineRule="auto"/>
              <w:rPr>
                <w:sz w:val="20"/>
                <w:szCs w:val="24"/>
              </w:rPr>
            </w:pPr>
          </w:p>
        </w:tc>
        <w:tc>
          <w:tcPr>
            <w:tcW w:w="2669" w:type="dxa"/>
            <w:gridSpan w:val="2"/>
            <w:tcBorders>
              <w:top w:val="single" w:color="auto" w:sz="4" w:space="0"/>
              <w:left w:val="single" w:color="auto" w:sz="4" w:space="0"/>
              <w:bottom w:val="single" w:color="auto" w:sz="4" w:space="0"/>
              <w:right w:val="single" w:color="000000" w:sz="4" w:space="0"/>
            </w:tcBorders>
            <w:shd w:val="clear" w:color="auto" w:fill="auto"/>
            <w:vAlign w:val="bottom"/>
            <w:hideMark/>
          </w:tcPr>
          <w:p w:rsidRPr="00F36E36" w:rsidR="00341727" w:rsidP="00180EEB" w:rsidRDefault="00341727" w14:paraId="6DD2CE0D" w14:textId="77777777">
            <w:pPr>
              <w:suppressAutoHyphens/>
              <w:spacing w:line="240" w:lineRule="auto"/>
              <w:ind w:right="84"/>
              <w:rPr>
                <w:rFonts w:cs="Calibri"/>
                <w:color w:val="000000"/>
                <w:sz w:val="20"/>
                <w:szCs w:val="20"/>
              </w:rPr>
            </w:pPr>
            <w:r w:rsidRPr="00F36E36">
              <w:rPr>
                <w:rFonts w:cs="Calibri"/>
                <w:color w:val="000000"/>
                <w:sz w:val="20"/>
                <w:szCs w:val="20"/>
              </w:rPr>
              <w:t>Alle zorguitgaven aan geneeskundige en langdurige zorg</w:t>
            </w:r>
          </w:p>
        </w:tc>
        <w:tc>
          <w:tcPr>
            <w:tcW w:w="2994" w:type="dxa"/>
            <w:gridSpan w:val="2"/>
            <w:tcBorders>
              <w:top w:val="single" w:color="auto" w:sz="4" w:space="0"/>
              <w:left w:val="nil"/>
              <w:bottom w:val="single" w:color="auto" w:sz="4" w:space="0"/>
              <w:right w:val="single" w:color="000000" w:sz="4" w:space="0"/>
            </w:tcBorders>
            <w:shd w:val="clear" w:color="auto" w:fill="auto"/>
            <w:vAlign w:val="bottom"/>
            <w:hideMark/>
          </w:tcPr>
          <w:p w:rsidRPr="00F36E36" w:rsidR="00341727" w:rsidP="00180EEB" w:rsidRDefault="00341727" w14:paraId="4B37A88E" w14:textId="77777777">
            <w:pPr>
              <w:suppressAutoHyphens/>
              <w:spacing w:line="240" w:lineRule="auto"/>
              <w:ind w:right="84"/>
              <w:rPr>
                <w:rFonts w:cs="Calibri"/>
                <w:color w:val="000000"/>
                <w:sz w:val="20"/>
                <w:szCs w:val="20"/>
              </w:rPr>
            </w:pPr>
            <w:r w:rsidRPr="00F36E36">
              <w:rPr>
                <w:rFonts w:cs="Calibri"/>
                <w:color w:val="000000"/>
                <w:sz w:val="20"/>
                <w:szCs w:val="20"/>
              </w:rPr>
              <w:t>De uitgaven aan zorg en welzijn volgens de brede definitie</w:t>
            </w:r>
          </w:p>
        </w:tc>
      </w:tr>
      <w:tr w:rsidRPr="005F055E" w:rsidR="00341727" w:rsidTr="005E2643" w14:paraId="78A5BD38" w14:textId="77777777">
        <w:trPr>
          <w:trHeight w:val="300"/>
        </w:trPr>
        <w:tc>
          <w:tcPr>
            <w:tcW w:w="1337" w:type="dxa"/>
            <w:tcBorders>
              <w:top w:val="nil"/>
              <w:left w:val="nil"/>
              <w:bottom w:val="nil"/>
              <w:right w:val="nil"/>
            </w:tcBorders>
            <w:shd w:val="clear" w:color="auto" w:fill="auto"/>
            <w:noWrap/>
            <w:vAlign w:val="bottom"/>
            <w:hideMark/>
          </w:tcPr>
          <w:p w:rsidRPr="005F055E" w:rsidR="00341727" w:rsidP="00180EEB" w:rsidRDefault="00341727" w14:paraId="06FB7710" w14:textId="77777777">
            <w:pPr>
              <w:suppressAutoHyphens/>
              <w:spacing w:line="240" w:lineRule="auto"/>
              <w:rPr>
                <w:rFonts w:cs="Calibri"/>
                <w:color w:val="000000"/>
                <w:sz w:val="22"/>
              </w:rPr>
            </w:pPr>
          </w:p>
        </w:tc>
        <w:tc>
          <w:tcPr>
            <w:tcW w:w="1698" w:type="dxa"/>
            <w:tcBorders>
              <w:top w:val="nil"/>
              <w:left w:val="single" w:color="auto" w:sz="4" w:space="0"/>
              <w:bottom w:val="nil"/>
              <w:right w:val="nil"/>
            </w:tcBorders>
            <w:shd w:val="clear" w:color="auto" w:fill="auto"/>
            <w:noWrap/>
            <w:vAlign w:val="bottom"/>
            <w:hideMark/>
          </w:tcPr>
          <w:p w:rsidRPr="00F36E36" w:rsidR="00341727" w:rsidP="00180EEB" w:rsidRDefault="00341727" w14:paraId="78136286" w14:textId="77777777">
            <w:pPr>
              <w:suppressAutoHyphens/>
              <w:spacing w:line="240" w:lineRule="auto"/>
              <w:ind w:right="201"/>
              <w:rPr>
                <w:rFonts w:cs="Calibri"/>
                <w:color w:val="000000"/>
                <w:sz w:val="20"/>
                <w:szCs w:val="20"/>
              </w:rPr>
            </w:pPr>
            <w:r w:rsidRPr="00F36E36">
              <w:rPr>
                <w:rFonts w:cs="Calibri"/>
                <w:color w:val="000000"/>
                <w:sz w:val="20"/>
                <w:szCs w:val="20"/>
              </w:rPr>
              <w:t>mln. euro</w:t>
            </w:r>
          </w:p>
        </w:tc>
        <w:tc>
          <w:tcPr>
            <w:tcW w:w="971" w:type="dxa"/>
            <w:tcBorders>
              <w:top w:val="nil"/>
              <w:left w:val="nil"/>
              <w:bottom w:val="nil"/>
              <w:right w:val="single" w:color="auto" w:sz="4" w:space="0"/>
            </w:tcBorders>
            <w:shd w:val="clear" w:color="auto" w:fill="auto"/>
            <w:noWrap/>
            <w:vAlign w:val="bottom"/>
            <w:hideMark/>
          </w:tcPr>
          <w:p w:rsidRPr="00F36E36" w:rsidR="00341727" w:rsidP="00180EEB" w:rsidRDefault="00341727" w14:paraId="1AB793FC" w14:textId="77777777">
            <w:pPr>
              <w:suppressAutoHyphens/>
              <w:spacing w:line="240" w:lineRule="auto"/>
              <w:ind w:right="201"/>
              <w:rPr>
                <w:rFonts w:cs="Calibri"/>
                <w:color w:val="000000"/>
                <w:sz w:val="20"/>
                <w:szCs w:val="20"/>
              </w:rPr>
            </w:pPr>
            <w:r w:rsidRPr="00F36E36">
              <w:rPr>
                <w:rFonts w:cs="Calibri"/>
                <w:color w:val="000000"/>
                <w:sz w:val="20"/>
                <w:szCs w:val="20"/>
              </w:rPr>
              <w:t>%BBP</w:t>
            </w:r>
          </w:p>
        </w:tc>
        <w:tc>
          <w:tcPr>
            <w:tcW w:w="2023" w:type="dxa"/>
            <w:tcBorders>
              <w:top w:val="nil"/>
              <w:left w:val="nil"/>
              <w:bottom w:val="nil"/>
              <w:right w:val="nil"/>
            </w:tcBorders>
            <w:shd w:val="clear" w:color="auto" w:fill="auto"/>
            <w:noWrap/>
            <w:vAlign w:val="bottom"/>
            <w:hideMark/>
          </w:tcPr>
          <w:p w:rsidRPr="00F36E36" w:rsidR="00341727" w:rsidP="00180EEB" w:rsidRDefault="00341727" w14:paraId="0FB4F434" w14:textId="77777777">
            <w:pPr>
              <w:suppressAutoHyphens/>
              <w:spacing w:line="240" w:lineRule="auto"/>
              <w:ind w:right="201"/>
              <w:rPr>
                <w:rFonts w:cs="Calibri"/>
                <w:color w:val="000000"/>
                <w:sz w:val="20"/>
                <w:szCs w:val="20"/>
              </w:rPr>
            </w:pPr>
            <w:r w:rsidRPr="00F36E36">
              <w:rPr>
                <w:rFonts w:cs="Calibri"/>
                <w:color w:val="000000"/>
                <w:sz w:val="20"/>
                <w:szCs w:val="20"/>
              </w:rPr>
              <w:t>mln. euro</w:t>
            </w:r>
          </w:p>
        </w:tc>
        <w:tc>
          <w:tcPr>
            <w:tcW w:w="971" w:type="dxa"/>
            <w:tcBorders>
              <w:top w:val="nil"/>
              <w:left w:val="nil"/>
              <w:bottom w:val="nil"/>
              <w:right w:val="single" w:color="auto" w:sz="4" w:space="0"/>
            </w:tcBorders>
            <w:shd w:val="clear" w:color="auto" w:fill="auto"/>
            <w:noWrap/>
            <w:vAlign w:val="bottom"/>
            <w:hideMark/>
          </w:tcPr>
          <w:p w:rsidRPr="00F36E36" w:rsidR="00341727" w:rsidP="00180EEB" w:rsidRDefault="00341727" w14:paraId="2C093793" w14:textId="77777777">
            <w:pPr>
              <w:suppressAutoHyphens/>
              <w:spacing w:line="240" w:lineRule="auto"/>
              <w:ind w:right="201"/>
              <w:rPr>
                <w:rFonts w:cs="Calibri"/>
                <w:color w:val="000000"/>
                <w:sz w:val="20"/>
                <w:szCs w:val="20"/>
              </w:rPr>
            </w:pPr>
            <w:r w:rsidRPr="00F36E36">
              <w:rPr>
                <w:rFonts w:cs="Calibri"/>
                <w:color w:val="000000"/>
                <w:sz w:val="20"/>
                <w:szCs w:val="20"/>
              </w:rPr>
              <w:t>%BBP</w:t>
            </w:r>
          </w:p>
        </w:tc>
      </w:tr>
      <w:tr w:rsidRPr="005F055E" w:rsidR="00341727" w:rsidTr="005E2643" w14:paraId="7F9F2A5A" w14:textId="77777777">
        <w:trPr>
          <w:trHeight w:val="300"/>
        </w:trPr>
        <w:tc>
          <w:tcPr>
            <w:tcW w:w="1337" w:type="dxa"/>
            <w:tcBorders>
              <w:top w:val="single" w:color="auto" w:sz="4" w:space="0"/>
              <w:left w:val="single" w:color="auto" w:sz="4" w:space="0"/>
              <w:bottom w:val="nil"/>
              <w:right w:val="nil"/>
            </w:tcBorders>
            <w:shd w:val="clear" w:color="auto" w:fill="auto"/>
            <w:noWrap/>
            <w:vAlign w:val="center"/>
            <w:hideMark/>
          </w:tcPr>
          <w:p w:rsidRPr="00F36E36" w:rsidR="00341727" w:rsidP="00180EEB" w:rsidRDefault="00341727" w14:paraId="0958FDBD" w14:textId="77777777">
            <w:pPr>
              <w:suppressAutoHyphens/>
              <w:spacing w:line="240" w:lineRule="auto"/>
              <w:ind w:right="522"/>
              <w:rPr>
                <w:rFonts w:cs="Calibri"/>
                <w:color w:val="000000"/>
                <w:sz w:val="20"/>
                <w:szCs w:val="20"/>
              </w:rPr>
            </w:pPr>
            <w:r w:rsidRPr="00F36E36">
              <w:rPr>
                <w:rFonts w:cs="Calibri"/>
                <w:color w:val="000000"/>
                <w:sz w:val="20"/>
                <w:szCs w:val="20"/>
              </w:rPr>
              <w:t>2010</w:t>
            </w:r>
          </w:p>
        </w:tc>
        <w:tc>
          <w:tcPr>
            <w:tcW w:w="1698" w:type="dxa"/>
            <w:tcBorders>
              <w:top w:val="single" w:color="auto" w:sz="4" w:space="0"/>
              <w:left w:val="single" w:color="auto" w:sz="4" w:space="0"/>
              <w:bottom w:val="nil"/>
              <w:right w:val="nil"/>
            </w:tcBorders>
            <w:shd w:val="clear" w:color="auto" w:fill="auto"/>
            <w:noWrap/>
            <w:vAlign w:val="center"/>
            <w:hideMark/>
          </w:tcPr>
          <w:p w:rsidRPr="00F36E36" w:rsidR="00341727" w:rsidP="00180EEB" w:rsidRDefault="00341727" w14:paraId="360B00D2" w14:textId="77777777">
            <w:pPr>
              <w:suppressAutoHyphens/>
              <w:spacing w:line="240" w:lineRule="auto"/>
              <w:ind w:right="158"/>
              <w:rPr>
                <w:rFonts w:cs="Calibri"/>
                <w:color w:val="000000"/>
                <w:sz w:val="20"/>
                <w:szCs w:val="20"/>
              </w:rPr>
            </w:pPr>
            <w:r w:rsidRPr="00F36E36">
              <w:rPr>
                <w:rFonts w:cs="Calibri"/>
                <w:color w:val="000000"/>
                <w:sz w:val="20"/>
                <w:szCs w:val="20"/>
              </w:rPr>
              <w:t>73.402</w:t>
            </w:r>
          </w:p>
        </w:tc>
        <w:tc>
          <w:tcPr>
            <w:tcW w:w="971" w:type="dxa"/>
            <w:tcBorders>
              <w:top w:val="single" w:color="auto" w:sz="4" w:space="0"/>
              <w:left w:val="nil"/>
              <w:bottom w:val="nil"/>
              <w:right w:val="single" w:color="auto" w:sz="4" w:space="0"/>
            </w:tcBorders>
            <w:shd w:val="clear" w:color="auto" w:fill="auto"/>
            <w:noWrap/>
            <w:vAlign w:val="center"/>
            <w:hideMark/>
          </w:tcPr>
          <w:p w:rsidRPr="00F36E36" w:rsidR="00341727" w:rsidP="00180EEB" w:rsidRDefault="00341727" w14:paraId="5F2B44DD" w14:textId="77777777">
            <w:pPr>
              <w:suppressAutoHyphens/>
              <w:spacing w:line="240" w:lineRule="auto"/>
              <w:ind w:right="158"/>
              <w:rPr>
                <w:rFonts w:cs="Calibri"/>
                <w:color w:val="000000"/>
                <w:sz w:val="20"/>
                <w:szCs w:val="20"/>
              </w:rPr>
            </w:pPr>
            <w:r w:rsidRPr="00F36E36">
              <w:rPr>
                <w:rFonts w:cs="Calibri"/>
                <w:color w:val="000000"/>
                <w:sz w:val="20"/>
                <w:szCs w:val="20"/>
              </w:rPr>
              <w:t>11,5%</w:t>
            </w:r>
          </w:p>
        </w:tc>
        <w:tc>
          <w:tcPr>
            <w:tcW w:w="2023" w:type="dxa"/>
            <w:tcBorders>
              <w:top w:val="single" w:color="auto" w:sz="4" w:space="0"/>
              <w:left w:val="nil"/>
              <w:bottom w:val="nil"/>
              <w:right w:val="nil"/>
            </w:tcBorders>
            <w:shd w:val="clear" w:color="auto" w:fill="auto"/>
            <w:noWrap/>
            <w:vAlign w:val="center"/>
            <w:hideMark/>
          </w:tcPr>
          <w:p w:rsidRPr="00F36E36" w:rsidR="00341727" w:rsidP="00180EEB" w:rsidRDefault="00341727" w14:paraId="19FDC48E" w14:textId="77777777">
            <w:pPr>
              <w:suppressAutoHyphens/>
              <w:spacing w:line="240" w:lineRule="auto"/>
              <w:ind w:right="124"/>
              <w:rPr>
                <w:rFonts w:cs="Calibri"/>
                <w:color w:val="000000"/>
                <w:sz w:val="20"/>
                <w:szCs w:val="20"/>
              </w:rPr>
            </w:pPr>
            <w:r w:rsidRPr="00F36E36">
              <w:rPr>
                <w:rFonts w:cs="Calibri"/>
                <w:color w:val="000000"/>
                <w:sz w:val="20"/>
                <w:szCs w:val="20"/>
              </w:rPr>
              <w:t>85.790</w:t>
            </w:r>
          </w:p>
        </w:tc>
        <w:tc>
          <w:tcPr>
            <w:tcW w:w="971" w:type="dxa"/>
            <w:tcBorders>
              <w:top w:val="single" w:color="auto" w:sz="4" w:space="0"/>
              <w:left w:val="nil"/>
              <w:bottom w:val="nil"/>
              <w:right w:val="single" w:color="auto" w:sz="4" w:space="0"/>
            </w:tcBorders>
            <w:shd w:val="clear" w:color="auto" w:fill="auto"/>
            <w:noWrap/>
            <w:vAlign w:val="center"/>
            <w:hideMark/>
          </w:tcPr>
          <w:p w:rsidRPr="00F36E36" w:rsidR="00341727" w:rsidP="00180EEB" w:rsidRDefault="00341727" w14:paraId="376A2F23" w14:textId="77777777">
            <w:pPr>
              <w:suppressAutoHyphens/>
              <w:spacing w:line="240" w:lineRule="auto"/>
              <w:ind w:right="124"/>
              <w:rPr>
                <w:rFonts w:cs="Calibri"/>
                <w:color w:val="000000"/>
                <w:sz w:val="20"/>
                <w:szCs w:val="20"/>
              </w:rPr>
            </w:pPr>
            <w:r w:rsidRPr="00F36E36">
              <w:rPr>
                <w:rFonts w:cs="Calibri"/>
                <w:color w:val="000000"/>
                <w:sz w:val="20"/>
                <w:szCs w:val="20"/>
              </w:rPr>
              <w:t>13,5%</w:t>
            </w:r>
          </w:p>
        </w:tc>
      </w:tr>
      <w:tr w:rsidRPr="005F055E" w:rsidR="00341727" w:rsidTr="005E2643" w14:paraId="770A2928" w14:textId="77777777">
        <w:trPr>
          <w:trHeight w:val="300"/>
        </w:trPr>
        <w:tc>
          <w:tcPr>
            <w:tcW w:w="1337" w:type="dxa"/>
            <w:tcBorders>
              <w:top w:val="nil"/>
              <w:left w:val="single" w:color="auto" w:sz="4" w:space="0"/>
              <w:bottom w:val="nil"/>
              <w:right w:val="nil"/>
            </w:tcBorders>
            <w:shd w:val="clear" w:color="auto" w:fill="auto"/>
            <w:noWrap/>
            <w:vAlign w:val="center"/>
            <w:hideMark/>
          </w:tcPr>
          <w:p w:rsidRPr="00F36E36" w:rsidR="00341727" w:rsidP="00180EEB" w:rsidRDefault="00341727" w14:paraId="1828BA54" w14:textId="77777777">
            <w:pPr>
              <w:suppressAutoHyphens/>
              <w:spacing w:line="240" w:lineRule="auto"/>
              <w:ind w:right="522"/>
              <w:rPr>
                <w:rFonts w:cs="Calibri"/>
                <w:color w:val="000000"/>
                <w:sz w:val="20"/>
                <w:szCs w:val="20"/>
              </w:rPr>
            </w:pPr>
            <w:r w:rsidRPr="00F36E36">
              <w:rPr>
                <w:rFonts w:cs="Calibri"/>
                <w:color w:val="000000"/>
                <w:sz w:val="20"/>
                <w:szCs w:val="20"/>
              </w:rPr>
              <w:t>2011</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6D80F743" w14:textId="77777777">
            <w:pPr>
              <w:suppressAutoHyphens/>
              <w:spacing w:line="240" w:lineRule="auto"/>
              <w:ind w:right="158"/>
              <w:rPr>
                <w:rFonts w:cs="Calibri"/>
                <w:color w:val="000000"/>
                <w:sz w:val="20"/>
                <w:szCs w:val="20"/>
              </w:rPr>
            </w:pPr>
            <w:r w:rsidRPr="00F36E36">
              <w:rPr>
                <w:rFonts w:cs="Calibri"/>
                <w:color w:val="000000"/>
                <w:sz w:val="20"/>
                <w:szCs w:val="20"/>
              </w:rPr>
              <w:t>75.593</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079AC1E0" w14:textId="77777777">
            <w:pPr>
              <w:suppressAutoHyphens/>
              <w:spacing w:line="240" w:lineRule="auto"/>
              <w:ind w:right="158"/>
              <w:rPr>
                <w:rFonts w:cs="Calibri"/>
                <w:color w:val="000000"/>
                <w:sz w:val="20"/>
                <w:szCs w:val="20"/>
              </w:rPr>
            </w:pPr>
            <w:r w:rsidRPr="00F36E36">
              <w:rPr>
                <w:rFonts w:cs="Calibri"/>
                <w:color w:val="000000"/>
                <w:sz w:val="20"/>
                <w:szCs w:val="20"/>
              </w:rPr>
              <w:t>11,6%</w:t>
            </w:r>
          </w:p>
        </w:tc>
        <w:tc>
          <w:tcPr>
            <w:tcW w:w="2023" w:type="dxa"/>
            <w:tcBorders>
              <w:top w:val="nil"/>
              <w:left w:val="nil"/>
              <w:bottom w:val="nil"/>
              <w:right w:val="nil"/>
            </w:tcBorders>
            <w:shd w:val="clear" w:color="auto" w:fill="auto"/>
            <w:noWrap/>
            <w:vAlign w:val="center"/>
            <w:hideMark/>
          </w:tcPr>
          <w:p w:rsidRPr="00F36E36" w:rsidR="00341727" w:rsidP="00180EEB" w:rsidRDefault="00341727" w14:paraId="570C5DA7" w14:textId="77777777">
            <w:pPr>
              <w:suppressAutoHyphens/>
              <w:spacing w:line="240" w:lineRule="auto"/>
              <w:ind w:right="124"/>
              <w:rPr>
                <w:rFonts w:cs="Calibri"/>
                <w:color w:val="000000"/>
                <w:sz w:val="20"/>
                <w:szCs w:val="20"/>
              </w:rPr>
            </w:pPr>
            <w:r w:rsidRPr="00F36E36">
              <w:rPr>
                <w:rFonts w:cs="Calibri"/>
                <w:color w:val="000000"/>
                <w:sz w:val="20"/>
                <w:szCs w:val="20"/>
              </w:rPr>
              <w:t>88.125</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1071C11D" w14:textId="77777777">
            <w:pPr>
              <w:suppressAutoHyphens/>
              <w:spacing w:line="240" w:lineRule="auto"/>
              <w:ind w:right="124"/>
              <w:rPr>
                <w:rFonts w:cs="Calibri"/>
                <w:color w:val="000000"/>
                <w:sz w:val="20"/>
                <w:szCs w:val="20"/>
              </w:rPr>
            </w:pPr>
            <w:r w:rsidRPr="00F36E36">
              <w:rPr>
                <w:rFonts w:cs="Calibri"/>
                <w:color w:val="000000"/>
                <w:sz w:val="20"/>
                <w:szCs w:val="20"/>
              </w:rPr>
              <w:t>13,5%</w:t>
            </w:r>
          </w:p>
        </w:tc>
      </w:tr>
      <w:tr w:rsidRPr="005F055E" w:rsidR="00341727" w:rsidTr="005E2643" w14:paraId="35DBF9D9" w14:textId="77777777">
        <w:trPr>
          <w:trHeight w:val="300"/>
        </w:trPr>
        <w:tc>
          <w:tcPr>
            <w:tcW w:w="1337" w:type="dxa"/>
            <w:tcBorders>
              <w:top w:val="nil"/>
              <w:left w:val="single" w:color="auto" w:sz="4" w:space="0"/>
              <w:bottom w:val="nil"/>
              <w:right w:val="nil"/>
            </w:tcBorders>
            <w:shd w:val="clear" w:color="auto" w:fill="auto"/>
            <w:noWrap/>
            <w:vAlign w:val="center"/>
            <w:hideMark/>
          </w:tcPr>
          <w:p w:rsidRPr="00F36E36" w:rsidR="00341727" w:rsidP="00180EEB" w:rsidRDefault="00341727" w14:paraId="5BD9E980" w14:textId="77777777">
            <w:pPr>
              <w:suppressAutoHyphens/>
              <w:spacing w:line="240" w:lineRule="auto"/>
              <w:ind w:right="522"/>
              <w:rPr>
                <w:rFonts w:cs="Calibri"/>
                <w:color w:val="000000"/>
                <w:sz w:val="20"/>
                <w:szCs w:val="20"/>
              </w:rPr>
            </w:pPr>
            <w:r w:rsidRPr="00F36E36">
              <w:rPr>
                <w:rFonts w:cs="Calibri"/>
                <w:color w:val="000000"/>
                <w:sz w:val="20"/>
                <w:szCs w:val="20"/>
              </w:rPr>
              <w:t>2012</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51DFCB03" w14:textId="77777777">
            <w:pPr>
              <w:suppressAutoHyphens/>
              <w:spacing w:line="240" w:lineRule="auto"/>
              <w:ind w:right="158"/>
              <w:rPr>
                <w:rFonts w:cs="Calibri"/>
                <w:color w:val="000000"/>
                <w:sz w:val="20"/>
                <w:szCs w:val="20"/>
              </w:rPr>
            </w:pPr>
            <w:r w:rsidRPr="00F36E36">
              <w:rPr>
                <w:rFonts w:cs="Calibri"/>
                <w:color w:val="000000"/>
                <w:sz w:val="20"/>
                <w:szCs w:val="20"/>
              </w:rPr>
              <w:t>78.309</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117C0111" w14:textId="77777777">
            <w:pPr>
              <w:suppressAutoHyphens/>
              <w:spacing w:line="240" w:lineRule="auto"/>
              <w:ind w:right="158"/>
              <w:rPr>
                <w:rFonts w:cs="Calibri"/>
                <w:color w:val="000000"/>
                <w:sz w:val="20"/>
                <w:szCs w:val="20"/>
              </w:rPr>
            </w:pPr>
            <w:r w:rsidRPr="00F36E36">
              <w:rPr>
                <w:rFonts w:cs="Calibri"/>
                <w:color w:val="000000"/>
                <w:sz w:val="20"/>
                <w:szCs w:val="20"/>
              </w:rPr>
              <w:t>12,0%</w:t>
            </w:r>
          </w:p>
        </w:tc>
        <w:tc>
          <w:tcPr>
            <w:tcW w:w="2023" w:type="dxa"/>
            <w:tcBorders>
              <w:top w:val="nil"/>
              <w:left w:val="nil"/>
              <w:bottom w:val="nil"/>
              <w:right w:val="nil"/>
            </w:tcBorders>
            <w:shd w:val="clear" w:color="auto" w:fill="auto"/>
            <w:noWrap/>
            <w:vAlign w:val="center"/>
            <w:hideMark/>
          </w:tcPr>
          <w:p w:rsidRPr="00F36E36" w:rsidR="00341727" w:rsidP="00180EEB" w:rsidRDefault="00341727" w14:paraId="5D41ADE2" w14:textId="77777777">
            <w:pPr>
              <w:suppressAutoHyphens/>
              <w:spacing w:line="240" w:lineRule="auto"/>
              <w:ind w:right="124"/>
              <w:rPr>
                <w:rFonts w:cs="Calibri"/>
                <w:color w:val="000000"/>
                <w:sz w:val="20"/>
                <w:szCs w:val="20"/>
              </w:rPr>
            </w:pPr>
            <w:r w:rsidRPr="00F36E36">
              <w:rPr>
                <w:rFonts w:cs="Calibri"/>
                <w:color w:val="000000"/>
                <w:sz w:val="20"/>
                <w:szCs w:val="20"/>
              </w:rPr>
              <w:t>90.622</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3BB8A698" w14:textId="77777777">
            <w:pPr>
              <w:suppressAutoHyphens/>
              <w:spacing w:line="240" w:lineRule="auto"/>
              <w:ind w:right="124"/>
              <w:rPr>
                <w:rFonts w:cs="Calibri"/>
                <w:color w:val="000000"/>
                <w:sz w:val="20"/>
                <w:szCs w:val="20"/>
              </w:rPr>
            </w:pPr>
            <w:r w:rsidRPr="00F36E36">
              <w:rPr>
                <w:rFonts w:cs="Calibri"/>
                <w:color w:val="000000"/>
                <w:sz w:val="20"/>
                <w:szCs w:val="20"/>
              </w:rPr>
              <w:t>13,8%</w:t>
            </w:r>
          </w:p>
        </w:tc>
      </w:tr>
      <w:tr w:rsidRPr="005F055E" w:rsidR="00341727" w:rsidTr="005E2643" w14:paraId="0300A6F5" w14:textId="77777777">
        <w:trPr>
          <w:trHeight w:val="300"/>
        </w:trPr>
        <w:tc>
          <w:tcPr>
            <w:tcW w:w="1337" w:type="dxa"/>
            <w:tcBorders>
              <w:top w:val="nil"/>
              <w:left w:val="single" w:color="auto" w:sz="4" w:space="0"/>
              <w:bottom w:val="nil"/>
              <w:right w:val="nil"/>
            </w:tcBorders>
            <w:shd w:val="clear" w:color="auto" w:fill="auto"/>
            <w:noWrap/>
            <w:vAlign w:val="center"/>
            <w:hideMark/>
          </w:tcPr>
          <w:p w:rsidRPr="00F36E36" w:rsidR="00341727" w:rsidP="00180EEB" w:rsidRDefault="00341727" w14:paraId="530CD17F" w14:textId="77777777">
            <w:pPr>
              <w:suppressAutoHyphens/>
              <w:spacing w:line="240" w:lineRule="auto"/>
              <w:ind w:right="522"/>
              <w:rPr>
                <w:rFonts w:cs="Calibri"/>
                <w:color w:val="000000"/>
                <w:sz w:val="20"/>
                <w:szCs w:val="20"/>
              </w:rPr>
            </w:pPr>
            <w:r w:rsidRPr="00F36E36">
              <w:rPr>
                <w:rFonts w:cs="Calibri"/>
                <w:color w:val="000000"/>
                <w:sz w:val="20"/>
                <w:szCs w:val="20"/>
              </w:rPr>
              <w:t>2013</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2DCDE2E8" w14:textId="77777777">
            <w:pPr>
              <w:suppressAutoHyphens/>
              <w:spacing w:line="240" w:lineRule="auto"/>
              <w:ind w:right="158"/>
              <w:rPr>
                <w:rFonts w:cs="Calibri"/>
                <w:color w:val="000000"/>
                <w:sz w:val="20"/>
                <w:szCs w:val="20"/>
              </w:rPr>
            </w:pPr>
            <w:r w:rsidRPr="00F36E36">
              <w:rPr>
                <w:rFonts w:cs="Calibri"/>
                <w:color w:val="000000"/>
                <w:sz w:val="20"/>
                <w:szCs w:val="20"/>
              </w:rPr>
              <w:t>78.957</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4E86BC17" w14:textId="77777777">
            <w:pPr>
              <w:suppressAutoHyphens/>
              <w:spacing w:line="240" w:lineRule="auto"/>
              <w:ind w:right="158"/>
              <w:rPr>
                <w:rFonts w:cs="Calibri"/>
                <w:color w:val="000000"/>
                <w:sz w:val="20"/>
                <w:szCs w:val="20"/>
              </w:rPr>
            </w:pPr>
            <w:r w:rsidRPr="00F36E36">
              <w:rPr>
                <w:rFonts w:cs="Calibri"/>
                <w:color w:val="000000"/>
                <w:sz w:val="20"/>
                <w:szCs w:val="20"/>
              </w:rPr>
              <w:t>12,0%</w:t>
            </w:r>
          </w:p>
        </w:tc>
        <w:tc>
          <w:tcPr>
            <w:tcW w:w="2023" w:type="dxa"/>
            <w:tcBorders>
              <w:top w:val="nil"/>
              <w:left w:val="nil"/>
              <w:bottom w:val="nil"/>
              <w:right w:val="nil"/>
            </w:tcBorders>
            <w:shd w:val="clear" w:color="auto" w:fill="auto"/>
            <w:noWrap/>
            <w:vAlign w:val="center"/>
            <w:hideMark/>
          </w:tcPr>
          <w:p w:rsidRPr="00F36E36" w:rsidR="00341727" w:rsidP="00180EEB" w:rsidRDefault="00341727" w14:paraId="21EAA815" w14:textId="77777777">
            <w:pPr>
              <w:suppressAutoHyphens/>
              <w:spacing w:line="240" w:lineRule="auto"/>
              <w:ind w:right="124"/>
              <w:rPr>
                <w:rFonts w:cs="Calibri"/>
                <w:color w:val="000000"/>
                <w:sz w:val="20"/>
                <w:szCs w:val="20"/>
              </w:rPr>
            </w:pPr>
            <w:r w:rsidRPr="00F36E36">
              <w:rPr>
                <w:rFonts w:cs="Calibri"/>
                <w:color w:val="000000"/>
                <w:sz w:val="20"/>
                <w:szCs w:val="20"/>
              </w:rPr>
              <w:t>90.954</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423EEC6B" w14:textId="77777777">
            <w:pPr>
              <w:suppressAutoHyphens/>
              <w:spacing w:line="240" w:lineRule="auto"/>
              <w:ind w:right="124"/>
              <w:rPr>
                <w:rFonts w:cs="Calibri"/>
                <w:color w:val="000000"/>
                <w:sz w:val="20"/>
                <w:szCs w:val="20"/>
              </w:rPr>
            </w:pPr>
            <w:r w:rsidRPr="00F36E36">
              <w:rPr>
                <w:rFonts w:cs="Calibri"/>
                <w:color w:val="000000"/>
                <w:sz w:val="20"/>
                <w:szCs w:val="20"/>
              </w:rPr>
              <w:t>13,8%</w:t>
            </w:r>
          </w:p>
        </w:tc>
      </w:tr>
      <w:tr w:rsidRPr="005F055E" w:rsidR="00341727" w:rsidTr="005E2643" w14:paraId="4D8C6385" w14:textId="77777777">
        <w:trPr>
          <w:trHeight w:val="300"/>
        </w:trPr>
        <w:tc>
          <w:tcPr>
            <w:tcW w:w="1337" w:type="dxa"/>
            <w:tcBorders>
              <w:top w:val="nil"/>
              <w:left w:val="single" w:color="auto" w:sz="4" w:space="0"/>
              <w:bottom w:val="nil"/>
              <w:right w:val="nil"/>
            </w:tcBorders>
            <w:shd w:val="clear" w:color="auto" w:fill="auto"/>
            <w:noWrap/>
            <w:vAlign w:val="center"/>
            <w:hideMark/>
          </w:tcPr>
          <w:p w:rsidRPr="00F36E36" w:rsidR="00341727" w:rsidP="00180EEB" w:rsidRDefault="00341727" w14:paraId="4B11AF90" w14:textId="77777777">
            <w:pPr>
              <w:suppressAutoHyphens/>
              <w:spacing w:line="240" w:lineRule="auto"/>
              <w:ind w:right="522"/>
              <w:rPr>
                <w:rFonts w:cs="Calibri"/>
                <w:color w:val="000000"/>
                <w:sz w:val="20"/>
                <w:szCs w:val="20"/>
              </w:rPr>
            </w:pPr>
            <w:r w:rsidRPr="00F36E36">
              <w:rPr>
                <w:rFonts w:cs="Calibri"/>
                <w:color w:val="000000"/>
                <w:sz w:val="20"/>
                <w:szCs w:val="20"/>
              </w:rPr>
              <w:t>2014</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008907C0" w14:textId="77777777">
            <w:pPr>
              <w:suppressAutoHyphens/>
              <w:spacing w:line="240" w:lineRule="auto"/>
              <w:ind w:right="158"/>
              <w:rPr>
                <w:rFonts w:cs="Calibri"/>
                <w:color w:val="000000"/>
                <w:sz w:val="20"/>
                <w:szCs w:val="20"/>
              </w:rPr>
            </w:pPr>
            <w:r w:rsidRPr="00F36E36">
              <w:rPr>
                <w:rFonts w:cs="Calibri"/>
                <w:color w:val="000000"/>
                <w:sz w:val="20"/>
                <w:szCs w:val="20"/>
              </w:rPr>
              <w:t>80.116</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23FB1277" w14:textId="77777777">
            <w:pPr>
              <w:suppressAutoHyphens/>
              <w:spacing w:line="240" w:lineRule="auto"/>
              <w:ind w:right="158"/>
              <w:rPr>
                <w:rFonts w:cs="Calibri"/>
                <w:color w:val="000000"/>
                <w:sz w:val="20"/>
                <w:szCs w:val="20"/>
              </w:rPr>
            </w:pPr>
            <w:r w:rsidRPr="00F36E36">
              <w:rPr>
                <w:rFonts w:cs="Calibri"/>
                <w:color w:val="000000"/>
                <w:sz w:val="20"/>
                <w:szCs w:val="20"/>
              </w:rPr>
              <w:t>11,9%</w:t>
            </w:r>
          </w:p>
        </w:tc>
        <w:tc>
          <w:tcPr>
            <w:tcW w:w="2023" w:type="dxa"/>
            <w:tcBorders>
              <w:top w:val="nil"/>
              <w:left w:val="nil"/>
              <w:bottom w:val="nil"/>
              <w:right w:val="nil"/>
            </w:tcBorders>
            <w:shd w:val="clear" w:color="auto" w:fill="auto"/>
            <w:noWrap/>
            <w:vAlign w:val="center"/>
            <w:hideMark/>
          </w:tcPr>
          <w:p w:rsidRPr="00F36E36" w:rsidR="00341727" w:rsidP="00180EEB" w:rsidRDefault="00341727" w14:paraId="72001E2B" w14:textId="77777777">
            <w:pPr>
              <w:suppressAutoHyphens/>
              <w:spacing w:line="240" w:lineRule="auto"/>
              <w:ind w:right="124"/>
              <w:rPr>
                <w:rFonts w:cs="Calibri"/>
                <w:color w:val="000000"/>
                <w:sz w:val="20"/>
                <w:szCs w:val="20"/>
              </w:rPr>
            </w:pPr>
            <w:r w:rsidRPr="00F36E36">
              <w:rPr>
                <w:rFonts w:cs="Calibri"/>
                <w:color w:val="000000"/>
                <w:sz w:val="20"/>
                <w:szCs w:val="20"/>
              </w:rPr>
              <w:t>91.927</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09925325" w14:textId="77777777">
            <w:pPr>
              <w:suppressAutoHyphens/>
              <w:spacing w:line="240" w:lineRule="auto"/>
              <w:ind w:right="124"/>
              <w:rPr>
                <w:rFonts w:cs="Calibri"/>
                <w:color w:val="000000"/>
                <w:sz w:val="20"/>
                <w:szCs w:val="20"/>
              </w:rPr>
            </w:pPr>
            <w:r w:rsidRPr="00F36E36">
              <w:rPr>
                <w:rFonts w:cs="Calibri"/>
                <w:color w:val="000000"/>
                <w:sz w:val="20"/>
                <w:szCs w:val="20"/>
              </w:rPr>
              <w:t>13,7%</w:t>
            </w:r>
          </w:p>
        </w:tc>
      </w:tr>
      <w:tr w:rsidRPr="005F055E" w:rsidR="00341727" w:rsidTr="005E2643" w14:paraId="25D6E741" w14:textId="77777777">
        <w:trPr>
          <w:trHeight w:val="300"/>
        </w:trPr>
        <w:tc>
          <w:tcPr>
            <w:tcW w:w="1337" w:type="dxa"/>
            <w:tcBorders>
              <w:top w:val="nil"/>
              <w:left w:val="single" w:color="auto" w:sz="4" w:space="0"/>
              <w:bottom w:val="nil"/>
              <w:right w:val="nil"/>
            </w:tcBorders>
            <w:shd w:val="clear" w:color="auto" w:fill="auto"/>
            <w:noWrap/>
            <w:vAlign w:val="center"/>
            <w:hideMark/>
          </w:tcPr>
          <w:p w:rsidRPr="00F36E36" w:rsidR="00341727" w:rsidP="00180EEB" w:rsidRDefault="00341727" w14:paraId="1DD2BE2F" w14:textId="77777777">
            <w:pPr>
              <w:suppressAutoHyphens/>
              <w:spacing w:line="240" w:lineRule="auto"/>
              <w:ind w:right="522"/>
              <w:rPr>
                <w:rFonts w:cs="Calibri"/>
                <w:color w:val="000000"/>
                <w:sz w:val="20"/>
                <w:szCs w:val="20"/>
              </w:rPr>
            </w:pPr>
            <w:r w:rsidRPr="00F36E36">
              <w:rPr>
                <w:rFonts w:cs="Calibri"/>
                <w:color w:val="000000"/>
                <w:sz w:val="20"/>
                <w:szCs w:val="20"/>
              </w:rPr>
              <w:t>2015</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38D6D4E3" w14:textId="77777777">
            <w:pPr>
              <w:suppressAutoHyphens/>
              <w:spacing w:line="240" w:lineRule="auto"/>
              <w:ind w:right="158"/>
              <w:rPr>
                <w:rFonts w:cs="Calibri"/>
                <w:color w:val="000000"/>
                <w:sz w:val="20"/>
                <w:szCs w:val="20"/>
              </w:rPr>
            </w:pPr>
            <w:r w:rsidRPr="00F36E36">
              <w:rPr>
                <w:rFonts w:cs="Calibri"/>
                <w:color w:val="000000"/>
                <w:sz w:val="20"/>
                <w:szCs w:val="20"/>
              </w:rPr>
              <w:t>80.118</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24B1CAB4" w14:textId="77777777">
            <w:pPr>
              <w:suppressAutoHyphens/>
              <w:spacing w:line="240" w:lineRule="auto"/>
              <w:ind w:right="158"/>
              <w:rPr>
                <w:rFonts w:cs="Calibri"/>
                <w:color w:val="000000"/>
                <w:sz w:val="20"/>
                <w:szCs w:val="20"/>
              </w:rPr>
            </w:pPr>
            <w:r w:rsidRPr="00F36E36">
              <w:rPr>
                <w:rFonts w:cs="Calibri"/>
                <w:color w:val="000000"/>
                <w:sz w:val="20"/>
                <w:szCs w:val="20"/>
              </w:rPr>
              <w:t>11,6%</w:t>
            </w:r>
          </w:p>
        </w:tc>
        <w:tc>
          <w:tcPr>
            <w:tcW w:w="2023" w:type="dxa"/>
            <w:tcBorders>
              <w:top w:val="nil"/>
              <w:left w:val="nil"/>
              <w:bottom w:val="nil"/>
              <w:right w:val="nil"/>
            </w:tcBorders>
            <w:shd w:val="clear" w:color="auto" w:fill="auto"/>
            <w:noWrap/>
            <w:vAlign w:val="center"/>
            <w:hideMark/>
          </w:tcPr>
          <w:p w:rsidRPr="00F36E36" w:rsidR="00341727" w:rsidP="00180EEB" w:rsidRDefault="00341727" w14:paraId="53BA24BF" w14:textId="77777777">
            <w:pPr>
              <w:suppressAutoHyphens/>
              <w:spacing w:line="240" w:lineRule="auto"/>
              <w:ind w:right="124"/>
              <w:rPr>
                <w:rFonts w:cs="Calibri"/>
                <w:color w:val="000000"/>
                <w:sz w:val="20"/>
                <w:szCs w:val="20"/>
              </w:rPr>
            </w:pPr>
            <w:r w:rsidRPr="00F36E36">
              <w:rPr>
                <w:rFonts w:cs="Calibri"/>
                <w:color w:val="000000"/>
                <w:sz w:val="20"/>
                <w:szCs w:val="20"/>
              </w:rPr>
              <w:t>92.323</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2720868F" w14:textId="77777777">
            <w:pPr>
              <w:suppressAutoHyphens/>
              <w:spacing w:line="240" w:lineRule="auto"/>
              <w:ind w:right="124"/>
              <w:rPr>
                <w:rFonts w:cs="Calibri"/>
                <w:color w:val="000000"/>
                <w:sz w:val="20"/>
                <w:szCs w:val="20"/>
              </w:rPr>
            </w:pPr>
            <w:r w:rsidRPr="00F36E36">
              <w:rPr>
                <w:rFonts w:cs="Calibri"/>
                <w:color w:val="000000"/>
                <w:sz w:val="20"/>
                <w:szCs w:val="20"/>
              </w:rPr>
              <w:t>13,3%</w:t>
            </w:r>
          </w:p>
        </w:tc>
      </w:tr>
      <w:tr w:rsidRPr="005F055E" w:rsidR="00341727" w:rsidTr="005E2643" w14:paraId="6B76C727" w14:textId="77777777">
        <w:trPr>
          <w:trHeight w:val="300"/>
        </w:trPr>
        <w:tc>
          <w:tcPr>
            <w:tcW w:w="1337" w:type="dxa"/>
            <w:tcBorders>
              <w:top w:val="nil"/>
              <w:left w:val="single" w:color="auto" w:sz="4" w:space="0"/>
              <w:bottom w:val="nil"/>
              <w:right w:val="nil"/>
            </w:tcBorders>
            <w:shd w:val="clear" w:color="auto" w:fill="auto"/>
            <w:noWrap/>
            <w:vAlign w:val="center"/>
            <w:hideMark/>
          </w:tcPr>
          <w:p w:rsidRPr="00F36E36" w:rsidR="00341727" w:rsidP="00180EEB" w:rsidRDefault="00341727" w14:paraId="40727125" w14:textId="77777777">
            <w:pPr>
              <w:suppressAutoHyphens/>
              <w:spacing w:line="240" w:lineRule="auto"/>
              <w:ind w:right="522"/>
              <w:rPr>
                <w:rFonts w:cs="Calibri"/>
                <w:color w:val="000000"/>
                <w:sz w:val="20"/>
                <w:szCs w:val="20"/>
              </w:rPr>
            </w:pPr>
            <w:r w:rsidRPr="00F36E36">
              <w:rPr>
                <w:rFonts w:cs="Calibri"/>
                <w:color w:val="000000"/>
                <w:sz w:val="20"/>
                <w:szCs w:val="20"/>
              </w:rPr>
              <w:t>2016</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016B6BB1" w14:textId="77777777">
            <w:pPr>
              <w:suppressAutoHyphens/>
              <w:spacing w:line="240" w:lineRule="auto"/>
              <w:ind w:right="158"/>
              <w:rPr>
                <w:rFonts w:cs="Calibri"/>
                <w:color w:val="000000"/>
                <w:sz w:val="20"/>
                <w:szCs w:val="20"/>
              </w:rPr>
            </w:pPr>
            <w:r w:rsidRPr="00F36E36">
              <w:rPr>
                <w:rFonts w:cs="Calibri"/>
                <w:color w:val="000000"/>
                <w:sz w:val="20"/>
                <w:szCs w:val="20"/>
              </w:rPr>
              <w:t>82.021</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110F1136" w14:textId="77777777">
            <w:pPr>
              <w:suppressAutoHyphens/>
              <w:spacing w:line="240" w:lineRule="auto"/>
              <w:ind w:right="158"/>
              <w:rPr>
                <w:rFonts w:cs="Calibri"/>
                <w:color w:val="000000"/>
                <w:sz w:val="20"/>
                <w:szCs w:val="20"/>
              </w:rPr>
            </w:pPr>
            <w:r w:rsidRPr="00F36E36">
              <w:rPr>
                <w:rFonts w:cs="Calibri"/>
                <w:color w:val="000000"/>
                <w:sz w:val="20"/>
                <w:szCs w:val="20"/>
              </w:rPr>
              <w:t>11,6%</w:t>
            </w:r>
          </w:p>
        </w:tc>
        <w:tc>
          <w:tcPr>
            <w:tcW w:w="2023" w:type="dxa"/>
            <w:tcBorders>
              <w:top w:val="nil"/>
              <w:left w:val="nil"/>
              <w:bottom w:val="nil"/>
              <w:right w:val="nil"/>
            </w:tcBorders>
            <w:shd w:val="clear" w:color="auto" w:fill="auto"/>
            <w:noWrap/>
            <w:vAlign w:val="center"/>
            <w:hideMark/>
          </w:tcPr>
          <w:p w:rsidRPr="00F36E36" w:rsidR="00341727" w:rsidP="00180EEB" w:rsidRDefault="00341727" w14:paraId="0A140908" w14:textId="77777777">
            <w:pPr>
              <w:suppressAutoHyphens/>
              <w:spacing w:line="240" w:lineRule="auto"/>
              <w:ind w:right="124"/>
              <w:rPr>
                <w:rFonts w:cs="Calibri"/>
                <w:color w:val="000000"/>
                <w:sz w:val="20"/>
                <w:szCs w:val="20"/>
              </w:rPr>
            </w:pPr>
            <w:r w:rsidRPr="00F36E36">
              <w:rPr>
                <w:rFonts w:cs="Calibri"/>
                <w:color w:val="000000"/>
                <w:sz w:val="20"/>
                <w:szCs w:val="20"/>
              </w:rPr>
              <w:t>94.842</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3DAB30AA" w14:textId="77777777">
            <w:pPr>
              <w:suppressAutoHyphens/>
              <w:spacing w:line="240" w:lineRule="auto"/>
              <w:ind w:right="124"/>
              <w:rPr>
                <w:rFonts w:cs="Calibri"/>
                <w:color w:val="000000"/>
                <w:sz w:val="20"/>
                <w:szCs w:val="20"/>
              </w:rPr>
            </w:pPr>
            <w:r w:rsidRPr="00F36E36">
              <w:rPr>
                <w:rFonts w:cs="Calibri"/>
                <w:color w:val="000000"/>
                <w:sz w:val="20"/>
                <w:szCs w:val="20"/>
              </w:rPr>
              <w:t>13,4%</w:t>
            </w:r>
          </w:p>
        </w:tc>
      </w:tr>
      <w:tr w:rsidRPr="005F055E" w:rsidR="00341727" w:rsidTr="005E2643" w14:paraId="2E623AFA" w14:textId="77777777">
        <w:trPr>
          <w:trHeight w:val="300"/>
        </w:trPr>
        <w:tc>
          <w:tcPr>
            <w:tcW w:w="1337" w:type="dxa"/>
            <w:tcBorders>
              <w:top w:val="nil"/>
              <w:left w:val="single" w:color="auto" w:sz="4" w:space="0"/>
              <w:bottom w:val="nil"/>
              <w:right w:val="nil"/>
            </w:tcBorders>
            <w:shd w:val="clear" w:color="auto" w:fill="auto"/>
            <w:noWrap/>
            <w:vAlign w:val="center"/>
            <w:hideMark/>
          </w:tcPr>
          <w:p w:rsidRPr="00F36E36" w:rsidR="00341727" w:rsidP="00180EEB" w:rsidRDefault="00341727" w14:paraId="46C32026" w14:textId="77777777">
            <w:pPr>
              <w:suppressAutoHyphens/>
              <w:spacing w:line="240" w:lineRule="auto"/>
              <w:ind w:right="522"/>
              <w:rPr>
                <w:rFonts w:cs="Calibri"/>
                <w:color w:val="000000"/>
                <w:sz w:val="20"/>
                <w:szCs w:val="20"/>
              </w:rPr>
            </w:pPr>
            <w:r w:rsidRPr="00F36E36">
              <w:rPr>
                <w:rFonts w:cs="Calibri"/>
                <w:color w:val="000000"/>
                <w:sz w:val="20"/>
                <w:szCs w:val="20"/>
              </w:rPr>
              <w:t>2017</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46B52ABF" w14:textId="77777777">
            <w:pPr>
              <w:suppressAutoHyphens/>
              <w:spacing w:line="240" w:lineRule="auto"/>
              <w:ind w:right="158"/>
              <w:rPr>
                <w:rFonts w:cs="Calibri"/>
                <w:color w:val="000000"/>
                <w:sz w:val="20"/>
                <w:szCs w:val="20"/>
              </w:rPr>
            </w:pPr>
            <w:r w:rsidRPr="00F36E36">
              <w:rPr>
                <w:rFonts w:cs="Calibri"/>
                <w:color w:val="000000"/>
                <w:sz w:val="20"/>
                <w:szCs w:val="20"/>
              </w:rPr>
              <w:t>83.932</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2F35AC2B" w14:textId="77777777">
            <w:pPr>
              <w:suppressAutoHyphens/>
              <w:spacing w:line="240" w:lineRule="auto"/>
              <w:ind w:right="158"/>
              <w:rPr>
                <w:rFonts w:cs="Calibri"/>
                <w:color w:val="000000"/>
                <w:sz w:val="20"/>
                <w:szCs w:val="20"/>
              </w:rPr>
            </w:pPr>
            <w:r w:rsidRPr="00F36E36">
              <w:rPr>
                <w:rFonts w:cs="Calibri"/>
                <w:color w:val="000000"/>
                <w:sz w:val="20"/>
                <w:szCs w:val="20"/>
              </w:rPr>
              <w:t>11,4%</w:t>
            </w:r>
          </w:p>
        </w:tc>
        <w:tc>
          <w:tcPr>
            <w:tcW w:w="2023" w:type="dxa"/>
            <w:tcBorders>
              <w:top w:val="nil"/>
              <w:left w:val="nil"/>
              <w:bottom w:val="nil"/>
              <w:right w:val="nil"/>
            </w:tcBorders>
            <w:shd w:val="clear" w:color="auto" w:fill="auto"/>
            <w:noWrap/>
            <w:vAlign w:val="center"/>
            <w:hideMark/>
          </w:tcPr>
          <w:p w:rsidRPr="00F36E36" w:rsidR="00341727" w:rsidP="00180EEB" w:rsidRDefault="00341727" w14:paraId="391AABBD" w14:textId="77777777">
            <w:pPr>
              <w:suppressAutoHyphens/>
              <w:spacing w:line="240" w:lineRule="auto"/>
              <w:ind w:right="124"/>
              <w:rPr>
                <w:rFonts w:cs="Calibri"/>
                <w:color w:val="000000"/>
                <w:sz w:val="20"/>
                <w:szCs w:val="20"/>
              </w:rPr>
            </w:pPr>
            <w:r w:rsidRPr="00F36E36">
              <w:rPr>
                <w:rFonts w:cs="Calibri"/>
                <w:color w:val="000000"/>
                <w:sz w:val="20"/>
                <w:szCs w:val="20"/>
              </w:rPr>
              <w:t>96.972</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4F3B3B64" w14:textId="77777777">
            <w:pPr>
              <w:suppressAutoHyphens/>
              <w:spacing w:line="240" w:lineRule="auto"/>
              <w:ind w:right="124"/>
              <w:rPr>
                <w:rFonts w:cs="Calibri"/>
                <w:color w:val="000000"/>
                <w:sz w:val="20"/>
                <w:szCs w:val="20"/>
              </w:rPr>
            </w:pPr>
            <w:r w:rsidRPr="00F36E36">
              <w:rPr>
                <w:rFonts w:cs="Calibri"/>
                <w:color w:val="000000"/>
                <w:sz w:val="20"/>
                <w:szCs w:val="20"/>
              </w:rPr>
              <w:t>13,1%</w:t>
            </w:r>
          </w:p>
        </w:tc>
      </w:tr>
      <w:tr w:rsidRPr="005F055E" w:rsidR="00341727" w:rsidTr="005E2643" w14:paraId="5BEFA470" w14:textId="77777777">
        <w:trPr>
          <w:trHeight w:val="300"/>
        </w:trPr>
        <w:tc>
          <w:tcPr>
            <w:tcW w:w="1337" w:type="dxa"/>
            <w:tcBorders>
              <w:top w:val="nil"/>
              <w:left w:val="single" w:color="auto" w:sz="4" w:space="0"/>
              <w:bottom w:val="nil"/>
              <w:right w:val="nil"/>
            </w:tcBorders>
            <w:shd w:val="clear" w:color="auto" w:fill="auto"/>
            <w:noWrap/>
            <w:vAlign w:val="center"/>
            <w:hideMark/>
          </w:tcPr>
          <w:p w:rsidRPr="00F36E36" w:rsidR="00341727" w:rsidP="00180EEB" w:rsidRDefault="00341727" w14:paraId="097D65E3" w14:textId="77777777">
            <w:pPr>
              <w:suppressAutoHyphens/>
              <w:spacing w:line="240" w:lineRule="auto"/>
              <w:ind w:right="522"/>
              <w:rPr>
                <w:rFonts w:cs="Calibri"/>
                <w:color w:val="000000"/>
                <w:sz w:val="20"/>
                <w:szCs w:val="20"/>
              </w:rPr>
            </w:pPr>
            <w:r w:rsidRPr="00F36E36">
              <w:rPr>
                <w:rFonts w:cs="Calibri"/>
                <w:color w:val="000000"/>
                <w:sz w:val="20"/>
                <w:szCs w:val="20"/>
              </w:rPr>
              <w:t>2018</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2ABA5982" w14:textId="77777777">
            <w:pPr>
              <w:suppressAutoHyphens/>
              <w:spacing w:line="240" w:lineRule="auto"/>
              <w:ind w:right="158"/>
              <w:rPr>
                <w:rFonts w:cs="Calibri"/>
                <w:color w:val="000000"/>
                <w:sz w:val="20"/>
                <w:szCs w:val="20"/>
              </w:rPr>
            </w:pPr>
            <w:r w:rsidRPr="00F36E36">
              <w:rPr>
                <w:rFonts w:cs="Calibri"/>
                <w:color w:val="000000"/>
                <w:sz w:val="20"/>
                <w:szCs w:val="20"/>
              </w:rPr>
              <w:t>87.334</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4A0891DD" w14:textId="77777777">
            <w:pPr>
              <w:suppressAutoHyphens/>
              <w:spacing w:line="240" w:lineRule="auto"/>
              <w:ind w:right="158"/>
              <w:rPr>
                <w:rFonts w:cs="Calibri"/>
                <w:color w:val="000000"/>
                <w:sz w:val="20"/>
                <w:szCs w:val="20"/>
              </w:rPr>
            </w:pPr>
            <w:r w:rsidRPr="00F36E36">
              <w:rPr>
                <w:rFonts w:cs="Calibri"/>
                <w:color w:val="000000"/>
                <w:sz w:val="20"/>
                <w:szCs w:val="20"/>
              </w:rPr>
              <w:t>11,3%</w:t>
            </w:r>
          </w:p>
        </w:tc>
        <w:tc>
          <w:tcPr>
            <w:tcW w:w="2023" w:type="dxa"/>
            <w:tcBorders>
              <w:top w:val="nil"/>
              <w:left w:val="nil"/>
              <w:bottom w:val="nil"/>
              <w:right w:val="nil"/>
            </w:tcBorders>
            <w:shd w:val="clear" w:color="auto" w:fill="auto"/>
            <w:noWrap/>
            <w:vAlign w:val="center"/>
            <w:hideMark/>
          </w:tcPr>
          <w:p w:rsidRPr="00F36E36" w:rsidR="00341727" w:rsidP="00180EEB" w:rsidRDefault="00341727" w14:paraId="45D0A99F" w14:textId="77777777">
            <w:pPr>
              <w:suppressAutoHyphens/>
              <w:spacing w:line="240" w:lineRule="auto"/>
              <w:ind w:right="124"/>
              <w:rPr>
                <w:rFonts w:cs="Calibri"/>
                <w:color w:val="000000"/>
                <w:sz w:val="20"/>
                <w:szCs w:val="20"/>
              </w:rPr>
            </w:pPr>
            <w:r w:rsidRPr="00F36E36">
              <w:rPr>
                <w:rFonts w:cs="Calibri"/>
                <w:color w:val="000000"/>
                <w:sz w:val="20"/>
                <w:szCs w:val="20"/>
              </w:rPr>
              <w:t>101.031</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71080689" w14:textId="77777777">
            <w:pPr>
              <w:suppressAutoHyphens/>
              <w:spacing w:line="240" w:lineRule="auto"/>
              <w:ind w:right="124"/>
              <w:rPr>
                <w:rFonts w:cs="Calibri"/>
                <w:color w:val="000000"/>
                <w:sz w:val="20"/>
                <w:szCs w:val="20"/>
              </w:rPr>
            </w:pPr>
            <w:r w:rsidRPr="00F36E36">
              <w:rPr>
                <w:rFonts w:cs="Calibri"/>
                <w:color w:val="000000"/>
                <w:sz w:val="20"/>
                <w:szCs w:val="20"/>
              </w:rPr>
              <w:t>13,0%</w:t>
            </w:r>
          </w:p>
        </w:tc>
      </w:tr>
      <w:tr w:rsidRPr="005F055E" w:rsidR="00341727" w:rsidTr="005E2643" w14:paraId="27E77C12" w14:textId="77777777">
        <w:trPr>
          <w:trHeight w:val="300"/>
        </w:trPr>
        <w:tc>
          <w:tcPr>
            <w:tcW w:w="1337" w:type="dxa"/>
            <w:tcBorders>
              <w:top w:val="nil"/>
              <w:left w:val="single" w:color="auto" w:sz="4" w:space="0"/>
              <w:bottom w:val="nil"/>
              <w:right w:val="nil"/>
            </w:tcBorders>
            <w:shd w:val="clear" w:color="auto" w:fill="auto"/>
            <w:noWrap/>
            <w:vAlign w:val="center"/>
            <w:hideMark/>
          </w:tcPr>
          <w:p w:rsidRPr="00F36E36" w:rsidR="00341727" w:rsidP="00180EEB" w:rsidRDefault="00341727" w14:paraId="13844178" w14:textId="77777777">
            <w:pPr>
              <w:suppressAutoHyphens/>
              <w:spacing w:line="240" w:lineRule="auto"/>
              <w:ind w:right="522"/>
              <w:rPr>
                <w:rFonts w:cs="Calibri"/>
                <w:color w:val="000000"/>
                <w:sz w:val="20"/>
                <w:szCs w:val="20"/>
              </w:rPr>
            </w:pPr>
            <w:r w:rsidRPr="00F36E36">
              <w:rPr>
                <w:rFonts w:cs="Calibri"/>
                <w:color w:val="000000"/>
                <w:sz w:val="20"/>
                <w:szCs w:val="20"/>
              </w:rPr>
              <w:t>2019</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53D057D5" w14:textId="77777777">
            <w:pPr>
              <w:suppressAutoHyphens/>
              <w:spacing w:line="240" w:lineRule="auto"/>
              <w:ind w:right="158"/>
              <w:rPr>
                <w:rFonts w:cs="Calibri"/>
                <w:color w:val="000000"/>
                <w:sz w:val="20"/>
                <w:szCs w:val="20"/>
              </w:rPr>
            </w:pPr>
            <w:r w:rsidRPr="00F36E36">
              <w:rPr>
                <w:rFonts w:cs="Calibri"/>
                <w:color w:val="000000"/>
                <w:sz w:val="20"/>
                <w:szCs w:val="20"/>
              </w:rPr>
              <w:t>92.804</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7AC66BE7" w14:textId="77777777">
            <w:pPr>
              <w:suppressAutoHyphens/>
              <w:spacing w:line="240" w:lineRule="auto"/>
              <w:ind w:right="158"/>
              <w:rPr>
                <w:rFonts w:cs="Calibri"/>
                <w:color w:val="000000"/>
                <w:sz w:val="20"/>
                <w:szCs w:val="20"/>
              </w:rPr>
            </w:pPr>
            <w:r w:rsidRPr="00F36E36">
              <w:rPr>
                <w:rFonts w:cs="Calibri"/>
                <w:color w:val="000000"/>
                <w:sz w:val="20"/>
                <w:szCs w:val="20"/>
              </w:rPr>
              <w:t>11,4%</w:t>
            </w:r>
          </w:p>
        </w:tc>
        <w:tc>
          <w:tcPr>
            <w:tcW w:w="2023" w:type="dxa"/>
            <w:tcBorders>
              <w:top w:val="nil"/>
              <w:left w:val="nil"/>
              <w:bottom w:val="nil"/>
              <w:right w:val="nil"/>
            </w:tcBorders>
            <w:shd w:val="clear" w:color="auto" w:fill="auto"/>
            <w:noWrap/>
            <w:vAlign w:val="center"/>
            <w:hideMark/>
          </w:tcPr>
          <w:p w:rsidRPr="00F36E36" w:rsidR="00341727" w:rsidP="00180EEB" w:rsidRDefault="00341727" w14:paraId="292681D8" w14:textId="77777777">
            <w:pPr>
              <w:suppressAutoHyphens/>
              <w:spacing w:line="240" w:lineRule="auto"/>
              <w:ind w:right="124"/>
              <w:rPr>
                <w:rFonts w:cs="Calibri"/>
                <w:color w:val="000000"/>
                <w:sz w:val="20"/>
                <w:szCs w:val="20"/>
              </w:rPr>
            </w:pPr>
            <w:r w:rsidRPr="00F36E36">
              <w:rPr>
                <w:rFonts w:cs="Calibri"/>
                <w:color w:val="000000"/>
                <w:sz w:val="20"/>
                <w:szCs w:val="20"/>
              </w:rPr>
              <w:t>107.429</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454FF7F0" w14:textId="77777777">
            <w:pPr>
              <w:suppressAutoHyphens/>
              <w:spacing w:line="240" w:lineRule="auto"/>
              <w:ind w:right="124"/>
              <w:rPr>
                <w:rFonts w:cs="Calibri"/>
                <w:color w:val="000000"/>
                <w:sz w:val="20"/>
                <w:szCs w:val="20"/>
              </w:rPr>
            </w:pPr>
            <w:r w:rsidRPr="00F36E36">
              <w:rPr>
                <w:rFonts w:cs="Calibri"/>
                <w:color w:val="000000"/>
                <w:sz w:val="20"/>
                <w:szCs w:val="20"/>
              </w:rPr>
              <w:t>13,2%</w:t>
            </w:r>
          </w:p>
        </w:tc>
      </w:tr>
      <w:tr w:rsidRPr="005F055E" w:rsidR="00341727" w:rsidTr="005E2643" w14:paraId="0CDB04EB" w14:textId="77777777">
        <w:trPr>
          <w:trHeight w:val="300"/>
        </w:trPr>
        <w:tc>
          <w:tcPr>
            <w:tcW w:w="1337" w:type="dxa"/>
            <w:tcBorders>
              <w:top w:val="nil"/>
              <w:left w:val="single" w:color="auto" w:sz="4" w:space="0"/>
              <w:bottom w:val="nil"/>
              <w:right w:val="nil"/>
            </w:tcBorders>
            <w:shd w:val="clear" w:color="auto" w:fill="auto"/>
            <w:noWrap/>
            <w:vAlign w:val="center"/>
            <w:hideMark/>
          </w:tcPr>
          <w:p w:rsidRPr="00F36E36" w:rsidR="00341727" w:rsidP="00180EEB" w:rsidRDefault="00341727" w14:paraId="768F75C2" w14:textId="77777777">
            <w:pPr>
              <w:suppressAutoHyphens/>
              <w:spacing w:line="240" w:lineRule="auto"/>
              <w:ind w:right="522"/>
              <w:rPr>
                <w:rFonts w:cs="Calibri"/>
                <w:color w:val="000000"/>
                <w:sz w:val="20"/>
                <w:szCs w:val="20"/>
              </w:rPr>
            </w:pPr>
            <w:r w:rsidRPr="00F36E36">
              <w:rPr>
                <w:rFonts w:cs="Calibri"/>
                <w:color w:val="000000"/>
                <w:sz w:val="20"/>
                <w:szCs w:val="20"/>
              </w:rPr>
              <w:t>2020</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78A58EA8" w14:textId="77777777">
            <w:pPr>
              <w:suppressAutoHyphens/>
              <w:spacing w:line="240" w:lineRule="auto"/>
              <w:ind w:right="158"/>
              <w:rPr>
                <w:rFonts w:cs="Calibri"/>
                <w:color w:val="000000"/>
                <w:sz w:val="20"/>
                <w:szCs w:val="20"/>
              </w:rPr>
            </w:pPr>
            <w:r w:rsidRPr="00F36E36">
              <w:rPr>
                <w:rFonts w:cs="Calibri"/>
                <w:color w:val="000000"/>
                <w:sz w:val="20"/>
                <w:szCs w:val="20"/>
              </w:rPr>
              <w:t>100.538</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025EB48D" w14:textId="77777777">
            <w:pPr>
              <w:suppressAutoHyphens/>
              <w:spacing w:line="240" w:lineRule="auto"/>
              <w:ind w:right="158"/>
              <w:rPr>
                <w:rFonts w:cs="Calibri"/>
                <w:color w:val="000000"/>
                <w:sz w:val="20"/>
                <w:szCs w:val="20"/>
              </w:rPr>
            </w:pPr>
            <w:r w:rsidRPr="00F36E36">
              <w:rPr>
                <w:rFonts w:cs="Calibri"/>
                <w:color w:val="000000"/>
                <w:sz w:val="20"/>
                <w:szCs w:val="20"/>
              </w:rPr>
              <w:t>12,6%</w:t>
            </w:r>
          </w:p>
        </w:tc>
        <w:tc>
          <w:tcPr>
            <w:tcW w:w="2023" w:type="dxa"/>
            <w:tcBorders>
              <w:top w:val="nil"/>
              <w:left w:val="nil"/>
              <w:bottom w:val="nil"/>
              <w:right w:val="nil"/>
            </w:tcBorders>
            <w:shd w:val="clear" w:color="auto" w:fill="auto"/>
            <w:noWrap/>
            <w:vAlign w:val="center"/>
            <w:hideMark/>
          </w:tcPr>
          <w:p w:rsidRPr="00F36E36" w:rsidR="00341727" w:rsidP="00180EEB" w:rsidRDefault="00341727" w14:paraId="06413FE5" w14:textId="77777777">
            <w:pPr>
              <w:suppressAutoHyphens/>
              <w:spacing w:line="240" w:lineRule="auto"/>
              <w:ind w:right="124"/>
              <w:rPr>
                <w:rFonts w:cs="Calibri"/>
                <w:color w:val="000000"/>
                <w:sz w:val="20"/>
                <w:szCs w:val="20"/>
              </w:rPr>
            </w:pPr>
            <w:r w:rsidRPr="00F36E36">
              <w:rPr>
                <w:rFonts w:cs="Calibri"/>
                <w:color w:val="000000"/>
                <w:sz w:val="20"/>
                <w:szCs w:val="20"/>
              </w:rPr>
              <w:t>116.384</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103CF04A" w14:textId="77777777">
            <w:pPr>
              <w:suppressAutoHyphens/>
              <w:spacing w:line="240" w:lineRule="auto"/>
              <w:ind w:right="124"/>
              <w:rPr>
                <w:rFonts w:cs="Calibri"/>
                <w:color w:val="000000"/>
                <w:sz w:val="20"/>
                <w:szCs w:val="20"/>
              </w:rPr>
            </w:pPr>
            <w:r w:rsidRPr="00F36E36">
              <w:rPr>
                <w:rFonts w:cs="Calibri"/>
                <w:color w:val="000000"/>
                <w:sz w:val="20"/>
                <w:szCs w:val="20"/>
              </w:rPr>
              <w:t>14,6%</w:t>
            </w:r>
          </w:p>
        </w:tc>
      </w:tr>
      <w:tr w:rsidRPr="005F055E" w:rsidR="00341727" w:rsidTr="005E2643" w14:paraId="202A6975" w14:textId="77777777">
        <w:trPr>
          <w:trHeight w:val="300"/>
        </w:trPr>
        <w:tc>
          <w:tcPr>
            <w:tcW w:w="1337" w:type="dxa"/>
            <w:tcBorders>
              <w:top w:val="nil"/>
              <w:left w:val="single" w:color="auto" w:sz="4" w:space="0"/>
              <w:bottom w:val="nil"/>
              <w:right w:val="nil"/>
            </w:tcBorders>
            <w:shd w:val="clear" w:color="auto" w:fill="auto"/>
            <w:noWrap/>
            <w:vAlign w:val="center"/>
            <w:hideMark/>
          </w:tcPr>
          <w:p w:rsidRPr="00F36E36" w:rsidR="00341727" w:rsidP="00180EEB" w:rsidRDefault="00341727" w14:paraId="49585EE2" w14:textId="77777777">
            <w:pPr>
              <w:suppressAutoHyphens/>
              <w:spacing w:line="240" w:lineRule="auto"/>
              <w:ind w:right="522"/>
              <w:rPr>
                <w:rFonts w:cs="Calibri"/>
                <w:color w:val="000000"/>
                <w:sz w:val="20"/>
                <w:szCs w:val="20"/>
              </w:rPr>
            </w:pPr>
            <w:r w:rsidRPr="00F36E36">
              <w:rPr>
                <w:rFonts w:cs="Calibri"/>
                <w:color w:val="000000"/>
                <w:sz w:val="20"/>
                <w:szCs w:val="20"/>
              </w:rPr>
              <w:t>2021</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5E3CEC70" w14:textId="77777777">
            <w:pPr>
              <w:suppressAutoHyphens/>
              <w:spacing w:line="240" w:lineRule="auto"/>
              <w:ind w:right="158"/>
              <w:rPr>
                <w:rFonts w:cs="Calibri"/>
                <w:color w:val="000000"/>
                <w:sz w:val="20"/>
                <w:szCs w:val="20"/>
              </w:rPr>
            </w:pPr>
            <w:r w:rsidRPr="00F36E36">
              <w:rPr>
                <w:rFonts w:cs="Calibri"/>
                <w:color w:val="000000"/>
                <w:sz w:val="20"/>
                <w:szCs w:val="20"/>
              </w:rPr>
              <w:t>107.943</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62476F3C" w14:textId="77777777">
            <w:pPr>
              <w:suppressAutoHyphens/>
              <w:spacing w:line="240" w:lineRule="auto"/>
              <w:ind w:right="158"/>
              <w:rPr>
                <w:rFonts w:cs="Calibri"/>
                <w:color w:val="000000"/>
                <w:sz w:val="20"/>
                <w:szCs w:val="20"/>
              </w:rPr>
            </w:pPr>
            <w:r w:rsidRPr="00F36E36">
              <w:rPr>
                <w:rFonts w:cs="Calibri"/>
                <w:color w:val="000000"/>
                <w:sz w:val="20"/>
                <w:szCs w:val="20"/>
              </w:rPr>
              <w:t>12,4%</w:t>
            </w:r>
          </w:p>
        </w:tc>
        <w:tc>
          <w:tcPr>
            <w:tcW w:w="2023" w:type="dxa"/>
            <w:tcBorders>
              <w:top w:val="nil"/>
              <w:left w:val="nil"/>
              <w:bottom w:val="nil"/>
              <w:right w:val="nil"/>
            </w:tcBorders>
            <w:shd w:val="clear" w:color="auto" w:fill="auto"/>
            <w:noWrap/>
            <w:vAlign w:val="center"/>
            <w:hideMark/>
          </w:tcPr>
          <w:p w:rsidRPr="00F36E36" w:rsidR="00341727" w:rsidP="00180EEB" w:rsidRDefault="00341727" w14:paraId="698335DF" w14:textId="77777777">
            <w:pPr>
              <w:suppressAutoHyphens/>
              <w:spacing w:line="240" w:lineRule="auto"/>
              <w:ind w:right="124"/>
              <w:rPr>
                <w:rFonts w:cs="Calibri"/>
                <w:color w:val="000000"/>
                <w:sz w:val="20"/>
                <w:szCs w:val="20"/>
              </w:rPr>
            </w:pPr>
            <w:r w:rsidRPr="00F36E36">
              <w:rPr>
                <w:rFonts w:cs="Calibri"/>
                <w:color w:val="000000"/>
                <w:sz w:val="20"/>
                <w:szCs w:val="20"/>
              </w:rPr>
              <w:t>124.794</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69B6AD7C" w14:textId="77777777">
            <w:pPr>
              <w:suppressAutoHyphens/>
              <w:spacing w:line="240" w:lineRule="auto"/>
              <w:ind w:right="124"/>
              <w:rPr>
                <w:rFonts w:cs="Calibri"/>
                <w:color w:val="000000"/>
                <w:sz w:val="20"/>
                <w:szCs w:val="20"/>
              </w:rPr>
            </w:pPr>
            <w:r w:rsidRPr="00F36E36">
              <w:rPr>
                <w:rFonts w:cs="Calibri"/>
                <w:color w:val="000000"/>
                <w:sz w:val="20"/>
                <w:szCs w:val="20"/>
              </w:rPr>
              <w:t>14,3%</w:t>
            </w:r>
          </w:p>
        </w:tc>
      </w:tr>
      <w:tr w:rsidRPr="005F055E" w:rsidR="00341727" w:rsidTr="005E2643" w14:paraId="4B9BC29C" w14:textId="77777777">
        <w:trPr>
          <w:trHeight w:val="300"/>
        </w:trPr>
        <w:tc>
          <w:tcPr>
            <w:tcW w:w="1337" w:type="dxa"/>
            <w:tcBorders>
              <w:top w:val="nil"/>
              <w:left w:val="single" w:color="auto" w:sz="4" w:space="0"/>
              <w:bottom w:val="nil"/>
              <w:right w:val="nil"/>
            </w:tcBorders>
            <w:shd w:val="clear" w:color="auto" w:fill="auto"/>
            <w:noWrap/>
            <w:vAlign w:val="center"/>
            <w:hideMark/>
          </w:tcPr>
          <w:p w:rsidRPr="00F36E36" w:rsidR="00341727" w:rsidP="00180EEB" w:rsidRDefault="00341727" w14:paraId="161C6734" w14:textId="77777777">
            <w:pPr>
              <w:suppressAutoHyphens/>
              <w:spacing w:line="240" w:lineRule="auto"/>
              <w:ind w:right="522"/>
              <w:rPr>
                <w:rFonts w:cs="Calibri"/>
                <w:color w:val="000000"/>
                <w:sz w:val="20"/>
                <w:szCs w:val="20"/>
              </w:rPr>
            </w:pPr>
            <w:r w:rsidRPr="00F36E36">
              <w:rPr>
                <w:rFonts w:cs="Calibri"/>
                <w:color w:val="000000"/>
                <w:sz w:val="20"/>
                <w:szCs w:val="20"/>
              </w:rPr>
              <w:t>2022</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5AAFE41F" w14:textId="77777777">
            <w:pPr>
              <w:suppressAutoHyphens/>
              <w:spacing w:line="240" w:lineRule="auto"/>
              <w:ind w:right="158"/>
              <w:rPr>
                <w:rFonts w:cs="Calibri"/>
                <w:color w:val="000000"/>
                <w:sz w:val="20"/>
                <w:szCs w:val="20"/>
              </w:rPr>
            </w:pPr>
            <w:r w:rsidRPr="00F36E36">
              <w:rPr>
                <w:rFonts w:cs="Calibri"/>
                <w:color w:val="000000"/>
                <w:sz w:val="20"/>
                <w:szCs w:val="20"/>
              </w:rPr>
              <w:t>108.279</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28CF55E0" w14:textId="77777777">
            <w:pPr>
              <w:suppressAutoHyphens/>
              <w:spacing w:line="240" w:lineRule="auto"/>
              <w:ind w:right="158"/>
              <w:rPr>
                <w:rFonts w:cs="Calibri"/>
                <w:color w:val="000000"/>
                <w:sz w:val="20"/>
                <w:szCs w:val="20"/>
              </w:rPr>
            </w:pPr>
            <w:r w:rsidRPr="00F36E36">
              <w:rPr>
                <w:rFonts w:cs="Calibri"/>
                <w:color w:val="000000"/>
                <w:sz w:val="20"/>
                <w:szCs w:val="20"/>
              </w:rPr>
              <w:t>11,3%</w:t>
            </w:r>
          </w:p>
        </w:tc>
        <w:tc>
          <w:tcPr>
            <w:tcW w:w="2023" w:type="dxa"/>
            <w:tcBorders>
              <w:top w:val="nil"/>
              <w:left w:val="nil"/>
              <w:bottom w:val="nil"/>
              <w:right w:val="nil"/>
            </w:tcBorders>
            <w:shd w:val="clear" w:color="auto" w:fill="auto"/>
            <w:noWrap/>
            <w:vAlign w:val="center"/>
            <w:hideMark/>
          </w:tcPr>
          <w:p w:rsidRPr="00F36E36" w:rsidR="00341727" w:rsidP="00180EEB" w:rsidRDefault="00341727" w14:paraId="351E3955" w14:textId="77777777">
            <w:pPr>
              <w:suppressAutoHyphens/>
              <w:spacing w:line="240" w:lineRule="auto"/>
              <w:ind w:right="124"/>
              <w:rPr>
                <w:rFonts w:cs="Calibri"/>
                <w:color w:val="000000"/>
                <w:sz w:val="20"/>
                <w:szCs w:val="20"/>
              </w:rPr>
            </w:pPr>
            <w:r w:rsidRPr="00F36E36">
              <w:rPr>
                <w:rFonts w:cs="Calibri"/>
                <w:color w:val="000000"/>
                <w:sz w:val="20"/>
                <w:szCs w:val="20"/>
              </w:rPr>
              <w:t>127.306</w:t>
            </w:r>
          </w:p>
        </w:tc>
        <w:tc>
          <w:tcPr>
            <w:tcW w:w="971" w:type="dxa"/>
            <w:tcBorders>
              <w:top w:val="nil"/>
              <w:left w:val="nil"/>
              <w:bottom w:val="nil"/>
              <w:right w:val="single" w:color="auto" w:sz="4" w:space="0"/>
            </w:tcBorders>
            <w:shd w:val="clear" w:color="auto" w:fill="auto"/>
            <w:noWrap/>
            <w:vAlign w:val="center"/>
            <w:hideMark/>
          </w:tcPr>
          <w:p w:rsidRPr="00F36E36" w:rsidR="00341727" w:rsidP="00180EEB" w:rsidRDefault="00341727" w14:paraId="638A4C3E" w14:textId="77777777">
            <w:pPr>
              <w:suppressAutoHyphens/>
              <w:spacing w:line="240" w:lineRule="auto"/>
              <w:ind w:right="124"/>
              <w:rPr>
                <w:rFonts w:cs="Calibri"/>
                <w:color w:val="000000"/>
                <w:sz w:val="20"/>
                <w:szCs w:val="20"/>
              </w:rPr>
            </w:pPr>
            <w:r w:rsidRPr="00F36E36">
              <w:rPr>
                <w:rFonts w:cs="Calibri"/>
                <w:color w:val="000000"/>
                <w:sz w:val="20"/>
                <w:szCs w:val="20"/>
              </w:rPr>
              <w:t>13,3%</w:t>
            </w:r>
          </w:p>
        </w:tc>
      </w:tr>
      <w:tr w:rsidRPr="005F055E" w:rsidR="00341727" w:rsidTr="005E2643" w14:paraId="6FA0B9BD" w14:textId="77777777">
        <w:trPr>
          <w:trHeight w:val="300"/>
        </w:trPr>
        <w:tc>
          <w:tcPr>
            <w:tcW w:w="1337" w:type="dxa"/>
            <w:tcBorders>
              <w:top w:val="nil"/>
              <w:left w:val="single" w:color="auto" w:sz="4" w:space="0"/>
              <w:bottom w:val="nil"/>
              <w:right w:val="nil"/>
            </w:tcBorders>
            <w:shd w:val="clear" w:color="auto" w:fill="auto"/>
            <w:noWrap/>
            <w:vAlign w:val="center"/>
          </w:tcPr>
          <w:p w:rsidRPr="00F36E36" w:rsidR="00341727" w:rsidP="00180EEB" w:rsidRDefault="00341727" w14:paraId="3185BD94" w14:textId="77777777">
            <w:pPr>
              <w:suppressAutoHyphens/>
              <w:spacing w:line="240" w:lineRule="auto"/>
              <w:ind w:right="522"/>
              <w:rPr>
                <w:rFonts w:cs="Calibri"/>
                <w:color w:val="000000"/>
                <w:sz w:val="20"/>
                <w:szCs w:val="20"/>
              </w:rPr>
            </w:pPr>
            <w:r w:rsidRPr="00F36E36">
              <w:rPr>
                <w:rFonts w:cs="Calibri"/>
                <w:color w:val="000000"/>
                <w:sz w:val="20"/>
                <w:szCs w:val="20"/>
              </w:rPr>
              <w:t>2023*</w:t>
            </w:r>
          </w:p>
        </w:tc>
        <w:tc>
          <w:tcPr>
            <w:tcW w:w="1698" w:type="dxa"/>
            <w:tcBorders>
              <w:top w:val="nil"/>
              <w:left w:val="single" w:color="auto" w:sz="4" w:space="0"/>
              <w:bottom w:val="nil"/>
              <w:right w:val="nil"/>
            </w:tcBorders>
            <w:shd w:val="clear" w:color="auto" w:fill="auto"/>
            <w:noWrap/>
          </w:tcPr>
          <w:p w:rsidRPr="00F36E36" w:rsidR="00341727" w:rsidP="00180EEB" w:rsidRDefault="00341727" w14:paraId="72C6A79C" w14:textId="77777777">
            <w:pPr>
              <w:suppressAutoHyphens/>
              <w:spacing w:line="240" w:lineRule="auto"/>
              <w:ind w:right="158"/>
              <w:rPr>
                <w:rFonts w:cs="Calibri"/>
                <w:color w:val="000000"/>
                <w:sz w:val="20"/>
                <w:szCs w:val="20"/>
              </w:rPr>
            </w:pPr>
            <w:r w:rsidRPr="00F36E36">
              <w:rPr>
                <w:rFonts w:cs="Calibri"/>
                <w:color w:val="000000"/>
                <w:sz w:val="20"/>
                <w:szCs w:val="20"/>
              </w:rPr>
              <w:t>106.380</w:t>
            </w:r>
          </w:p>
        </w:tc>
        <w:tc>
          <w:tcPr>
            <w:tcW w:w="971" w:type="dxa"/>
            <w:tcBorders>
              <w:top w:val="nil"/>
              <w:left w:val="nil"/>
              <w:bottom w:val="nil"/>
              <w:right w:val="single" w:color="auto" w:sz="4" w:space="0"/>
            </w:tcBorders>
            <w:shd w:val="clear" w:color="auto" w:fill="auto"/>
            <w:noWrap/>
          </w:tcPr>
          <w:p w:rsidRPr="00F36E36" w:rsidR="00341727" w:rsidP="00180EEB" w:rsidRDefault="00341727" w14:paraId="4A190B80" w14:textId="77777777">
            <w:pPr>
              <w:suppressAutoHyphens/>
              <w:spacing w:line="240" w:lineRule="auto"/>
              <w:ind w:right="158"/>
              <w:rPr>
                <w:rFonts w:cs="Calibri"/>
                <w:color w:val="000000"/>
                <w:sz w:val="20"/>
                <w:szCs w:val="20"/>
              </w:rPr>
            </w:pPr>
            <w:r w:rsidRPr="00F36E36">
              <w:rPr>
                <w:rFonts w:cs="Calibri"/>
                <w:color w:val="000000"/>
                <w:sz w:val="20"/>
                <w:szCs w:val="20"/>
              </w:rPr>
              <w:t>10,1%</w:t>
            </w:r>
          </w:p>
        </w:tc>
        <w:tc>
          <w:tcPr>
            <w:tcW w:w="2023" w:type="dxa"/>
            <w:tcBorders>
              <w:top w:val="nil"/>
              <w:left w:val="nil"/>
              <w:bottom w:val="nil"/>
              <w:right w:val="nil"/>
            </w:tcBorders>
            <w:shd w:val="clear" w:color="auto" w:fill="auto"/>
            <w:noWrap/>
          </w:tcPr>
          <w:p w:rsidRPr="00F36E36" w:rsidR="00341727" w:rsidP="00180EEB" w:rsidRDefault="00341727" w14:paraId="3DDB02D8" w14:textId="77777777">
            <w:pPr>
              <w:suppressAutoHyphens/>
              <w:spacing w:line="240" w:lineRule="auto"/>
              <w:ind w:right="124"/>
              <w:rPr>
                <w:rFonts w:cs="Calibri"/>
                <w:color w:val="000000"/>
                <w:sz w:val="20"/>
                <w:szCs w:val="20"/>
              </w:rPr>
            </w:pPr>
            <w:r w:rsidRPr="00F36E36">
              <w:rPr>
                <w:rFonts w:cs="Calibri"/>
                <w:color w:val="000000"/>
                <w:sz w:val="20"/>
                <w:szCs w:val="20"/>
              </w:rPr>
              <w:t>142.239</w:t>
            </w:r>
          </w:p>
        </w:tc>
        <w:tc>
          <w:tcPr>
            <w:tcW w:w="971" w:type="dxa"/>
            <w:tcBorders>
              <w:top w:val="nil"/>
              <w:left w:val="nil"/>
              <w:bottom w:val="nil"/>
              <w:right w:val="single" w:color="auto" w:sz="4" w:space="0"/>
            </w:tcBorders>
            <w:shd w:val="clear" w:color="auto" w:fill="auto"/>
            <w:noWrap/>
          </w:tcPr>
          <w:p w:rsidRPr="00F36E36" w:rsidR="00341727" w:rsidP="00180EEB" w:rsidRDefault="00341727" w14:paraId="1608EE0A" w14:textId="77777777">
            <w:pPr>
              <w:suppressAutoHyphens/>
              <w:spacing w:line="240" w:lineRule="auto"/>
              <w:ind w:right="124"/>
              <w:rPr>
                <w:rFonts w:cs="Calibri"/>
                <w:color w:val="000000"/>
                <w:sz w:val="20"/>
                <w:szCs w:val="20"/>
              </w:rPr>
            </w:pPr>
            <w:r w:rsidRPr="00F36E36">
              <w:rPr>
                <w:rFonts w:cs="Calibri"/>
                <w:color w:val="000000"/>
                <w:sz w:val="20"/>
                <w:szCs w:val="20"/>
              </w:rPr>
              <w:t>13,5%</w:t>
            </w:r>
          </w:p>
        </w:tc>
      </w:tr>
      <w:tr w:rsidRPr="005F055E" w:rsidR="00341727" w:rsidTr="005E2643" w14:paraId="6001C233" w14:textId="77777777">
        <w:trPr>
          <w:trHeight w:val="300"/>
        </w:trPr>
        <w:tc>
          <w:tcPr>
            <w:tcW w:w="1337" w:type="dxa"/>
            <w:tcBorders>
              <w:top w:val="nil"/>
              <w:left w:val="single" w:color="auto" w:sz="4" w:space="0"/>
              <w:bottom w:val="single" w:color="auto" w:sz="4" w:space="0"/>
              <w:right w:val="nil"/>
            </w:tcBorders>
            <w:shd w:val="clear" w:color="auto" w:fill="auto"/>
            <w:noWrap/>
            <w:vAlign w:val="center"/>
          </w:tcPr>
          <w:p w:rsidRPr="00F36E36" w:rsidR="00341727" w:rsidP="00180EEB" w:rsidRDefault="00341727" w14:paraId="04028C23" w14:textId="77777777">
            <w:pPr>
              <w:suppressAutoHyphens/>
              <w:spacing w:line="240" w:lineRule="auto"/>
              <w:ind w:right="522"/>
              <w:rPr>
                <w:rFonts w:cs="Calibri"/>
                <w:color w:val="000000"/>
                <w:sz w:val="20"/>
                <w:szCs w:val="20"/>
              </w:rPr>
            </w:pPr>
            <w:r w:rsidRPr="00F36E36">
              <w:rPr>
                <w:rFonts w:cs="Calibri"/>
                <w:color w:val="000000"/>
                <w:sz w:val="20"/>
                <w:szCs w:val="20"/>
              </w:rPr>
              <w:t>2024*</w:t>
            </w:r>
          </w:p>
        </w:tc>
        <w:tc>
          <w:tcPr>
            <w:tcW w:w="1698" w:type="dxa"/>
            <w:tcBorders>
              <w:top w:val="nil"/>
              <w:left w:val="single" w:color="auto" w:sz="4" w:space="0"/>
              <w:bottom w:val="single" w:color="auto" w:sz="4" w:space="0"/>
              <w:right w:val="nil"/>
            </w:tcBorders>
            <w:shd w:val="clear" w:color="auto" w:fill="auto"/>
            <w:noWrap/>
          </w:tcPr>
          <w:p w:rsidRPr="00F36E36" w:rsidR="00341727" w:rsidP="00180EEB" w:rsidRDefault="00341727" w14:paraId="70C6D395" w14:textId="77777777">
            <w:pPr>
              <w:suppressAutoHyphens/>
              <w:spacing w:line="240" w:lineRule="auto"/>
              <w:ind w:right="158"/>
              <w:rPr>
                <w:rFonts w:cs="Calibri"/>
                <w:color w:val="000000"/>
                <w:sz w:val="20"/>
                <w:szCs w:val="20"/>
              </w:rPr>
            </w:pPr>
            <w:r w:rsidRPr="00F36E36">
              <w:rPr>
                <w:rFonts w:cs="Calibri"/>
                <w:color w:val="000000"/>
                <w:sz w:val="20"/>
                <w:szCs w:val="20"/>
              </w:rPr>
              <w:t>114.957</w:t>
            </w:r>
          </w:p>
        </w:tc>
        <w:tc>
          <w:tcPr>
            <w:tcW w:w="971" w:type="dxa"/>
            <w:tcBorders>
              <w:top w:val="nil"/>
              <w:left w:val="nil"/>
              <w:bottom w:val="single" w:color="auto" w:sz="4" w:space="0"/>
              <w:right w:val="single" w:color="auto" w:sz="4" w:space="0"/>
            </w:tcBorders>
            <w:shd w:val="clear" w:color="auto" w:fill="auto"/>
            <w:noWrap/>
          </w:tcPr>
          <w:p w:rsidRPr="00F36E36" w:rsidR="00341727" w:rsidP="00180EEB" w:rsidRDefault="00341727" w14:paraId="16AFF62A" w14:textId="77777777">
            <w:pPr>
              <w:suppressAutoHyphens/>
              <w:spacing w:line="240" w:lineRule="auto"/>
              <w:ind w:right="158"/>
              <w:rPr>
                <w:rFonts w:cs="Calibri"/>
                <w:color w:val="000000"/>
                <w:sz w:val="20"/>
                <w:szCs w:val="20"/>
              </w:rPr>
            </w:pPr>
            <w:r w:rsidRPr="00F36E36">
              <w:rPr>
                <w:rFonts w:cs="Calibri"/>
                <w:color w:val="000000"/>
                <w:sz w:val="20"/>
                <w:szCs w:val="20"/>
              </w:rPr>
              <w:t>10,2%</w:t>
            </w:r>
          </w:p>
        </w:tc>
        <w:tc>
          <w:tcPr>
            <w:tcW w:w="2023" w:type="dxa"/>
            <w:tcBorders>
              <w:top w:val="nil"/>
              <w:left w:val="nil"/>
              <w:bottom w:val="single" w:color="auto" w:sz="4" w:space="0"/>
              <w:right w:val="nil"/>
            </w:tcBorders>
            <w:shd w:val="clear" w:color="auto" w:fill="auto"/>
            <w:noWrap/>
          </w:tcPr>
          <w:p w:rsidRPr="00F36E36" w:rsidR="00341727" w:rsidP="00180EEB" w:rsidRDefault="00341727" w14:paraId="7783669F" w14:textId="77777777">
            <w:pPr>
              <w:suppressAutoHyphens/>
              <w:spacing w:line="240" w:lineRule="auto"/>
              <w:ind w:right="124"/>
              <w:rPr>
                <w:rFonts w:cs="Calibri"/>
                <w:color w:val="000000"/>
                <w:sz w:val="20"/>
                <w:szCs w:val="20"/>
              </w:rPr>
            </w:pPr>
            <w:r w:rsidRPr="00F36E36">
              <w:rPr>
                <w:rFonts w:cs="Calibri"/>
                <w:color w:val="000000"/>
                <w:sz w:val="20"/>
                <w:szCs w:val="20"/>
              </w:rPr>
              <w:t>154.933</w:t>
            </w:r>
          </w:p>
        </w:tc>
        <w:tc>
          <w:tcPr>
            <w:tcW w:w="971" w:type="dxa"/>
            <w:tcBorders>
              <w:top w:val="nil"/>
              <w:left w:val="nil"/>
              <w:bottom w:val="single" w:color="auto" w:sz="4" w:space="0"/>
              <w:right w:val="single" w:color="auto" w:sz="4" w:space="0"/>
            </w:tcBorders>
            <w:shd w:val="clear" w:color="auto" w:fill="auto"/>
            <w:noWrap/>
          </w:tcPr>
          <w:p w:rsidRPr="00F36E36" w:rsidR="00341727" w:rsidP="00180EEB" w:rsidRDefault="00341727" w14:paraId="0704D8E7" w14:textId="77777777">
            <w:pPr>
              <w:suppressAutoHyphens/>
              <w:spacing w:line="240" w:lineRule="auto"/>
              <w:ind w:right="124"/>
              <w:rPr>
                <w:rFonts w:cs="Calibri"/>
                <w:color w:val="000000"/>
                <w:sz w:val="20"/>
                <w:szCs w:val="20"/>
              </w:rPr>
            </w:pPr>
            <w:r w:rsidRPr="00F36E36">
              <w:rPr>
                <w:rFonts w:cs="Calibri"/>
                <w:color w:val="000000"/>
                <w:sz w:val="20"/>
                <w:szCs w:val="20"/>
              </w:rPr>
              <w:t>13,8%</w:t>
            </w:r>
          </w:p>
        </w:tc>
      </w:tr>
    </w:tbl>
    <w:p w:rsidRPr="005F055E" w:rsidR="00341727" w:rsidP="00180EEB" w:rsidRDefault="00341727" w14:paraId="3E8405C7" w14:textId="77777777">
      <w:pPr>
        <w:suppressAutoHyphens/>
        <w:ind w:right="96"/>
      </w:pPr>
      <w:bookmarkStart w:name="_Hlk211352861" w:id="32"/>
      <w:bookmarkStart w:name="_Hlk210574235" w:id="33"/>
      <w:r w:rsidRPr="005F055E">
        <w:t>* Begin 2025 heeft het CBS de tabel over zorguitgaven gereviseerd. De cijfers over 2023 en 2024 sluiten aan op deze revisie. De gegevens t/m 2022 zijn van vóór revisie</w:t>
      </w:r>
      <w:bookmarkEnd w:id="32"/>
      <w:r w:rsidRPr="005F055E">
        <w:t xml:space="preserve">. </w:t>
      </w:r>
    </w:p>
    <w:p w:rsidRPr="00056279" w:rsidR="00341727" w:rsidP="00180EEB" w:rsidRDefault="00341727" w14:paraId="69DE88AB" w14:textId="77777777">
      <w:pPr>
        <w:suppressAutoHyphens/>
        <w:rPr>
          <w:lang w:val="es-ES"/>
        </w:rPr>
      </w:pPr>
      <w:r w:rsidRPr="00056279">
        <w:rPr>
          <w:lang w:val="es-ES"/>
        </w:rPr>
        <w:t xml:space="preserve">Bron: </w:t>
      </w:r>
      <w:r>
        <w:fldChar w:fldCharType="begin"/>
      </w:r>
      <w:r w:rsidRPr="00680E2F">
        <w:rPr>
          <w:lang w:val="es-ES"/>
        </w:rPr>
        <w:instrText>HYPERLINK "https://opendata.cbs.nl/" \l "/CBS/nl/dataset/86015NED/table?dl=C7EF4"</w:instrText>
      </w:r>
      <w:r>
        <w:fldChar w:fldCharType="separate"/>
      </w:r>
      <w:r w:rsidRPr="00056279">
        <w:rPr>
          <w:rStyle w:val="Hyperlink"/>
          <w:lang w:val="es-ES"/>
        </w:rPr>
        <w:t>https://opendata.cbs.nl/#/CBS/nl/dataset/86015NED/table?dl=C7EF4</w:t>
      </w:r>
      <w:r>
        <w:fldChar w:fldCharType="end"/>
      </w:r>
      <w:r w:rsidRPr="00056279">
        <w:rPr>
          <w:lang w:val="es-ES"/>
        </w:rPr>
        <w:t xml:space="preserve"> en</w:t>
      </w:r>
    </w:p>
    <w:p w:rsidRPr="00056279" w:rsidR="00341727" w:rsidP="00180EEB" w:rsidRDefault="00341727" w14:paraId="192DFF1C" w14:textId="77777777">
      <w:pPr>
        <w:suppressAutoHyphens/>
        <w:rPr>
          <w:lang w:val="es-ES"/>
        </w:rPr>
      </w:pPr>
      <w:r>
        <w:fldChar w:fldCharType="begin"/>
      </w:r>
      <w:r w:rsidRPr="00680E2F">
        <w:rPr>
          <w:lang w:val="es-ES"/>
        </w:rPr>
        <w:instrText>HYPERLINK "https://opendata.cbs.nl/" \l "/CBS/nl/dataset/84047NED/table?dl=AD561"</w:instrText>
      </w:r>
      <w:r>
        <w:fldChar w:fldCharType="separate"/>
      </w:r>
      <w:r w:rsidRPr="00056279">
        <w:rPr>
          <w:rStyle w:val="Hyperlink"/>
          <w:lang w:val="es-ES"/>
        </w:rPr>
        <w:t>https://opendata.cbs.nl/#/CBS/nl/dataset/84047NED/table?dl=AD561</w:t>
      </w:r>
      <w:r>
        <w:fldChar w:fldCharType="end"/>
      </w:r>
      <w:r w:rsidRPr="00056279">
        <w:rPr>
          <w:lang w:val="es-ES"/>
        </w:rPr>
        <w:t xml:space="preserve"> </w:t>
      </w:r>
    </w:p>
    <w:p w:rsidRPr="005F055E" w:rsidR="00341727" w:rsidP="00180EEB" w:rsidRDefault="00341727" w14:paraId="14A099BC" w14:textId="77777777">
      <w:pPr>
        <w:suppressAutoHyphens/>
      </w:pPr>
      <w:bookmarkStart w:name="_Hlk211352853" w:id="34"/>
      <w:r w:rsidRPr="005F055E">
        <w:t>NB De gegevens over 2025 zijn nog niet bekend.</w:t>
      </w:r>
      <w:bookmarkEnd w:id="33"/>
      <w:bookmarkEnd w:id="34"/>
      <w:r w:rsidRPr="005F055E">
        <w:br/>
      </w:r>
    </w:p>
    <w:p w:rsidRPr="005F055E" w:rsidR="00341727" w:rsidP="00180EEB" w:rsidRDefault="00341727" w14:paraId="00DB0527" w14:textId="57E96949">
      <w:pPr>
        <w:suppressAutoHyphens/>
        <w:ind w:right="96"/>
      </w:pPr>
      <w:r w:rsidRPr="005F055E">
        <w:t>Omdat de hoogte van toekomstige zorguitgaven afhangt van de demografie, de impact van technologische en maatschappelijke ontwikkelingen, de economische groei en de impact van toekomstig beleid, is deze moeilijk te voorspellen. Het CPB kent wel een raming voor de periode 2026-2030, maar die is gebaseerd op een andere definitie, die niet simpelweg valt toe te passen op de uitgaven volgens de definities van de Zorgrekeningen van het CBS.</w:t>
      </w:r>
    </w:p>
    <w:p w:rsidRPr="005F055E" w:rsidR="00912A7D" w:rsidP="00180EEB" w:rsidRDefault="00912A7D" w14:paraId="58A63309" w14:textId="77777777">
      <w:pPr>
        <w:suppressAutoHyphens/>
      </w:pPr>
    </w:p>
    <w:p w:rsidRPr="005F055E" w:rsidR="00912A7D" w:rsidP="00180EEB" w:rsidRDefault="003E7003" w14:paraId="6A7CC177" w14:textId="77777777">
      <w:pPr>
        <w:suppressAutoHyphens/>
      </w:pPr>
      <w:r w:rsidRPr="005F055E">
        <w:t>Vraag 171</w:t>
      </w:r>
      <w:r w:rsidRPr="005F055E">
        <w:tab/>
      </w:r>
    </w:p>
    <w:p w:rsidRPr="005F055E" w:rsidR="00912A7D" w:rsidP="00180EEB" w:rsidRDefault="003E7003" w14:paraId="3B688024" w14:textId="77777777">
      <w:pPr>
        <w:suppressAutoHyphens/>
      </w:pPr>
      <w:r w:rsidRPr="005F055E">
        <w:t>Wat is de ontwikkeling van de zorgkosten in relatie tot de ontwikkeling van het bbp in de jaren 2010–2025 volgens de RIVM-definitie van zorgkosten? Wat is de prognose voor de jaren 2026–2030? Kunt u dit in een tabel weergeven?</w:t>
      </w:r>
      <w:r w:rsidRPr="005F055E">
        <w:tab/>
      </w:r>
    </w:p>
    <w:p w:rsidRPr="005F055E" w:rsidR="003E7003" w:rsidP="00180EEB" w:rsidRDefault="003E7003" w14:paraId="2F55699F" w14:textId="4F16DEA7">
      <w:pPr>
        <w:suppressAutoHyphens/>
      </w:pPr>
      <w:r w:rsidRPr="005F055E">
        <w:t>Antwoord</w:t>
      </w:r>
    </w:p>
    <w:p w:rsidRPr="005F055E" w:rsidR="00341727" w:rsidP="00180EEB" w:rsidRDefault="00341727" w14:paraId="44A988F7" w14:textId="77777777">
      <w:pPr>
        <w:suppressAutoHyphens/>
      </w:pPr>
      <w:r w:rsidRPr="005F055E">
        <w:t xml:space="preserve">Het RIVM gebruikt twee definities van zorguitgaven: </w:t>
      </w:r>
    </w:p>
    <w:p w:rsidRPr="005F055E" w:rsidR="00341727" w:rsidP="00180EEB" w:rsidRDefault="00341727" w14:paraId="36F83BAE" w14:textId="77777777">
      <w:pPr>
        <w:pStyle w:val="Lijstalinea"/>
        <w:numPr>
          <w:ilvl w:val="0"/>
          <w:numId w:val="14"/>
        </w:numPr>
        <w:suppressAutoHyphens/>
        <w:spacing w:before="1" w:after="0" w:line="276" w:lineRule="auto"/>
        <w:ind w:right="953"/>
      </w:pPr>
      <w:r w:rsidRPr="005F055E">
        <w:t>Alle zorguitgaven aan geneeskundige en langdurige zorg. Tot deze uitgaven worden ook de zorgkosten gerekend die betaald worden via de aanvullende verzekeringen en eigen betalingen evenals de uitgaven aan beleids- en beheerorganisaties. Deze definitie is ruimer dan die wordt gebruikt in de VWS-begroting.</w:t>
      </w:r>
    </w:p>
    <w:p w:rsidRPr="005F055E" w:rsidR="00341727" w:rsidP="00180EEB" w:rsidRDefault="00341727" w14:paraId="6C1654C8" w14:textId="77777777">
      <w:pPr>
        <w:pStyle w:val="Lijstalinea"/>
        <w:numPr>
          <w:ilvl w:val="0"/>
          <w:numId w:val="14"/>
        </w:numPr>
        <w:suppressAutoHyphens/>
        <w:spacing w:before="1" w:after="0" w:line="276" w:lineRule="auto"/>
        <w:ind w:right="953"/>
      </w:pPr>
      <w:r w:rsidRPr="005F055E">
        <w:t>Gezondheidszorg volgens de internationale definitie. Deze definitie is op onderdelen ruimer dan die wordt gebruikt in de VWS-begroting en op andere onderdelen minder ruim.</w:t>
      </w:r>
    </w:p>
    <w:p w:rsidRPr="005F055E" w:rsidR="00341727" w:rsidP="00180EEB" w:rsidRDefault="00341727" w14:paraId="2FBF5CF1" w14:textId="77777777">
      <w:pPr>
        <w:suppressAutoHyphens/>
      </w:pPr>
    </w:p>
    <w:tbl>
      <w:tblPr>
        <w:tblW w:w="6854" w:type="dxa"/>
        <w:tblCellMar>
          <w:left w:w="70" w:type="dxa"/>
          <w:right w:w="70" w:type="dxa"/>
        </w:tblCellMar>
        <w:tblLook w:val="04A0" w:firstRow="1" w:lastRow="0" w:firstColumn="1" w:lastColumn="0" w:noHBand="0" w:noVBand="1"/>
      </w:tblPr>
      <w:tblGrid>
        <w:gridCol w:w="1054"/>
        <w:gridCol w:w="1698"/>
        <w:gridCol w:w="1070"/>
        <w:gridCol w:w="2018"/>
        <w:gridCol w:w="1018"/>
      </w:tblGrid>
      <w:tr w:rsidRPr="005F055E" w:rsidR="00341727" w:rsidTr="005E2643" w14:paraId="4C0BAF51" w14:textId="77777777">
        <w:trPr>
          <w:trHeight w:val="789"/>
        </w:trPr>
        <w:tc>
          <w:tcPr>
            <w:tcW w:w="1054" w:type="dxa"/>
            <w:tcBorders>
              <w:top w:val="nil"/>
              <w:left w:val="nil"/>
              <w:bottom w:val="nil"/>
              <w:right w:val="nil"/>
            </w:tcBorders>
            <w:shd w:val="clear" w:color="auto" w:fill="auto"/>
            <w:noWrap/>
            <w:vAlign w:val="bottom"/>
            <w:hideMark/>
          </w:tcPr>
          <w:p w:rsidRPr="005F055E" w:rsidR="00341727" w:rsidP="00180EEB" w:rsidRDefault="00341727" w14:paraId="5B5D4CC3" w14:textId="77777777">
            <w:pPr>
              <w:suppressAutoHyphens/>
              <w:spacing w:line="240" w:lineRule="auto"/>
              <w:rPr>
                <w:sz w:val="20"/>
                <w:szCs w:val="24"/>
              </w:rPr>
            </w:pPr>
          </w:p>
        </w:tc>
        <w:tc>
          <w:tcPr>
            <w:tcW w:w="2768"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F36E36" w:rsidR="00341727" w:rsidP="00180EEB" w:rsidRDefault="00341727" w14:paraId="2556AC0F" w14:textId="77777777">
            <w:pPr>
              <w:suppressAutoHyphens/>
              <w:spacing w:line="240" w:lineRule="auto"/>
              <w:ind w:right="208"/>
              <w:rPr>
                <w:rFonts w:cs="Calibri"/>
                <w:color w:val="000000"/>
                <w:sz w:val="20"/>
                <w:szCs w:val="20"/>
              </w:rPr>
            </w:pPr>
            <w:r w:rsidRPr="00F36E36">
              <w:rPr>
                <w:rFonts w:cs="Calibri"/>
                <w:color w:val="000000"/>
                <w:sz w:val="20"/>
                <w:szCs w:val="20"/>
              </w:rPr>
              <w:t>Alle zorguitgaven aan geneeskundige en langdurige zorg</w:t>
            </w:r>
          </w:p>
        </w:tc>
        <w:tc>
          <w:tcPr>
            <w:tcW w:w="3032"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F36E36" w:rsidR="00341727" w:rsidP="00180EEB" w:rsidRDefault="00341727" w14:paraId="09137F6A" w14:textId="77777777">
            <w:pPr>
              <w:suppressAutoHyphens/>
              <w:spacing w:line="240" w:lineRule="auto"/>
              <w:ind w:right="208"/>
              <w:rPr>
                <w:rFonts w:cs="Calibri"/>
                <w:color w:val="000000"/>
                <w:sz w:val="20"/>
                <w:szCs w:val="20"/>
              </w:rPr>
            </w:pPr>
            <w:r w:rsidRPr="00F36E36">
              <w:rPr>
                <w:rFonts w:cs="Calibri"/>
                <w:color w:val="000000"/>
                <w:sz w:val="20"/>
                <w:szCs w:val="20"/>
              </w:rPr>
              <w:t>Uitgaven voor gezondheidszorg conform de internationale definitie</w:t>
            </w:r>
          </w:p>
        </w:tc>
      </w:tr>
      <w:tr w:rsidRPr="005F055E" w:rsidR="00341727" w:rsidTr="005E2643" w14:paraId="04BC04EF" w14:textId="77777777">
        <w:trPr>
          <w:trHeight w:val="300"/>
        </w:trPr>
        <w:tc>
          <w:tcPr>
            <w:tcW w:w="1054" w:type="dxa"/>
            <w:tcBorders>
              <w:top w:val="nil"/>
              <w:left w:val="nil"/>
              <w:bottom w:val="nil"/>
              <w:right w:val="nil"/>
            </w:tcBorders>
            <w:shd w:val="clear" w:color="auto" w:fill="auto"/>
            <w:noWrap/>
            <w:vAlign w:val="bottom"/>
            <w:hideMark/>
          </w:tcPr>
          <w:p w:rsidRPr="005F055E" w:rsidR="00341727" w:rsidP="00180EEB" w:rsidRDefault="00341727" w14:paraId="77519DE6" w14:textId="77777777">
            <w:pPr>
              <w:suppressAutoHyphens/>
              <w:spacing w:line="240" w:lineRule="auto"/>
              <w:rPr>
                <w:rFonts w:cs="Calibri"/>
                <w:color w:val="000000"/>
                <w:sz w:val="22"/>
              </w:rPr>
            </w:pPr>
          </w:p>
        </w:tc>
        <w:tc>
          <w:tcPr>
            <w:tcW w:w="1698" w:type="dxa"/>
            <w:tcBorders>
              <w:top w:val="single" w:color="auto" w:sz="4" w:space="0"/>
              <w:left w:val="single" w:color="auto" w:sz="4" w:space="0"/>
              <w:bottom w:val="nil"/>
              <w:right w:val="nil"/>
            </w:tcBorders>
            <w:shd w:val="clear" w:color="auto" w:fill="auto"/>
            <w:noWrap/>
            <w:vAlign w:val="bottom"/>
            <w:hideMark/>
          </w:tcPr>
          <w:p w:rsidRPr="00F36E36" w:rsidR="00341727" w:rsidP="00180EEB" w:rsidRDefault="00341727" w14:paraId="11237AD7" w14:textId="77777777">
            <w:pPr>
              <w:suppressAutoHyphens/>
              <w:spacing w:line="240" w:lineRule="auto"/>
              <w:ind w:right="208"/>
              <w:rPr>
                <w:rFonts w:cs="Calibri"/>
                <w:color w:val="000000"/>
                <w:sz w:val="20"/>
                <w:szCs w:val="20"/>
              </w:rPr>
            </w:pPr>
            <w:r w:rsidRPr="00F36E36">
              <w:rPr>
                <w:rFonts w:cs="Calibri"/>
                <w:color w:val="000000"/>
                <w:sz w:val="20"/>
                <w:szCs w:val="20"/>
              </w:rPr>
              <w:t>mln. euro</w:t>
            </w:r>
          </w:p>
        </w:tc>
        <w:tc>
          <w:tcPr>
            <w:tcW w:w="1070" w:type="dxa"/>
            <w:tcBorders>
              <w:top w:val="single" w:color="auto" w:sz="4" w:space="0"/>
              <w:left w:val="nil"/>
              <w:bottom w:val="nil"/>
              <w:right w:val="single" w:color="auto" w:sz="4" w:space="0"/>
            </w:tcBorders>
            <w:shd w:val="clear" w:color="auto" w:fill="auto"/>
            <w:noWrap/>
            <w:vAlign w:val="bottom"/>
            <w:hideMark/>
          </w:tcPr>
          <w:p w:rsidRPr="00F36E36" w:rsidR="00341727" w:rsidP="00180EEB" w:rsidRDefault="00341727" w14:paraId="192C4E5E" w14:textId="77777777">
            <w:pPr>
              <w:suppressAutoHyphens/>
              <w:spacing w:line="240" w:lineRule="auto"/>
              <w:ind w:right="208"/>
              <w:rPr>
                <w:rFonts w:cs="Calibri"/>
                <w:color w:val="000000"/>
                <w:sz w:val="20"/>
                <w:szCs w:val="20"/>
              </w:rPr>
            </w:pPr>
            <w:r w:rsidRPr="00F36E36">
              <w:rPr>
                <w:rFonts w:cs="Calibri"/>
                <w:color w:val="000000"/>
                <w:sz w:val="20"/>
                <w:szCs w:val="20"/>
              </w:rPr>
              <w:t>%BBP</w:t>
            </w:r>
          </w:p>
        </w:tc>
        <w:tc>
          <w:tcPr>
            <w:tcW w:w="2018" w:type="dxa"/>
            <w:tcBorders>
              <w:top w:val="single" w:color="auto" w:sz="4" w:space="0"/>
              <w:left w:val="nil"/>
              <w:bottom w:val="nil"/>
              <w:right w:val="nil"/>
            </w:tcBorders>
            <w:shd w:val="clear" w:color="auto" w:fill="auto"/>
            <w:noWrap/>
            <w:vAlign w:val="bottom"/>
            <w:hideMark/>
          </w:tcPr>
          <w:p w:rsidRPr="00F36E36" w:rsidR="00341727" w:rsidP="00180EEB" w:rsidRDefault="00341727" w14:paraId="53C731D5" w14:textId="77777777">
            <w:pPr>
              <w:suppressAutoHyphens/>
              <w:spacing w:line="240" w:lineRule="auto"/>
              <w:ind w:right="208"/>
              <w:rPr>
                <w:rFonts w:cs="Calibri"/>
                <w:color w:val="000000"/>
                <w:sz w:val="20"/>
                <w:szCs w:val="20"/>
              </w:rPr>
            </w:pPr>
            <w:r w:rsidRPr="00F36E36">
              <w:rPr>
                <w:rFonts w:cs="Calibri"/>
                <w:color w:val="000000"/>
                <w:sz w:val="20"/>
                <w:szCs w:val="20"/>
              </w:rPr>
              <w:t>mln. euro</w:t>
            </w:r>
          </w:p>
        </w:tc>
        <w:tc>
          <w:tcPr>
            <w:tcW w:w="1014" w:type="dxa"/>
            <w:tcBorders>
              <w:top w:val="single" w:color="auto" w:sz="4" w:space="0"/>
              <w:left w:val="nil"/>
              <w:bottom w:val="nil"/>
              <w:right w:val="single" w:color="auto" w:sz="4" w:space="0"/>
            </w:tcBorders>
            <w:shd w:val="clear" w:color="auto" w:fill="auto"/>
            <w:noWrap/>
            <w:vAlign w:val="bottom"/>
            <w:hideMark/>
          </w:tcPr>
          <w:p w:rsidRPr="00F36E36" w:rsidR="00341727" w:rsidP="00180EEB" w:rsidRDefault="00341727" w14:paraId="1BCF8F60" w14:textId="77777777">
            <w:pPr>
              <w:suppressAutoHyphens/>
              <w:spacing w:line="240" w:lineRule="auto"/>
              <w:ind w:right="208"/>
              <w:rPr>
                <w:rFonts w:cs="Calibri"/>
                <w:color w:val="000000"/>
                <w:sz w:val="20"/>
                <w:szCs w:val="20"/>
              </w:rPr>
            </w:pPr>
            <w:r w:rsidRPr="00F36E36">
              <w:rPr>
                <w:rFonts w:cs="Calibri"/>
                <w:color w:val="000000"/>
                <w:sz w:val="20"/>
                <w:szCs w:val="20"/>
              </w:rPr>
              <w:t>%BBP</w:t>
            </w:r>
          </w:p>
        </w:tc>
      </w:tr>
      <w:tr w:rsidRPr="005F055E" w:rsidR="00341727" w:rsidTr="005E2643" w14:paraId="1FC2C8ED" w14:textId="77777777">
        <w:trPr>
          <w:trHeight w:val="300"/>
        </w:trPr>
        <w:tc>
          <w:tcPr>
            <w:tcW w:w="1054" w:type="dxa"/>
            <w:tcBorders>
              <w:top w:val="single" w:color="auto" w:sz="4" w:space="0"/>
              <w:left w:val="single" w:color="auto" w:sz="4" w:space="0"/>
              <w:bottom w:val="nil"/>
              <w:right w:val="nil"/>
            </w:tcBorders>
            <w:shd w:val="clear" w:color="auto" w:fill="auto"/>
            <w:noWrap/>
            <w:vAlign w:val="bottom"/>
            <w:hideMark/>
          </w:tcPr>
          <w:p w:rsidRPr="00F36E36" w:rsidR="00341727" w:rsidP="00180EEB" w:rsidRDefault="00341727" w14:paraId="3C15FAFF" w14:textId="77777777">
            <w:pPr>
              <w:suppressAutoHyphens/>
              <w:spacing w:line="240" w:lineRule="auto"/>
              <w:ind w:right="239"/>
              <w:rPr>
                <w:rFonts w:cs="Calibri"/>
                <w:color w:val="000000"/>
                <w:sz w:val="20"/>
                <w:szCs w:val="20"/>
              </w:rPr>
            </w:pPr>
            <w:r w:rsidRPr="00F36E36">
              <w:rPr>
                <w:rFonts w:cs="Calibri"/>
                <w:color w:val="000000"/>
                <w:sz w:val="20"/>
                <w:szCs w:val="20"/>
              </w:rPr>
              <w:t>2010</w:t>
            </w:r>
          </w:p>
        </w:tc>
        <w:tc>
          <w:tcPr>
            <w:tcW w:w="1698" w:type="dxa"/>
            <w:tcBorders>
              <w:top w:val="single" w:color="auto" w:sz="4" w:space="0"/>
              <w:left w:val="single" w:color="auto" w:sz="4" w:space="0"/>
              <w:bottom w:val="nil"/>
              <w:right w:val="nil"/>
            </w:tcBorders>
            <w:shd w:val="clear" w:color="auto" w:fill="auto"/>
            <w:noWrap/>
            <w:vAlign w:val="center"/>
            <w:hideMark/>
          </w:tcPr>
          <w:p w:rsidRPr="00F36E36" w:rsidR="00341727" w:rsidP="00180EEB" w:rsidRDefault="00341727" w14:paraId="324AEEFD" w14:textId="77777777">
            <w:pPr>
              <w:suppressAutoHyphens/>
              <w:spacing w:line="240" w:lineRule="auto"/>
              <w:ind w:right="208"/>
              <w:rPr>
                <w:rFonts w:cs="Calibri"/>
                <w:color w:val="000000"/>
                <w:sz w:val="20"/>
                <w:szCs w:val="20"/>
              </w:rPr>
            </w:pPr>
            <w:r w:rsidRPr="00F36E36">
              <w:rPr>
                <w:sz w:val="20"/>
                <w:szCs w:val="20"/>
              </w:rPr>
              <w:t>73.402</w:t>
            </w:r>
          </w:p>
        </w:tc>
        <w:tc>
          <w:tcPr>
            <w:tcW w:w="1070" w:type="dxa"/>
            <w:tcBorders>
              <w:top w:val="single" w:color="auto" w:sz="4" w:space="0"/>
              <w:left w:val="nil"/>
              <w:bottom w:val="nil"/>
              <w:right w:val="single" w:color="auto" w:sz="4" w:space="0"/>
            </w:tcBorders>
            <w:shd w:val="clear" w:color="auto" w:fill="auto"/>
            <w:noWrap/>
            <w:vAlign w:val="center"/>
            <w:hideMark/>
          </w:tcPr>
          <w:p w:rsidRPr="00F36E36" w:rsidR="00341727" w:rsidP="00180EEB" w:rsidRDefault="00341727" w14:paraId="7FBF3E64" w14:textId="77777777">
            <w:pPr>
              <w:suppressAutoHyphens/>
              <w:spacing w:line="240" w:lineRule="auto"/>
              <w:ind w:right="208"/>
              <w:rPr>
                <w:rFonts w:cs="Calibri"/>
                <w:color w:val="000000"/>
                <w:sz w:val="20"/>
                <w:szCs w:val="20"/>
              </w:rPr>
            </w:pPr>
            <w:r w:rsidRPr="00F36E36">
              <w:rPr>
                <w:sz w:val="20"/>
                <w:szCs w:val="20"/>
              </w:rPr>
              <w:t>11,5%</w:t>
            </w:r>
          </w:p>
        </w:tc>
        <w:tc>
          <w:tcPr>
            <w:tcW w:w="2018" w:type="dxa"/>
            <w:tcBorders>
              <w:top w:val="single" w:color="auto" w:sz="4" w:space="0"/>
              <w:left w:val="nil"/>
              <w:bottom w:val="nil"/>
              <w:right w:val="nil"/>
            </w:tcBorders>
            <w:shd w:val="clear" w:color="auto" w:fill="auto"/>
            <w:noWrap/>
            <w:vAlign w:val="bottom"/>
            <w:hideMark/>
          </w:tcPr>
          <w:p w:rsidRPr="00F36E36" w:rsidR="00341727" w:rsidP="00180EEB" w:rsidRDefault="00341727" w14:paraId="66C98467" w14:textId="77777777">
            <w:pPr>
              <w:suppressAutoHyphens/>
              <w:spacing w:line="240" w:lineRule="auto"/>
              <w:ind w:right="208"/>
              <w:rPr>
                <w:rFonts w:cs="Calibri"/>
                <w:color w:val="000000"/>
                <w:sz w:val="20"/>
                <w:szCs w:val="20"/>
              </w:rPr>
            </w:pPr>
            <w:r w:rsidRPr="00F36E36">
              <w:rPr>
                <w:rFonts w:cs="Calibri"/>
                <w:color w:val="000000"/>
                <w:sz w:val="20"/>
                <w:szCs w:val="20"/>
              </w:rPr>
              <w:t>64.910</w:t>
            </w:r>
          </w:p>
        </w:tc>
        <w:tc>
          <w:tcPr>
            <w:tcW w:w="1014" w:type="dxa"/>
            <w:tcBorders>
              <w:top w:val="single" w:color="auto" w:sz="4" w:space="0"/>
              <w:left w:val="nil"/>
              <w:bottom w:val="nil"/>
              <w:right w:val="single" w:color="auto" w:sz="4" w:space="0"/>
            </w:tcBorders>
            <w:shd w:val="clear" w:color="auto" w:fill="auto"/>
            <w:noWrap/>
            <w:vAlign w:val="bottom"/>
            <w:hideMark/>
          </w:tcPr>
          <w:p w:rsidRPr="00F36E36" w:rsidR="00341727" w:rsidP="00180EEB" w:rsidRDefault="00341727" w14:paraId="5BE949D8" w14:textId="77777777">
            <w:pPr>
              <w:suppressAutoHyphens/>
              <w:spacing w:line="240" w:lineRule="auto"/>
              <w:ind w:right="208"/>
              <w:rPr>
                <w:rFonts w:cs="Calibri"/>
                <w:color w:val="000000"/>
                <w:sz w:val="20"/>
                <w:szCs w:val="20"/>
              </w:rPr>
            </w:pPr>
            <w:r w:rsidRPr="00F36E36">
              <w:rPr>
                <w:rFonts w:cs="Calibri"/>
                <w:color w:val="000000"/>
                <w:sz w:val="20"/>
                <w:szCs w:val="20"/>
              </w:rPr>
              <w:t>10,2%</w:t>
            </w:r>
          </w:p>
        </w:tc>
      </w:tr>
      <w:tr w:rsidRPr="005F055E" w:rsidR="00341727" w:rsidTr="005E2643" w14:paraId="53430CE7" w14:textId="77777777">
        <w:trPr>
          <w:trHeight w:val="300"/>
        </w:trPr>
        <w:tc>
          <w:tcPr>
            <w:tcW w:w="1054" w:type="dxa"/>
            <w:tcBorders>
              <w:top w:val="nil"/>
              <w:left w:val="single" w:color="auto" w:sz="4" w:space="0"/>
              <w:bottom w:val="nil"/>
              <w:right w:val="nil"/>
            </w:tcBorders>
            <w:shd w:val="clear" w:color="auto" w:fill="auto"/>
            <w:noWrap/>
            <w:vAlign w:val="bottom"/>
            <w:hideMark/>
          </w:tcPr>
          <w:p w:rsidRPr="00F36E36" w:rsidR="00341727" w:rsidP="00180EEB" w:rsidRDefault="00341727" w14:paraId="0EA2DD54" w14:textId="77777777">
            <w:pPr>
              <w:suppressAutoHyphens/>
              <w:spacing w:line="240" w:lineRule="auto"/>
              <w:ind w:right="239"/>
              <w:rPr>
                <w:rFonts w:cs="Calibri"/>
                <w:color w:val="000000"/>
                <w:sz w:val="20"/>
                <w:szCs w:val="20"/>
              </w:rPr>
            </w:pPr>
            <w:r w:rsidRPr="00F36E36">
              <w:rPr>
                <w:rFonts w:cs="Calibri"/>
                <w:color w:val="000000"/>
                <w:sz w:val="20"/>
                <w:szCs w:val="20"/>
              </w:rPr>
              <w:t>2011</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19119FF5" w14:textId="77777777">
            <w:pPr>
              <w:suppressAutoHyphens/>
              <w:spacing w:line="240" w:lineRule="auto"/>
              <w:ind w:right="208"/>
              <w:rPr>
                <w:rFonts w:cs="Calibri"/>
                <w:color w:val="000000"/>
                <w:sz w:val="20"/>
                <w:szCs w:val="20"/>
              </w:rPr>
            </w:pPr>
            <w:r w:rsidRPr="00F36E36">
              <w:rPr>
                <w:sz w:val="20"/>
                <w:szCs w:val="20"/>
              </w:rPr>
              <w:t>75.593</w:t>
            </w:r>
          </w:p>
        </w:tc>
        <w:tc>
          <w:tcPr>
            <w:tcW w:w="1070" w:type="dxa"/>
            <w:tcBorders>
              <w:top w:val="nil"/>
              <w:left w:val="nil"/>
              <w:bottom w:val="nil"/>
              <w:right w:val="single" w:color="auto" w:sz="4" w:space="0"/>
            </w:tcBorders>
            <w:shd w:val="clear" w:color="auto" w:fill="auto"/>
            <w:noWrap/>
            <w:vAlign w:val="center"/>
            <w:hideMark/>
          </w:tcPr>
          <w:p w:rsidRPr="00F36E36" w:rsidR="00341727" w:rsidP="00180EEB" w:rsidRDefault="00341727" w14:paraId="54323592" w14:textId="77777777">
            <w:pPr>
              <w:suppressAutoHyphens/>
              <w:spacing w:line="240" w:lineRule="auto"/>
              <w:ind w:right="208"/>
              <w:rPr>
                <w:rFonts w:cs="Calibri"/>
                <w:color w:val="000000"/>
                <w:sz w:val="20"/>
                <w:szCs w:val="20"/>
              </w:rPr>
            </w:pPr>
            <w:r w:rsidRPr="00F36E36">
              <w:rPr>
                <w:sz w:val="20"/>
                <w:szCs w:val="20"/>
              </w:rPr>
              <w:t>11,6%</w:t>
            </w:r>
          </w:p>
        </w:tc>
        <w:tc>
          <w:tcPr>
            <w:tcW w:w="2018" w:type="dxa"/>
            <w:tcBorders>
              <w:top w:val="nil"/>
              <w:left w:val="nil"/>
              <w:bottom w:val="nil"/>
              <w:right w:val="nil"/>
            </w:tcBorders>
            <w:shd w:val="clear" w:color="auto" w:fill="auto"/>
            <w:noWrap/>
            <w:vAlign w:val="bottom"/>
            <w:hideMark/>
          </w:tcPr>
          <w:p w:rsidRPr="00F36E36" w:rsidR="00341727" w:rsidP="00180EEB" w:rsidRDefault="00341727" w14:paraId="253E0B64" w14:textId="77777777">
            <w:pPr>
              <w:suppressAutoHyphens/>
              <w:spacing w:line="240" w:lineRule="auto"/>
              <w:ind w:right="208"/>
              <w:rPr>
                <w:rFonts w:cs="Calibri"/>
                <w:color w:val="000000"/>
                <w:sz w:val="20"/>
                <w:szCs w:val="20"/>
              </w:rPr>
            </w:pPr>
            <w:r w:rsidRPr="00F36E36">
              <w:rPr>
                <w:rFonts w:cs="Calibri"/>
                <w:color w:val="000000"/>
                <w:sz w:val="20"/>
                <w:szCs w:val="20"/>
              </w:rPr>
              <w:t>66.555</w:t>
            </w:r>
          </w:p>
        </w:tc>
        <w:tc>
          <w:tcPr>
            <w:tcW w:w="1014" w:type="dxa"/>
            <w:tcBorders>
              <w:top w:val="nil"/>
              <w:left w:val="nil"/>
              <w:bottom w:val="nil"/>
              <w:right w:val="single" w:color="auto" w:sz="4" w:space="0"/>
            </w:tcBorders>
            <w:shd w:val="clear" w:color="auto" w:fill="auto"/>
            <w:noWrap/>
            <w:vAlign w:val="bottom"/>
            <w:hideMark/>
          </w:tcPr>
          <w:p w:rsidRPr="00F36E36" w:rsidR="00341727" w:rsidP="00180EEB" w:rsidRDefault="00341727" w14:paraId="5847BDA3" w14:textId="77777777">
            <w:pPr>
              <w:suppressAutoHyphens/>
              <w:spacing w:line="240" w:lineRule="auto"/>
              <w:ind w:right="208"/>
              <w:rPr>
                <w:rFonts w:cs="Calibri"/>
                <w:color w:val="000000"/>
                <w:sz w:val="20"/>
                <w:szCs w:val="20"/>
              </w:rPr>
            </w:pPr>
            <w:r w:rsidRPr="00F36E36">
              <w:rPr>
                <w:rFonts w:cs="Calibri"/>
                <w:color w:val="000000"/>
                <w:sz w:val="20"/>
                <w:szCs w:val="20"/>
              </w:rPr>
              <w:t>10,2%</w:t>
            </w:r>
          </w:p>
        </w:tc>
      </w:tr>
      <w:tr w:rsidRPr="005F055E" w:rsidR="00341727" w:rsidTr="005E2643" w14:paraId="29E2D515" w14:textId="77777777">
        <w:trPr>
          <w:trHeight w:val="300"/>
        </w:trPr>
        <w:tc>
          <w:tcPr>
            <w:tcW w:w="1054" w:type="dxa"/>
            <w:tcBorders>
              <w:top w:val="nil"/>
              <w:left w:val="single" w:color="auto" w:sz="4" w:space="0"/>
              <w:bottom w:val="nil"/>
              <w:right w:val="nil"/>
            </w:tcBorders>
            <w:shd w:val="clear" w:color="auto" w:fill="auto"/>
            <w:noWrap/>
            <w:vAlign w:val="bottom"/>
            <w:hideMark/>
          </w:tcPr>
          <w:p w:rsidRPr="00F36E36" w:rsidR="00341727" w:rsidP="00180EEB" w:rsidRDefault="00341727" w14:paraId="4E52C8F7" w14:textId="77777777">
            <w:pPr>
              <w:suppressAutoHyphens/>
              <w:spacing w:line="240" w:lineRule="auto"/>
              <w:ind w:right="239"/>
              <w:rPr>
                <w:rFonts w:cs="Calibri"/>
                <w:color w:val="000000"/>
                <w:sz w:val="20"/>
                <w:szCs w:val="20"/>
              </w:rPr>
            </w:pPr>
            <w:r w:rsidRPr="00F36E36">
              <w:rPr>
                <w:rFonts w:cs="Calibri"/>
                <w:color w:val="000000"/>
                <w:sz w:val="20"/>
                <w:szCs w:val="20"/>
              </w:rPr>
              <w:t>2012</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58F49DC5" w14:textId="77777777">
            <w:pPr>
              <w:suppressAutoHyphens/>
              <w:spacing w:line="240" w:lineRule="auto"/>
              <w:ind w:right="208"/>
              <w:rPr>
                <w:rFonts w:cs="Calibri"/>
                <w:color w:val="000000"/>
                <w:sz w:val="20"/>
                <w:szCs w:val="20"/>
              </w:rPr>
            </w:pPr>
            <w:r w:rsidRPr="00F36E36">
              <w:rPr>
                <w:sz w:val="20"/>
                <w:szCs w:val="20"/>
              </w:rPr>
              <w:t>78.309</w:t>
            </w:r>
          </w:p>
        </w:tc>
        <w:tc>
          <w:tcPr>
            <w:tcW w:w="1070" w:type="dxa"/>
            <w:tcBorders>
              <w:top w:val="nil"/>
              <w:left w:val="nil"/>
              <w:bottom w:val="nil"/>
              <w:right w:val="single" w:color="auto" w:sz="4" w:space="0"/>
            </w:tcBorders>
            <w:shd w:val="clear" w:color="auto" w:fill="auto"/>
            <w:noWrap/>
            <w:vAlign w:val="center"/>
            <w:hideMark/>
          </w:tcPr>
          <w:p w:rsidRPr="00F36E36" w:rsidR="00341727" w:rsidP="00180EEB" w:rsidRDefault="00341727" w14:paraId="3B5579F0" w14:textId="77777777">
            <w:pPr>
              <w:suppressAutoHyphens/>
              <w:spacing w:line="240" w:lineRule="auto"/>
              <w:ind w:right="208"/>
              <w:rPr>
                <w:rFonts w:cs="Calibri"/>
                <w:color w:val="000000"/>
                <w:sz w:val="20"/>
                <w:szCs w:val="20"/>
              </w:rPr>
            </w:pPr>
            <w:r w:rsidRPr="00F36E36">
              <w:rPr>
                <w:sz w:val="20"/>
                <w:szCs w:val="20"/>
              </w:rPr>
              <w:t>12,0%</w:t>
            </w:r>
          </w:p>
        </w:tc>
        <w:tc>
          <w:tcPr>
            <w:tcW w:w="2018" w:type="dxa"/>
            <w:tcBorders>
              <w:top w:val="nil"/>
              <w:left w:val="nil"/>
              <w:bottom w:val="nil"/>
              <w:right w:val="nil"/>
            </w:tcBorders>
            <w:shd w:val="clear" w:color="auto" w:fill="auto"/>
            <w:noWrap/>
            <w:vAlign w:val="bottom"/>
            <w:hideMark/>
          </w:tcPr>
          <w:p w:rsidRPr="00F36E36" w:rsidR="00341727" w:rsidP="00180EEB" w:rsidRDefault="00341727" w14:paraId="5933D131" w14:textId="77777777">
            <w:pPr>
              <w:suppressAutoHyphens/>
              <w:spacing w:line="240" w:lineRule="auto"/>
              <w:ind w:right="208"/>
              <w:rPr>
                <w:rFonts w:cs="Calibri"/>
                <w:color w:val="000000"/>
                <w:sz w:val="20"/>
                <w:szCs w:val="20"/>
              </w:rPr>
            </w:pPr>
            <w:r w:rsidRPr="00F36E36">
              <w:rPr>
                <w:rFonts w:cs="Calibri"/>
                <w:color w:val="000000"/>
                <w:sz w:val="20"/>
                <w:szCs w:val="20"/>
              </w:rPr>
              <w:t>68.816</w:t>
            </w:r>
          </w:p>
        </w:tc>
        <w:tc>
          <w:tcPr>
            <w:tcW w:w="1014" w:type="dxa"/>
            <w:tcBorders>
              <w:top w:val="nil"/>
              <w:left w:val="nil"/>
              <w:bottom w:val="nil"/>
              <w:right w:val="single" w:color="auto" w:sz="4" w:space="0"/>
            </w:tcBorders>
            <w:shd w:val="clear" w:color="auto" w:fill="auto"/>
            <w:noWrap/>
            <w:vAlign w:val="bottom"/>
            <w:hideMark/>
          </w:tcPr>
          <w:p w:rsidRPr="00F36E36" w:rsidR="00341727" w:rsidP="00180EEB" w:rsidRDefault="00341727" w14:paraId="33ED18F2" w14:textId="77777777">
            <w:pPr>
              <w:suppressAutoHyphens/>
              <w:spacing w:line="240" w:lineRule="auto"/>
              <w:ind w:right="208"/>
              <w:rPr>
                <w:rFonts w:cs="Calibri"/>
                <w:color w:val="000000"/>
                <w:sz w:val="20"/>
                <w:szCs w:val="20"/>
              </w:rPr>
            </w:pPr>
            <w:r w:rsidRPr="00F36E36">
              <w:rPr>
                <w:rFonts w:cs="Calibri"/>
                <w:color w:val="000000"/>
                <w:sz w:val="20"/>
                <w:szCs w:val="20"/>
              </w:rPr>
              <w:t>10,5%</w:t>
            </w:r>
          </w:p>
        </w:tc>
      </w:tr>
      <w:tr w:rsidRPr="005F055E" w:rsidR="00341727" w:rsidTr="005E2643" w14:paraId="1636B673" w14:textId="77777777">
        <w:trPr>
          <w:trHeight w:val="300"/>
        </w:trPr>
        <w:tc>
          <w:tcPr>
            <w:tcW w:w="1054" w:type="dxa"/>
            <w:tcBorders>
              <w:top w:val="nil"/>
              <w:left w:val="single" w:color="auto" w:sz="4" w:space="0"/>
              <w:bottom w:val="nil"/>
              <w:right w:val="nil"/>
            </w:tcBorders>
            <w:shd w:val="clear" w:color="auto" w:fill="auto"/>
            <w:noWrap/>
            <w:vAlign w:val="bottom"/>
            <w:hideMark/>
          </w:tcPr>
          <w:p w:rsidRPr="00F36E36" w:rsidR="00341727" w:rsidP="00180EEB" w:rsidRDefault="00341727" w14:paraId="7E153FF2" w14:textId="77777777">
            <w:pPr>
              <w:suppressAutoHyphens/>
              <w:spacing w:line="240" w:lineRule="auto"/>
              <w:ind w:right="239"/>
              <w:rPr>
                <w:rFonts w:cs="Calibri"/>
                <w:color w:val="000000"/>
                <w:sz w:val="20"/>
                <w:szCs w:val="20"/>
              </w:rPr>
            </w:pPr>
            <w:r w:rsidRPr="00F36E36">
              <w:rPr>
                <w:rFonts w:cs="Calibri"/>
                <w:color w:val="000000"/>
                <w:sz w:val="20"/>
                <w:szCs w:val="20"/>
              </w:rPr>
              <w:t>2013</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10432565" w14:textId="77777777">
            <w:pPr>
              <w:suppressAutoHyphens/>
              <w:spacing w:line="240" w:lineRule="auto"/>
              <w:ind w:right="208"/>
              <w:rPr>
                <w:rFonts w:cs="Calibri"/>
                <w:color w:val="000000"/>
                <w:sz w:val="20"/>
                <w:szCs w:val="20"/>
              </w:rPr>
            </w:pPr>
            <w:r w:rsidRPr="00F36E36">
              <w:rPr>
                <w:sz w:val="20"/>
                <w:szCs w:val="20"/>
              </w:rPr>
              <w:t>78.957</w:t>
            </w:r>
          </w:p>
        </w:tc>
        <w:tc>
          <w:tcPr>
            <w:tcW w:w="1070" w:type="dxa"/>
            <w:tcBorders>
              <w:top w:val="nil"/>
              <w:left w:val="nil"/>
              <w:bottom w:val="nil"/>
              <w:right w:val="single" w:color="auto" w:sz="4" w:space="0"/>
            </w:tcBorders>
            <w:shd w:val="clear" w:color="auto" w:fill="auto"/>
            <w:noWrap/>
            <w:vAlign w:val="center"/>
            <w:hideMark/>
          </w:tcPr>
          <w:p w:rsidRPr="00F36E36" w:rsidR="00341727" w:rsidP="00180EEB" w:rsidRDefault="00341727" w14:paraId="7AFE5E8B" w14:textId="77777777">
            <w:pPr>
              <w:suppressAutoHyphens/>
              <w:spacing w:line="240" w:lineRule="auto"/>
              <w:ind w:right="208"/>
              <w:rPr>
                <w:rFonts w:cs="Calibri"/>
                <w:color w:val="000000"/>
                <w:sz w:val="20"/>
                <w:szCs w:val="20"/>
              </w:rPr>
            </w:pPr>
            <w:r w:rsidRPr="00F36E36">
              <w:rPr>
                <w:sz w:val="20"/>
                <w:szCs w:val="20"/>
              </w:rPr>
              <w:t>12,0%</w:t>
            </w:r>
          </w:p>
        </w:tc>
        <w:tc>
          <w:tcPr>
            <w:tcW w:w="2018" w:type="dxa"/>
            <w:tcBorders>
              <w:top w:val="nil"/>
              <w:left w:val="nil"/>
              <w:bottom w:val="nil"/>
              <w:right w:val="nil"/>
            </w:tcBorders>
            <w:shd w:val="clear" w:color="auto" w:fill="auto"/>
            <w:noWrap/>
            <w:vAlign w:val="bottom"/>
            <w:hideMark/>
          </w:tcPr>
          <w:p w:rsidRPr="00F36E36" w:rsidR="00341727" w:rsidP="00180EEB" w:rsidRDefault="00341727" w14:paraId="0B7DE5F2" w14:textId="77777777">
            <w:pPr>
              <w:suppressAutoHyphens/>
              <w:spacing w:line="240" w:lineRule="auto"/>
              <w:ind w:right="208"/>
              <w:rPr>
                <w:rFonts w:cs="Calibri"/>
                <w:color w:val="000000"/>
                <w:sz w:val="20"/>
                <w:szCs w:val="20"/>
              </w:rPr>
            </w:pPr>
            <w:r w:rsidRPr="00F36E36">
              <w:rPr>
                <w:rFonts w:cs="Calibri"/>
                <w:color w:val="000000"/>
                <w:sz w:val="20"/>
                <w:szCs w:val="20"/>
              </w:rPr>
              <w:t>69.901</w:t>
            </w:r>
          </w:p>
        </w:tc>
        <w:tc>
          <w:tcPr>
            <w:tcW w:w="1014" w:type="dxa"/>
            <w:tcBorders>
              <w:top w:val="nil"/>
              <w:left w:val="nil"/>
              <w:bottom w:val="nil"/>
              <w:right w:val="single" w:color="auto" w:sz="4" w:space="0"/>
            </w:tcBorders>
            <w:shd w:val="clear" w:color="auto" w:fill="auto"/>
            <w:noWrap/>
            <w:vAlign w:val="bottom"/>
            <w:hideMark/>
          </w:tcPr>
          <w:p w:rsidRPr="00F36E36" w:rsidR="00341727" w:rsidP="00180EEB" w:rsidRDefault="00341727" w14:paraId="77EB3AAB" w14:textId="77777777">
            <w:pPr>
              <w:suppressAutoHyphens/>
              <w:spacing w:line="240" w:lineRule="auto"/>
              <w:ind w:right="208"/>
              <w:rPr>
                <w:rFonts w:cs="Calibri"/>
                <w:color w:val="000000"/>
                <w:sz w:val="20"/>
                <w:szCs w:val="20"/>
              </w:rPr>
            </w:pPr>
            <w:r w:rsidRPr="00F36E36">
              <w:rPr>
                <w:rFonts w:cs="Calibri"/>
                <w:color w:val="000000"/>
                <w:sz w:val="20"/>
                <w:szCs w:val="20"/>
              </w:rPr>
              <w:t>10,6%</w:t>
            </w:r>
          </w:p>
        </w:tc>
      </w:tr>
      <w:tr w:rsidRPr="005F055E" w:rsidR="00341727" w:rsidTr="005E2643" w14:paraId="136EB0BD" w14:textId="77777777">
        <w:trPr>
          <w:trHeight w:val="300"/>
        </w:trPr>
        <w:tc>
          <w:tcPr>
            <w:tcW w:w="1054" w:type="dxa"/>
            <w:tcBorders>
              <w:top w:val="nil"/>
              <w:left w:val="single" w:color="auto" w:sz="4" w:space="0"/>
              <w:bottom w:val="nil"/>
              <w:right w:val="nil"/>
            </w:tcBorders>
            <w:shd w:val="clear" w:color="auto" w:fill="auto"/>
            <w:noWrap/>
            <w:vAlign w:val="bottom"/>
            <w:hideMark/>
          </w:tcPr>
          <w:p w:rsidRPr="00F36E36" w:rsidR="00341727" w:rsidP="00180EEB" w:rsidRDefault="00341727" w14:paraId="4C0204DC" w14:textId="77777777">
            <w:pPr>
              <w:suppressAutoHyphens/>
              <w:spacing w:line="240" w:lineRule="auto"/>
              <w:ind w:right="239"/>
              <w:rPr>
                <w:rFonts w:cs="Calibri"/>
                <w:color w:val="000000"/>
                <w:sz w:val="20"/>
                <w:szCs w:val="20"/>
              </w:rPr>
            </w:pPr>
            <w:r w:rsidRPr="00F36E36">
              <w:rPr>
                <w:rFonts w:cs="Calibri"/>
                <w:color w:val="000000"/>
                <w:sz w:val="20"/>
                <w:szCs w:val="20"/>
              </w:rPr>
              <w:t>2014</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048156C6" w14:textId="77777777">
            <w:pPr>
              <w:suppressAutoHyphens/>
              <w:spacing w:line="240" w:lineRule="auto"/>
              <w:ind w:right="208"/>
              <w:rPr>
                <w:rFonts w:cs="Calibri"/>
                <w:color w:val="000000"/>
                <w:sz w:val="20"/>
                <w:szCs w:val="20"/>
              </w:rPr>
            </w:pPr>
            <w:r w:rsidRPr="00F36E36">
              <w:rPr>
                <w:sz w:val="20"/>
                <w:szCs w:val="20"/>
              </w:rPr>
              <w:t>80.116</w:t>
            </w:r>
          </w:p>
        </w:tc>
        <w:tc>
          <w:tcPr>
            <w:tcW w:w="1070" w:type="dxa"/>
            <w:tcBorders>
              <w:top w:val="nil"/>
              <w:left w:val="nil"/>
              <w:bottom w:val="nil"/>
              <w:right w:val="single" w:color="auto" w:sz="4" w:space="0"/>
            </w:tcBorders>
            <w:shd w:val="clear" w:color="auto" w:fill="auto"/>
            <w:noWrap/>
            <w:vAlign w:val="center"/>
            <w:hideMark/>
          </w:tcPr>
          <w:p w:rsidRPr="00F36E36" w:rsidR="00341727" w:rsidP="00180EEB" w:rsidRDefault="00341727" w14:paraId="70EA9E27" w14:textId="77777777">
            <w:pPr>
              <w:suppressAutoHyphens/>
              <w:spacing w:line="240" w:lineRule="auto"/>
              <w:ind w:right="208"/>
              <w:rPr>
                <w:rFonts w:cs="Calibri"/>
                <w:color w:val="000000"/>
                <w:sz w:val="20"/>
                <w:szCs w:val="20"/>
              </w:rPr>
            </w:pPr>
            <w:r w:rsidRPr="00F36E36">
              <w:rPr>
                <w:sz w:val="20"/>
                <w:szCs w:val="20"/>
              </w:rPr>
              <w:t>11,9%</w:t>
            </w:r>
          </w:p>
        </w:tc>
        <w:tc>
          <w:tcPr>
            <w:tcW w:w="2018" w:type="dxa"/>
            <w:tcBorders>
              <w:top w:val="nil"/>
              <w:left w:val="nil"/>
              <w:bottom w:val="nil"/>
              <w:right w:val="nil"/>
            </w:tcBorders>
            <w:shd w:val="clear" w:color="auto" w:fill="auto"/>
            <w:noWrap/>
            <w:vAlign w:val="bottom"/>
            <w:hideMark/>
          </w:tcPr>
          <w:p w:rsidRPr="00F36E36" w:rsidR="00341727" w:rsidP="00180EEB" w:rsidRDefault="00341727" w14:paraId="73C22F28" w14:textId="77777777">
            <w:pPr>
              <w:suppressAutoHyphens/>
              <w:spacing w:line="240" w:lineRule="auto"/>
              <w:ind w:right="208"/>
              <w:rPr>
                <w:rFonts w:cs="Calibri"/>
                <w:color w:val="000000"/>
                <w:sz w:val="20"/>
                <w:szCs w:val="20"/>
              </w:rPr>
            </w:pPr>
            <w:r w:rsidRPr="00F36E36">
              <w:rPr>
                <w:rFonts w:cs="Calibri"/>
                <w:color w:val="000000"/>
                <w:sz w:val="20"/>
                <w:szCs w:val="20"/>
              </w:rPr>
              <w:t>70.964</w:t>
            </w:r>
          </w:p>
        </w:tc>
        <w:tc>
          <w:tcPr>
            <w:tcW w:w="1014" w:type="dxa"/>
            <w:tcBorders>
              <w:top w:val="nil"/>
              <w:left w:val="nil"/>
              <w:bottom w:val="nil"/>
              <w:right w:val="single" w:color="auto" w:sz="4" w:space="0"/>
            </w:tcBorders>
            <w:shd w:val="clear" w:color="auto" w:fill="auto"/>
            <w:noWrap/>
            <w:vAlign w:val="bottom"/>
            <w:hideMark/>
          </w:tcPr>
          <w:p w:rsidRPr="00F36E36" w:rsidR="00341727" w:rsidP="00180EEB" w:rsidRDefault="00341727" w14:paraId="7B980E6F" w14:textId="77777777">
            <w:pPr>
              <w:suppressAutoHyphens/>
              <w:spacing w:line="240" w:lineRule="auto"/>
              <w:ind w:right="208"/>
              <w:rPr>
                <w:rFonts w:cs="Calibri"/>
                <w:color w:val="000000"/>
                <w:sz w:val="20"/>
                <w:szCs w:val="20"/>
              </w:rPr>
            </w:pPr>
            <w:r w:rsidRPr="00F36E36">
              <w:rPr>
                <w:rFonts w:cs="Calibri"/>
                <w:color w:val="000000"/>
                <w:sz w:val="20"/>
                <w:szCs w:val="20"/>
              </w:rPr>
              <w:t>10,6%</w:t>
            </w:r>
          </w:p>
        </w:tc>
      </w:tr>
      <w:tr w:rsidRPr="005F055E" w:rsidR="00341727" w:rsidTr="005E2643" w14:paraId="41ABF046" w14:textId="77777777">
        <w:trPr>
          <w:trHeight w:val="300"/>
        </w:trPr>
        <w:tc>
          <w:tcPr>
            <w:tcW w:w="1054" w:type="dxa"/>
            <w:tcBorders>
              <w:top w:val="nil"/>
              <w:left w:val="single" w:color="auto" w:sz="4" w:space="0"/>
              <w:bottom w:val="nil"/>
              <w:right w:val="nil"/>
            </w:tcBorders>
            <w:shd w:val="clear" w:color="auto" w:fill="auto"/>
            <w:noWrap/>
            <w:vAlign w:val="bottom"/>
            <w:hideMark/>
          </w:tcPr>
          <w:p w:rsidRPr="00F36E36" w:rsidR="00341727" w:rsidP="00180EEB" w:rsidRDefault="00341727" w14:paraId="187EF23E" w14:textId="77777777">
            <w:pPr>
              <w:suppressAutoHyphens/>
              <w:spacing w:line="240" w:lineRule="auto"/>
              <w:ind w:right="239"/>
              <w:rPr>
                <w:rFonts w:cs="Calibri"/>
                <w:color w:val="000000"/>
                <w:sz w:val="20"/>
                <w:szCs w:val="20"/>
              </w:rPr>
            </w:pPr>
            <w:r w:rsidRPr="00F36E36">
              <w:rPr>
                <w:rFonts w:cs="Calibri"/>
                <w:color w:val="000000"/>
                <w:sz w:val="20"/>
                <w:szCs w:val="20"/>
              </w:rPr>
              <w:t>2015</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591FF51C" w14:textId="77777777">
            <w:pPr>
              <w:suppressAutoHyphens/>
              <w:spacing w:line="240" w:lineRule="auto"/>
              <w:ind w:right="208"/>
              <w:rPr>
                <w:rFonts w:cs="Calibri"/>
                <w:color w:val="000000"/>
                <w:sz w:val="20"/>
                <w:szCs w:val="20"/>
              </w:rPr>
            </w:pPr>
            <w:r w:rsidRPr="00F36E36">
              <w:rPr>
                <w:sz w:val="20"/>
                <w:szCs w:val="20"/>
              </w:rPr>
              <w:t>80.118</w:t>
            </w:r>
          </w:p>
        </w:tc>
        <w:tc>
          <w:tcPr>
            <w:tcW w:w="1070" w:type="dxa"/>
            <w:tcBorders>
              <w:top w:val="nil"/>
              <w:left w:val="nil"/>
              <w:bottom w:val="nil"/>
              <w:right w:val="single" w:color="auto" w:sz="4" w:space="0"/>
            </w:tcBorders>
            <w:shd w:val="clear" w:color="auto" w:fill="auto"/>
            <w:noWrap/>
            <w:vAlign w:val="center"/>
            <w:hideMark/>
          </w:tcPr>
          <w:p w:rsidRPr="00F36E36" w:rsidR="00341727" w:rsidP="00180EEB" w:rsidRDefault="00341727" w14:paraId="3A0B230A" w14:textId="77777777">
            <w:pPr>
              <w:suppressAutoHyphens/>
              <w:spacing w:line="240" w:lineRule="auto"/>
              <w:ind w:right="208"/>
              <w:rPr>
                <w:rFonts w:cs="Calibri"/>
                <w:color w:val="000000"/>
                <w:sz w:val="20"/>
                <w:szCs w:val="20"/>
              </w:rPr>
            </w:pPr>
            <w:r w:rsidRPr="00F36E36">
              <w:rPr>
                <w:sz w:val="20"/>
                <w:szCs w:val="20"/>
              </w:rPr>
              <w:t>11,6%</w:t>
            </w:r>
          </w:p>
        </w:tc>
        <w:tc>
          <w:tcPr>
            <w:tcW w:w="2018" w:type="dxa"/>
            <w:tcBorders>
              <w:top w:val="nil"/>
              <w:left w:val="nil"/>
              <w:bottom w:val="nil"/>
              <w:right w:val="nil"/>
            </w:tcBorders>
            <w:shd w:val="clear" w:color="auto" w:fill="auto"/>
            <w:noWrap/>
            <w:vAlign w:val="bottom"/>
            <w:hideMark/>
          </w:tcPr>
          <w:p w:rsidRPr="00F36E36" w:rsidR="00341727" w:rsidP="00180EEB" w:rsidRDefault="00341727" w14:paraId="584C17BD" w14:textId="77777777">
            <w:pPr>
              <w:suppressAutoHyphens/>
              <w:spacing w:line="240" w:lineRule="auto"/>
              <w:ind w:right="208"/>
              <w:rPr>
                <w:rFonts w:cs="Calibri"/>
                <w:color w:val="000000"/>
                <w:sz w:val="20"/>
                <w:szCs w:val="20"/>
              </w:rPr>
            </w:pPr>
            <w:r w:rsidRPr="00F36E36">
              <w:rPr>
                <w:rFonts w:cs="Calibri"/>
                <w:color w:val="000000"/>
                <w:sz w:val="20"/>
                <w:szCs w:val="20"/>
              </w:rPr>
              <w:t>71.236</w:t>
            </w:r>
          </w:p>
        </w:tc>
        <w:tc>
          <w:tcPr>
            <w:tcW w:w="1014" w:type="dxa"/>
            <w:tcBorders>
              <w:top w:val="nil"/>
              <w:left w:val="nil"/>
              <w:bottom w:val="nil"/>
              <w:right w:val="single" w:color="auto" w:sz="4" w:space="0"/>
            </w:tcBorders>
            <w:shd w:val="clear" w:color="auto" w:fill="auto"/>
            <w:noWrap/>
            <w:vAlign w:val="bottom"/>
            <w:hideMark/>
          </w:tcPr>
          <w:p w:rsidRPr="00F36E36" w:rsidR="00341727" w:rsidP="00180EEB" w:rsidRDefault="00341727" w14:paraId="7A379715" w14:textId="77777777">
            <w:pPr>
              <w:suppressAutoHyphens/>
              <w:spacing w:line="240" w:lineRule="auto"/>
              <w:ind w:right="208"/>
              <w:rPr>
                <w:rFonts w:cs="Calibri"/>
                <w:color w:val="000000"/>
                <w:sz w:val="20"/>
                <w:szCs w:val="20"/>
              </w:rPr>
            </w:pPr>
            <w:r w:rsidRPr="00F36E36">
              <w:rPr>
                <w:rFonts w:cs="Calibri"/>
                <w:color w:val="000000"/>
                <w:sz w:val="20"/>
                <w:szCs w:val="20"/>
              </w:rPr>
              <w:t>10,3%</w:t>
            </w:r>
          </w:p>
        </w:tc>
      </w:tr>
      <w:tr w:rsidRPr="005F055E" w:rsidR="00341727" w:rsidTr="005E2643" w14:paraId="45B6DB05" w14:textId="77777777">
        <w:trPr>
          <w:trHeight w:val="300"/>
        </w:trPr>
        <w:tc>
          <w:tcPr>
            <w:tcW w:w="1054" w:type="dxa"/>
            <w:tcBorders>
              <w:top w:val="nil"/>
              <w:left w:val="single" w:color="auto" w:sz="4" w:space="0"/>
              <w:bottom w:val="nil"/>
              <w:right w:val="nil"/>
            </w:tcBorders>
            <w:shd w:val="clear" w:color="auto" w:fill="auto"/>
            <w:noWrap/>
            <w:vAlign w:val="bottom"/>
            <w:hideMark/>
          </w:tcPr>
          <w:p w:rsidRPr="00F36E36" w:rsidR="00341727" w:rsidP="00180EEB" w:rsidRDefault="00341727" w14:paraId="7C2D79C7" w14:textId="77777777">
            <w:pPr>
              <w:suppressAutoHyphens/>
              <w:spacing w:line="240" w:lineRule="auto"/>
              <w:ind w:right="239"/>
              <w:rPr>
                <w:rFonts w:cs="Calibri"/>
                <w:color w:val="000000"/>
                <w:sz w:val="20"/>
                <w:szCs w:val="20"/>
              </w:rPr>
            </w:pPr>
            <w:r w:rsidRPr="00F36E36">
              <w:rPr>
                <w:rFonts w:cs="Calibri"/>
                <w:color w:val="000000"/>
                <w:sz w:val="20"/>
                <w:szCs w:val="20"/>
              </w:rPr>
              <w:t>2016</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77A5CB04" w14:textId="77777777">
            <w:pPr>
              <w:suppressAutoHyphens/>
              <w:spacing w:line="240" w:lineRule="auto"/>
              <w:ind w:right="208"/>
              <w:rPr>
                <w:rFonts w:cs="Calibri"/>
                <w:color w:val="000000"/>
                <w:sz w:val="20"/>
                <w:szCs w:val="20"/>
              </w:rPr>
            </w:pPr>
            <w:r w:rsidRPr="00F36E36">
              <w:rPr>
                <w:sz w:val="20"/>
                <w:szCs w:val="20"/>
              </w:rPr>
              <w:t>82.021</w:t>
            </w:r>
          </w:p>
        </w:tc>
        <w:tc>
          <w:tcPr>
            <w:tcW w:w="1070" w:type="dxa"/>
            <w:tcBorders>
              <w:top w:val="nil"/>
              <w:left w:val="nil"/>
              <w:bottom w:val="nil"/>
              <w:right w:val="single" w:color="auto" w:sz="4" w:space="0"/>
            </w:tcBorders>
            <w:shd w:val="clear" w:color="auto" w:fill="auto"/>
            <w:noWrap/>
            <w:vAlign w:val="center"/>
            <w:hideMark/>
          </w:tcPr>
          <w:p w:rsidRPr="00F36E36" w:rsidR="00341727" w:rsidP="00180EEB" w:rsidRDefault="00341727" w14:paraId="2E6A3EE2" w14:textId="77777777">
            <w:pPr>
              <w:suppressAutoHyphens/>
              <w:spacing w:line="240" w:lineRule="auto"/>
              <w:ind w:right="208"/>
              <w:rPr>
                <w:rFonts w:cs="Calibri"/>
                <w:color w:val="000000"/>
                <w:sz w:val="20"/>
                <w:szCs w:val="20"/>
              </w:rPr>
            </w:pPr>
            <w:r w:rsidRPr="00F36E36">
              <w:rPr>
                <w:sz w:val="20"/>
                <w:szCs w:val="20"/>
              </w:rPr>
              <w:t>11,6%</w:t>
            </w:r>
          </w:p>
        </w:tc>
        <w:tc>
          <w:tcPr>
            <w:tcW w:w="2018" w:type="dxa"/>
            <w:tcBorders>
              <w:top w:val="nil"/>
              <w:left w:val="nil"/>
              <w:bottom w:val="nil"/>
              <w:right w:val="nil"/>
            </w:tcBorders>
            <w:shd w:val="clear" w:color="auto" w:fill="auto"/>
            <w:noWrap/>
            <w:vAlign w:val="bottom"/>
            <w:hideMark/>
          </w:tcPr>
          <w:p w:rsidRPr="00F36E36" w:rsidR="00341727" w:rsidP="00180EEB" w:rsidRDefault="00341727" w14:paraId="3CFB2344" w14:textId="77777777">
            <w:pPr>
              <w:suppressAutoHyphens/>
              <w:spacing w:line="240" w:lineRule="auto"/>
              <w:ind w:right="208"/>
              <w:rPr>
                <w:rFonts w:cs="Calibri"/>
                <w:color w:val="000000"/>
                <w:sz w:val="20"/>
                <w:szCs w:val="20"/>
              </w:rPr>
            </w:pPr>
            <w:r w:rsidRPr="00F36E36">
              <w:rPr>
                <w:rFonts w:cs="Calibri"/>
                <w:color w:val="000000"/>
                <w:sz w:val="20"/>
                <w:szCs w:val="20"/>
              </w:rPr>
              <w:t>72.918</w:t>
            </w:r>
          </w:p>
        </w:tc>
        <w:tc>
          <w:tcPr>
            <w:tcW w:w="1014" w:type="dxa"/>
            <w:tcBorders>
              <w:top w:val="nil"/>
              <w:left w:val="nil"/>
              <w:bottom w:val="nil"/>
              <w:right w:val="single" w:color="auto" w:sz="4" w:space="0"/>
            </w:tcBorders>
            <w:shd w:val="clear" w:color="auto" w:fill="auto"/>
            <w:noWrap/>
            <w:vAlign w:val="bottom"/>
            <w:hideMark/>
          </w:tcPr>
          <w:p w:rsidRPr="00F36E36" w:rsidR="00341727" w:rsidP="00180EEB" w:rsidRDefault="00341727" w14:paraId="0984C644" w14:textId="77777777">
            <w:pPr>
              <w:suppressAutoHyphens/>
              <w:spacing w:line="240" w:lineRule="auto"/>
              <w:ind w:right="208"/>
              <w:rPr>
                <w:rFonts w:cs="Calibri"/>
                <w:color w:val="000000"/>
                <w:sz w:val="20"/>
                <w:szCs w:val="20"/>
              </w:rPr>
            </w:pPr>
            <w:r w:rsidRPr="00F36E36">
              <w:rPr>
                <w:rFonts w:cs="Calibri"/>
                <w:color w:val="000000"/>
                <w:sz w:val="20"/>
                <w:szCs w:val="20"/>
              </w:rPr>
              <w:t>10,3%</w:t>
            </w:r>
          </w:p>
        </w:tc>
      </w:tr>
      <w:tr w:rsidRPr="005F055E" w:rsidR="00341727" w:rsidTr="005E2643" w14:paraId="1AEC60D6" w14:textId="77777777">
        <w:trPr>
          <w:trHeight w:val="300"/>
        </w:trPr>
        <w:tc>
          <w:tcPr>
            <w:tcW w:w="1054" w:type="dxa"/>
            <w:tcBorders>
              <w:top w:val="nil"/>
              <w:left w:val="single" w:color="auto" w:sz="4" w:space="0"/>
              <w:bottom w:val="nil"/>
              <w:right w:val="nil"/>
            </w:tcBorders>
            <w:shd w:val="clear" w:color="auto" w:fill="auto"/>
            <w:noWrap/>
            <w:vAlign w:val="bottom"/>
            <w:hideMark/>
          </w:tcPr>
          <w:p w:rsidRPr="00F36E36" w:rsidR="00341727" w:rsidP="00180EEB" w:rsidRDefault="00341727" w14:paraId="12FD3120" w14:textId="77777777">
            <w:pPr>
              <w:suppressAutoHyphens/>
              <w:spacing w:line="240" w:lineRule="auto"/>
              <w:ind w:right="239"/>
              <w:rPr>
                <w:rFonts w:cs="Calibri"/>
                <w:color w:val="000000"/>
                <w:sz w:val="20"/>
                <w:szCs w:val="20"/>
              </w:rPr>
            </w:pPr>
            <w:r w:rsidRPr="00F36E36">
              <w:rPr>
                <w:rFonts w:cs="Calibri"/>
                <w:color w:val="000000"/>
                <w:sz w:val="20"/>
                <w:szCs w:val="20"/>
              </w:rPr>
              <w:t>2017</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16525818" w14:textId="77777777">
            <w:pPr>
              <w:suppressAutoHyphens/>
              <w:spacing w:line="240" w:lineRule="auto"/>
              <w:ind w:right="208"/>
              <w:rPr>
                <w:rFonts w:cs="Calibri"/>
                <w:color w:val="000000"/>
                <w:sz w:val="20"/>
                <w:szCs w:val="20"/>
              </w:rPr>
            </w:pPr>
            <w:r w:rsidRPr="00F36E36">
              <w:rPr>
                <w:sz w:val="20"/>
                <w:szCs w:val="20"/>
              </w:rPr>
              <w:t>83.932</w:t>
            </w:r>
          </w:p>
        </w:tc>
        <w:tc>
          <w:tcPr>
            <w:tcW w:w="1070" w:type="dxa"/>
            <w:tcBorders>
              <w:top w:val="nil"/>
              <w:left w:val="nil"/>
              <w:bottom w:val="nil"/>
              <w:right w:val="single" w:color="auto" w:sz="4" w:space="0"/>
            </w:tcBorders>
            <w:shd w:val="clear" w:color="auto" w:fill="auto"/>
            <w:noWrap/>
            <w:vAlign w:val="center"/>
            <w:hideMark/>
          </w:tcPr>
          <w:p w:rsidRPr="00F36E36" w:rsidR="00341727" w:rsidP="00180EEB" w:rsidRDefault="00341727" w14:paraId="700A3E6C" w14:textId="77777777">
            <w:pPr>
              <w:suppressAutoHyphens/>
              <w:spacing w:line="240" w:lineRule="auto"/>
              <w:ind w:right="208"/>
              <w:rPr>
                <w:rFonts w:cs="Calibri"/>
                <w:color w:val="000000"/>
                <w:sz w:val="20"/>
                <w:szCs w:val="20"/>
              </w:rPr>
            </w:pPr>
            <w:r w:rsidRPr="00F36E36">
              <w:rPr>
                <w:sz w:val="20"/>
                <w:szCs w:val="20"/>
              </w:rPr>
              <w:t>11,4%</w:t>
            </w:r>
          </w:p>
        </w:tc>
        <w:tc>
          <w:tcPr>
            <w:tcW w:w="2018" w:type="dxa"/>
            <w:tcBorders>
              <w:top w:val="nil"/>
              <w:left w:val="nil"/>
              <w:bottom w:val="nil"/>
              <w:right w:val="nil"/>
            </w:tcBorders>
            <w:shd w:val="clear" w:color="auto" w:fill="auto"/>
            <w:noWrap/>
            <w:vAlign w:val="bottom"/>
            <w:hideMark/>
          </w:tcPr>
          <w:p w:rsidRPr="00F36E36" w:rsidR="00341727" w:rsidP="00180EEB" w:rsidRDefault="00341727" w14:paraId="5409ADCB" w14:textId="77777777">
            <w:pPr>
              <w:suppressAutoHyphens/>
              <w:spacing w:line="240" w:lineRule="auto"/>
              <w:ind w:right="208"/>
              <w:rPr>
                <w:rFonts w:cs="Calibri"/>
                <w:color w:val="000000"/>
                <w:sz w:val="20"/>
                <w:szCs w:val="20"/>
              </w:rPr>
            </w:pPr>
            <w:r w:rsidRPr="00F36E36">
              <w:rPr>
                <w:rFonts w:cs="Calibri"/>
                <w:color w:val="000000"/>
                <w:sz w:val="20"/>
                <w:szCs w:val="20"/>
              </w:rPr>
              <w:t>74.614</w:t>
            </w:r>
          </w:p>
        </w:tc>
        <w:tc>
          <w:tcPr>
            <w:tcW w:w="1014" w:type="dxa"/>
            <w:tcBorders>
              <w:top w:val="nil"/>
              <w:left w:val="nil"/>
              <w:bottom w:val="nil"/>
              <w:right w:val="single" w:color="auto" w:sz="4" w:space="0"/>
            </w:tcBorders>
            <w:shd w:val="clear" w:color="auto" w:fill="auto"/>
            <w:noWrap/>
            <w:vAlign w:val="bottom"/>
            <w:hideMark/>
          </w:tcPr>
          <w:p w:rsidRPr="00F36E36" w:rsidR="00341727" w:rsidP="00180EEB" w:rsidRDefault="00341727" w14:paraId="125D28A1" w14:textId="77777777">
            <w:pPr>
              <w:suppressAutoHyphens/>
              <w:spacing w:line="240" w:lineRule="auto"/>
              <w:ind w:right="208"/>
              <w:rPr>
                <w:rFonts w:cs="Calibri"/>
                <w:color w:val="000000"/>
                <w:sz w:val="20"/>
                <w:szCs w:val="20"/>
              </w:rPr>
            </w:pPr>
            <w:r w:rsidRPr="00F36E36">
              <w:rPr>
                <w:rFonts w:cs="Calibri"/>
                <w:color w:val="000000"/>
                <w:sz w:val="20"/>
                <w:szCs w:val="20"/>
              </w:rPr>
              <w:t>10,1%</w:t>
            </w:r>
          </w:p>
        </w:tc>
      </w:tr>
      <w:tr w:rsidRPr="005F055E" w:rsidR="00341727" w:rsidTr="005E2643" w14:paraId="39D11DD0" w14:textId="77777777">
        <w:trPr>
          <w:trHeight w:val="300"/>
        </w:trPr>
        <w:tc>
          <w:tcPr>
            <w:tcW w:w="1054" w:type="dxa"/>
            <w:tcBorders>
              <w:top w:val="nil"/>
              <w:left w:val="single" w:color="auto" w:sz="4" w:space="0"/>
              <w:bottom w:val="nil"/>
              <w:right w:val="nil"/>
            </w:tcBorders>
            <w:shd w:val="clear" w:color="auto" w:fill="auto"/>
            <w:noWrap/>
            <w:vAlign w:val="bottom"/>
            <w:hideMark/>
          </w:tcPr>
          <w:p w:rsidRPr="00F36E36" w:rsidR="00341727" w:rsidP="00180EEB" w:rsidRDefault="00341727" w14:paraId="794BBBFE" w14:textId="77777777">
            <w:pPr>
              <w:suppressAutoHyphens/>
              <w:spacing w:line="240" w:lineRule="auto"/>
              <w:ind w:right="239"/>
              <w:rPr>
                <w:rFonts w:cs="Calibri"/>
                <w:color w:val="000000"/>
                <w:sz w:val="20"/>
                <w:szCs w:val="20"/>
              </w:rPr>
            </w:pPr>
            <w:r w:rsidRPr="00F36E36">
              <w:rPr>
                <w:rFonts w:cs="Calibri"/>
                <w:color w:val="000000"/>
                <w:sz w:val="20"/>
                <w:szCs w:val="20"/>
              </w:rPr>
              <w:t>2018</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6977FFB3" w14:textId="77777777">
            <w:pPr>
              <w:suppressAutoHyphens/>
              <w:spacing w:line="240" w:lineRule="auto"/>
              <w:ind w:right="208"/>
              <w:rPr>
                <w:rFonts w:cs="Calibri"/>
                <w:color w:val="000000"/>
                <w:sz w:val="20"/>
                <w:szCs w:val="20"/>
              </w:rPr>
            </w:pPr>
            <w:r w:rsidRPr="00F36E36">
              <w:rPr>
                <w:sz w:val="20"/>
                <w:szCs w:val="20"/>
              </w:rPr>
              <w:t>87.334</w:t>
            </w:r>
          </w:p>
        </w:tc>
        <w:tc>
          <w:tcPr>
            <w:tcW w:w="1070" w:type="dxa"/>
            <w:tcBorders>
              <w:top w:val="nil"/>
              <w:left w:val="nil"/>
              <w:bottom w:val="nil"/>
              <w:right w:val="single" w:color="auto" w:sz="4" w:space="0"/>
            </w:tcBorders>
            <w:shd w:val="clear" w:color="auto" w:fill="auto"/>
            <w:noWrap/>
            <w:vAlign w:val="center"/>
            <w:hideMark/>
          </w:tcPr>
          <w:p w:rsidRPr="00F36E36" w:rsidR="00341727" w:rsidP="00180EEB" w:rsidRDefault="00341727" w14:paraId="3B995CC1" w14:textId="77777777">
            <w:pPr>
              <w:suppressAutoHyphens/>
              <w:spacing w:line="240" w:lineRule="auto"/>
              <w:ind w:right="208"/>
              <w:rPr>
                <w:rFonts w:cs="Calibri"/>
                <w:color w:val="000000"/>
                <w:sz w:val="20"/>
                <w:szCs w:val="20"/>
              </w:rPr>
            </w:pPr>
            <w:r w:rsidRPr="00F36E36">
              <w:rPr>
                <w:sz w:val="20"/>
                <w:szCs w:val="20"/>
              </w:rPr>
              <w:t>11,3%</w:t>
            </w:r>
          </w:p>
        </w:tc>
        <w:tc>
          <w:tcPr>
            <w:tcW w:w="2018" w:type="dxa"/>
            <w:tcBorders>
              <w:top w:val="nil"/>
              <w:left w:val="nil"/>
              <w:bottom w:val="nil"/>
              <w:right w:val="nil"/>
            </w:tcBorders>
            <w:shd w:val="clear" w:color="auto" w:fill="auto"/>
            <w:noWrap/>
            <w:vAlign w:val="bottom"/>
            <w:hideMark/>
          </w:tcPr>
          <w:p w:rsidRPr="00F36E36" w:rsidR="00341727" w:rsidP="00180EEB" w:rsidRDefault="00341727" w14:paraId="05883315" w14:textId="77777777">
            <w:pPr>
              <w:suppressAutoHyphens/>
              <w:spacing w:line="240" w:lineRule="auto"/>
              <w:ind w:right="208"/>
              <w:rPr>
                <w:rFonts w:cs="Calibri"/>
                <w:color w:val="000000"/>
                <w:sz w:val="20"/>
                <w:szCs w:val="20"/>
              </w:rPr>
            </w:pPr>
            <w:r w:rsidRPr="00F36E36">
              <w:rPr>
                <w:rFonts w:cs="Calibri"/>
                <w:color w:val="000000"/>
                <w:sz w:val="20"/>
                <w:szCs w:val="20"/>
              </w:rPr>
              <w:t>77.553</w:t>
            </w:r>
          </w:p>
        </w:tc>
        <w:tc>
          <w:tcPr>
            <w:tcW w:w="1014" w:type="dxa"/>
            <w:tcBorders>
              <w:top w:val="nil"/>
              <w:left w:val="nil"/>
              <w:bottom w:val="nil"/>
              <w:right w:val="single" w:color="auto" w:sz="4" w:space="0"/>
            </w:tcBorders>
            <w:shd w:val="clear" w:color="auto" w:fill="auto"/>
            <w:noWrap/>
            <w:vAlign w:val="bottom"/>
            <w:hideMark/>
          </w:tcPr>
          <w:p w:rsidRPr="00F36E36" w:rsidR="00341727" w:rsidP="00180EEB" w:rsidRDefault="00341727" w14:paraId="551C4D5F" w14:textId="77777777">
            <w:pPr>
              <w:suppressAutoHyphens/>
              <w:spacing w:line="240" w:lineRule="auto"/>
              <w:ind w:right="208"/>
              <w:rPr>
                <w:rFonts w:cs="Calibri"/>
                <w:color w:val="000000"/>
                <w:sz w:val="20"/>
                <w:szCs w:val="20"/>
              </w:rPr>
            </w:pPr>
            <w:r w:rsidRPr="00F36E36">
              <w:rPr>
                <w:rFonts w:cs="Calibri"/>
                <w:color w:val="000000"/>
                <w:sz w:val="20"/>
                <w:szCs w:val="20"/>
              </w:rPr>
              <w:t>10,0%</w:t>
            </w:r>
          </w:p>
        </w:tc>
      </w:tr>
      <w:tr w:rsidRPr="005F055E" w:rsidR="00341727" w:rsidTr="005E2643" w14:paraId="1863EFBD" w14:textId="77777777">
        <w:trPr>
          <w:trHeight w:val="300"/>
        </w:trPr>
        <w:tc>
          <w:tcPr>
            <w:tcW w:w="1054" w:type="dxa"/>
            <w:tcBorders>
              <w:top w:val="nil"/>
              <w:left w:val="single" w:color="auto" w:sz="4" w:space="0"/>
              <w:bottom w:val="nil"/>
              <w:right w:val="nil"/>
            </w:tcBorders>
            <w:shd w:val="clear" w:color="auto" w:fill="auto"/>
            <w:noWrap/>
            <w:vAlign w:val="bottom"/>
            <w:hideMark/>
          </w:tcPr>
          <w:p w:rsidRPr="00F36E36" w:rsidR="00341727" w:rsidP="00180EEB" w:rsidRDefault="00341727" w14:paraId="26718869" w14:textId="77777777">
            <w:pPr>
              <w:suppressAutoHyphens/>
              <w:spacing w:line="240" w:lineRule="auto"/>
              <w:ind w:right="239"/>
              <w:rPr>
                <w:rFonts w:cs="Calibri"/>
                <w:color w:val="000000"/>
                <w:sz w:val="20"/>
                <w:szCs w:val="20"/>
              </w:rPr>
            </w:pPr>
            <w:r w:rsidRPr="00F36E36">
              <w:rPr>
                <w:rFonts w:cs="Calibri"/>
                <w:color w:val="000000"/>
                <w:sz w:val="20"/>
                <w:szCs w:val="20"/>
              </w:rPr>
              <w:t>2019</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6C8AE16F" w14:textId="77777777">
            <w:pPr>
              <w:suppressAutoHyphens/>
              <w:spacing w:line="240" w:lineRule="auto"/>
              <w:ind w:right="208"/>
              <w:rPr>
                <w:rFonts w:cs="Calibri"/>
                <w:color w:val="000000"/>
                <w:sz w:val="20"/>
                <w:szCs w:val="20"/>
              </w:rPr>
            </w:pPr>
            <w:r w:rsidRPr="00F36E36">
              <w:rPr>
                <w:sz w:val="20"/>
                <w:szCs w:val="20"/>
              </w:rPr>
              <w:t>92.804</w:t>
            </w:r>
          </w:p>
        </w:tc>
        <w:tc>
          <w:tcPr>
            <w:tcW w:w="1070" w:type="dxa"/>
            <w:tcBorders>
              <w:top w:val="nil"/>
              <w:left w:val="nil"/>
              <w:bottom w:val="nil"/>
              <w:right w:val="single" w:color="auto" w:sz="4" w:space="0"/>
            </w:tcBorders>
            <w:shd w:val="clear" w:color="auto" w:fill="auto"/>
            <w:noWrap/>
            <w:vAlign w:val="center"/>
            <w:hideMark/>
          </w:tcPr>
          <w:p w:rsidRPr="00F36E36" w:rsidR="00341727" w:rsidP="00180EEB" w:rsidRDefault="00341727" w14:paraId="26F74F7E" w14:textId="77777777">
            <w:pPr>
              <w:suppressAutoHyphens/>
              <w:spacing w:line="240" w:lineRule="auto"/>
              <w:ind w:right="208"/>
              <w:rPr>
                <w:rFonts w:cs="Calibri"/>
                <w:color w:val="000000"/>
                <w:sz w:val="20"/>
                <w:szCs w:val="20"/>
              </w:rPr>
            </w:pPr>
            <w:r w:rsidRPr="00F36E36">
              <w:rPr>
                <w:sz w:val="20"/>
                <w:szCs w:val="20"/>
              </w:rPr>
              <w:t>11,4%</w:t>
            </w:r>
          </w:p>
        </w:tc>
        <w:tc>
          <w:tcPr>
            <w:tcW w:w="2018" w:type="dxa"/>
            <w:tcBorders>
              <w:top w:val="nil"/>
              <w:left w:val="nil"/>
              <w:bottom w:val="nil"/>
              <w:right w:val="nil"/>
            </w:tcBorders>
            <w:shd w:val="clear" w:color="auto" w:fill="auto"/>
            <w:noWrap/>
            <w:vAlign w:val="bottom"/>
            <w:hideMark/>
          </w:tcPr>
          <w:p w:rsidRPr="00F36E36" w:rsidR="00341727" w:rsidP="00180EEB" w:rsidRDefault="00341727" w14:paraId="78B16B76" w14:textId="77777777">
            <w:pPr>
              <w:suppressAutoHyphens/>
              <w:spacing w:line="240" w:lineRule="auto"/>
              <w:ind w:right="208"/>
              <w:rPr>
                <w:rFonts w:cs="Calibri"/>
                <w:color w:val="000000"/>
                <w:sz w:val="20"/>
                <w:szCs w:val="20"/>
              </w:rPr>
            </w:pPr>
            <w:r w:rsidRPr="00F36E36">
              <w:rPr>
                <w:rFonts w:cs="Calibri"/>
                <w:color w:val="000000"/>
                <w:sz w:val="20"/>
                <w:szCs w:val="20"/>
              </w:rPr>
              <w:t>82.447</w:t>
            </w:r>
          </w:p>
        </w:tc>
        <w:tc>
          <w:tcPr>
            <w:tcW w:w="1014" w:type="dxa"/>
            <w:tcBorders>
              <w:top w:val="nil"/>
              <w:left w:val="nil"/>
              <w:bottom w:val="nil"/>
              <w:right w:val="single" w:color="auto" w:sz="4" w:space="0"/>
            </w:tcBorders>
            <w:shd w:val="clear" w:color="auto" w:fill="auto"/>
            <w:noWrap/>
            <w:vAlign w:val="bottom"/>
            <w:hideMark/>
          </w:tcPr>
          <w:p w:rsidRPr="00F36E36" w:rsidR="00341727" w:rsidP="00180EEB" w:rsidRDefault="00341727" w14:paraId="49749423" w14:textId="77777777">
            <w:pPr>
              <w:suppressAutoHyphens/>
              <w:spacing w:line="240" w:lineRule="auto"/>
              <w:ind w:right="208"/>
              <w:rPr>
                <w:rFonts w:cs="Calibri"/>
                <w:color w:val="000000"/>
                <w:sz w:val="20"/>
                <w:szCs w:val="20"/>
              </w:rPr>
            </w:pPr>
            <w:r w:rsidRPr="00F36E36">
              <w:rPr>
                <w:rFonts w:cs="Calibri"/>
                <w:color w:val="000000"/>
                <w:sz w:val="20"/>
                <w:szCs w:val="20"/>
              </w:rPr>
              <w:t>10,1%</w:t>
            </w:r>
          </w:p>
        </w:tc>
      </w:tr>
      <w:tr w:rsidRPr="005F055E" w:rsidR="00341727" w:rsidTr="005E2643" w14:paraId="034D19A9" w14:textId="77777777">
        <w:trPr>
          <w:trHeight w:val="300"/>
        </w:trPr>
        <w:tc>
          <w:tcPr>
            <w:tcW w:w="1054" w:type="dxa"/>
            <w:tcBorders>
              <w:top w:val="nil"/>
              <w:left w:val="single" w:color="auto" w:sz="4" w:space="0"/>
              <w:bottom w:val="nil"/>
              <w:right w:val="nil"/>
            </w:tcBorders>
            <w:shd w:val="clear" w:color="auto" w:fill="auto"/>
            <w:noWrap/>
            <w:vAlign w:val="bottom"/>
            <w:hideMark/>
          </w:tcPr>
          <w:p w:rsidRPr="00F36E36" w:rsidR="00341727" w:rsidP="00180EEB" w:rsidRDefault="00341727" w14:paraId="4CF0E426" w14:textId="77777777">
            <w:pPr>
              <w:suppressAutoHyphens/>
              <w:spacing w:line="240" w:lineRule="auto"/>
              <w:ind w:right="239"/>
              <w:rPr>
                <w:rFonts w:cs="Calibri"/>
                <w:color w:val="000000"/>
                <w:sz w:val="20"/>
                <w:szCs w:val="20"/>
              </w:rPr>
            </w:pPr>
            <w:r w:rsidRPr="00F36E36">
              <w:rPr>
                <w:rFonts w:cs="Calibri"/>
                <w:color w:val="000000"/>
                <w:sz w:val="20"/>
                <w:szCs w:val="20"/>
              </w:rPr>
              <w:t>2020</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506D7260" w14:textId="77777777">
            <w:pPr>
              <w:suppressAutoHyphens/>
              <w:spacing w:line="240" w:lineRule="auto"/>
              <w:ind w:right="208"/>
              <w:rPr>
                <w:rFonts w:cs="Calibri"/>
                <w:color w:val="000000"/>
                <w:sz w:val="20"/>
                <w:szCs w:val="20"/>
              </w:rPr>
            </w:pPr>
            <w:r w:rsidRPr="00F36E36">
              <w:rPr>
                <w:sz w:val="20"/>
                <w:szCs w:val="20"/>
              </w:rPr>
              <w:t>100.538</w:t>
            </w:r>
          </w:p>
        </w:tc>
        <w:tc>
          <w:tcPr>
            <w:tcW w:w="1070" w:type="dxa"/>
            <w:tcBorders>
              <w:top w:val="nil"/>
              <w:left w:val="nil"/>
              <w:bottom w:val="nil"/>
              <w:right w:val="single" w:color="auto" w:sz="4" w:space="0"/>
            </w:tcBorders>
            <w:shd w:val="clear" w:color="auto" w:fill="auto"/>
            <w:noWrap/>
            <w:vAlign w:val="center"/>
            <w:hideMark/>
          </w:tcPr>
          <w:p w:rsidRPr="00F36E36" w:rsidR="00341727" w:rsidP="00180EEB" w:rsidRDefault="00341727" w14:paraId="11C9AE49" w14:textId="77777777">
            <w:pPr>
              <w:suppressAutoHyphens/>
              <w:spacing w:line="240" w:lineRule="auto"/>
              <w:ind w:right="208"/>
              <w:rPr>
                <w:rFonts w:cs="Calibri"/>
                <w:color w:val="000000"/>
                <w:sz w:val="20"/>
                <w:szCs w:val="20"/>
              </w:rPr>
            </w:pPr>
            <w:r w:rsidRPr="00F36E36">
              <w:rPr>
                <w:sz w:val="20"/>
                <w:szCs w:val="20"/>
              </w:rPr>
              <w:t>12,6%</w:t>
            </w:r>
          </w:p>
        </w:tc>
        <w:tc>
          <w:tcPr>
            <w:tcW w:w="2018" w:type="dxa"/>
            <w:tcBorders>
              <w:top w:val="nil"/>
              <w:left w:val="nil"/>
              <w:bottom w:val="nil"/>
              <w:right w:val="nil"/>
            </w:tcBorders>
            <w:shd w:val="clear" w:color="auto" w:fill="auto"/>
            <w:noWrap/>
            <w:vAlign w:val="bottom"/>
            <w:hideMark/>
          </w:tcPr>
          <w:p w:rsidRPr="00F36E36" w:rsidR="00341727" w:rsidP="00180EEB" w:rsidRDefault="00341727" w14:paraId="012FDF18" w14:textId="77777777">
            <w:pPr>
              <w:suppressAutoHyphens/>
              <w:spacing w:line="240" w:lineRule="auto"/>
              <w:ind w:right="208"/>
              <w:rPr>
                <w:rFonts w:cs="Calibri"/>
                <w:color w:val="000000"/>
                <w:sz w:val="20"/>
                <w:szCs w:val="20"/>
              </w:rPr>
            </w:pPr>
            <w:r w:rsidRPr="00F36E36">
              <w:rPr>
                <w:rFonts w:cs="Calibri"/>
                <w:color w:val="000000"/>
                <w:sz w:val="20"/>
                <w:szCs w:val="20"/>
              </w:rPr>
              <w:t>89.402</w:t>
            </w:r>
          </w:p>
        </w:tc>
        <w:tc>
          <w:tcPr>
            <w:tcW w:w="1014" w:type="dxa"/>
            <w:tcBorders>
              <w:top w:val="nil"/>
              <w:left w:val="nil"/>
              <w:bottom w:val="nil"/>
              <w:right w:val="single" w:color="auto" w:sz="4" w:space="0"/>
            </w:tcBorders>
            <w:shd w:val="clear" w:color="auto" w:fill="auto"/>
            <w:noWrap/>
            <w:vAlign w:val="bottom"/>
            <w:hideMark/>
          </w:tcPr>
          <w:p w:rsidRPr="00F36E36" w:rsidR="00341727" w:rsidP="00180EEB" w:rsidRDefault="00341727" w14:paraId="248E5484" w14:textId="77777777">
            <w:pPr>
              <w:suppressAutoHyphens/>
              <w:spacing w:line="240" w:lineRule="auto"/>
              <w:ind w:right="208"/>
              <w:rPr>
                <w:rFonts w:cs="Calibri"/>
                <w:color w:val="000000"/>
                <w:sz w:val="20"/>
                <w:szCs w:val="20"/>
              </w:rPr>
            </w:pPr>
            <w:r w:rsidRPr="00F36E36">
              <w:rPr>
                <w:rFonts w:cs="Calibri"/>
                <w:color w:val="000000"/>
                <w:sz w:val="20"/>
                <w:szCs w:val="20"/>
              </w:rPr>
              <w:t>11,2%</w:t>
            </w:r>
          </w:p>
        </w:tc>
      </w:tr>
      <w:tr w:rsidRPr="005F055E" w:rsidR="00341727" w:rsidTr="005E2643" w14:paraId="4C953455" w14:textId="77777777">
        <w:trPr>
          <w:trHeight w:val="300"/>
        </w:trPr>
        <w:tc>
          <w:tcPr>
            <w:tcW w:w="1054" w:type="dxa"/>
            <w:tcBorders>
              <w:top w:val="nil"/>
              <w:left w:val="single" w:color="auto" w:sz="4" w:space="0"/>
              <w:bottom w:val="nil"/>
              <w:right w:val="nil"/>
            </w:tcBorders>
            <w:shd w:val="clear" w:color="auto" w:fill="auto"/>
            <w:noWrap/>
            <w:vAlign w:val="bottom"/>
            <w:hideMark/>
          </w:tcPr>
          <w:p w:rsidRPr="00F36E36" w:rsidR="00341727" w:rsidP="00180EEB" w:rsidRDefault="00341727" w14:paraId="3FDE0EDF" w14:textId="77777777">
            <w:pPr>
              <w:suppressAutoHyphens/>
              <w:spacing w:line="240" w:lineRule="auto"/>
              <w:ind w:right="239"/>
              <w:rPr>
                <w:rFonts w:cs="Calibri"/>
                <w:color w:val="000000"/>
                <w:sz w:val="20"/>
                <w:szCs w:val="20"/>
              </w:rPr>
            </w:pPr>
            <w:r w:rsidRPr="00F36E36">
              <w:rPr>
                <w:rFonts w:cs="Calibri"/>
                <w:color w:val="000000"/>
                <w:sz w:val="20"/>
                <w:szCs w:val="20"/>
              </w:rPr>
              <w:t>2021</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44ED5220" w14:textId="77777777">
            <w:pPr>
              <w:suppressAutoHyphens/>
              <w:spacing w:line="240" w:lineRule="auto"/>
              <w:ind w:right="208"/>
              <w:rPr>
                <w:rFonts w:cs="Calibri"/>
                <w:color w:val="000000"/>
                <w:sz w:val="20"/>
                <w:szCs w:val="20"/>
              </w:rPr>
            </w:pPr>
            <w:r w:rsidRPr="00F36E36">
              <w:rPr>
                <w:sz w:val="20"/>
                <w:szCs w:val="20"/>
              </w:rPr>
              <w:t>107.943</w:t>
            </w:r>
          </w:p>
        </w:tc>
        <w:tc>
          <w:tcPr>
            <w:tcW w:w="1070" w:type="dxa"/>
            <w:tcBorders>
              <w:top w:val="nil"/>
              <w:left w:val="nil"/>
              <w:bottom w:val="nil"/>
              <w:right w:val="single" w:color="auto" w:sz="4" w:space="0"/>
            </w:tcBorders>
            <w:shd w:val="clear" w:color="auto" w:fill="auto"/>
            <w:noWrap/>
            <w:vAlign w:val="center"/>
            <w:hideMark/>
          </w:tcPr>
          <w:p w:rsidRPr="00F36E36" w:rsidR="00341727" w:rsidP="00180EEB" w:rsidRDefault="00341727" w14:paraId="5F7464E6" w14:textId="77777777">
            <w:pPr>
              <w:suppressAutoHyphens/>
              <w:spacing w:line="240" w:lineRule="auto"/>
              <w:ind w:right="208"/>
              <w:rPr>
                <w:rFonts w:cs="Calibri"/>
                <w:color w:val="000000"/>
                <w:sz w:val="20"/>
                <w:szCs w:val="20"/>
              </w:rPr>
            </w:pPr>
            <w:r w:rsidRPr="00F36E36">
              <w:rPr>
                <w:sz w:val="20"/>
                <w:szCs w:val="20"/>
              </w:rPr>
              <w:t>12,4%</w:t>
            </w:r>
          </w:p>
        </w:tc>
        <w:tc>
          <w:tcPr>
            <w:tcW w:w="2018" w:type="dxa"/>
            <w:tcBorders>
              <w:top w:val="nil"/>
              <w:left w:val="nil"/>
              <w:bottom w:val="nil"/>
              <w:right w:val="nil"/>
            </w:tcBorders>
            <w:shd w:val="clear" w:color="auto" w:fill="auto"/>
            <w:noWrap/>
            <w:vAlign w:val="bottom"/>
            <w:hideMark/>
          </w:tcPr>
          <w:p w:rsidRPr="00F36E36" w:rsidR="00341727" w:rsidP="00180EEB" w:rsidRDefault="00341727" w14:paraId="0F4FAC24" w14:textId="77777777">
            <w:pPr>
              <w:suppressAutoHyphens/>
              <w:spacing w:line="240" w:lineRule="auto"/>
              <w:ind w:right="208"/>
              <w:rPr>
                <w:rFonts w:cs="Calibri"/>
                <w:color w:val="000000"/>
                <w:sz w:val="20"/>
                <w:szCs w:val="20"/>
              </w:rPr>
            </w:pPr>
            <w:r w:rsidRPr="00F36E36">
              <w:rPr>
                <w:rFonts w:cs="Calibri"/>
                <w:color w:val="000000"/>
                <w:sz w:val="20"/>
                <w:szCs w:val="20"/>
              </w:rPr>
              <w:t>96.852</w:t>
            </w:r>
          </w:p>
        </w:tc>
        <w:tc>
          <w:tcPr>
            <w:tcW w:w="1014" w:type="dxa"/>
            <w:tcBorders>
              <w:top w:val="nil"/>
              <w:left w:val="nil"/>
              <w:bottom w:val="nil"/>
              <w:right w:val="single" w:color="auto" w:sz="4" w:space="0"/>
            </w:tcBorders>
            <w:shd w:val="clear" w:color="auto" w:fill="auto"/>
            <w:noWrap/>
            <w:vAlign w:val="bottom"/>
            <w:hideMark/>
          </w:tcPr>
          <w:p w:rsidRPr="00F36E36" w:rsidR="00341727" w:rsidP="00180EEB" w:rsidRDefault="00341727" w14:paraId="7E8B99B8" w14:textId="77777777">
            <w:pPr>
              <w:suppressAutoHyphens/>
              <w:spacing w:line="240" w:lineRule="auto"/>
              <w:ind w:right="208"/>
              <w:rPr>
                <w:rFonts w:cs="Calibri"/>
                <w:color w:val="000000"/>
                <w:sz w:val="20"/>
                <w:szCs w:val="20"/>
              </w:rPr>
            </w:pPr>
            <w:r w:rsidRPr="00F36E36">
              <w:rPr>
                <w:rFonts w:cs="Calibri"/>
                <w:color w:val="000000"/>
                <w:sz w:val="20"/>
                <w:szCs w:val="20"/>
              </w:rPr>
              <w:t>11,1%</w:t>
            </w:r>
          </w:p>
        </w:tc>
      </w:tr>
      <w:tr w:rsidRPr="005F055E" w:rsidR="00341727" w:rsidTr="005E2643" w14:paraId="56DB0DA7" w14:textId="77777777">
        <w:trPr>
          <w:trHeight w:val="300"/>
        </w:trPr>
        <w:tc>
          <w:tcPr>
            <w:tcW w:w="1054" w:type="dxa"/>
            <w:tcBorders>
              <w:top w:val="nil"/>
              <w:left w:val="single" w:color="auto" w:sz="4" w:space="0"/>
              <w:bottom w:val="nil"/>
              <w:right w:val="nil"/>
            </w:tcBorders>
            <w:shd w:val="clear" w:color="auto" w:fill="auto"/>
            <w:noWrap/>
            <w:vAlign w:val="bottom"/>
            <w:hideMark/>
          </w:tcPr>
          <w:p w:rsidRPr="00F36E36" w:rsidR="00341727" w:rsidP="00180EEB" w:rsidRDefault="00341727" w14:paraId="130590E6" w14:textId="77777777">
            <w:pPr>
              <w:suppressAutoHyphens/>
              <w:spacing w:line="240" w:lineRule="auto"/>
              <w:ind w:right="239"/>
              <w:rPr>
                <w:rFonts w:cs="Calibri"/>
                <w:color w:val="000000"/>
                <w:sz w:val="20"/>
                <w:szCs w:val="20"/>
              </w:rPr>
            </w:pPr>
            <w:r w:rsidRPr="00F36E36">
              <w:rPr>
                <w:rFonts w:cs="Calibri"/>
                <w:color w:val="000000"/>
                <w:sz w:val="20"/>
                <w:szCs w:val="20"/>
              </w:rPr>
              <w:t>2022</w:t>
            </w:r>
          </w:p>
        </w:tc>
        <w:tc>
          <w:tcPr>
            <w:tcW w:w="1698" w:type="dxa"/>
            <w:tcBorders>
              <w:top w:val="nil"/>
              <w:left w:val="single" w:color="auto" w:sz="4" w:space="0"/>
              <w:bottom w:val="nil"/>
              <w:right w:val="nil"/>
            </w:tcBorders>
            <w:shd w:val="clear" w:color="auto" w:fill="auto"/>
            <w:noWrap/>
            <w:vAlign w:val="center"/>
            <w:hideMark/>
          </w:tcPr>
          <w:p w:rsidRPr="00F36E36" w:rsidR="00341727" w:rsidP="00180EEB" w:rsidRDefault="00341727" w14:paraId="5794903C" w14:textId="77777777">
            <w:pPr>
              <w:suppressAutoHyphens/>
              <w:spacing w:line="240" w:lineRule="auto"/>
              <w:ind w:right="208"/>
              <w:rPr>
                <w:rFonts w:cs="Calibri"/>
                <w:color w:val="000000"/>
                <w:sz w:val="20"/>
                <w:szCs w:val="20"/>
              </w:rPr>
            </w:pPr>
            <w:r w:rsidRPr="00F36E36">
              <w:rPr>
                <w:sz w:val="20"/>
                <w:szCs w:val="20"/>
              </w:rPr>
              <w:t>108.279</w:t>
            </w:r>
          </w:p>
        </w:tc>
        <w:tc>
          <w:tcPr>
            <w:tcW w:w="1070" w:type="dxa"/>
            <w:tcBorders>
              <w:top w:val="nil"/>
              <w:left w:val="nil"/>
              <w:bottom w:val="nil"/>
              <w:right w:val="single" w:color="auto" w:sz="4" w:space="0"/>
            </w:tcBorders>
            <w:shd w:val="clear" w:color="auto" w:fill="auto"/>
            <w:noWrap/>
            <w:vAlign w:val="center"/>
            <w:hideMark/>
          </w:tcPr>
          <w:p w:rsidRPr="00F36E36" w:rsidR="00341727" w:rsidP="00180EEB" w:rsidRDefault="00341727" w14:paraId="796E2EFA" w14:textId="77777777">
            <w:pPr>
              <w:suppressAutoHyphens/>
              <w:spacing w:line="240" w:lineRule="auto"/>
              <w:ind w:right="208"/>
              <w:rPr>
                <w:rFonts w:cs="Calibri"/>
                <w:color w:val="000000"/>
                <w:sz w:val="20"/>
                <w:szCs w:val="20"/>
              </w:rPr>
            </w:pPr>
            <w:r w:rsidRPr="00F36E36">
              <w:rPr>
                <w:sz w:val="20"/>
                <w:szCs w:val="20"/>
              </w:rPr>
              <w:t>11,3%</w:t>
            </w:r>
          </w:p>
        </w:tc>
        <w:tc>
          <w:tcPr>
            <w:tcW w:w="2018" w:type="dxa"/>
            <w:tcBorders>
              <w:top w:val="nil"/>
              <w:left w:val="nil"/>
              <w:bottom w:val="nil"/>
              <w:right w:val="nil"/>
            </w:tcBorders>
            <w:shd w:val="clear" w:color="auto" w:fill="auto"/>
            <w:noWrap/>
            <w:vAlign w:val="bottom"/>
            <w:hideMark/>
          </w:tcPr>
          <w:p w:rsidRPr="00F36E36" w:rsidR="00341727" w:rsidP="00180EEB" w:rsidRDefault="00341727" w14:paraId="130D1D37" w14:textId="77777777">
            <w:pPr>
              <w:suppressAutoHyphens/>
              <w:spacing w:line="240" w:lineRule="auto"/>
              <w:ind w:right="208"/>
              <w:rPr>
                <w:rFonts w:cs="Calibri"/>
                <w:color w:val="000000"/>
                <w:sz w:val="20"/>
                <w:szCs w:val="20"/>
              </w:rPr>
            </w:pPr>
            <w:r w:rsidRPr="00F36E36">
              <w:rPr>
                <w:rFonts w:cs="Calibri"/>
                <w:color w:val="000000"/>
                <w:sz w:val="20"/>
                <w:szCs w:val="20"/>
              </w:rPr>
              <w:t>96.820</w:t>
            </w:r>
          </w:p>
        </w:tc>
        <w:tc>
          <w:tcPr>
            <w:tcW w:w="1014" w:type="dxa"/>
            <w:tcBorders>
              <w:top w:val="nil"/>
              <w:left w:val="nil"/>
              <w:bottom w:val="nil"/>
              <w:right w:val="single" w:color="auto" w:sz="4" w:space="0"/>
            </w:tcBorders>
            <w:shd w:val="clear" w:color="auto" w:fill="auto"/>
            <w:noWrap/>
            <w:vAlign w:val="bottom"/>
            <w:hideMark/>
          </w:tcPr>
          <w:p w:rsidRPr="00F36E36" w:rsidR="00341727" w:rsidP="00180EEB" w:rsidRDefault="00341727" w14:paraId="79268C23" w14:textId="77777777">
            <w:pPr>
              <w:suppressAutoHyphens/>
              <w:spacing w:line="240" w:lineRule="auto"/>
              <w:ind w:right="208"/>
              <w:rPr>
                <w:rFonts w:cs="Calibri"/>
                <w:color w:val="000000"/>
                <w:sz w:val="20"/>
                <w:szCs w:val="20"/>
              </w:rPr>
            </w:pPr>
            <w:r w:rsidRPr="00F36E36">
              <w:rPr>
                <w:rFonts w:cs="Calibri"/>
                <w:color w:val="000000"/>
                <w:sz w:val="20"/>
                <w:szCs w:val="20"/>
              </w:rPr>
              <w:t>10,1%</w:t>
            </w:r>
          </w:p>
        </w:tc>
      </w:tr>
      <w:tr w:rsidRPr="005F055E" w:rsidR="00341727" w:rsidTr="005E2643" w14:paraId="64A243BE" w14:textId="77777777">
        <w:trPr>
          <w:trHeight w:val="300"/>
        </w:trPr>
        <w:tc>
          <w:tcPr>
            <w:tcW w:w="1054" w:type="dxa"/>
            <w:tcBorders>
              <w:top w:val="nil"/>
              <w:left w:val="single" w:color="auto" w:sz="4" w:space="0"/>
              <w:bottom w:val="nil"/>
              <w:right w:val="nil"/>
            </w:tcBorders>
            <w:shd w:val="clear" w:color="auto" w:fill="auto"/>
            <w:noWrap/>
            <w:vAlign w:val="bottom"/>
          </w:tcPr>
          <w:p w:rsidRPr="00F36E36" w:rsidR="00341727" w:rsidP="00180EEB" w:rsidRDefault="00341727" w14:paraId="2CA7B216" w14:textId="77777777">
            <w:pPr>
              <w:suppressAutoHyphens/>
              <w:spacing w:line="240" w:lineRule="auto"/>
              <w:ind w:right="239"/>
              <w:rPr>
                <w:rFonts w:cs="Calibri"/>
                <w:color w:val="000000"/>
                <w:sz w:val="20"/>
                <w:szCs w:val="20"/>
              </w:rPr>
            </w:pPr>
            <w:r w:rsidRPr="00F36E36">
              <w:rPr>
                <w:rFonts w:cs="Calibri"/>
                <w:color w:val="000000"/>
                <w:sz w:val="20"/>
                <w:szCs w:val="20"/>
              </w:rPr>
              <w:t>2023*</w:t>
            </w:r>
          </w:p>
        </w:tc>
        <w:tc>
          <w:tcPr>
            <w:tcW w:w="1698" w:type="dxa"/>
            <w:tcBorders>
              <w:top w:val="nil"/>
              <w:left w:val="single" w:color="auto" w:sz="4" w:space="0"/>
              <w:bottom w:val="nil"/>
              <w:right w:val="nil"/>
            </w:tcBorders>
            <w:shd w:val="clear" w:color="auto" w:fill="auto"/>
            <w:noWrap/>
            <w:vAlign w:val="center"/>
          </w:tcPr>
          <w:p w:rsidRPr="00F36E36" w:rsidR="00341727" w:rsidP="00180EEB" w:rsidRDefault="00341727" w14:paraId="3867B77B" w14:textId="77777777">
            <w:pPr>
              <w:suppressAutoHyphens/>
              <w:spacing w:line="240" w:lineRule="auto"/>
              <w:ind w:right="208"/>
              <w:rPr>
                <w:rFonts w:cs="Calibri"/>
                <w:color w:val="000000"/>
                <w:sz w:val="20"/>
                <w:szCs w:val="20"/>
              </w:rPr>
            </w:pPr>
            <w:r w:rsidRPr="00F36E36">
              <w:rPr>
                <w:sz w:val="20"/>
                <w:szCs w:val="20"/>
              </w:rPr>
              <w:t>106.380</w:t>
            </w:r>
          </w:p>
        </w:tc>
        <w:tc>
          <w:tcPr>
            <w:tcW w:w="1070" w:type="dxa"/>
            <w:tcBorders>
              <w:top w:val="nil"/>
              <w:left w:val="nil"/>
              <w:bottom w:val="nil"/>
              <w:right w:val="single" w:color="auto" w:sz="4" w:space="0"/>
            </w:tcBorders>
            <w:shd w:val="clear" w:color="auto" w:fill="auto"/>
            <w:noWrap/>
            <w:vAlign w:val="center"/>
          </w:tcPr>
          <w:p w:rsidRPr="00F36E36" w:rsidR="00341727" w:rsidP="00180EEB" w:rsidRDefault="00341727" w14:paraId="7DF6BA14" w14:textId="77777777">
            <w:pPr>
              <w:suppressAutoHyphens/>
              <w:spacing w:line="240" w:lineRule="auto"/>
              <w:ind w:right="208"/>
              <w:rPr>
                <w:rFonts w:cs="Calibri"/>
                <w:color w:val="000000"/>
                <w:sz w:val="20"/>
                <w:szCs w:val="20"/>
              </w:rPr>
            </w:pPr>
            <w:r w:rsidRPr="00F36E36">
              <w:rPr>
                <w:sz w:val="20"/>
                <w:szCs w:val="20"/>
              </w:rPr>
              <w:t>10,1%</w:t>
            </w:r>
          </w:p>
        </w:tc>
        <w:tc>
          <w:tcPr>
            <w:tcW w:w="2018" w:type="dxa"/>
            <w:tcBorders>
              <w:top w:val="nil"/>
              <w:left w:val="nil"/>
              <w:bottom w:val="nil"/>
              <w:right w:val="nil"/>
            </w:tcBorders>
            <w:shd w:val="clear" w:color="auto" w:fill="auto"/>
            <w:noWrap/>
            <w:vAlign w:val="bottom"/>
          </w:tcPr>
          <w:p w:rsidRPr="00F36E36" w:rsidR="00341727" w:rsidP="00180EEB" w:rsidRDefault="00341727" w14:paraId="7D4D8DA5" w14:textId="77777777">
            <w:pPr>
              <w:suppressAutoHyphens/>
              <w:spacing w:line="240" w:lineRule="auto"/>
              <w:ind w:right="208"/>
              <w:rPr>
                <w:rFonts w:cs="Calibri"/>
                <w:color w:val="000000"/>
                <w:sz w:val="20"/>
                <w:szCs w:val="20"/>
              </w:rPr>
            </w:pPr>
            <w:r w:rsidRPr="00F36E36">
              <w:rPr>
                <w:rFonts w:cs="Calibri"/>
                <w:color w:val="000000"/>
                <w:sz w:val="20"/>
                <w:szCs w:val="20"/>
              </w:rPr>
              <w:t>104.961</w:t>
            </w:r>
          </w:p>
        </w:tc>
        <w:tc>
          <w:tcPr>
            <w:tcW w:w="1014" w:type="dxa"/>
            <w:tcBorders>
              <w:top w:val="nil"/>
              <w:left w:val="nil"/>
              <w:bottom w:val="nil"/>
              <w:right w:val="single" w:color="auto" w:sz="4" w:space="0"/>
            </w:tcBorders>
            <w:shd w:val="clear" w:color="auto" w:fill="auto"/>
            <w:noWrap/>
            <w:vAlign w:val="bottom"/>
          </w:tcPr>
          <w:p w:rsidRPr="00F36E36" w:rsidR="00341727" w:rsidP="00180EEB" w:rsidRDefault="00341727" w14:paraId="233FE0DD" w14:textId="77777777">
            <w:pPr>
              <w:suppressAutoHyphens/>
              <w:spacing w:line="240" w:lineRule="auto"/>
              <w:ind w:right="208"/>
              <w:rPr>
                <w:rFonts w:cs="Calibri"/>
                <w:color w:val="000000"/>
                <w:sz w:val="20"/>
                <w:szCs w:val="20"/>
              </w:rPr>
            </w:pPr>
            <w:r w:rsidRPr="00F36E36">
              <w:rPr>
                <w:rFonts w:cs="Calibri"/>
                <w:color w:val="000000"/>
                <w:sz w:val="20"/>
                <w:szCs w:val="20"/>
              </w:rPr>
              <w:t>9,8%</w:t>
            </w:r>
          </w:p>
        </w:tc>
      </w:tr>
      <w:tr w:rsidRPr="005F055E" w:rsidR="00341727" w:rsidTr="005E2643" w14:paraId="69DB795B" w14:textId="77777777">
        <w:trPr>
          <w:trHeight w:val="300"/>
        </w:trPr>
        <w:tc>
          <w:tcPr>
            <w:tcW w:w="1054" w:type="dxa"/>
            <w:tcBorders>
              <w:top w:val="nil"/>
              <w:left w:val="single" w:color="auto" w:sz="4" w:space="0"/>
              <w:bottom w:val="single" w:color="auto" w:sz="4" w:space="0"/>
              <w:right w:val="nil"/>
            </w:tcBorders>
            <w:shd w:val="clear" w:color="auto" w:fill="auto"/>
            <w:noWrap/>
            <w:vAlign w:val="bottom"/>
          </w:tcPr>
          <w:p w:rsidRPr="00F36E36" w:rsidR="00341727" w:rsidP="00180EEB" w:rsidRDefault="00341727" w14:paraId="400DB879" w14:textId="77777777">
            <w:pPr>
              <w:suppressAutoHyphens/>
              <w:spacing w:line="240" w:lineRule="auto"/>
              <w:ind w:right="239"/>
              <w:rPr>
                <w:rFonts w:cs="Calibri"/>
                <w:color w:val="000000"/>
                <w:sz w:val="20"/>
                <w:szCs w:val="20"/>
              </w:rPr>
            </w:pPr>
            <w:r w:rsidRPr="00F36E36">
              <w:rPr>
                <w:rFonts w:cs="Calibri"/>
                <w:color w:val="000000"/>
                <w:sz w:val="20"/>
                <w:szCs w:val="20"/>
              </w:rPr>
              <w:t>2024*</w:t>
            </w:r>
          </w:p>
        </w:tc>
        <w:tc>
          <w:tcPr>
            <w:tcW w:w="1698" w:type="dxa"/>
            <w:tcBorders>
              <w:top w:val="nil"/>
              <w:left w:val="single" w:color="auto" w:sz="4" w:space="0"/>
              <w:bottom w:val="single" w:color="auto" w:sz="4" w:space="0"/>
              <w:right w:val="nil"/>
            </w:tcBorders>
            <w:shd w:val="clear" w:color="auto" w:fill="auto"/>
            <w:noWrap/>
            <w:vAlign w:val="center"/>
          </w:tcPr>
          <w:p w:rsidRPr="00F36E36" w:rsidR="00341727" w:rsidP="00180EEB" w:rsidRDefault="00341727" w14:paraId="696ADBBC" w14:textId="77777777">
            <w:pPr>
              <w:suppressAutoHyphens/>
              <w:spacing w:line="240" w:lineRule="auto"/>
              <w:ind w:right="208"/>
              <w:rPr>
                <w:sz w:val="20"/>
                <w:szCs w:val="20"/>
              </w:rPr>
            </w:pPr>
            <w:r w:rsidRPr="00F36E36">
              <w:rPr>
                <w:sz w:val="20"/>
                <w:szCs w:val="20"/>
              </w:rPr>
              <w:t>114.957</w:t>
            </w:r>
          </w:p>
        </w:tc>
        <w:tc>
          <w:tcPr>
            <w:tcW w:w="1070" w:type="dxa"/>
            <w:tcBorders>
              <w:top w:val="nil"/>
              <w:left w:val="nil"/>
              <w:bottom w:val="single" w:color="auto" w:sz="4" w:space="0"/>
              <w:right w:val="single" w:color="auto" w:sz="4" w:space="0"/>
            </w:tcBorders>
            <w:shd w:val="clear" w:color="auto" w:fill="auto"/>
            <w:noWrap/>
            <w:vAlign w:val="center"/>
          </w:tcPr>
          <w:p w:rsidRPr="00F36E36" w:rsidR="00341727" w:rsidP="00180EEB" w:rsidRDefault="00341727" w14:paraId="437CBD13" w14:textId="77777777">
            <w:pPr>
              <w:suppressAutoHyphens/>
              <w:spacing w:line="240" w:lineRule="auto"/>
              <w:ind w:right="208"/>
              <w:rPr>
                <w:sz w:val="20"/>
                <w:szCs w:val="20"/>
              </w:rPr>
            </w:pPr>
            <w:r w:rsidRPr="00F36E36">
              <w:rPr>
                <w:sz w:val="20"/>
                <w:szCs w:val="20"/>
              </w:rPr>
              <w:t>10,2%</w:t>
            </w:r>
          </w:p>
        </w:tc>
        <w:tc>
          <w:tcPr>
            <w:tcW w:w="2018" w:type="dxa"/>
            <w:tcBorders>
              <w:top w:val="nil"/>
              <w:left w:val="nil"/>
              <w:bottom w:val="single" w:color="auto" w:sz="4" w:space="0"/>
              <w:right w:val="nil"/>
            </w:tcBorders>
            <w:shd w:val="clear" w:color="auto" w:fill="auto"/>
            <w:noWrap/>
            <w:vAlign w:val="bottom"/>
          </w:tcPr>
          <w:p w:rsidRPr="00F36E36" w:rsidR="00341727" w:rsidP="00180EEB" w:rsidRDefault="00341727" w14:paraId="236E4C75" w14:textId="77777777">
            <w:pPr>
              <w:suppressAutoHyphens/>
              <w:spacing w:line="240" w:lineRule="auto"/>
              <w:ind w:right="208"/>
              <w:rPr>
                <w:rFonts w:cs="Calibri"/>
                <w:color w:val="000000"/>
                <w:sz w:val="20"/>
                <w:szCs w:val="20"/>
              </w:rPr>
            </w:pPr>
            <w:r w:rsidRPr="00F36E36">
              <w:rPr>
                <w:rFonts w:cs="Calibri"/>
                <w:color w:val="000000"/>
                <w:sz w:val="20"/>
                <w:szCs w:val="20"/>
              </w:rPr>
              <w:t>113.474</w:t>
            </w:r>
          </w:p>
        </w:tc>
        <w:tc>
          <w:tcPr>
            <w:tcW w:w="1014" w:type="dxa"/>
            <w:tcBorders>
              <w:top w:val="nil"/>
              <w:left w:val="nil"/>
              <w:bottom w:val="single" w:color="auto" w:sz="4" w:space="0"/>
              <w:right w:val="single" w:color="auto" w:sz="4" w:space="0"/>
            </w:tcBorders>
            <w:shd w:val="clear" w:color="auto" w:fill="auto"/>
            <w:noWrap/>
            <w:vAlign w:val="bottom"/>
          </w:tcPr>
          <w:p w:rsidRPr="00F36E36" w:rsidR="00341727" w:rsidP="00180EEB" w:rsidRDefault="00341727" w14:paraId="5977F414" w14:textId="77777777">
            <w:pPr>
              <w:suppressAutoHyphens/>
              <w:spacing w:line="240" w:lineRule="auto"/>
              <w:ind w:right="208"/>
              <w:rPr>
                <w:rFonts w:cs="Calibri"/>
                <w:color w:val="000000"/>
                <w:sz w:val="20"/>
                <w:szCs w:val="20"/>
              </w:rPr>
            </w:pPr>
            <w:r w:rsidRPr="00F36E36">
              <w:rPr>
                <w:rFonts w:cs="Calibri"/>
                <w:color w:val="000000"/>
                <w:sz w:val="20"/>
                <w:szCs w:val="20"/>
              </w:rPr>
              <w:t>10,0%</w:t>
            </w:r>
          </w:p>
        </w:tc>
      </w:tr>
    </w:tbl>
    <w:p w:rsidRPr="005F055E" w:rsidR="00341727" w:rsidP="00180EEB" w:rsidRDefault="00341727" w14:paraId="52EB078A" w14:textId="1D34BBDE">
      <w:pPr>
        <w:suppressAutoHyphens/>
        <w:rPr>
          <w:szCs w:val="18"/>
        </w:rPr>
      </w:pPr>
      <w:r w:rsidRPr="005F055E">
        <w:t>* Begin 2025 heeft het CBS de tabel over zorguitgaven gereviseerd. De cijfers over 2023 en 2024 sluiten aan op deze revisie. De gegevens t/m 2022 zijn van vóór revisie.</w:t>
      </w:r>
    </w:p>
    <w:p w:rsidRPr="00056279" w:rsidR="00341727" w:rsidP="00180EEB" w:rsidRDefault="00341727" w14:paraId="1D8D1AFE" w14:textId="77777777">
      <w:pPr>
        <w:suppressAutoHyphens/>
        <w:rPr>
          <w:lang w:val="es-ES"/>
        </w:rPr>
      </w:pPr>
      <w:r w:rsidRPr="00056279">
        <w:rPr>
          <w:lang w:val="es-ES"/>
        </w:rPr>
        <w:t xml:space="preserve">Bron: </w:t>
      </w:r>
      <w:r>
        <w:fldChar w:fldCharType="begin"/>
      </w:r>
      <w:r w:rsidRPr="00680E2F">
        <w:rPr>
          <w:lang w:val="es-ES"/>
        </w:rPr>
        <w:instrText>HYPERLINK "https://opendata.cbs.nl/" \l "/CBS/nl/dataset/86015NED/table?dl=C7EF4"</w:instrText>
      </w:r>
      <w:r>
        <w:fldChar w:fldCharType="separate"/>
      </w:r>
      <w:r w:rsidRPr="00056279">
        <w:rPr>
          <w:rStyle w:val="Hyperlink"/>
          <w:lang w:val="es-ES"/>
        </w:rPr>
        <w:t>https://opendata.cbs.nl/#/CBS/nl/dataset/86015NED/table?dl=C7EF4</w:t>
      </w:r>
      <w:r>
        <w:fldChar w:fldCharType="end"/>
      </w:r>
      <w:r w:rsidRPr="00056279">
        <w:rPr>
          <w:lang w:val="es-ES"/>
        </w:rPr>
        <w:t xml:space="preserve"> en</w:t>
      </w:r>
    </w:p>
    <w:p w:rsidRPr="00056279" w:rsidR="00341727" w:rsidP="00180EEB" w:rsidRDefault="00341727" w14:paraId="49513E4A" w14:textId="77777777">
      <w:pPr>
        <w:suppressAutoHyphens/>
        <w:rPr>
          <w:lang w:val="es-ES"/>
        </w:rPr>
      </w:pPr>
      <w:r>
        <w:fldChar w:fldCharType="begin"/>
      </w:r>
      <w:r w:rsidRPr="00680E2F">
        <w:rPr>
          <w:lang w:val="es-ES"/>
        </w:rPr>
        <w:instrText>HYPERLINK "https://opendata.cbs.nl/" \l "/CBS/nl/dataset/84047NED/table?dl=AD561"</w:instrText>
      </w:r>
      <w:r>
        <w:fldChar w:fldCharType="separate"/>
      </w:r>
      <w:r w:rsidRPr="00056279">
        <w:rPr>
          <w:rStyle w:val="Hyperlink"/>
          <w:lang w:val="es-ES"/>
        </w:rPr>
        <w:t>https://opendata.cbs.nl/#/CBS/nl/dataset/84047NED/table?dl=AD561</w:t>
      </w:r>
      <w:r>
        <w:fldChar w:fldCharType="end"/>
      </w:r>
      <w:r w:rsidRPr="00056279">
        <w:rPr>
          <w:lang w:val="es-ES"/>
        </w:rPr>
        <w:t xml:space="preserve"> </w:t>
      </w:r>
    </w:p>
    <w:p w:rsidRPr="005F055E" w:rsidR="00341727" w:rsidP="00180EEB" w:rsidRDefault="00341727" w14:paraId="50E1A829" w14:textId="0B17E781">
      <w:pPr>
        <w:suppressAutoHyphens/>
      </w:pPr>
      <w:r w:rsidRPr="005F055E">
        <w:t>NB De gegevens over 2025 zijn nog niet bekend.</w:t>
      </w:r>
    </w:p>
    <w:p w:rsidRPr="005F055E" w:rsidR="00912A7D" w:rsidP="00180EEB" w:rsidRDefault="00341727" w14:paraId="6DD0FA3C" w14:textId="4DE1DB37">
      <w:pPr>
        <w:suppressAutoHyphens/>
      </w:pPr>
      <w:r w:rsidRPr="005F055E">
        <w:t>Omdat de hoogte van toekomstige zorguitgaven afhangt van de demografie, de impact van technologische en maatschappelijke ontwikkelingen, de economische groei en de impact van toekomstig beleid, is deze moeilijk te voorspellen. Voor de beide RIVM-definities zijn er geen toekomstprojecties beschikbaar voor verwachte zorguitgaven. Het CPB kent wel een raming voor de periode 2026-2030, maar die is gebaseerd op een andere definitie, die niet simpelweg valt toe te passen op de uitgaven volgens de definities van het RIVM.</w:t>
      </w:r>
    </w:p>
    <w:p w:rsidRPr="005F055E" w:rsidR="00912A7D" w:rsidP="00180EEB" w:rsidRDefault="00912A7D" w14:paraId="3CA0EA8B" w14:textId="77777777">
      <w:pPr>
        <w:suppressAutoHyphens/>
      </w:pPr>
    </w:p>
    <w:p w:rsidRPr="005F055E" w:rsidR="00912A7D" w:rsidP="00180EEB" w:rsidRDefault="003E7003" w14:paraId="703E67B3" w14:textId="77777777">
      <w:pPr>
        <w:suppressAutoHyphens/>
      </w:pPr>
      <w:r w:rsidRPr="005F055E">
        <w:t>Vraag 172</w:t>
      </w:r>
      <w:r w:rsidRPr="005F055E">
        <w:tab/>
      </w:r>
    </w:p>
    <w:p w:rsidRPr="005F055E" w:rsidR="00912A7D" w:rsidP="00180EEB" w:rsidRDefault="003E7003" w14:paraId="6D3F96BC" w14:textId="1711F6D7">
      <w:pPr>
        <w:suppressAutoHyphens/>
      </w:pPr>
      <w:r w:rsidRPr="005F055E">
        <w:t>Wat is de ontwikkeling van het Uitgavenplafond Zorg in relatie tot de ontwikkeling van het bbp in de jaren 2010–2025? Wat is de prognose voor de jaren 2026–2030? Kunt u dit in een tabel weergeven?</w:t>
      </w:r>
      <w:r w:rsidRPr="005F055E">
        <w:tab/>
      </w:r>
    </w:p>
    <w:p w:rsidRPr="005F055E" w:rsidR="003E7003" w:rsidP="00180EEB" w:rsidRDefault="003E7003" w14:paraId="7AC1BE71" w14:textId="251D39D0">
      <w:pPr>
        <w:suppressAutoHyphens/>
      </w:pPr>
      <w:r w:rsidRPr="005F055E">
        <w:t>Antwoord</w:t>
      </w:r>
    </w:p>
    <w:p w:rsidRPr="005F055E" w:rsidR="00341727" w:rsidP="00180EEB" w:rsidRDefault="00341727" w14:paraId="53B04AE2" w14:textId="7EF66678">
      <w:pPr>
        <w:suppressAutoHyphens/>
        <w:rPr>
          <w:szCs w:val="18"/>
        </w:rPr>
      </w:pPr>
      <w:r w:rsidRPr="005F055E">
        <w:rPr>
          <w:szCs w:val="18"/>
        </w:rPr>
        <w:t>In onderstaande tabel staat de netto gecorrigeerde zorguitgaven (</w:t>
      </w:r>
      <w:proofErr w:type="spellStart"/>
      <w:r w:rsidRPr="005F055E">
        <w:rPr>
          <w:szCs w:val="18"/>
        </w:rPr>
        <w:t>Zvw</w:t>
      </w:r>
      <w:proofErr w:type="spellEnd"/>
      <w:r w:rsidRPr="005F055E">
        <w:rPr>
          <w:szCs w:val="18"/>
        </w:rPr>
        <w:t xml:space="preserve">, </w:t>
      </w:r>
      <w:proofErr w:type="spellStart"/>
      <w:r w:rsidRPr="005F055E">
        <w:rPr>
          <w:szCs w:val="18"/>
        </w:rPr>
        <w:t>Wlz</w:t>
      </w:r>
      <w:proofErr w:type="spellEnd"/>
      <w:r w:rsidRPr="005F055E">
        <w:rPr>
          <w:szCs w:val="18"/>
        </w:rPr>
        <w:t xml:space="preserve">, </w:t>
      </w:r>
      <w:proofErr w:type="spellStart"/>
      <w:r w:rsidRPr="005F055E">
        <w:rPr>
          <w:szCs w:val="18"/>
        </w:rPr>
        <w:t>Wmo</w:t>
      </w:r>
      <w:proofErr w:type="spellEnd"/>
      <w:r w:rsidRPr="005F055E">
        <w:rPr>
          <w:szCs w:val="18"/>
        </w:rPr>
        <w:t xml:space="preserve"> beschermd wonen en AP-middelen</w:t>
      </w:r>
      <w:r w:rsidRPr="005F055E">
        <w:rPr>
          <w:rStyle w:val="Voetnootmarkering"/>
          <w:szCs w:val="18"/>
        </w:rPr>
        <w:footnoteReference w:id="62"/>
      </w:r>
      <w:r w:rsidRPr="005F055E">
        <w:rPr>
          <w:szCs w:val="18"/>
        </w:rPr>
        <w:t>) in relatie tot de ontwikkeling van het bruto binnenlands product (BBP) in de jaren 2010-2025 en de prognose voor de jaren 2026-2030.</w:t>
      </w:r>
    </w:p>
    <w:p w:rsidR="00341727" w:rsidP="00180EEB" w:rsidRDefault="00341727" w14:paraId="7D343AA6" w14:textId="4DC5FAA9">
      <w:pPr>
        <w:suppressAutoHyphens/>
        <w:rPr>
          <w:szCs w:val="18"/>
        </w:rPr>
      </w:pPr>
      <w:r w:rsidRPr="005F055E">
        <w:rPr>
          <w:szCs w:val="18"/>
        </w:rPr>
        <w:t>Het percentage dat de verhouding van de zorguitgaven ten opzichte van het BBP weergeeft fluctueert. Dit wordt met name veroorzaakt door de economische schommelingen. In jaren waar het BBP minder hard groeit of krimpt stijgt het percentage en in de jaren dat het BBP toeneemt vice versa. Wel is vanaf 2026 een opwaartse trend te zien.</w:t>
      </w:r>
    </w:p>
    <w:p w:rsidR="006D333D" w:rsidP="00180EEB" w:rsidRDefault="006D333D" w14:paraId="315083E6" w14:textId="77777777">
      <w:pPr>
        <w:suppressAutoHyphens/>
        <w:rPr>
          <w:szCs w:val="18"/>
        </w:rPr>
      </w:pPr>
    </w:p>
    <w:p w:rsidR="006D333D" w:rsidP="00180EEB" w:rsidRDefault="006D333D" w14:paraId="6DB38264" w14:textId="77777777">
      <w:pPr>
        <w:suppressAutoHyphens/>
        <w:rPr>
          <w:szCs w:val="18"/>
        </w:rPr>
      </w:pPr>
    </w:p>
    <w:p w:rsidR="006D333D" w:rsidP="00180EEB" w:rsidRDefault="006D333D" w14:paraId="41E3F9A2" w14:textId="77777777">
      <w:pPr>
        <w:suppressAutoHyphens/>
        <w:rPr>
          <w:szCs w:val="18"/>
        </w:rPr>
      </w:pPr>
    </w:p>
    <w:p w:rsidRPr="005F055E" w:rsidR="006D333D" w:rsidP="00180EEB" w:rsidRDefault="006D333D" w14:paraId="4E2302DB" w14:textId="77777777">
      <w:pPr>
        <w:suppressAutoHyphens/>
        <w:rPr>
          <w:szCs w:val="18"/>
        </w:rPr>
      </w:pPr>
    </w:p>
    <w:tbl>
      <w:tblPr>
        <w:tblW w:w="4931" w:type="pct"/>
        <w:tblCellMar>
          <w:left w:w="70" w:type="dxa"/>
          <w:right w:w="70" w:type="dxa"/>
        </w:tblCellMar>
        <w:tblLook w:val="04A0" w:firstRow="1" w:lastRow="0" w:firstColumn="1" w:lastColumn="0" w:noHBand="0" w:noVBand="1"/>
      </w:tblPr>
      <w:tblGrid>
        <w:gridCol w:w="3205"/>
        <w:gridCol w:w="596"/>
        <w:gridCol w:w="598"/>
        <w:gridCol w:w="599"/>
        <w:gridCol w:w="599"/>
        <w:gridCol w:w="694"/>
        <w:gridCol w:w="806"/>
        <w:gridCol w:w="599"/>
        <w:gridCol w:w="599"/>
        <w:gridCol w:w="598"/>
      </w:tblGrid>
      <w:tr w:rsidRPr="005F055E" w:rsidR="00341727" w:rsidTr="005E2643" w14:paraId="3A2FB463" w14:textId="77777777">
        <w:trPr>
          <w:trHeight w:val="483"/>
        </w:trPr>
        <w:tc>
          <w:tcPr>
            <w:tcW w:w="5000" w:type="pct"/>
            <w:gridSpan w:val="10"/>
            <w:tcBorders>
              <w:top w:val="single" w:color="auto" w:sz="4" w:space="0"/>
              <w:left w:val="single" w:color="auto" w:sz="4" w:space="0"/>
              <w:bottom w:val="single" w:color="auto" w:sz="8" w:space="0"/>
              <w:right w:val="single" w:color="000000" w:sz="4" w:space="0"/>
            </w:tcBorders>
            <w:shd w:val="clear" w:color="000000" w:fill="000000"/>
            <w:vAlign w:val="center"/>
            <w:hideMark/>
          </w:tcPr>
          <w:p w:rsidRPr="005F055E" w:rsidR="00341727" w:rsidP="00180EEB" w:rsidRDefault="00341727" w14:paraId="57BAF401" w14:textId="77777777">
            <w:pPr>
              <w:suppressAutoHyphens/>
              <w:spacing w:line="240" w:lineRule="auto"/>
              <w:rPr>
                <w:rFonts w:cs="Calibri"/>
                <w:b/>
                <w:bCs/>
                <w:color w:val="FFFFFF"/>
                <w:sz w:val="14"/>
                <w:szCs w:val="14"/>
              </w:rPr>
            </w:pPr>
            <w:r w:rsidRPr="005F055E">
              <w:rPr>
                <w:rFonts w:cs="Calibri"/>
                <w:b/>
                <w:bCs/>
                <w:color w:val="FFFFFF"/>
                <w:sz w:val="14"/>
                <w:szCs w:val="14"/>
              </w:rPr>
              <w:t xml:space="preserve">Tabel ontwikkeling netto gecorrigeerde zorguitgaven in relatie tot ontwikkeling BBP 2010-2025 en prognose 2026-2030 (bedragen x € 1 miljard) </w:t>
            </w:r>
            <w:r w:rsidRPr="005F055E">
              <w:rPr>
                <w:rFonts w:cs="Calibri"/>
                <w:b/>
                <w:bCs/>
                <w:color w:val="FFFFFF"/>
                <w:sz w:val="14"/>
                <w:szCs w:val="14"/>
                <w:vertAlign w:val="superscript"/>
              </w:rPr>
              <w:t>1</w:t>
            </w:r>
          </w:p>
        </w:tc>
      </w:tr>
      <w:tr w:rsidRPr="005F055E" w:rsidR="00341727" w:rsidTr="005E2643" w14:paraId="3664C779" w14:textId="77777777">
        <w:trPr>
          <w:trHeight w:val="170"/>
        </w:trPr>
        <w:tc>
          <w:tcPr>
            <w:tcW w:w="1802" w:type="pct"/>
            <w:tcBorders>
              <w:top w:val="nil"/>
              <w:left w:val="single" w:color="auto" w:sz="4" w:space="0"/>
              <w:bottom w:val="single" w:color="auto" w:sz="8" w:space="0"/>
              <w:right w:val="single" w:color="auto" w:sz="4" w:space="0"/>
            </w:tcBorders>
            <w:shd w:val="clear" w:color="000000" w:fill="DAEEF3"/>
            <w:vAlign w:val="center"/>
            <w:hideMark/>
          </w:tcPr>
          <w:p w:rsidRPr="005F055E" w:rsidR="00341727" w:rsidP="00180EEB" w:rsidRDefault="00341727" w14:paraId="532814A1" w14:textId="77777777">
            <w:pPr>
              <w:suppressAutoHyphens/>
              <w:spacing w:line="240" w:lineRule="auto"/>
              <w:rPr>
                <w:rFonts w:cs="Calibri"/>
                <w:color w:val="000000"/>
                <w:sz w:val="14"/>
                <w:szCs w:val="14"/>
              </w:rPr>
            </w:pPr>
            <w:r w:rsidRPr="005F055E">
              <w:rPr>
                <w:rFonts w:cs="Calibri"/>
                <w:color w:val="000000"/>
                <w:sz w:val="14"/>
                <w:szCs w:val="14"/>
              </w:rPr>
              <w:t> </w:t>
            </w:r>
          </w:p>
        </w:tc>
        <w:tc>
          <w:tcPr>
            <w:tcW w:w="335" w:type="pct"/>
            <w:tcBorders>
              <w:top w:val="nil"/>
              <w:left w:val="nil"/>
              <w:bottom w:val="single" w:color="auto" w:sz="8" w:space="0"/>
              <w:right w:val="single" w:color="auto" w:sz="4" w:space="0"/>
            </w:tcBorders>
            <w:shd w:val="clear" w:color="000000" w:fill="DAEEF3"/>
            <w:vAlign w:val="center"/>
            <w:hideMark/>
          </w:tcPr>
          <w:p w:rsidRPr="005F055E" w:rsidR="00341727" w:rsidP="00180EEB" w:rsidRDefault="00341727" w14:paraId="43AC3616" w14:textId="77777777">
            <w:pPr>
              <w:suppressAutoHyphens/>
              <w:spacing w:line="240" w:lineRule="auto"/>
              <w:rPr>
                <w:rFonts w:cs="Calibri"/>
                <w:color w:val="000000"/>
                <w:sz w:val="14"/>
                <w:szCs w:val="14"/>
              </w:rPr>
            </w:pPr>
            <w:r w:rsidRPr="005F055E">
              <w:rPr>
                <w:rFonts w:cs="Calibri"/>
                <w:color w:val="000000"/>
                <w:sz w:val="14"/>
                <w:szCs w:val="14"/>
              </w:rPr>
              <w:t>2010</w:t>
            </w:r>
          </w:p>
        </w:tc>
        <w:tc>
          <w:tcPr>
            <w:tcW w:w="336" w:type="pct"/>
            <w:tcBorders>
              <w:top w:val="nil"/>
              <w:left w:val="nil"/>
              <w:bottom w:val="single" w:color="auto" w:sz="8" w:space="0"/>
              <w:right w:val="single" w:color="auto" w:sz="4" w:space="0"/>
            </w:tcBorders>
            <w:shd w:val="clear" w:color="000000" w:fill="DAEEF3"/>
            <w:vAlign w:val="center"/>
            <w:hideMark/>
          </w:tcPr>
          <w:p w:rsidRPr="005F055E" w:rsidR="00341727" w:rsidP="00180EEB" w:rsidRDefault="00341727" w14:paraId="40A3BC6A" w14:textId="77777777">
            <w:pPr>
              <w:suppressAutoHyphens/>
              <w:spacing w:line="240" w:lineRule="auto"/>
              <w:rPr>
                <w:rFonts w:cs="Calibri"/>
                <w:color w:val="000000"/>
                <w:sz w:val="14"/>
                <w:szCs w:val="14"/>
              </w:rPr>
            </w:pPr>
            <w:r w:rsidRPr="005F055E">
              <w:rPr>
                <w:rFonts w:cs="Calibri"/>
                <w:color w:val="000000"/>
                <w:sz w:val="14"/>
                <w:szCs w:val="14"/>
              </w:rPr>
              <w:t>2011</w:t>
            </w:r>
          </w:p>
        </w:tc>
        <w:tc>
          <w:tcPr>
            <w:tcW w:w="337" w:type="pct"/>
            <w:tcBorders>
              <w:top w:val="nil"/>
              <w:left w:val="nil"/>
              <w:bottom w:val="single" w:color="auto" w:sz="8" w:space="0"/>
              <w:right w:val="single" w:color="auto" w:sz="4" w:space="0"/>
            </w:tcBorders>
            <w:shd w:val="clear" w:color="000000" w:fill="DAEEF3"/>
            <w:vAlign w:val="center"/>
            <w:hideMark/>
          </w:tcPr>
          <w:p w:rsidRPr="005F055E" w:rsidR="00341727" w:rsidP="00180EEB" w:rsidRDefault="00341727" w14:paraId="648000DA" w14:textId="77777777">
            <w:pPr>
              <w:suppressAutoHyphens/>
              <w:spacing w:line="240" w:lineRule="auto"/>
              <w:rPr>
                <w:rFonts w:cs="Calibri"/>
                <w:color w:val="000000"/>
                <w:sz w:val="14"/>
                <w:szCs w:val="14"/>
              </w:rPr>
            </w:pPr>
            <w:r w:rsidRPr="005F055E">
              <w:rPr>
                <w:rFonts w:cs="Calibri"/>
                <w:color w:val="000000"/>
                <w:sz w:val="14"/>
                <w:szCs w:val="14"/>
              </w:rPr>
              <w:t>2012</w:t>
            </w:r>
          </w:p>
        </w:tc>
        <w:tc>
          <w:tcPr>
            <w:tcW w:w="337" w:type="pct"/>
            <w:tcBorders>
              <w:top w:val="nil"/>
              <w:left w:val="nil"/>
              <w:bottom w:val="single" w:color="auto" w:sz="8" w:space="0"/>
              <w:right w:val="single" w:color="auto" w:sz="4" w:space="0"/>
            </w:tcBorders>
            <w:shd w:val="clear" w:color="000000" w:fill="DAEEF3"/>
            <w:vAlign w:val="center"/>
            <w:hideMark/>
          </w:tcPr>
          <w:p w:rsidRPr="005F055E" w:rsidR="00341727" w:rsidP="00180EEB" w:rsidRDefault="00341727" w14:paraId="1DAD9CF0" w14:textId="77777777">
            <w:pPr>
              <w:suppressAutoHyphens/>
              <w:spacing w:line="240" w:lineRule="auto"/>
              <w:rPr>
                <w:rFonts w:cs="Calibri"/>
                <w:color w:val="000000"/>
                <w:sz w:val="14"/>
                <w:szCs w:val="14"/>
              </w:rPr>
            </w:pPr>
            <w:r w:rsidRPr="005F055E">
              <w:rPr>
                <w:rFonts w:cs="Calibri"/>
                <w:color w:val="000000"/>
                <w:sz w:val="14"/>
                <w:szCs w:val="14"/>
              </w:rPr>
              <w:t>2013</w:t>
            </w:r>
          </w:p>
        </w:tc>
        <w:tc>
          <w:tcPr>
            <w:tcW w:w="390" w:type="pct"/>
            <w:tcBorders>
              <w:top w:val="nil"/>
              <w:left w:val="nil"/>
              <w:bottom w:val="single" w:color="auto" w:sz="8" w:space="0"/>
              <w:right w:val="single" w:color="auto" w:sz="4" w:space="0"/>
            </w:tcBorders>
            <w:shd w:val="clear" w:color="000000" w:fill="DAEEF3"/>
            <w:vAlign w:val="center"/>
            <w:hideMark/>
          </w:tcPr>
          <w:p w:rsidRPr="005F055E" w:rsidR="00341727" w:rsidP="00180EEB" w:rsidRDefault="00341727" w14:paraId="286A72B0" w14:textId="77777777">
            <w:pPr>
              <w:suppressAutoHyphens/>
              <w:spacing w:line="240" w:lineRule="auto"/>
              <w:rPr>
                <w:rFonts w:cs="Calibri"/>
                <w:color w:val="000000"/>
                <w:sz w:val="14"/>
                <w:szCs w:val="14"/>
              </w:rPr>
            </w:pPr>
            <w:r w:rsidRPr="005F055E">
              <w:rPr>
                <w:rFonts w:cs="Calibri"/>
                <w:color w:val="000000"/>
                <w:sz w:val="14"/>
                <w:szCs w:val="14"/>
              </w:rPr>
              <w:t>2014</w:t>
            </w:r>
            <w:r w:rsidRPr="005F055E">
              <w:rPr>
                <w:rStyle w:val="Voetnootmarkering"/>
                <w:rFonts w:cs="Calibri"/>
                <w:color w:val="000000"/>
                <w:sz w:val="14"/>
                <w:szCs w:val="14"/>
              </w:rPr>
              <w:footnoteReference w:id="63"/>
            </w:r>
          </w:p>
        </w:tc>
        <w:tc>
          <w:tcPr>
            <w:tcW w:w="453" w:type="pct"/>
            <w:tcBorders>
              <w:top w:val="nil"/>
              <w:left w:val="nil"/>
              <w:bottom w:val="single" w:color="auto" w:sz="8" w:space="0"/>
              <w:right w:val="single" w:color="auto" w:sz="4" w:space="0"/>
            </w:tcBorders>
            <w:shd w:val="clear" w:color="000000" w:fill="DAEEF3"/>
            <w:vAlign w:val="center"/>
            <w:hideMark/>
          </w:tcPr>
          <w:p w:rsidRPr="005F055E" w:rsidR="00341727" w:rsidP="00180EEB" w:rsidRDefault="00341727" w14:paraId="16BE9911" w14:textId="77777777">
            <w:pPr>
              <w:suppressAutoHyphens/>
              <w:spacing w:line="240" w:lineRule="auto"/>
              <w:rPr>
                <w:rFonts w:cs="Calibri"/>
                <w:color w:val="000000"/>
                <w:sz w:val="14"/>
                <w:szCs w:val="14"/>
              </w:rPr>
            </w:pPr>
            <w:r w:rsidRPr="005F055E">
              <w:rPr>
                <w:rFonts w:cs="Calibri"/>
                <w:color w:val="000000"/>
                <w:sz w:val="14"/>
                <w:szCs w:val="14"/>
              </w:rPr>
              <w:t>2015</w:t>
            </w:r>
            <w:r w:rsidRPr="005F055E">
              <w:rPr>
                <w:rFonts w:cs="Calibri"/>
                <w:color w:val="000000"/>
                <w:sz w:val="14"/>
                <w:szCs w:val="14"/>
                <w:vertAlign w:val="superscript"/>
              </w:rPr>
              <w:t xml:space="preserve"> </w:t>
            </w:r>
            <w:r w:rsidRPr="005F055E">
              <w:rPr>
                <w:rStyle w:val="Voetnootmarkering"/>
                <w:rFonts w:cs="Calibri"/>
                <w:color w:val="000000"/>
                <w:sz w:val="14"/>
                <w:szCs w:val="14"/>
              </w:rPr>
              <w:footnoteReference w:id="64"/>
            </w:r>
            <w:r w:rsidRPr="005F055E">
              <w:rPr>
                <w:rFonts w:cs="Calibri"/>
                <w:color w:val="000000"/>
                <w:sz w:val="14"/>
                <w:szCs w:val="14"/>
                <w:vertAlign w:val="superscript"/>
              </w:rPr>
              <w:t>+</w:t>
            </w:r>
            <w:r w:rsidRPr="005F055E">
              <w:rPr>
                <w:rStyle w:val="Voetnootmarkering"/>
                <w:rFonts w:cs="Calibri"/>
                <w:color w:val="000000"/>
                <w:sz w:val="14"/>
                <w:szCs w:val="14"/>
              </w:rPr>
              <w:footnoteReference w:id="65"/>
            </w:r>
          </w:p>
        </w:tc>
        <w:tc>
          <w:tcPr>
            <w:tcW w:w="337" w:type="pct"/>
            <w:tcBorders>
              <w:top w:val="nil"/>
              <w:left w:val="nil"/>
              <w:bottom w:val="single" w:color="auto" w:sz="8" w:space="0"/>
              <w:right w:val="single" w:color="auto" w:sz="4" w:space="0"/>
            </w:tcBorders>
            <w:shd w:val="clear" w:color="000000" w:fill="DAEEF3"/>
            <w:vAlign w:val="center"/>
            <w:hideMark/>
          </w:tcPr>
          <w:p w:rsidRPr="005F055E" w:rsidR="00341727" w:rsidP="00180EEB" w:rsidRDefault="00341727" w14:paraId="2902CD76" w14:textId="77777777">
            <w:pPr>
              <w:suppressAutoHyphens/>
              <w:spacing w:line="240" w:lineRule="auto"/>
              <w:rPr>
                <w:rFonts w:cs="Calibri"/>
                <w:color w:val="000000"/>
                <w:sz w:val="14"/>
                <w:szCs w:val="14"/>
              </w:rPr>
            </w:pPr>
            <w:r w:rsidRPr="005F055E">
              <w:rPr>
                <w:rFonts w:cs="Calibri"/>
                <w:color w:val="000000"/>
                <w:sz w:val="14"/>
                <w:szCs w:val="14"/>
              </w:rPr>
              <w:t>2016</w:t>
            </w:r>
          </w:p>
        </w:tc>
        <w:tc>
          <w:tcPr>
            <w:tcW w:w="337" w:type="pct"/>
            <w:tcBorders>
              <w:top w:val="nil"/>
              <w:left w:val="nil"/>
              <w:bottom w:val="single" w:color="auto" w:sz="8" w:space="0"/>
              <w:right w:val="single" w:color="auto" w:sz="4" w:space="0"/>
            </w:tcBorders>
            <w:shd w:val="clear" w:color="000000" w:fill="DAEEF3"/>
            <w:vAlign w:val="center"/>
            <w:hideMark/>
          </w:tcPr>
          <w:p w:rsidRPr="005F055E" w:rsidR="00341727" w:rsidP="00180EEB" w:rsidRDefault="00341727" w14:paraId="6B90E8C1" w14:textId="77777777">
            <w:pPr>
              <w:suppressAutoHyphens/>
              <w:spacing w:line="240" w:lineRule="auto"/>
              <w:rPr>
                <w:rFonts w:cs="Calibri"/>
                <w:color w:val="000000"/>
                <w:sz w:val="14"/>
                <w:szCs w:val="14"/>
              </w:rPr>
            </w:pPr>
            <w:r w:rsidRPr="005F055E">
              <w:rPr>
                <w:rFonts w:cs="Calibri"/>
                <w:color w:val="000000"/>
                <w:sz w:val="14"/>
                <w:szCs w:val="14"/>
              </w:rPr>
              <w:t>2017</w:t>
            </w:r>
          </w:p>
        </w:tc>
        <w:tc>
          <w:tcPr>
            <w:tcW w:w="335" w:type="pct"/>
            <w:tcBorders>
              <w:top w:val="nil"/>
              <w:left w:val="nil"/>
              <w:bottom w:val="single" w:color="auto" w:sz="8" w:space="0"/>
              <w:right w:val="single" w:color="auto" w:sz="4" w:space="0"/>
            </w:tcBorders>
            <w:shd w:val="clear" w:color="000000" w:fill="DAEEF3"/>
            <w:vAlign w:val="center"/>
            <w:hideMark/>
          </w:tcPr>
          <w:p w:rsidRPr="005F055E" w:rsidR="00341727" w:rsidP="00180EEB" w:rsidRDefault="00341727" w14:paraId="313E197E" w14:textId="77777777">
            <w:pPr>
              <w:suppressAutoHyphens/>
              <w:spacing w:line="240" w:lineRule="auto"/>
              <w:rPr>
                <w:rFonts w:cs="Calibri"/>
                <w:color w:val="000000"/>
                <w:sz w:val="14"/>
                <w:szCs w:val="14"/>
              </w:rPr>
            </w:pPr>
            <w:r w:rsidRPr="005F055E">
              <w:rPr>
                <w:rFonts w:cs="Calibri"/>
                <w:color w:val="000000"/>
                <w:sz w:val="14"/>
                <w:szCs w:val="14"/>
              </w:rPr>
              <w:t>2018</w:t>
            </w:r>
          </w:p>
        </w:tc>
      </w:tr>
      <w:tr w:rsidRPr="005F055E" w:rsidR="00341727" w:rsidTr="005E2643" w14:paraId="64119055" w14:textId="77777777">
        <w:trPr>
          <w:trHeight w:val="170"/>
        </w:trPr>
        <w:tc>
          <w:tcPr>
            <w:tcW w:w="1802" w:type="pct"/>
            <w:tcBorders>
              <w:top w:val="nil"/>
              <w:left w:val="single" w:color="auto" w:sz="4" w:space="0"/>
              <w:bottom w:val="single" w:color="auto" w:sz="8" w:space="0"/>
              <w:right w:val="single" w:color="auto" w:sz="4" w:space="0"/>
            </w:tcBorders>
            <w:shd w:val="clear" w:color="000000" w:fill="DAEEF3"/>
            <w:noWrap/>
            <w:vAlign w:val="center"/>
            <w:hideMark/>
          </w:tcPr>
          <w:p w:rsidRPr="005F055E" w:rsidR="00341727" w:rsidP="00180EEB" w:rsidRDefault="00341727" w14:paraId="5345387C" w14:textId="77777777">
            <w:pPr>
              <w:suppressAutoHyphens/>
              <w:spacing w:line="240" w:lineRule="auto"/>
              <w:rPr>
                <w:rFonts w:cs="Calibri"/>
                <w:b/>
                <w:bCs/>
                <w:color w:val="000000"/>
                <w:sz w:val="14"/>
                <w:szCs w:val="14"/>
              </w:rPr>
            </w:pPr>
            <w:r w:rsidRPr="005F055E">
              <w:rPr>
                <w:rFonts w:cs="Calibri"/>
                <w:b/>
                <w:bCs/>
                <w:color w:val="000000"/>
                <w:sz w:val="14"/>
                <w:szCs w:val="14"/>
              </w:rPr>
              <w:t>Netto gecorrigeerde zorguitgaven (€)</w:t>
            </w:r>
          </w:p>
        </w:tc>
        <w:tc>
          <w:tcPr>
            <w:tcW w:w="335" w:type="pct"/>
            <w:tcBorders>
              <w:top w:val="nil"/>
              <w:left w:val="nil"/>
              <w:bottom w:val="single" w:color="auto" w:sz="8" w:space="0"/>
              <w:right w:val="single" w:color="auto" w:sz="4" w:space="0"/>
            </w:tcBorders>
            <w:shd w:val="clear" w:color="000000" w:fill="DAEEF3"/>
            <w:noWrap/>
            <w:vAlign w:val="center"/>
            <w:hideMark/>
          </w:tcPr>
          <w:p w:rsidRPr="005F055E" w:rsidR="00341727" w:rsidP="00180EEB" w:rsidRDefault="00341727" w14:paraId="2194CA7C" w14:textId="77777777">
            <w:pPr>
              <w:suppressAutoHyphens/>
              <w:spacing w:line="240" w:lineRule="auto"/>
              <w:rPr>
                <w:rFonts w:cs="Calibri"/>
                <w:b/>
                <w:bCs/>
                <w:color w:val="000000"/>
                <w:sz w:val="14"/>
                <w:szCs w:val="14"/>
              </w:rPr>
            </w:pPr>
            <w:r w:rsidRPr="005F055E">
              <w:rPr>
                <w:rFonts w:cs="Calibri"/>
                <w:b/>
                <w:bCs/>
                <w:color w:val="000000"/>
                <w:sz w:val="14"/>
                <w:szCs w:val="14"/>
              </w:rPr>
              <w:t>58</w:t>
            </w:r>
          </w:p>
        </w:tc>
        <w:tc>
          <w:tcPr>
            <w:tcW w:w="336" w:type="pct"/>
            <w:tcBorders>
              <w:top w:val="nil"/>
              <w:left w:val="nil"/>
              <w:bottom w:val="single" w:color="auto" w:sz="8" w:space="0"/>
              <w:right w:val="single" w:color="auto" w:sz="4" w:space="0"/>
            </w:tcBorders>
            <w:shd w:val="clear" w:color="000000" w:fill="DAEEF3"/>
            <w:noWrap/>
            <w:vAlign w:val="center"/>
            <w:hideMark/>
          </w:tcPr>
          <w:p w:rsidRPr="005F055E" w:rsidR="00341727" w:rsidP="00180EEB" w:rsidRDefault="00341727" w14:paraId="6428BDED" w14:textId="77777777">
            <w:pPr>
              <w:suppressAutoHyphens/>
              <w:spacing w:line="240" w:lineRule="auto"/>
              <w:rPr>
                <w:rFonts w:cs="Calibri"/>
                <w:b/>
                <w:bCs/>
                <w:color w:val="000000"/>
                <w:sz w:val="14"/>
                <w:szCs w:val="14"/>
              </w:rPr>
            </w:pPr>
            <w:r w:rsidRPr="005F055E">
              <w:rPr>
                <w:rFonts w:cs="Calibri"/>
                <w:b/>
                <w:bCs/>
                <w:color w:val="000000"/>
                <w:sz w:val="14"/>
                <w:szCs w:val="14"/>
              </w:rPr>
              <w:t>60</w:t>
            </w:r>
          </w:p>
        </w:tc>
        <w:tc>
          <w:tcPr>
            <w:tcW w:w="337" w:type="pct"/>
            <w:tcBorders>
              <w:top w:val="nil"/>
              <w:left w:val="nil"/>
              <w:bottom w:val="single" w:color="auto" w:sz="8" w:space="0"/>
              <w:right w:val="single" w:color="auto" w:sz="4" w:space="0"/>
            </w:tcBorders>
            <w:shd w:val="clear" w:color="000000" w:fill="DAEEF3"/>
            <w:noWrap/>
            <w:vAlign w:val="center"/>
            <w:hideMark/>
          </w:tcPr>
          <w:p w:rsidRPr="005F055E" w:rsidR="00341727" w:rsidP="00180EEB" w:rsidRDefault="00341727" w14:paraId="0A0B26DC" w14:textId="77777777">
            <w:pPr>
              <w:suppressAutoHyphens/>
              <w:spacing w:line="240" w:lineRule="auto"/>
              <w:rPr>
                <w:rFonts w:cs="Calibri"/>
                <w:b/>
                <w:bCs/>
                <w:color w:val="000000"/>
                <w:sz w:val="14"/>
                <w:szCs w:val="14"/>
              </w:rPr>
            </w:pPr>
            <w:r w:rsidRPr="005F055E">
              <w:rPr>
                <w:rFonts w:cs="Calibri"/>
                <w:b/>
                <w:bCs/>
                <w:color w:val="000000"/>
                <w:sz w:val="14"/>
                <w:szCs w:val="14"/>
              </w:rPr>
              <w:t>62</w:t>
            </w:r>
          </w:p>
        </w:tc>
        <w:tc>
          <w:tcPr>
            <w:tcW w:w="337" w:type="pct"/>
            <w:tcBorders>
              <w:top w:val="nil"/>
              <w:left w:val="nil"/>
              <w:bottom w:val="single" w:color="auto" w:sz="8" w:space="0"/>
              <w:right w:val="single" w:color="auto" w:sz="4" w:space="0"/>
            </w:tcBorders>
            <w:shd w:val="clear" w:color="000000" w:fill="DAEEF3"/>
            <w:noWrap/>
            <w:vAlign w:val="center"/>
            <w:hideMark/>
          </w:tcPr>
          <w:p w:rsidRPr="005F055E" w:rsidR="00341727" w:rsidP="00180EEB" w:rsidRDefault="00341727" w14:paraId="68DE7FC4" w14:textId="77777777">
            <w:pPr>
              <w:suppressAutoHyphens/>
              <w:spacing w:line="240" w:lineRule="auto"/>
              <w:rPr>
                <w:rFonts w:cs="Calibri"/>
                <w:b/>
                <w:bCs/>
                <w:color w:val="000000"/>
                <w:sz w:val="14"/>
                <w:szCs w:val="14"/>
              </w:rPr>
            </w:pPr>
            <w:r w:rsidRPr="005F055E">
              <w:rPr>
                <w:rFonts w:cs="Calibri"/>
                <w:b/>
                <w:bCs/>
                <w:color w:val="000000"/>
                <w:sz w:val="14"/>
                <w:szCs w:val="14"/>
              </w:rPr>
              <w:t>64</w:t>
            </w:r>
          </w:p>
        </w:tc>
        <w:tc>
          <w:tcPr>
            <w:tcW w:w="390" w:type="pct"/>
            <w:tcBorders>
              <w:top w:val="nil"/>
              <w:left w:val="nil"/>
              <w:bottom w:val="single" w:color="auto" w:sz="8" w:space="0"/>
              <w:right w:val="single" w:color="auto" w:sz="4" w:space="0"/>
            </w:tcBorders>
            <w:shd w:val="clear" w:color="000000" w:fill="DAEEF3"/>
            <w:noWrap/>
            <w:vAlign w:val="center"/>
            <w:hideMark/>
          </w:tcPr>
          <w:p w:rsidRPr="005F055E" w:rsidR="00341727" w:rsidP="00180EEB" w:rsidRDefault="00341727" w14:paraId="3AD864BC" w14:textId="77777777">
            <w:pPr>
              <w:suppressAutoHyphens/>
              <w:spacing w:line="240" w:lineRule="auto"/>
              <w:rPr>
                <w:rFonts w:cs="Calibri"/>
                <w:b/>
                <w:bCs/>
                <w:color w:val="000000"/>
                <w:sz w:val="14"/>
                <w:szCs w:val="14"/>
              </w:rPr>
            </w:pPr>
            <w:r w:rsidRPr="005F055E">
              <w:rPr>
                <w:rFonts w:cs="Calibri"/>
                <w:b/>
                <w:bCs/>
                <w:color w:val="000000"/>
                <w:sz w:val="14"/>
                <w:szCs w:val="14"/>
              </w:rPr>
              <w:t>64</w:t>
            </w:r>
          </w:p>
        </w:tc>
        <w:tc>
          <w:tcPr>
            <w:tcW w:w="453" w:type="pct"/>
            <w:tcBorders>
              <w:top w:val="nil"/>
              <w:left w:val="nil"/>
              <w:bottom w:val="single" w:color="auto" w:sz="8" w:space="0"/>
              <w:right w:val="single" w:color="auto" w:sz="4" w:space="0"/>
            </w:tcBorders>
            <w:shd w:val="clear" w:color="000000" w:fill="DAEEF3"/>
            <w:noWrap/>
            <w:vAlign w:val="center"/>
            <w:hideMark/>
          </w:tcPr>
          <w:p w:rsidRPr="005F055E" w:rsidR="00341727" w:rsidP="00180EEB" w:rsidRDefault="00341727" w14:paraId="1A9D54AB" w14:textId="77777777">
            <w:pPr>
              <w:suppressAutoHyphens/>
              <w:spacing w:line="240" w:lineRule="auto"/>
              <w:rPr>
                <w:rFonts w:cs="Calibri"/>
                <w:b/>
                <w:bCs/>
                <w:color w:val="000000"/>
                <w:sz w:val="14"/>
                <w:szCs w:val="14"/>
              </w:rPr>
            </w:pPr>
            <w:r w:rsidRPr="005F055E">
              <w:rPr>
                <w:rFonts w:cs="Calibri"/>
                <w:b/>
                <w:bCs/>
                <w:color w:val="000000"/>
                <w:sz w:val="14"/>
                <w:szCs w:val="14"/>
              </w:rPr>
              <w:t>59</w:t>
            </w:r>
          </w:p>
        </w:tc>
        <w:tc>
          <w:tcPr>
            <w:tcW w:w="337" w:type="pct"/>
            <w:tcBorders>
              <w:top w:val="nil"/>
              <w:left w:val="nil"/>
              <w:bottom w:val="single" w:color="auto" w:sz="8" w:space="0"/>
              <w:right w:val="single" w:color="auto" w:sz="4" w:space="0"/>
            </w:tcBorders>
            <w:shd w:val="clear" w:color="000000" w:fill="DAEEF3"/>
            <w:noWrap/>
            <w:vAlign w:val="center"/>
            <w:hideMark/>
          </w:tcPr>
          <w:p w:rsidRPr="005F055E" w:rsidR="00341727" w:rsidP="00180EEB" w:rsidRDefault="00341727" w14:paraId="20C5EBD4" w14:textId="77777777">
            <w:pPr>
              <w:suppressAutoHyphens/>
              <w:spacing w:line="240" w:lineRule="auto"/>
              <w:rPr>
                <w:rFonts w:cs="Calibri"/>
                <w:b/>
                <w:bCs/>
                <w:color w:val="000000"/>
                <w:sz w:val="14"/>
                <w:szCs w:val="14"/>
              </w:rPr>
            </w:pPr>
            <w:r w:rsidRPr="005F055E">
              <w:rPr>
                <w:rFonts w:cs="Calibri"/>
                <w:b/>
                <w:bCs/>
                <w:color w:val="000000"/>
                <w:sz w:val="14"/>
                <w:szCs w:val="14"/>
              </w:rPr>
              <w:t>60</w:t>
            </w:r>
          </w:p>
        </w:tc>
        <w:tc>
          <w:tcPr>
            <w:tcW w:w="337" w:type="pct"/>
            <w:tcBorders>
              <w:top w:val="nil"/>
              <w:left w:val="nil"/>
              <w:bottom w:val="single" w:color="auto" w:sz="8" w:space="0"/>
              <w:right w:val="single" w:color="auto" w:sz="4" w:space="0"/>
            </w:tcBorders>
            <w:shd w:val="clear" w:color="000000" w:fill="DAEEF3"/>
            <w:noWrap/>
            <w:vAlign w:val="center"/>
            <w:hideMark/>
          </w:tcPr>
          <w:p w:rsidRPr="005F055E" w:rsidR="00341727" w:rsidP="00180EEB" w:rsidRDefault="00341727" w14:paraId="63F4F756" w14:textId="77777777">
            <w:pPr>
              <w:suppressAutoHyphens/>
              <w:spacing w:line="240" w:lineRule="auto"/>
              <w:rPr>
                <w:rFonts w:cs="Calibri"/>
                <w:b/>
                <w:bCs/>
                <w:color w:val="000000"/>
                <w:sz w:val="14"/>
                <w:szCs w:val="14"/>
              </w:rPr>
            </w:pPr>
            <w:r w:rsidRPr="005F055E">
              <w:rPr>
                <w:rFonts w:cs="Calibri"/>
                <w:b/>
                <w:bCs/>
                <w:color w:val="000000"/>
                <w:sz w:val="14"/>
                <w:szCs w:val="14"/>
              </w:rPr>
              <w:t>64</w:t>
            </w:r>
          </w:p>
        </w:tc>
        <w:tc>
          <w:tcPr>
            <w:tcW w:w="335" w:type="pct"/>
            <w:tcBorders>
              <w:top w:val="nil"/>
              <w:left w:val="nil"/>
              <w:bottom w:val="single" w:color="auto" w:sz="8" w:space="0"/>
              <w:right w:val="single" w:color="auto" w:sz="4" w:space="0"/>
            </w:tcBorders>
            <w:shd w:val="clear" w:color="000000" w:fill="DAEEF3"/>
            <w:noWrap/>
            <w:vAlign w:val="center"/>
            <w:hideMark/>
          </w:tcPr>
          <w:p w:rsidRPr="005F055E" w:rsidR="00341727" w:rsidP="00180EEB" w:rsidRDefault="00341727" w14:paraId="47C1777B" w14:textId="77777777">
            <w:pPr>
              <w:suppressAutoHyphens/>
              <w:spacing w:line="240" w:lineRule="auto"/>
              <w:rPr>
                <w:rFonts w:cs="Calibri"/>
                <w:b/>
                <w:bCs/>
                <w:color w:val="000000"/>
                <w:sz w:val="14"/>
                <w:szCs w:val="14"/>
              </w:rPr>
            </w:pPr>
            <w:r w:rsidRPr="005F055E">
              <w:rPr>
                <w:rFonts w:cs="Calibri"/>
                <w:b/>
                <w:bCs/>
                <w:color w:val="000000"/>
                <w:sz w:val="14"/>
                <w:szCs w:val="14"/>
              </w:rPr>
              <w:t>65</w:t>
            </w:r>
          </w:p>
        </w:tc>
      </w:tr>
      <w:tr w:rsidRPr="005F055E" w:rsidR="00341727" w:rsidTr="005E2643" w14:paraId="0D05C92D" w14:textId="77777777">
        <w:trPr>
          <w:trHeight w:val="170"/>
        </w:trPr>
        <w:tc>
          <w:tcPr>
            <w:tcW w:w="1802" w:type="pct"/>
            <w:tcBorders>
              <w:top w:val="nil"/>
              <w:left w:val="single" w:color="auto" w:sz="4" w:space="0"/>
              <w:bottom w:val="single" w:color="auto" w:sz="4" w:space="0"/>
              <w:right w:val="single" w:color="auto" w:sz="4" w:space="0"/>
            </w:tcBorders>
            <w:shd w:val="clear" w:color="000000" w:fill="DAEEF3"/>
            <w:noWrap/>
            <w:vAlign w:val="center"/>
            <w:hideMark/>
          </w:tcPr>
          <w:p w:rsidRPr="005F055E" w:rsidR="00341727" w:rsidP="00180EEB" w:rsidRDefault="00341727" w14:paraId="10DB073D" w14:textId="77777777">
            <w:pPr>
              <w:suppressAutoHyphens/>
              <w:spacing w:line="240" w:lineRule="auto"/>
              <w:rPr>
                <w:rFonts w:cs="Calibri"/>
                <w:color w:val="000000"/>
                <w:sz w:val="14"/>
                <w:szCs w:val="14"/>
              </w:rPr>
            </w:pPr>
            <w:r w:rsidRPr="005F055E">
              <w:rPr>
                <w:rFonts w:cs="Calibri"/>
                <w:color w:val="000000"/>
                <w:sz w:val="14"/>
                <w:szCs w:val="14"/>
              </w:rPr>
              <w:t>Groei van de netto zorguitgaven (€)</w:t>
            </w:r>
          </w:p>
        </w:tc>
        <w:tc>
          <w:tcPr>
            <w:tcW w:w="335"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3DB17A63" w14:textId="77777777">
            <w:pPr>
              <w:suppressAutoHyphens/>
              <w:spacing w:line="240" w:lineRule="auto"/>
              <w:rPr>
                <w:rFonts w:cs="Calibri"/>
                <w:color w:val="000000"/>
                <w:sz w:val="14"/>
                <w:szCs w:val="14"/>
              </w:rPr>
            </w:pPr>
            <w:r w:rsidRPr="005F055E">
              <w:rPr>
                <w:rFonts w:cs="Calibri"/>
                <w:color w:val="000000"/>
                <w:sz w:val="14"/>
                <w:szCs w:val="14"/>
              </w:rPr>
              <w:t>3</w:t>
            </w:r>
          </w:p>
        </w:tc>
        <w:tc>
          <w:tcPr>
            <w:tcW w:w="336"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5CB10FE4" w14:textId="77777777">
            <w:pPr>
              <w:suppressAutoHyphens/>
              <w:spacing w:line="240" w:lineRule="auto"/>
              <w:rPr>
                <w:rFonts w:cs="Calibri"/>
                <w:color w:val="000000"/>
                <w:sz w:val="14"/>
                <w:szCs w:val="14"/>
              </w:rPr>
            </w:pPr>
            <w:r w:rsidRPr="005F055E">
              <w:rPr>
                <w:rFonts w:cs="Calibri"/>
                <w:color w:val="000000"/>
                <w:sz w:val="14"/>
                <w:szCs w:val="14"/>
              </w:rPr>
              <w:t>1</w:t>
            </w:r>
          </w:p>
        </w:tc>
        <w:tc>
          <w:tcPr>
            <w:tcW w:w="337"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0FBB7533" w14:textId="77777777">
            <w:pPr>
              <w:suppressAutoHyphens/>
              <w:spacing w:line="240" w:lineRule="auto"/>
              <w:rPr>
                <w:rFonts w:cs="Calibri"/>
                <w:color w:val="000000"/>
                <w:sz w:val="14"/>
                <w:szCs w:val="14"/>
              </w:rPr>
            </w:pPr>
            <w:r w:rsidRPr="005F055E">
              <w:rPr>
                <w:rFonts w:cs="Calibri"/>
                <w:color w:val="000000"/>
                <w:sz w:val="14"/>
                <w:szCs w:val="14"/>
              </w:rPr>
              <w:t>3</w:t>
            </w:r>
          </w:p>
        </w:tc>
        <w:tc>
          <w:tcPr>
            <w:tcW w:w="337"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258BD110" w14:textId="77777777">
            <w:pPr>
              <w:suppressAutoHyphens/>
              <w:spacing w:line="240" w:lineRule="auto"/>
              <w:rPr>
                <w:rFonts w:cs="Calibri"/>
                <w:color w:val="000000"/>
                <w:sz w:val="14"/>
                <w:szCs w:val="14"/>
              </w:rPr>
            </w:pPr>
            <w:r w:rsidRPr="005F055E">
              <w:rPr>
                <w:rFonts w:cs="Calibri"/>
                <w:color w:val="000000"/>
                <w:sz w:val="14"/>
                <w:szCs w:val="14"/>
              </w:rPr>
              <w:t>1</w:t>
            </w:r>
          </w:p>
        </w:tc>
        <w:tc>
          <w:tcPr>
            <w:tcW w:w="390"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7FE01ABD" w14:textId="77777777">
            <w:pPr>
              <w:suppressAutoHyphens/>
              <w:spacing w:line="240" w:lineRule="auto"/>
              <w:rPr>
                <w:rFonts w:cs="Calibri"/>
                <w:color w:val="000000"/>
                <w:sz w:val="14"/>
                <w:szCs w:val="14"/>
              </w:rPr>
            </w:pPr>
            <w:r w:rsidRPr="005F055E">
              <w:rPr>
                <w:rFonts w:cs="Calibri"/>
                <w:color w:val="000000"/>
                <w:sz w:val="14"/>
                <w:szCs w:val="14"/>
              </w:rPr>
              <w:t>0</w:t>
            </w:r>
          </w:p>
        </w:tc>
        <w:tc>
          <w:tcPr>
            <w:tcW w:w="453"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536ED33F" w14:textId="77777777">
            <w:pPr>
              <w:suppressAutoHyphens/>
              <w:spacing w:line="240" w:lineRule="auto"/>
              <w:rPr>
                <w:rFonts w:cs="Calibri"/>
                <w:color w:val="000000"/>
                <w:sz w:val="14"/>
                <w:szCs w:val="14"/>
              </w:rPr>
            </w:pPr>
            <w:r w:rsidRPr="005F055E">
              <w:rPr>
                <w:rFonts w:cs="Calibri"/>
                <w:color w:val="000000"/>
                <w:sz w:val="14"/>
                <w:szCs w:val="14"/>
              </w:rPr>
              <w:t>-5</w:t>
            </w:r>
          </w:p>
        </w:tc>
        <w:tc>
          <w:tcPr>
            <w:tcW w:w="337"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5DAB0B33" w14:textId="77777777">
            <w:pPr>
              <w:suppressAutoHyphens/>
              <w:spacing w:line="240" w:lineRule="auto"/>
              <w:rPr>
                <w:rFonts w:cs="Calibri"/>
                <w:color w:val="000000"/>
                <w:sz w:val="14"/>
                <w:szCs w:val="14"/>
              </w:rPr>
            </w:pPr>
            <w:r w:rsidRPr="005F055E">
              <w:rPr>
                <w:rFonts w:cs="Calibri"/>
                <w:color w:val="000000"/>
                <w:sz w:val="14"/>
                <w:szCs w:val="14"/>
              </w:rPr>
              <w:t>2</w:t>
            </w:r>
          </w:p>
        </w:tc>
        <w:tc>
          <w:tcPr>
            <w:tcW w:w="337"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05D99246" w14:textId="77777777">
            <w:pPr>
              <w:suppressAutoHyphens/>
              <w:spacing w:line="240" w:lineRule="auto"/>
              <w:rPr>
                <w:rFonts w:cs="Calibri"/>
                <w:color w:val="000000"/>
                <w:sz w:val="14"/>
                <w:szCs w:val="14"/>
              </w:rPr>
            </w:pPr>
            <w:r w:rsidRPr="005F055E">
              <w:rPr>
                <w:rFonts w:cs="Calibri"/>
                <w:color w:val="000000"/>
                <w:sz w:val="14"/>
                <w:szCs w:val="14"/>
              </w:rPr>
              <w:t>4</w:t>
            </w:r>
          </w:p>
        </w:tc>
        <w:tc>
          <w:tcPr>
            <w:tcW w:w="335"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06CD4CBE" w14:textId="77777777">
            <w:pPr>
              <w:suppressAutoHyphens/>
              <w:spacing w:line="240" w:lineRule="auto"/>
              <w:rPr>
                <w:rFonts w:cs="Calibri"/>
                <w:color w:val="000000"/>
                <w:sz w:val="14"/>
                <w:szCs w:val="14"/>
              </w:rPr>
            </w:pPr>
            <w:r w:rsidRPr="005F055E">
              <w:rPr>
                <w:rFonts w:cs="Calibri"/>
                <w:color w:val="000000"/>
                <w:sz w:val="14"/>
                <w:szCs w:val="14"/>
              </w:rPr>
              <w:t>1</w:t>
            </w:r>
          </w:p>
        </w:tc>
      </w:tr>
      <w:tr w:rsidRPr="005F055E" w:rsidR="00341727" w:rsidTr="005E2643" w14:paraId="2CB61872" w14:textId="77777777">
        <w:trPr>
          <w:trHeight w:val="170"/>
        </w:trPr>
        <w:tc>
          <w:tcPr>
            <w:tcW w:w="1802" w:type="pct"/>
            <w:tcBorders>
              <w:top w:val="nil"/>
              <w:left w:val="single" w:color="auto" w:sz="4" w:space="0"/>
              <w:bottom w:val="nil"/>
              <w:right w:val="single" w:color="auto" w:sz="4" w:space="0"/>
            </w:tcBorders>
            <w:shd w:val="clear" w:color="000000" w:fill="DAEEF3"/>
            <w:noWrap/>
            <w:vAlign w:val="center"/>
            <w:hideMark/>
          </w:tcPr>
          <w:p w:rsidRPr="005F055E" w:rsidR="00341727" w:rsidP="00180EEB" w:rsidRDefault="00341727" w14:paraId="32038702" w14:textId="77777777">
            <w:pPr>
              <w:suppressAutoHyphens/>
              <w:spacing w:line="240" w:lineRule="auto"/>
              <w:rPr>
                <w:rFonts w:cs="Calibri"/>
                <w:color w:val="000000"/>
                <w:sz w:val="14"/>
                <w:szCs w:val="14"/>
              </w:rPr>
            </w:pPr>
            <w:r w:rsidRPr="005F055E">
              <w:rPr>
                <w:rFonts w:cs="Calibri"/>
                <w:color w:val="000000"/>
                <w:sz w:val="14"/>
                <w:szCs w:val="14"/>
              </w:rPr>
              <w:t>Groei van de netto zorguitgaven (%)</w:t>
            </w:r>
          </w:p>
        </w:tc>
        <w:tc>
          <w:tcPr>
            <w:tcW w:w="335" w:type="pct"/>
            <w:tcBorders>
              <w:top w:val="nil"/>
              <w:left w:val="nil"/>
              <w:bottom w:val="nil"/>
              <w:right w:val="single" w:color="auto" w:sz="4" w:space="0"/>
            </w:tcBorders>
            <w:shd w:val="clear" w:color="000000" w:fill="DAEEF3"/>
            <w:noWrap/>
            <w:vAlign w:val="center"/>
            <w:hideMark/>
          </w:tcPr>
          <w:p w:rsidRPr="005F055E" w:rsidR="00341727" w:rsidP="00180EEB" w:rsidRDefault="00341727" w14:paraId="4C5F3264" w14:textId="77777777">
            <w:pPr>
              <w:suppressAutoHyphens/>
              <w:spacing w:line="240" w:lineRule="auto"/>
              <w:rPr>
                <w:rFonts w:cs="Calibri"/>
                <w:color w:val="000000"/>
                <w:sz w:val="14"/>
                <w:szCs w:val="14"/>
              </w:rPr>
            </w:pPr>
            <w:r w:rsidRPr="005F055E">
              <w:rPr>
                <w:rFonts w:cs="Calibri"/>
                <w:color w:val="000000"/>
                <w:sz w:val="14"/>
                <w:szCs w:val="14"/>
              </w:rPr>
              <w:t>5%</w:t>
            </w:r>
          </w:p>
        </w:tc>
        <w:tc>
          <w:tcPr>
            <w:tcW w:w="336" w:type="pct"/>
            <w:tcBorders>
              <w:top w:val="nil"/>
              <w:left w:val="nil"/>
              <w:bottom w:val="nil"/>
              <w:right w:val="single" w:color="auto" w:sz="4" w:space="0"/>
            </w:tcBorders>
            <w:shd w:val="clear" w:color="000000" w:fill="DAEEF3"/>
            <w:noWrap/>
            <w:vAlign w:val="center"/>
            <w:hideMark/>
          </w:tcPr>
          <w:p w:rsidRPr="005F055E" w:rsidR="00341727" w:rsidP="00180EEB" w:rsidRDefault="00341727" w14:paraId="7B1CF7EC" w14:textId="77777777">
            <w:pPr>
              <w:suppressAutoHyphens/>
              <w:spacing w:line="240" w:lineRule="auto"/>
              <w:rPr>
                <w:rFonts w:cs="Calibri"/>
                <w:color w:val="000000"/>
                <w:sz w:val="14"/>
                <w:szCs w:val="14"/>
              </w:rPr>
            </w:pPr>
            <w:r w:rsidRPr="005F055E">
              <w:rPr>
                <w:rFonts w:cs="Calibri"/>
                <w:color w:val="000000"/>
                <w:sz w:val="14"/>
                <w:szCs w:val="14"/>
              </w:rPr>
              <w:t>2%</w:t>
            </w:r>
          </w:p>
        </w:tc>
        <w:tc>
          <w:tcPr>
            <w:tcW w:w="337" w:type="pct"/>
            <w:tcBorders>
              <w:top w:val="nil"/>
              <w:left w:val="nil"/>
              <w:bottom w:val="nil"/>
              <w:right w:val="single" w:color="auto" w:sz="4" w:space="0"/>
            </w:tcBorders>
            <w:shd w:val="clear" w:color="000000" w:fill="DAEEF3"/>
            <w:noWrap/>
            <w:vAlign w:val="center"/>
            <w:hideMark/>
          </w:tcPr>
          <w:p w:rsidRPr="005F055E" w:rsidR="00341727" w:rsidP="00180EEB" w:rsidRDefault="00341727" w14:paraId="21601185" w14:textId="77777777">
            <w:pPr>
              <w:suppressAutoHyphens/>
              <w:spacing w:line="240" w:lineRule="auto"/>
              <w:rPr>
                <w:rFonts w:cs="Calibri"/>
                <w:color w:val="000000"/>
                <w:sz w:val="14"/>
                <w:szCs w:val="14"/>
              </w:rPr>
            </w:pPr>
            <w:r w:rsidRPr="005F055E">
              <w:rPr>
                <w:rFonts w:cs="Calibri"/>
                <w:color w:val="000000"/>
                <w:sz w:val="14"/>
                <w:szCs w:val="14"/>
              </w:rPr>
              <w:t>5%</w:t>
            </w:r>
          </w:p>
        </w:tc>
        <w:tc>
          <w:tcPr>
            <w:tcW w:w="337" w:type="pct"/>
            <w:tcBorders>
              <w:top w:val="nil"/>
              <w:left w:val="nil"/>
              <w:bottom w:val="nil"/>
              <w:right w:val="single" w:color="auto" w:sz="4" w:space="0"/>
            </w:tcBorders>
            <w:shd w:val="clear" w:color="000000" w:fill="DAEEF3"/>
            <w:noWrap/>
            <w:vAlign w:val="center"/>
            <w:hideMark/>
          </w:tcPr>
          <w:p w:rsidRPr="005F055E" w:rsidR="00341727" w:rsidP="00180EEB" w:rsidRDefault="00341727" w14:paraId="7D8CEDA9" w14:textId="77777777">
            <w:pPr>
              <w:suppressAutoHyphens/>
              <w:spacing w:line="240" w:lineRule="auto"/>
              <w:rPr>
                <w:rFonts w:cs="Calibri"/>
                <w:color w:val="000000"/>
                <w:sz w:val="14"/>
                <w:szCs w:val="14"/>
              </w:rPr>
            </w:pPr>
            <w:r w:rsidRPr="005F055E">
              <w:rPr>
                <w:rFonts w:cs="Calibri"/>
                <w:color w:val="000000"/>
                <w:sz w:val="14"/>
                <w:szCs w:val="14"/>
              </w:rPr>
              <w:t>2%</w:t>
            </w:r>
          </w:p>
        </w:tc>
        <w:tc>
          <w:tcPr>
            <w:tcW w:w="390" w:type="pct"/>
            <w:tcBorders>
              <w:top w:val="nil"/>
              <w:left w:val="nil"/>
              <w:bottom w:val="nil"/>
              <w:right w:val="single" w:color="auto" w:sz="4" w:space="0"/>
            </w:tcBorders>
            <w:shd w:val="clear" w:color="000000" w:fill="DAEEF3"/>
            <w:noWrap/>
            <w:vAlign w:val="center"/>
            <w:hideMark/>
          </w:tcPr>
          <w:p w:rsidRPr="005F055E" w:rsidR="00341727" w:rsidP="00180EEB" w:rsidRDefault="00341727" w14:paraId="22865E23" w14:textId="77777777">
            <w:pPr>
              <w:suppressAutoHyphens/>
              <w:spacing w:line="240" w:lineRule="auto"/>
              <w:rPr>
                <w:rFonts w:cs="Calibri"/>
                <w:color w:val="000000"/>
                <w:sz w:val="14"/>
                <w:szCs w:val="14"/>
              </w:rPr>
            </w:pPr>
            <w:r w:rsidRPr="005F055E">
              <w:rPr>
                <w:rFonts w:cs="Calibri"/>
                <w:color w:val="000000"/>
                <w:sz w:val="14"/>
                <w:szCs w:val="14"/>
              </w:rPr>
              <w:t>1%</w:t>
            </w:r>
          </w:p>
        </w:tc>
        <w:tc>
          <w:tcPr>
            <w:tcW w:w="453" w:type="pct"/>
            <w:tcBorders>
              <w:top w:val="nil"/>
              <w:left w:val="nil"/>
              <w:bottom w:val="nil"/>
              <w:right w:val="single" w:color="auto" w:sz="4" w:space="0"/>
            </w:tcBorders>
            <w:shd w:val="clear" w:color="000000" w:fill="DAEEF3"/>
            <w:noWrap/>
            <w:vAlign w:val="center"/>
            <w:hideMark/>
          </w:tcPr>
          <w:p w:rsidRPr="005F055E" w:rsidR="00341727" w:rsidP="00180EEB" w:rsidRDefault="00341727" w14:paraId="17D6345E" w14:textId="77777777">
            <w:pPr>
              <w:suppressAutoHyphens/>
              <w:spacing w:line="240" w:lineRule="auto"/>
              <w:rPr>
                <w:rFonts w:cs="Calibri"/>
                <w:color w:val="000000"/>
                <w:sz w:val="14"/>
                <w:szCs w:val="14"/>
              </w:rPr>
            </w:pPr>
            <w:r w:rsidRPr="005F055E">
              <w:rPr>
                <w:rFonts w:cs="Calibri"/>
                <w:color w:val="000000"/>
                <w:sz w:val="14"/>
                <w:szCs w:val="14"/>
              </w:rPr>
              <w:t>-8%</w:t>
            </w:r>
          </w:p>
        </w:tc>
        <w:tc>
          <w:tcPr>
            <w:tcW w:w="337" w:type="pct"/>
            <w:tcBorders>
              <w:top w:val="nil"/>
              <w:left w:val="nil"/>
              <w:bottom w:val="nil"/>
              <w:right w:val="single" w:color="auto" w:sz="4" w:space="0"/>
            </w:tcBorders>
            <w:shd w:val="clear" w:color="000000" w:fill="DAEEF3"/>
            <w:noWrap/>
            <w:vAlign w:val="center"/>
            <w:hideMark/>
          </w:tcPr>
          <w:p w:rsidRPr="005F055E" w:rsidR="00341727" w:rsidP="00180EEB" w:rsidRDefault="00341727" w14:paraId="0FA3B0D9" w14:textId="77777777">
            <w:pPr>
              <w:suppressAutoHyphens/>
              <w:spacing w:line="240" w:lineRule="auto"/>
              <w:rPr>
                <w:rFonts w:cs="Calibri"/>
                <w:color w:val="000000"/>
                <w:sz w:val="14"/>
                <w:szCs w:val="14"/>
              </w:rPr>
            </w:pPr>
            <w:r w:rsidRPr="005F055E">
              <w:rPr>
                <w:rFonts w:cs="Calibri"/>
                <w:color w:val="000000"/>
                <w:sz w:val="14"/>
                <w:szCs w:val="14"/>
              </w:rPr>
              <w:t>3%</w:t>
            </w:r>
          </w:p>
        </w:tc>
        <w:tc>
          <w:tcPr>
            <w:tcW w:w="337" w:type="pct"/>
            <w:tcBorders>
              <w:top w:val="nil"/>
              <w:left w:val="nil"/>
              <w:bottom w:val="nil"/>
              <w:right w:val="single" w:color="auto" w:sz="4" w:space="0"/>
            </w:tcBorders>
            <w:shd w:val="clear" w:color="000000" w:fill="DAEEF3"/>
            <w:noWrap/>
            <w:vAlign w:val="center"/>
            <w:hideMark/>
          </w:tcPr>
          <w:p w:rsidRPr="005F055E" w:rsidR="00341727" w:rsidP="00180EEB" w:rsidRDefault="00341727" w14:paraId="15C43F3D" w14:textId="77777777">
            <w:pPr>
              <w:suppressAutoHyphens/>
              <w:spacing w:line="240" w:lineRule="auto"/>
              <w:rPr>
                <w:rFonts w:cs="Calibri"/>
                <w:color w:val="000000"/>
                <w:sz w:val="14"/>
                <w:szCs w:val="14"/>
              </w:rPr>
            </w:pPr>
            <w:r w:rsidRPr="005F055E">
              <w:rPr>
                <w:rFonts w:cs="Calibri"/>
                <w:color w:val="000000"/>
                <w:sz w:val="14"/>
                <w:szCs w:val="14"/>
              </w:rPr>
              <w:t>6%</w:t>
            </w:r>
          </w:p>
        </w:tc>
        <w:tc>
          <w:tcPr>
            <w:tcW w:w="335" w:type="pct"/>
            <w:tcBorders>
              <w:top w:val="nil"/>
              <w:left w:val="nil"/>
              <w:bottom w:val="nil"/>
              <w:right w:val="single" w:color="auto" w:sz="4" w:space="0"/>
            </w:tcBorders>
            <w:shd w:val="clear" w:color="000000" w:fill="DAEEF3"/>
            <w:noWrap/>
            <w:vAlign w:val="center"/>
            <w:hideMark/>
          </w:tcPr>
          <w:p w:rsidRPr="005F055E" w:rsidR="00341727" w:rsidP="00180EEB" w:rsidRDefault="00341727" w14:paraId="24BAC8CD" w14:textId="77777777">
            <w:pPr>
              <w:suppressAutoHyphens/>
              <w:spacing w:line="240" w:lineRule="auto"/>
              <w:rPr>
                <w:rFonts w:cs="Calibri"/>
                <w:color w:val="000000"/>
                <w:sz w:val="14"/>
                <w:szCs w:val="14"/>
              </w:rPr>
            </w:pPr>
            <w:r w:rsidRPr="005F055E">
              <w:rPr>
                <w:rFonts w:cs="Calibri"/>
                <w:color w:val="000000"/>
                <w:sz w:val="14"/>
                <w:szCs w:val="14"/>
              </w:rPr>
              <w:t>2%</w:t>
            </w:r>
          </w:p>
        </w:tc>
      </w:tr>
      <w:tr w:rsidRPr="005F055E" w:rsidR="00341727" w:rsidTr="005E2643" w14:paraId="0CEB9D96" w14:textId="77777777">
        <w:trPr>
          <w:trHeight w:val="170"/>
        </w:trPr>
        <w:tc>
          <w:tcPr>
            <w:tcW w:w="1802" w:type="pct"/>
            <w:tcBorders>
              <w:top w:val="single" w:color="auto" w:sz="8" w:space="0"/>
              <w:left w:val="single" w:color="auto" w:sz="4" w:space="0"/>
              <w:bottom w:val="single" w:color="auto" w:sz="8" w:space="0"/>
              <w:right w:val="single" w:color="auto" w:sz="4" w:space="0"/>
            </w:tcBorders>
            <w:shd w:val="clear" w:color="000000" w:fill="DAEEF3"/>
            <w:noWrap/>
            <w:vAlign w:val="center"/>
            <w:hideMark/>
          </w:tcPr>
          <w:p w:rsidRPr="005F055E" w:rsidR="00341727" w:rsidP="00180EEB" w:rsidRDefault="00341727" w14:paraId="60D49B30" w14:textId="77777777">
            <w:pPr>
              <w:suppressAutoHyphens/>
              <w:spacing w:line="240" w:lineRule="auto"/>
              <w:rPr>
                <w:rFonts w:cs="Calibri"/>
                <w:b/>
                <w:bCs/>
                <w:color w:val="000000"/>
                <w:sz w:val="14"/>
                <w:szCs w:val="14"/>
              </w:rPr>
            </w:pPr>
            <w:r w:rsidRPr="005F055E">
              <w:rPr>
                <w:rFonts w:cs="Calibri"/>
                <w:b/>
                <w:bCs/>
                <w:color w:val="000000"/>
                <w:sz w:val="14"/>
                <w:szCs w:val="14"/>
              </w:rPr>
              <w:t>BBP (€)</w:t>
            </w:r>
          </w:p>
        </w:tc>
        <w:tc>
          <w:tcPr>
            <w:tcW w:w="335" w:type="pct"/>
            <w:tcBorders>
              <w:top w:val="single" w:color="auto" w:sz="8" w:space="0"/>
              <w:left w:val="nil"/>
              <w:bottom w:val="single" w:color="auto" w:sz="8" w:space="0"/>
              <w:right w:val="single" w:color="auto" w:sz="4" w:space="0"/>
            </w:tcBorders>
            <w:shd w:val="clear" w:color="000000" w:fill="DAEEF3"/>
            <w:noWrap/>
            <w:vAlign w:val="center"/>
            <w:hideMark/>
          </w:tcPr>
          <w:p w:rsidRPr="005F055E" w:rsidR="00341727" w:rsidP="00180EEB" w:rsidRDefault="00341727" w14:paraId="57526F1B" w14:textId="77777777">
            <w:pPr>
              <w:suppressAutoHyphens/>
              <w:spacing w:line="240" w:lineRule="auto"/>
              <w:rPr>
                <w:rFonts w:cs="Calibri"/>
                <w:b/>
                <w:bCs/>
                <w:color w:val="000000"/>
                <w:sz w:val="14"/>
                <w:szCs w:val="14"/>
              </w:rPr>
            </w:pPr>
            <w:r w:rsidRPr="005F055E">
              <w:rPr>
                <w:rFonts w:cs="Calibri"/>
                <w:b/>
                <w:bCs/>
                <w:color w:val="000000"/>
                <w:sz w:val="14"/>
                <w:szCs w:val="14"/>
              </w:rPr>
              <w:t>643</w:t>
            </w:r>
          </w:p>
        </w:tc>
        <w:tc>
          <w:tcPr>
            <w:tcW w:w="336" w:type="pct"/>
            <w:tcBorders>
              <w:top w:val="single" w:color="auto" w:sz="8" w:space="0"/>
              <w:left w:val="nil"/>
              <w:bottom w:val="single" w:color="auto" w:sz="8" w:space="0"/>
              <w:right w:val="single" w:color="auto" w:sz="4" w:space="0"/>
            </w:tcBorders>
            <w:shd w:val="clear" w:color="000000" w:fill="DAEEF3"/>
            <w:noWrap/>
            <w:vAlign w:val="center"/>
            <w:hideMark/>
          </w:tcPr>
          <w:p w:rsidRPr="005F055E" w:rsidR="00341727" w:rsidP="00180EEB" w:rsidRDefault="00341727" w14:paraId="107D4384" w14:textId="77777777">
            <w:pPr>
              <w:suppressAutoHyphens/>
              <w:spacing w:line="240" w:lineRule="auto"/>
              <w:rPr>
                <w:rFonts w:cs="Calibri"/>
                <w:b/>
                <w:bCs/>
                <w:color w:val="000000"/>
                <w:sz w:val="14"/>
                <w:szCs w:val="14"/>
              </w:rPr>
            </w:pPr>
            <w:r w:rsidRPr="005F055E">
              <w:rPr>
                <w:rFonts w:cs="Calibri"/>
                <w:b/>
                <w:bCs/>
                <w:color w:val="000000"/>
                <w:sz w:val="14"/>
                <w:szCs w:val="14"/>
              </w:rPr>
              <w:t>656</w:t>
            </w:r>
          </w:p>
        </w:tc>
        <w:tc>
          <w:tcPr>
            <w:tcW w:w="337" w:type="pct"/>
            <w:tcBorders>
              <w:top w:val="single" w:color="auto" w:sz="8" w:space="0"/>
              <w:left w:val="nil"/>
              <w:bottom w:val="single" w:color="auto" w:sz="8" w:space="0"/>
              <w:right w:val="single" w:color="auto" w:sz="4" w:space="0"/>
            </w:tcBorders>
            <w:shd w:val="clear" w:color="000000" w:fill="DAEEF3"/>
            <w:noWrap/>
            <w:vAlign w:val="center"/>
            <w:hideMark/>
          </w:tcPr>
          <w:p w:rsidRPr="005F055E" w:rsidR="00341727" w:rsidP="00180EEB" w:rsidRDefault="00341727" w14:paraId="3093D73A" w14:textId="77777777">
            <w:pPr>
              <w:suppressAutoHyphens/>
              <w:spacing w:line="240" w:lineRule="auto"/>
              <w:rPr>
                <w:rFonts w:cs="Calibri"/>
                <w:b/>
                <w:bCs/>
                <w:color w:val="000000"/>
                <w:sz w:val="14"/>
                <w:szCs w:val="14"/>
              </w:rPr>
            </w:pPr>
            <w:r w:rsidRPr="005F055E">
              <w:rPr>
                <w:rFonts w:cs="Calibri"/>
                <w:b/>
                <w:bCs/>
                <w:color w:val="000000"/>
                <w:sz w:val="14"/>
                <w:szCs w:val="14"/>
              </w:rPr>
              <w:t>658</w:t>
            </w:r>
          </w:p>
        </w:tc>
        <w:tc>
          <w:tcPr>
            <w:tcW w:w="337" w:type="pct"/>
            <w:tcBorders>
              <w:top w:val="single" w:color="auto" w:sz="8" w:space="0"/>
              <w:left w:val="nil"/>
              <w:bottom w:val="single" w:color="auto" w:sz="8" w:space="0"/>
              <w:right w:val="single" w:color="auto" w:sz="4" w:space="0"/>
            </w:tcBorders>
            <w:shd w:val="clear" w:color="000000" w:fill="DAEEF3"/>
            <w:noWrap/>
            <w:vAlign w:val="center"/>
            <w:hideMark/>
          </w:tcPr>
          <w:p w:rsidRPr="005F055E" w:rsidR="00341727" w:rsidP="00180EEB" w:rsidRDefault="00341727" w14:paraId="32B48F5B" w14:textId="77777777">
            <w:pPr>
              <w:suppressAutoHyphens/>
              <w:spacing w:line="240" w:lineRule="auto"/>
              <w:rPr>
                <w:rFonts w:cs="Calibri"/>
                <w:b/>
                <w:bCs/>
                <w:color w:val="000000"/>
                <w:sz w:val="14"/>
                <w:szCs w:val="14"/>
              </w:rPr>
            </w:pPr>
            <w:r w:rsidRPr="005F055E">
              <w:rPr>
                <w:rFonts w:cs="Calibri"/>
                <w:b/>
                <w:bCs/>
                <w:color w:val="000000"/>
                <w:sz w:val="14"/>
                <w:szCs w:val="14"/>
              </w:rPr>
              <w:t>666</w:t>
            </w:r>
          </w:p>
        </w:tc>
        <w:tc>
          <w:tcPr>
            <w:tcW w:w="390" w:type="pct"/>
            <w:tcBorders>
              <w:top w:val="single" w:color="auto" w:sz="8" w:space="0"/>
              <w:left w:val="nil"/>
              <w:bottom w:val="single" w:color="auto" w:sz="8" w:space="0"/>
              <w:right w:val="single" w:color="auto" w:sz="4" w:space="0"/>
            </w:tcBorders>
            <w:shd w:val="clear" w:color="000000" w:fill="DAEEF3"/>
            <w:noWrap/>
            <w:vAlign w:val="center"/>
            <w:hideMark/>
          </w:tcPr>
          <w:p w:rsidRPr="005F055E" w:rsidR="00341727" w:rsidP="00180EEB" w:rsidRDefault="00341727" w14:paraId="53EC743E" w14:textId="77777777">
            <w:pPr>
              <w:suppressAutoHyphens/>
              <w:spacing w:line="240" w:lineRule="auto"/>
              <w:rPr>
                <w:rFonts w:cs="Calibri"/>
                <w:b/>
                <w:bCs/>
                <w:color w:val="000000"/>
                <w:sz w:val="14"/>
                <w:szCs w:val="14"/>
              </w:rPr>
            </w:pPr>
            <w:r w:rsidRPr="005F055E">
              <w:rPr>
                <w:rFonts w:cs="Calibri"/>
                <w:b/>
                <w:bCs/>
                <w:color w:val="000000"/>
                <w:sz w:val="14"/>
                <w:szCs w:val="14"/>
              </w:rPr>
              <w:t>679</w:t>
            </w:r>
          </w:p>
        </w:tc>
        <w:tc>
          <w:tcPr>
            <w:tcW w:w="453" w:type="pct"/>
            <w:tcBorders>
              <w:top w:val="single" w:color="auto" w:sz="8" w:space="0"/>
              <w:left w:val="nil"/>
              <w:bottom w:val="single" w:color="auto" w:sz="8" w:space="0"/>
              <w:right w:val="single" w:color="auto" w:sz="4" w:space="0"/>
            </w:tcBorders>
            <w:shd w:val="clear" w:color="000000" w:fill="DAEEF3"/>
            <w:noWrap/>
            <w:vAlign w:val="center"/>
            <w:hideMark/>
          </w:tcPr>
          <w:p w:rsidRPr="005F055E" w:rsidR="00341727" w:rsidP="00180EEB" w:rsidRDefault="00341727" w14:paraId="313454BA" w14:textId="77777777">
            <w:pPr>
              <w:suppressAutoHyphens/>
              <w:spacing w:line="240" w:lineRule="auto"/>
              <w:rPr>
                <w:rFonts w:cs="Calibri"/>
                <w:b/>
                <w:bCs/>
                <w:color w:val="000000"/>
                <w:sz w:val="14"/>
                <w:szCs w:val="14"/>
              </w:rPr>
            </w:pPr>
            <w:r w:rsidRPr="005F055E">
              <w:rPr>
                <w:rFonts w:cs="Calibri"/>
                <w:b/>
                <w:bCs/>
                <w:color w:val="000000"/>
                <w:sz w:val="14"/>
                <w:szCs w:val="14"/>
              </w:rPr>
              <w:t>699</w:t>
            </w:r>
          </w:p>
        </w:tc>
        <w:tc>
          <w:tcPr>
            <w:tcW w:w="337" w:type="pct"/>
            <w:tcBorders>
              <w:top w:val="single" w:color="auto" w:sz="8" w:space="0"/>
              <w:left w:val="nil"/>
              <w:bottom w:val="single" w:color="auto" w:sz="8" w:space="0"/>
              <w:right w:val="single" w:color="auto" w:sz="4" w:space="0"/>
            </w:tcBorders>
            <w:shd w:val="clear" w:color="000000" w:fill="DAEEF3"/>
            <w:noWrap/>
            <w:vAlign w:val="center"/>
            <w:hideMark/>
          </w:tcPr>
          <w:p w:rsidRPr="005F055E" w:rsidR="00341727" w:rsidP="00180EEB" w:rsidRDefault="00341727" w14:paraId="3FA3341E" w14:textId="77777777">
            <w:pPr>
              <w:suppressAutoHyphens/>
              <w:spacing w:line="240" w:lineRule="auto"/>
              <w:rPr>
                <w:rFonts w:cs="Calibri"/>
                <w:b/>
                <w:bCs/>
                <w:color w:val="000000"/>
                <w:sz w:val="14"/>
                <w:szCs w:val="14"/>
              </w:rPr>
            </w:pPr>
            <w:r w:rsidRPr="005F055E">
              <w:rPr>
                <w:rFonts w:cs="Calibri"/>
                <w:b/>
                <w:bCs/>
                <w:color w:val="000000"/>
                <w:sz w:val="14"/>
                <w:szCs w:val="14"/>
              </w:rPr>
              <w:t>720</w:t>
            </w:r>
          </w:p>
        </w:tc>
        <w:tc>
          <w:tcPr>
            <w:tcW w:w="337" w:type="pct"/>
            <w:tcBorders>
              <w:top w:val="single" w:color="auto" w:sz="8" w:space="0"/>
              <w:left w:val="nil"/>
              <w:bottom w:val="single" w:color="auto" w:sz="8" w:space="0"/>
              <w:right w:val="single" w:color="auto" w:sz="4" w:space="0"/>
            </w:tcBorders>
            <w:shd w:val="clear" w:color="000000" w:fill="DAEEF3"/>
            <w:noWrap/>
            <w:vAlign w:val="center"/>
            <w:hideMark/>
          </w:tcPr>
          <w:p w:rsidRPr="005F055E" w:rsidR="00341727" w:rsidP="00180EEB" w:rsidRDefault="00341727" w14:paraId="731346DA" w14:textId="77777777">
            <w:pPr>
              <w:suppressAutoHyphens/>
              <w:spacing w:line="240" w:lineRule="auto"/>
              <w:rPr>
                <w:rFonts w:cs="Calibri"/>
                <w:b/>
                <w:bCs/>
                <w:color w:val="000000"/>
                <w:sz w:val="14"/>
                <w:szCs w:val="14"/>
              </w:rPr>
            </w:pPr>
            <w:r w:rsidRPr="005F055E">
              <w:rPr>
                <w:rFonts w:cs="Calibri"/>
                <w:b/>
                <w:bCs/>
                <w:color w:val="000000"/>
                <w:sz w:val="14"/>
                <w:szCs w:val="14"/>
              </w:rPr>
              <w:t>751</w:t>
            </w:r>
          </w:p>
        </w:tc>
        <w:tc>
          <w:tcPr>
            <w:tcW w:w="335" w:type="pct"/>
            <w:tcBorders>
              <w:top w:val="single" w:color="auto" w:sz="8" w:space="0"/>
              <w:left w:val="nil"/>
              <w:bottom w:val="single" w:color="auto" w:sz="8" w:space="0"/>
              <w:right w:val="single" w:color="auto" w:sz="4" w:space="0"/>
            </w:tcBorders>
            <w:shd w:val="clear" w:color="000000" w:fill="DAEEF3"/>
            <w:noWrap/>
            <w:vAlign w:val="center"/>
            <w:hideMark/>
          </w:tcPr>
          <w:p w:rsidRPr="005F055E" w:rsidR="00341727" w:rsidP="00180EEB" w:rsidRDefault="00341727" w14:paraId="4591FEDF" w14:textId="77777777">
            <w:pPr>
              <w:suppressAutoHyphens/>
              <w:spacing w:line="240" w:lineRule="auto"/>
              <w:rPr>
                <w:rFonts w:cs="Calibri"/>
                <w:b/>
                <w:bCs/>
                <w:color w:val="000000"/>
                <w:sz w:val="14"/>
                <w:szCs w:val="14"/>
              </w:rPr>
            </w:pPr>
            <w:r w:rsidRPr="005F055E">
              <w:rPr>
                <w:rFonts w:cs="Calibri"/>
                <w:b/>
                <w:bCs/>
                <w:color w:val="000000"/>
                <w:sz w:val="14"/>
                <w:szCs w:val="14"/>
              </w:rPr>
              <w:t>787</w:t>
            </w:r>
          </w:p>
        </w:tc>
      </w:tr>
      <w:tr w:rsidRPr="005F055E" w:rsidR="00341727" w:rsidTr="005E2643" w14:paraId="494E762D" w14:textId="77777777">
        <w:trPr>
          <w:trHeight w:val="170"/>
        </w:trPr>
        <w:tc>
          <w:tcPr>
            <w:tcW w:w="1802" w:type="pct"/>
            <w:tcBorders>
              <w:top w:val="nil"/>
              <w:left w:val="single" w:color="auto" w:sz="4" w:space="0"/>
              <w:bottom w:val="single" w:color="auto" w:sz="4" w:space="0"/>
              <w:right w:val="single" w:color="auto" w:sz="4" w:space="0"/>
            </w:tcBorders>
            <w:shd w:val="clear" w:color="000000" w:fill="DAEEF3"/>
            <w:noWrap/>
            <w:vAlign w:val="center"/>
            <w:hideMark/>
          </w:tcPr>
          <w:p w:rsidRPr="005F055E" w:rsidR="00341727" w:rsidP="00180EEB" w:rsidRDefault="00341727" w14:paraId="46093E89" w14:textId="77777777">
            <w:pPr>
              <w:suppressAutoHyphens/>
              <w:spacing w:line="240" w:lineRule="auto"/>
              <w:rPr>
                <w:rFonts w:cs="Calibri"/>
                <w:color w:val="000000"/>
                <w:sz w:val="14"/>
                <w:szCs w:val="14"/>
              </w:rPr>
            </w:pPr>
            <w:r w:rsidRPr="005F055E">
              <w:rPr>
                <w:rFonts w:cs="Calibri"/>
                <w:color w:val="000000"/>
                <w:sz w:val="14"/>
                <w:szCs w:val="14"/>
              </w:rPr>
              <w:t>Groei BBP (€)</w:t>
            </w:r>
          </w:p>
        </w:tc>
        <w:tc>
          <w:tcPr>
            <w:tcW w:w="335"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6BB0ECB4" w14:textId="77777777">
            <w:pPr>
              <w:suppressAutoHyphens/>
              <w:spacing w:line="240" w:lineRule="auto"/>
              <w:rPr>
                <w:rFonts w:cs="Calibri"/>
                <w:color w:val="000000"/>
                <w:sz w:val="14"/>
                <w:szCs w:val="14"/>
              </w:rPr>
            </w:pPr>
            <w:r w:rsidRPr="005F055E">
              <w:rPr>
                <w:rFonts w:cs="Calibri"/>
                <w:color w:val="000000"/>
                <w:sz w:val="14"/>
                <w:szCs w:val="14"/>
              </w:rPr>
              <w:t>18</w:t>
            </w:r>
          </w:p>
        </w:tc>
        <w:tc>
          <w:tcPr>
            <w:tcW w:w="336"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7D75948C" w14:textId="77777777">
            <w:pPr>
              <w:suppressAutoHyphens/>
              <w:spacing w:line="240" w:lineRule="auto"/>
              <w:rPr>
                <w:rFonts w:cs="Calibri"/>
                <w:color w:val="000000"/>
                <w:sz w:val="14"/>
                <w:szCs w:val="14"/>
              </w:rPr>
            </w:pPr>
            <w:r w:rsidRPr="005F055E">
              <w:rPr>
                <w:rFonts w:cs="Calibri"/>
                <w:color w:val="000000"/>
                <w:sz w:val="14"/>
                <w:szCs w:val="14"/>
              </w:rPr>
              <w:t>13</w:t>
            </w:r>
          </w:p>
        </w:tc>
        <w:tc>
          <w:tcPr>
            <w:tcW w:w="337"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22D0B313" w14:textId="77777777">
            <w:pPr>
              <w:suppressAutoHyphens/>
              <w:spacing w:line="240" w:lineRule="auto"/>
              <w:rPr>
                <w:rFonts w:cs="Calibri"/>
                <w:color w:val="000000"/>
                <w:sz w:val="14"/>
                <w:szCs w:val="14"/>
              </w:rPr>
            </w:pPr>
            <w:r w:rsidRPr="005F055E">
              <w:rPr>
                <w:rFonts w:cs="Calibri"/>
                <w:color w:val="000000"/>
                <w:sz w:val="14"/>
                <w:szCs w:val="14"/>
              </w:rPr>
              <w:t>2</w:t>
            </w:r>
          </w:p>
        </w:tc>
        <w:tc>
          <w:tcPr>
            <w:tcW w:w="337"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3B72AF41" w14:textId="77777777">
            <w:pPr>
              <w:suppressAutoHyphens/>
              <w:spacing w:line="240" w:lineRule="auto"/>
              <w:rPr>
                <w:rFonts w:cs="Calibri"/>
                <w:color w:val="000000"/>
                <w:sz w:val="14"/>
                <w:szCs w:val="14"/>
              </w:rPr>
            </w:pPr>
            <w:r w:rsidRPr="005F055E">
              <w:rPr>
                <w:rFonts w:cs="Calibri"/>
                <w:color w:val="000000"/>
                <w:sz w:val="14"/>
                <w:szCs w:val="14"/>
              </w:rPr>
              <w:t>7</w:t>
            </w:r>
          </w:p>
        </w:tc>
        <w:tc>
          <w:tcPr>
            <w:tcW w:w="390"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39BA11CD" w14:textId="77777777">
            <w:pPr>
              <w:suppressAutoHyphens/>
              <w:spacing w:line="240" w:lineRule="auto"/>
              <w:rPr>
                <w:rFonts w:cs="Calibri"/>
                <w:color w:val="000000"/>
                <w:sz w:val="14"/>
                <w:szCs w:val="14"/>
              </w:rPr>
            </w:pPr>
            <w:r w:rsidRPr="005F055E">
              <w:rPr>
                <w:rFonts w:cs="Calibri"/>
                <w:color w:val="000000"/>
                <w:sz w:val="14"/>
                <w:szCs w:val="14"/>
              </w:rPr>
              <w:t>13</w:t>
            </w:r>
          </w:p>
        </w:tc>
        <w:tc>
          <w:tcPr>
            <w:tcW w:w="453"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3249C05D" w14:textId="77777777">
            <w:pPr>
              <w:suppressAutoHyphens/>
              <w:spacing w:line="240" w:lineRule="auto"/>
              <w:rPr>
                <w:rFonts w:cs="Calibri"/>
                <w:color w:val="000000"/>
                <w:sz w:val="14"/>
                <w:szCs w:val="14"/>
              </w:rPr>
            </w:pPr>
            <w:r w:rsidRPr="005F055E">
              <w:rPr>
                <w:rFonts w:cs="Calibri"/>
                <w:color w:val="000000"/>
                <w:sz w:val="14"/>
                <w:szCs w:val="14"/>
              </w:rPr>
              <w:t>21</w:t>
            </w:r>
          </w:p>
        </w:tc>
        <w:tc>
          <w:tcPr>
            <w:tcW w:w="337"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52656FEC" w14:textId="77777777">
            <w:pPr>
              <w:suppressAutoHyphens/>
              <w:spacing w:line="240" w:lineRule="auto"/>
              <w:rPr>
                <w:rFonts w:cs="Calibri"/>
                <w:color w:val="000000"/>
                <w:sz w:val="14"/>
                <w:szCs w:val="14"/>
              </w:rPr>
            </w:pPr>
            <w:r w:rsidRPr="005F055E">
              <w:rPr>
                <w:rFonts w:cs="Calibri"/>
                <w:color w:val="000000"/>
                <w:sz w:val="14"/>
                <w:szCs w:val="14"/>
              </w:rPr>
              <w:t>21</w:t>
            </w:r>
          </w:p>
        </w:tc>
        <w:tc>
          <w:tcPr>
            <w:tcW w:w="337"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18839D29" w14:textId="77777777">
            <w:pPr>
              <w:suppressAutoHyphens/>
              <w:spacing w:line="240" w:lineRule="auto"/>
              <w:rPr>
                <w:rFonts w:cs="Calibri"/>
                <w:color w:val="000000"/>
                <w:sz w:val="14"/>
                <w:szCs w:val="14"/>
              </w:rPr>
            </w:pPr>
            <w:r w:rsidRPr="005F055E">
              <w:rPr>
                <w:rFonts w:cs="Calibri"/>
                <w:color w:val="000000"/>
                <w:sz w:val="14"/>
                <w:szCs w:val="14"/>
              </w:rPr>
              <w:t>31</w:t>
            </w:r>
          </w:p>
        </w:tc>
        <w:tc>
          <w:tcPr>
            <w:tcW w:w="335"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0C30DB01" w14:textId="77777777">
            <w:pPr>
              <w:suppressAutoHyphens/>
              <w:spacing w:line="240" w:lineRule="auto"/>
              <w:rPr>
                <w:rFonts w:cs="Calibri"/>
                <w:color w:val="000000"/>
                <w:sz w:val="14"/>
                <w:szCs w:val="14"/>
              </w:rPr>
            </w:pPr>
            <w:r w:rsidRPr="005F055E">
              <w:rPr>
                <w:rFonts w:cs="Calibri"/>
                <w:color w:val="000000"/>
                <w:sz w:val="14"/>
                <w:szCs w:val="14"/>
              </w:rPr>
              <w:t>36</w:t>
            </w:r>
          </w:p>
        </w:tc>
      </w:tr>
      <w:tr w:rsidRPr="005F055E" w:rsidR="00341727" w:rsidTr="005E2643" w14:paraId="1DD3B0E8" w14:textId="77777777">
        <w:trPr>
          <w:trHeight w:val="170"/>
        </w:trPr>
        <w:tc>
          <w:tcPr>
            <w:tcW w:w="1802" w:type="pct"/>
            <w:tcBorders>
              <w:top w:val="nil"/>
              <w:left w:val="single" w:color="auto" w:sz="4" w:space="0"/>
              <w:bottom w:val="single" w:color="auto" w:sz="4" w:space="0"/>
              <w:right w:val="single" w:color="auto" w:sz="4" w:space="0"/>
            </w:tcBorders>
            <w:shd w:val="clear" w:color="000000" w:fill="DAEEF3"/>
            <w:noWrap/>
            <w:vAlign w:val="center"/>
            <w:hideMark/>
          </w:tcPr>
          <w:p w:rsidRPr="005F055E" w:rsidR="00341727" w:rsidP="00180EEB" w:rsidRDefault="00341727" w14:paraId="62187AC1" w14:textId="77777777">
            <w:pPr>
              <w:suppressAutoHyphens/>
              <w:spacing w:line="240" w:lineRule="auto"/>
              <w:rPr>
                <w:rFonts w:cs="Calibri"/>
                <w:color w:val="000000"/>
                <w:sz w:val="14"/>
                <w:szCs w:val="14"/>
              </w:rPr>
            </w:pPr>
            <w:r w:rsidRPr="005F055E">
              <w:rPr>
                <w:rFonts w:cs="Calibri"/>
                <w:color w:val="000000"/>
                <w:sz w:val="14"/>
                <w:szCs w:val="14"/>
              </w:rPr>
              <w:t>Groei BBP (%)</w:t>
            </w:r>
          </w:p>
        </w:tc>
        <w:tc>
          <w:tcPr>
            <w:tcW w:w="335"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602A3938" w14:textId="77777777">
            <w:pPr>
              <w:suppressAutoHyphens/>
              <w:spacing w:line="240" w:lineRule="auto"/>
              <w:rPr>
                <w:rFonts w:cs="Calibri"/>
                <w:color w:val="000000"/>
                <w:sz w:val="14"/>
                <w:szCs w:val="14"/>
              </w:rPr>
            </w:pPr>
            <w:r w:rsidRPr="005F055E">
              <w:rPr>
                <w:rFonts w:cs="Calibri"/>
                <w:color w:val="000000"/>
                <w:sz w:val="14"/>
                <w:szCs w:val="14"/>
              </w:rPr>
              <w:t>3%</w:t>
            </w:r>
          </w:p>
        </w:tc>
        <w:tc>
          <w:tcPr>
            <w:tcW w:w="336"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4EE203E4" w14:textId="77777777">
            <w:pPr>
              <w:suppressAutoHyphens/>
              <w:spacing w:line="240" w:lineRule="auto"/>
              <w:rPr>
                <w:rFonts w:cs="Calibri"/>
                <w:color w:val="000000"/>
                <w:sz w:val="14"/>
                <w:szCs w:val="14"/>
              </w:rPr>
            </w:pPr>
            <w:r w:rsidRPr="005F055E">
              <w:rPr>
                <w:rFonts w:cs="Calibri"/>
                <w:color w:val="000000"/>
                <w:sz w:val="14"/>
                <w:szCs w:val="14"/>
              </w:rPr>
              <w:t>2%</w:t>
            </w:r>
          </w:p>
        </w:tc>
        <w:tc>
          <w:tcPr>
            <w:tcW w:w="337"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4FBC26E8" w14:textId="77777777">
            <w:pPr>
              <w:suppressAutoHyphens/>
              <w:spacing w:line="240" w:lineRule="auto"/>
              <w:rPr>
                <w:rFonts w:cs="Calibri"/>
                <w:color w:val="000000"/>
                <w:sz w:val="14"/>
                <w:szCs w:val="14"/>
              </w:rPr>
            </w:pPr>
            <w:r w:rsidRPr="005F055E">
              <w:rPr>
                <w:rFonts w:cs="Calibri"/>
                <w:color w:val="000000"/>
                <w:sz w:val="14"/>
                <w:szCs w:val="14"/>
              </w:rPr>
              <w:t>0%</w:t>
            </w:r>
          </w:p>
        </w:tc>
        <w:tc>
          <w:tcPr>
            <w:tcW w:w="337"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002D6D66" w14:textId="77777777">
            <w:pPr>
              <w:suppressAutoHyphens/>
              <w:spacing w:line="240" w:lineRule="auto"/>
              <w:rPr>
                <w:rFonts w:cs="Calibri"/>
                <w:color w:val="000000"/>
                <w:sz w:val="14"/>
                <w:szCs w:val="14"/>
              </w:rPr>
            </w:pPr>
            <w:r w:rsidRPr="005F055E">
              <w:rPr>
                <w:rFonts w:cs="Calibri"/>
                <w:color w:val="000000"/>
                <w:sz w:val="14"/>
                <w:szCs w:val="14"/>
              </w:rPr>
              <w:t>1%</w:t>
            </w:r>
          </w:p>
        </w:tc>
        <w:tc>
          <w:tcPr>
            <w:tcW w:w="390"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69CA90BC" w14:textId="77777777">
            <w:pPr>
              <w:suppressAutoHyphens/>
              <w:spacing w:line="240" w:lineRule="auto"/>
              <w:rPr>
                <w:rFonts w:cs="Calibri"/>
                <w:color w:val="000000"/>
                <w:sz w:val="14"/>
                <w:szCs w:val="14"/>
              </w:rPr>
            </w:pPr>
            <w:r w:rsidRPr="005F055E">
              <w:rPr>
                <w:rFonts w:cs="Calibri"/>
                <w:color w:val="000000"/>
                <w:sz w:val="14"/>
                <w:szCs w:val="14"/>
              </w:rPr>
              <w:t>2%</w:t>
            </w:r>
          </w:p>
        </w:tc>
        <w:tc>
          <w:tcPr>
            <w:tcW w:w="453"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1B1F5C5C" w14:textId="77777777">
            <w:pPr>
              <w:suppressAutoHyphens/>
              <w:spacing w:line="240" w:lineRule="auto"/>
              <w:rPr>
                <w:rFonts w:cs="Calibri"/>
                <w:color w:val="000000"/>
                <w:sz w:val="14"/>
                <w:szCs w:val="14"/>
              </w:rPr>
            </w:pPr>
            <w:r w:rsidRPr="005F055E">
              <w:rPr>
                <w:rFonts w:cs="Calibri"/>
                <w:color w:val="000000"/>
                <w:sz w:val="14"/>
                <w:szCs w:val="14"/>
              </w:rPr>
              <w:t>3%</w:t>
            </w:r>
          </w:p>
        </w:tc>
        <w:tc>
          <w:tcPr>
            <w:tcW w:w="337"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1D26F20B" w14:textId="77777777">
            <w:pPr>
              <w:suppressAutoHyphens/>
              <w:spacing w:line="240" w:lineRule="auto"/>
              <w:rPr>
                <w:rFonts w:cs="Calibri"/>
                <w:color w:val="000000"/>
                <w:sz w:val="14"/>
                <w:szCs w:val="14"/>
              </w:rPr>
            </w:pPr>
            <w:r w:rsidRPr="005F055E">
              <w:rPr>
                <w:rFonts w:cs="Calibri"/>
                <w:color w:val="000000"/>
                <w:sz w:val="14"/>
                <w:szCs w:val="14"/>
              </w:rPr>
              <w:t>3%</w:t>
            </w:r>
          </w:p>
        </w:tc>
        <w:tc>
          <w:tcPr>
            <w:tcW w:w="337"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7A204172" w14:textId="77777777">
            <w:pPr>
              <w:suppressAutoHyphens/>
              <w:spacing w:line="240" w:lineRule="auto"/>
              <w:rPr>
                <w:rFonts w:cs="Calibri"/>
                <w:color w:val="000000"/>
                <w:sz w:val="14"/>
                <w:szCs w:val="14"/>
              </w:rPr>
            </w:pPr>
            <w:r w:rsidRPr="005F055E">
              <w:rPr>
                <w:rFonts w:cs="Calibri"/>
                <w:color w:val="000000"/>
                <w:sz w:val="14"/>
                <w:szCs w:val="14"/>
              </w:rPr>
              <w:t>4%</w:t>
            </w:r>
          </w:p>
        </w:tc>
        <w:tc>
          <w:tcPr>
            <w:tcW w:w="335" w:type="pct"/>
            <w:tcBorders>
              <w:top w:val="nil"/>
              <w:left w:val="nil"/>
              <w:bottom w:val="single" w:color="auto" w:sz="4" w:space="0"/>
              <w:right w:val="single" w:color="auto" w:sz="4" w:space="0"/>
            </w:tcBorders>
            <w:shd w:val="clear" w:color="000000" w:fill="DAEEF3"/>
            <w:noWrap/>
            <w:vAlign w:val="center"/>
            <w:hideMark/>
          </w:tcPr>
          <w:p w:rsidRPr="005F055E" w:rsidR="00341727" w:rsidP="00180EEB" w:rsidRDefault="00341727" w14:paraId="427BAE1F" w14:textId="77777777">
            <w:pPr>
              <w:suppressAutoHyphens/>
              <w:spacing w:line="240" w:lineRule="auto"/>
              <w:rPr>
                <w:rFonts w:cs="Calibri"/>
                <w:color w:val="000000"/>
                <w:sz w:val="14"/>
                <w:szCs w:val="14"/>
              </w:rPr>
            </w:pPr>
            <w:r w:rsidRPr="005F055E">
              <w:rPr>
                <w:rFonts w:cs="Calibri"/>
                <w:color w:val="000000"/>
                <w:sz w:val="14"/>
                <w:szCs w:val="14"/>
              </w:rPr>
              <w:t>5%</w:t>
            </w:r>
          </w:p>
        </w:tc>
      </w:tr>
      <w:tr w:rsidRPr="005F055E" w:rsidR="00341727" w:rsidTr="005E2643" w14:paraId="3015EE62" w14:textId="77777777">
        <w:trPr>
          <w:trHeight w:val="170"/>
        </w:trPr>
        <w:tc>
          <w:tcPr>
            <w:tcW w:w="1802" w:type="pct"/>
            <w:tcBorders>
              <w:top w:val="nil"/>
              <w:left w:val="single" w:color="auto" w:sz="4" w:space="0"/>
              <w:bottom w:val="nil"/>
              <w:right w:val="single" w:color="auto" w:sz="4" w:space="0"/>
            </w:tcBorders>
            <w:shd w:val="clear" w:color="000000" w:fill="DAEEF3"/>
            <w:noWrap/>
            <w:vAlign w:val="center"/>
            <w:hideMark/>
          </w:tcPr>
          <w:p w:rsidRPr="005F055E" w:rsidR="00341727" w:rsidP="00180EEB" w:rsidRDefault="00341727" w14:paraId="5D367F5C" w14:textId="77777777">
            <w:pPr>
              <w:suppressAutoHyphens/>
              <w:spacing w:line="240" w:lineRule="auto"/>
              <w:rPr>
                <w:rFonts w:cs="Calibri"/>
                <w:color w:val="000000"/>
                <w:sz w:val="14"/>
                <w:szCs w:val="14"/>
              </w:rPr>
            </w:pPr>
            <w:r w:rsidRPr="005F055E">
              <w:rPr>
                <w:rFonts w:cs="Calibri"/>
                <w:color w:val="000000"/>
                <w:sz w:val="14"/>
                <w:szCs w:val="14"/>
              </w:rPr>
              <w:t> </w:t>
            </w:r>
          </w:p>
        </w:tc>
        <w:tc>
          <w:tcPr>
            <w:tcW w:w="335" w:type="pct"/>
            <w:tcBorders>
              <w:top w:val="nil"/>
              <w:left w:val="nil"/>
              <w:bottom w:val="nil"/>
              <w:right w:val="single" w:color="auto" w:sz="4" w:space="0"/>
            </w:tcBorders>
            <w:shd w:val="clear" w:color="000000" w:fill="DAEEF3"/>
            <w:noWrap/>
            <w:vAlign w:val="center"/>
            <w:hideMark/>
          </w:tcPr>
          <w:p w:rsidRPr="005F055E" w:rsidR="00341727" w:rsidP="00180EEB" w:rsidRDefault="00341727" w14:paraId="0EC0C66A" w14:textId="77777777">
            <w:pPr>
              <w:suppressAutoHyphens/>
              <w:spacing w:line="240" w:lineRule="auto"/>
              <w:rPr>
                <w:rFonts w:cs="Calibri"/>
                <w:color w:val="000000"/>
                <w:sz w:val="14"/>
                <w:szCs w:val="14"/>
              </w:rPr>
            </w:pPr>
            <w:r w:rsidRPr="005F055E">
              <w:rPr>
                <w:rFonts w:cs="Calibri"/>
                <w:color w:val="000000"/>
                <w:sz w:val="14"/>
                <w:szCs w:val="14"/>
              </w:rPr>
              <w:t> </w:t>
            </w:r>
          </w:p>
        </w:tc>
        <w:tc>
          <w:tcPr>
            <w:tcW w:w="336" w:type="pct"/>
            <w:tcBorders>
              <w:top w:val="nil"/>
              <w:left w:val="nil"/>
              <w:bottom w:val="nil"/>
              <w:right w:val="single" w:color="auto" w:sz="4" w:space="0"/>
            </w:tcBorders>
            <w:shd w:val="clear" w:color="000000" w:fill="DAEEF3"/>
            <w:noWrap/>
            <w:vAlign w:val="center"/>
            <w:hideMark/>
          </w:tcPr>
          <w:p w:rsidRPr="005F055E" w:rsidR="00341727" w:rsidP="00180EEB" w:rsidRDefault="00341727" w14:paraId="148889C2" w14:textId="77777777">
            <w:pPr>
              <w:suppressAutoHyphens/>
              <w:spacing w:line="240" w:lineRule="auto"/>
              <w:rPr>
                <w:rFonts w:cs="Calibri"/>
                <w:color w:val="000000"/>
                <w:sz w:val="14"/>
                <w:szCs w:val="14"/>
              </w:rPr>
            </w:pPr>
            <w:r w:rsidRPr="005F055E">
              <w:rPr>
                <w:rFonts w:cs="Calibri"/>
                <w:color w:val="000000"/>
                <w:sz w:val="14"/>
                <w:szCs w:val="14"/>
              </w:rPr>
              <w:t> </w:t>
            </w:r>
          </w:p>
        </w:tc>
        <w:tc>
          <w:tcPr>
            <w:tcW w:w="337" w:type="pct"/>
            <w:tcBorders>
              <w:top w:val="nil"/>
              <w:left w:val="nil"/>
              <w:bottom w:val="nil"/>
              <w:right w:val="single" w:color="auto" w:sz="4" w:space="0"/>
            </w:tcBorders>
            <w:shd w:val="clear" w:color="000000" w:fill="DAEEF3"/>
            <w:noWrap/>
            <w:vAlign w:val="center"/>
            <w:hideMark/>
          </w:tcPr>
          <w:p w:rsidRPr="005F055E" w:rsidR="00341727" w:rsidP="00180EEB" w:rsidRDefault="00341727" w14:paraId="55198242" w14:textId="77777777">
            <w:pPr>
              <w:suppressAutoHyphens/>
              <w:spacing w:line="240" w:lineRule="auto"/>
              <w:rPr>
                <w:rFonts w:cs="Calibri"/>
                <w:color w:val="000000"/>
                <w:sz w:val="14"/>
                <w:szCs w:val="14"/>
              </w:rPr>
            </w:pPr>
            <w:r w:rsidRPr="005F055E">
              <w:rPr>
                <w:rFonts w:cs="Calibri"/>
                <w:color w:val="000000"/>
                <w:sz w:val="14"/>
                <w:szCs w:val="14"/>
              </w:rPr>
              <w:t> </w:t>
            </w:r>
          </w:p>
        </w:tc>
        <w:tc>
          <w:tcPr>
            <w:tcW w:w="337" w:type="pct"/>
            <w:tcBorders>
              <w:top w:val="nil"/>
              <w:left w:val="nil"/>
              <w:bottom w:val="nil"/>
              <w:right w:val="single" w:color="auto" w:sz="4" w:space="0"/>
            </w:tcBorders>
            <w:shd w:val="clear" w:color="000000" w:fill="DAEEF3"/>
            <w:noWrap/>
            <w:vAlign w:val="center"/>
            <w:hideMark/>
          </w:tcPr>
          <w:p w:rsidRPr="005F055E" w:rsidR="00341727" w:rsidP="00180EEB" w:rsidRDefault="00341727" w14:paraId="4EA71350" w14:textId="77777777">
            <w:pPr>
              <w:suppressAutoHyphens/>
              <w:spacing w:line="240" w:lineRule="auto"/>
              <w:rPr>
                <w:rFonts w:cs="Calibri"/>
                <w:color w:val="000000"/>
                <w:sz w:val="14"/>
                <w:szCs w:val="14"/>
              </w:rPr>
            </w:pPr>
            <w:r w:rsidRPr="005F055E">
              <w:rPr>
                <w:rFonts w:cs="Calibri"/>
                <w:color w:val="000000"/>
                <w:sz w:val="14"/>
                <w:szCs w:val="14"/>
              </w:rPr>
              <w:t> </w:t>
            </w:r>
          </w:p>
        </w:tc>
        <w:tc>
          <w:tcPr>
            <w:tcW w:w="390" w:type="pct"/>
            <w:tcBorders>
              <w:top w:val="nil"/>
              <w:left w:val="nil"/>
              <w:bottom w:val="nil"/>
              <w:right w:val="single" w:color="auto" w:sz="4" w:space="0"/>
            </w:tcBorders>
            <w:shd w:val="clear" w:color="000000" w:fill="DAEEF3"/>
            <w:noWrap/>
            <w:vAlign w:val="center"/>
            <w:hideMark/>
          </w:tcPr>
          <w:p w:rsidRPr="005F055E" w:rsidR="00341727" w:rsidP="00180EEB" w:rsidRDefault="00341727" w14:paraId="7A9CCF22" w14:textId="77777777">
            <w:pPr>
              <w:suppressAutoHyphens/>
              <w:spacing w:line="240" w:lineRule="auto"/>
              <w:rPr>
                <w:rFonts w:cs="Calibri"/>
                <w:color w:val="000000"/>
                <w:sz w:val="14"/>
                <w:szCs w:val="14"/>
              </w:rPr>
            </w:pPr>
            <w:r w:rsidRPr="005F055E">
              <w:rPr>
                <w:rFonts w:cs="Calibri"/>
                <w:color w:val="000000"/>
                <w:sz w:val="14"/>
                <w:szCs w:val="14"/>
              </w:rPr>
              <w:t> </w:t>
            </w:r>
          </w:p>
        </w:tc>
        <w:tc>
          <w:tcPr>
            <w:tcW w:w="453" w:type="pct"/>
            <w:tcBorders>
              <w:top w:val="nil"/>
              <w:left w:val="nil"/>
              <w:bottom w:val="nil"/>
              <w:right w:val="single" w:color="auto" w:sz="4" w:space="0"/>
            </w:tcBorders>
            <w:shd w:val="clear" w:color="000000" w:fill="DAEEF3"/>
            <w:noWrap/>
            <w:vAlign w:val="center"/>
            <w:hideMark/>
          </w:tcPr>
          <w:p w:rsidRPr="005F055E" w:rsidR="00341727" w:rsidP="00180EEB" w:rsidRDefault="00341727" w14:paraId="6CC33AD8" w14:textId="77777777">
            <w:pPr>
              <w:suppressAutoHyphens/>
              <w:spacing w:line="240" w:lineRule="auto"/>
              <w:rPr>
                <w:rFonts w:cs="Calibri"/>
                <w:color w:val="000000"/>
                <w:sz w:val="14"/>
                <w:szCs w:val="14"/>
              </w:rPr>
            </w:pPr>
            <w:r w:rsidRPr="005F055E">
              <w:rPr>
                <w:rFonts w:cs="Calibri"/>
                <w:color w:val="000000"/>
                <w:sz w:val="14"/>
                <w:szCs w:val="14"/>
              </w:rPr>
              <w:t> </w:t>
            </w:r>
          </w:p>
        </w:tc>
        <w:tc>
          <w:tcPr>
            <w:tcW w:w="337" w:type="pct"/>
            <w:tcBorders>
              <w:top w:val="nil"/>
              <w:left w:val="nil"/>
              <w:bottom w:val="nil"/>
              <w:right w:val="single" w:color="auto" w:sz="4" w:space="0"/>
            </w:tcBorders>
            <w:shd w:val="clear" w:color="000000" w:fill="DAEEF3"/>
            <w:noWrap/>
            <w:vAlign w:val="center"/>
            <w:hideMark/>
          </w:tcPr>
          <w:p w:rsidRPr="005F055E" w:rsidR="00341727" w:rsidP="00180EEB" w:rsidRDefault="00341727" w14:paraId="18B5551A" w14:textId="77777777">
            <w:pPr>
              <w:suppressAutoHyphens/>
              <w:spacing w:line="240" w:lineRule="auto"/>
              <w:rPr>
                <w:rFonts w:cs="Calibri"/>
                <w:color w:val="000000"/>
                <w:sz w:val="14"/>
                <w:szCs w:val="14"/>
              </w:rPr>
            </w:pPr>
            <w:r w:rsidRPr="005F055E">
              <w:rPr>
                <w:rFonts w:cs="Calibri"/>
                <w:color w:val="000000"/>
                <w:sz w:val="14"/>
                <w:szCs w:val="14"/>
              </w:rPr>
              <w:t> </w:t>
            </w:r>
          </w:p>
        </w:tc>
        <w:tc>
          <w:tcPr>
            <w:tcW w:w="337" w:type="pct"/>
            <w:tcBorders>
              <w:top w:val="nil"/>
              <w:left w:val="nil"/>
              <w:bottom w:val="nil"/>
              <w:right w:val="single" w:color="auto" w:sz="4" w:space="0"/>
            </w:tcBorders>
            <w:shd w:val="clear" w:color="000000" w:fill="DAEEF3"/>
            <w:noWrap/>
            <w:vAlign w:val="center"/>
            <w:hideMark/>
          </w:tcPr>
          <w:p w:rsidRPr="005F055E" w:rsidR="00341727" w:rsidP="00180EEB" w:rsidRDefault="00341727" w14:paraId="7F8E77D2" w14:textId="77777777">
            <w:pPr>
              <w:suppressAutoHyphens/>
              <w:spacing w:line="240" w:lineRule="auto"/>
              <w:rPr>
                <w:rFonts w:cs="Calibri"/>
                <w:color w:val="000000"/>
                <w:sz w:val="14"/>
                <w:szCs w:val="14"/>
              </w:rPr>
            </w:pPr>
            <w:r w:rsidRPr="005F055E">
              <w:rPr>
                <w:rFonts w:cs="Calibri"/>
                <w:color w:val="000000"/>
                <w:sz w:val="14"/>
                <w:szCs w:val="14"/>
              </w:rPr>
              <w:t> </w:t>
            </w:r>
          </w:p>
        </w:tc>
        <w:tc>
          <w:tcPr>
            <w:tcW w:w="335" w:type="pct"/>
            <w:tcBorders>
              <w:top w:val="nil"/>
              <w:left w:val="nil"/>
              <w:bottom w:val="nil"/>
              <w:right w:val="single" w:color="auto" w:sz="4" w:space="0"/>
            </w:tcBorders>
            <w:shd w:val="clear" w:color="000000" w:fill="DAEEF3"/>
            <w:noWrap/>
            <w:vAlign w:val="center"/>
            <w:hideMark/>
          </w:tcPr>
          <w:p w:rsidRPr="005F055E" w:rsidR="00341727" w:rsidP="00180EEB" w:rsidRDefault="00341727" w14:paraId="1797A808" w14:textId="77777777">
            <w:pPr>
              <w:suppressAutoHyphens/>
              <w:spacing w:line="240" w:lineRule="auto"/>
              <w:rPr>
                <w:rFonts w:cs="Calibri"/>
                <w:color w:val="000000"/>
                <w:sz w:val="14"/>
                <w:szCs w:val="14"/>
              </w:rPr>
            </w:pPr>
            <w:r w:rsidRPr="005F055E">
              <w:rPr>
                <w:rFonts w:cs="Calibri"/>
                <w:color w:val="000000"/>
                <w:sz w:val="14"/>
                <w:szCs w:val="14"/>
              </w:rPr>
              <w:t> </w:t>
            </w:r>
          </w:p>
        </w:tc>
      </w:tr>
      <w:tr w:rsidRPr="005F055E" w:rsidR="00341727" w:rsidTr="005E2643" w14:paraId="38ED48EA" w14:textId="77777777">
        <w:trPr>
          <w:trHeight w:val="170"/>
        </w:trPr>
        <w:tc>
          <w:tcPr>
            <w:tcW w:w="1802" w:type="pct"/>
            <w:tcBorders>
              <w:top w:val="single" w:color="auto" w:sz="8" w:space="0"/>
              <w:left w:val="single" w:color="auto" w:sz="4" w:space="0"/>
              <w:bottom w:val="single" w:color="auto" w:sz="4" w:space="0"/>
              <w:right w:val="single" w:color="auto" w:sz="4" w:space="0"/>
            </w:tcBorders>
            <w:shd w:val="clear" w:color="000000" w:fill="DAEEF3"/>
            <w:noWrap/>
            <w:vAlign w:val="center"/>
            <w:hideMark/>
          </w:tcPr>
          <w:p w:rsidRPr="005F055E" w:rsidR="00341727" w:rsidP="00180EEB" w:rsidRDefault="00341727" w14:paraId="5466F746" w14:textId="77777777">
            <w:pPr>
              <w:suppressAutoHyphens/>
              <w:spacing w:line="240" w:lineRule="auto"/>
              <w:rPr>
                <w:rFonts w:cs="Calibri"/>
                <w:b/>
                <w:bCs/>
                <w:color w:val="000000"/>
                <w:sz w:val="14"/>
                <w:szCs w:val="14"/>
              </w:rPr>
            </w:pPr>
            <w:r w:rsidRPr="005F055E">
              <w:rPr>
                <w:rFonts w:cs="Calibri"/>
                <w:b/>
                <w:bCs/>
                <w:color w:val="000000"/>
                <w:sz w:val="14"/>
                <w:szCs w:val="14"/>
              </w:rPr>
              <w:t xml:space="preserve">Netto gecorrigeerde zorguitgaven/ </w:t>
            </w:r>
          </w:p>
          <w:p w:rsidRPr="005F055E" w:rsidR="00341727" w:rsidP="00180EEB" w:rsidRDefault="00341727" w14:paraId="0D2911D3" w14:textId="77777777">
            <w:pPr>
              <w:suppressAutoHyphens/>
              <w:spacing w:line="240" w:lineRule="auto"/>
              <w:rPr>
                <w:rFonts w:cs="Calibri"/>
                <w:b/>
                <w:bCs/>
                <w:color w:val="000000"/>
                <w:sz w:val="14"/>
                <w:szCs w:val="14"/>
              </w:rPr>
            </w:pPr>
            <w:r w:rsidRPr="005F055E">
              <w:rPr>
                <w:rFonts w:cs="Calibri"/>
                <w:b/>
                <w:bCs/>
                <w:color w:val="000000"/>
                <w:sz w:val="14"/>
                <w:szCs w:val="14"/>
              </w:rPr>
              <w:t>BBP (%)</w:t>
            </w:r>
          </w:p>
        </w:tc>
        <w:tc>
          <w:tcPr>
            <w:tcW w:w="335" w:type="pct"/>
            <w:tcBorders>
              <w:top w:val="single" w:color="auto" w:sz="8" w:space="0"/>
              <w:left w:val="nil"/>
              <w:bottom w:val="single" w:color="auto" w:sz="4" w:space="0"/>
              <w:right w:val="single" w:color="auto" w:sz="4" w:space="0"/>
            </w:tcBorders>
            <w:shd w:val="clear" w:color="000000" w:fill="DAEEF3"/>
            <w:noWrap/>
            <w:vAlign w:val="bottom"/>
            <w:hideMark/>
          </w:tcPr>
          <w:p w:rsidRPr="005F055E" w:rsidR="00341727" w:rsidP="00180EEB" w:rsidRDefault="00341727" w14:paraId="7B9D7383" w14:textId="77777777">
            <w:pPr>
              <w:suppressAutoHyphens/>
              <w:spacing w:line="240" w:lineRule="auto"/>
              <w:rPr>
                <w:rFonts w:cs="Calibri"/>
                <w:b/>
                <w:bCs/>
                <w:color w:val="000000"/>
                <w:sz w:val="14"/>
                <w:szCs w:val="14"/>
              </w:rPr>
            </w:pPr>
            <w:r w:rsidRPr="005F055E">
              <w:rPr>
                <w:rFonts w:cs="Calibri"/>
                <w:b/>
                <w:bCs/>
                <w:color w:val="000000"/>
                <w:sz w:val="14"/>
                <w:szCs w:val="14"/>
              </w:rPr>
              <w:t>9,0%</w:t>
            </w:r>
          </w:p>
        </w:tc>
        <w:tc>
          <w:tcPr>
            <w:tcW w:w="336" w:type="pct"/>
            <w:tcBorders>
              <w:top w:val="single" w:color="auto" w:sz="8" w:space="0"/>
              <w:left w:val="nil"/>
              <w:bottom w:val="single" w:color="auto" w:sz="4" w:space="0"/>
              <w:right w:val="single" w:color="auto" w:sz="4" w:space="0"/>
            </w:tcBorders>
            <w:shd w:val="clear" w:color="000000" w:fill="DAEEF3"/>
            <w:noWrap/>
            <w:vAlign w:val="bottom"/>
            <w:hideMark/>
          </w:tcPr>
          <w:p w:rsidRPr="005F055E" w:rsidR="00341727" w:rsidP="00180EEB" w:rsidRDefault="00341727" w14:paraId="62655AB4" w14:textId="77777777">
            <w:pPr>
              <w:suppressAutoHyphens/>
              <w:spacing w:line="240" w:lineRule="auto"/>
              <w:rPr>
                <w:rFonts w:cs="Calibri"/>
                <w:b/>
                <w:bCs/>
                <w:color w:val="000000"/>
                <w:sz w:val="14"/>
                <w:szCs w:val="14"/>
              </w:rPr>
            </w:pPr>
            <w:r w:rsidRPr="005F055E">
              <w:rPr>
                <w:rFonts w:cs="Calibri"/>
                <w:b/>
                <w:bCs/>
                <w:color w:val="000000"/>
                <w:sz w:val="14"/>
                <w:szCs w:val="14"/>
              </w:rPr>
              <w:t>9,1%</w:t>
            </w:r>
          </w:p>
        </w:tc>
        <w:tc>
          <w:tcPr>
            <w:tcW w:w="337" w:type="pct"/>
            <w:tcBorders>
              <w:top w:val="single" w:color="auto" w:sz="8" w:space="0"/>
              <w:left w:val="nil"/>
              <w:bottom w:val="single" w:color="auto" w:sz="4" w:space="0"/>
              <w:right w:val="single" w:color="auto" w:sz="4" w:space="0"/>
            </w:tcBorders>
            <w:shd w:val="clear" w:color="000000" w:fill="DAEEF3"/>
            <w:noWrap/>
            <w:vAlign w:val="bottom"/>
            <w:hideMark/>
          </w:tcPr>
          <w:p w:rsidRPr="005F055E" w:rsidR="00341727" w:rsidP="00180EEB" w:rsidRDefault="00341727" w14:paraId="65559DCE" w14:textId="77777777">
            <w:pPr>
              <w:suppressAutoHyphens/>
              <w:spacing w:line="240" w:lineRule="auto"/>
              <w:rPr>
                <w:rFonts w:cs="Calibri"/>
                <w:b/>
                <w:bCs/>
                <w:color w:val="000000"/>
                <w:sz w:val="14"/>
                <w:szCs w:val="14"/>
              </w:rPr>
            </w:pPr>
            <w:r w:rsidRPr="005F055E">
              <w:rPr>
                <w:rFonts w:cs="Calibri"/>
                <w:b/>
                <w:bCs/>
                <w:color w:val="000000"/>
                <w:sz w:val="14"/>
                <w:szCs w:val="14"/>
              </w:rPr>
              <w:t>9,5%</w:t>
            </w:r>
          </w:p>
        </w:tc>
        <w:tc>
          <w:tcPr>
            <w:tcW w:w="337" w:type="pct"/>
            <w:tcBorders>
              <w:top w:val="single" w:color="auto" w:sz="8" w:space="0"/>
              <w:left w:val="nil"/>
              <w:bottom w:val="single" w:color="auto" w:sz="4" w:space="0"/>
              <w:right w:val="single" w:color="auto" w:sz="4" w:space="0"/>
            </w:tcBorders>
            <w:shd w:val="clear" w:color="000000" w:fill="DAEEF3"/>
            <w:noWrap/>
            <w:vAlign w:val="bottom"/>
            <w:hideMark/>
          </w:tcPr>
          <w:p w:rsidRPr="005F055E" w:rsidR="00341727" w:rsidP="00180EEB" w:rsidRDefault="00341727" w14:paraId="2093CFB0" w14:textId="77777777">
            <w:pPr>
              <w:suppressAutoHyphens/>
              <w:spacing w:line="240" w:lineRule="auto"/>
              <w:rPr>
                <w:rFonts w:cs="Calibri"/>
                <w:b/>
                <w:bCs/>
                <w:color w:val="000000"/>
                <w:sz w:val="14"/>
                <w:szCs w:val="14"/>
              </w:rPr>
            </w:pPr>
            <w:r w:rsidRPr="005F055E">
              <w:rPr>
                <w:rFonts w:cs="Calibri"/>
                <w:b/>
                <w:bCs/>
                <w:color w:val="000000"/>
                <w:sz w:val="14"/>
                <w:szCs w:val="14"/>
              </w:rPr>
              <w:t>9,6%</w:t>
            </w:r>
          </w:p>
        </w:tc>
        <w:tc>
          <w:tcPr>
            <w:tcW w:w="390" w:type="pct"/>
            <w:tcBorders>
              <w:top w:val="single" w:color="auto" w:sz="8" w:space="0"/>
              <w:left w:val="nil"/>
              <w:bottom w:val="single" w:color="auto" w:sz="4" w:space="0"/>
              <w:right w:val="single" w:color="auto" w:sz="4" w:space="0"/>
            </w:tcBorders>
            <w:shd w:val="clear" w:color="000000" w:fill="DAEEF3"/>
            <w:noWrap/>
            <w:vAlign w:val="bottom"/>
            <w:hideMark/>
          </w:tcPr>
          <w:p w:rsidRPr="005F055E" w:rsidR="00341727" w:rsidP="00180EEB" w:rsidRDefault="00341727" w14:paraId="61936355" w14:textId="77777777">
            <w:pPr>
              <w:suppressAutoHyphens/>
              <w:spacing w:line="240" w:lineRule="auto"/>
              <w:rPr>
                <w:rFonts w:cs="Calibri"/>
                <w:b/>
                <w:bCs/>
                <w:color w:val="000000"/>
                <w:sz w:val="14"/>
                <w:szCs w:val="14"/>
              </w:rPr>
            </w:pPr>
            <w:r w:rsidRPr="005F055E">
              <w:rPr>
                <w:rFonts w:cs="Calibri"/>
                <w:b/>
                <w:bCs/>
                <w:color w:val="000000"/>
                <w:sz w:val="14"/>
                <w:szCs w:val="14"/>
              </w:rPr>
              <w:t>9,4%</w:t>
            </w:r>
          </w:p>
        </w:tc>
        <w:tc>
          <w:tcPr>
            <w:tcW w:w="453" w:type="pct"/>
            <w:tcBorders>
              <w:top w:val="single" w:color="auto" w:sz="8" w:space="0"/>
              <w:left w:val="nil"/>
              <w:bottom w:val="single" w:color="auto" w:sz="4" w:space="0"/>
              <w:right w:val="single" w:color="auto" w:sz="4" w:space="0"/>
            </w:tcBorders>
            <w:shd w:val="clear" w:color="000000" w:fill="DAEEF3"/>
            <w:noWrap/>
            <w:vAlign w:val="bottom"/>
            <w:hideMark/>
          </w:tcPr>
          <w:p w:rsidRPr="005F055E" w:rsidR="00341727" w:rsidP="00180EEB" w:rsidRDefault="00341727" w14:paraId="6E56B042" w14:textId="77777777">
            <w:pPr>
              <w:suppressAutoHyphens/>
              <w:spacing w:line="240" w:lineRule="auto"/>
              <w:rPr>
                <w:rFonts w:cs="Calibri"/>
                <w:b/>
                <w:bCs/>
                <w:color w:val="000000"/>
                <w:sz w:val="14"/>
                <w:szCs w:val="14"/>
              </w:rPr>
            </w:pPr>
            <w:r w:rsidRPr="005F055E">
              <w:rPr>
                <w:rFonts w:cs="Calibri"/>
                <w:b/>
                <w:bCs/>
                <w:color w:val="000000"/>
                <w:sz w:val="14"/>
                <w:szCs w:val="14"/>
              </w:rPr>
              <w:t>8,4%</w:t>
            </w:r>
          </w:p>
        </w:tc>
        <w:tc>
          <w:tcPr>
            <w:tcW w:w="337" w:type="pct"/>
            <w:tcBorders>
              <w:top w:val="single" w:color="auto" w:sz="8" w:space="0"/>
              <w:left w:val="nil"/>
              <w:bottom w:val="single" w:color="auto" w:sz="4" w:space="0"/>
              <w:right w:val="single" w:color="auto" w:sz="4" w:space="0"/>
            </w:tcBorders>
            <w:shd w:val="clear" w:color="000000" w:fill="DAEEF3"/>
            <w:noWrap/>
            <w:vAlign w:val="bottom"/>
            <w:hideMark/>
          </w:tcPr>
          <w:p w:rsidRPr="005F055E" w:rsidR="00341727" w:rsidP="00180EEB" w:rsidRDefault="00341727" w14:paraId="0EB4C1E6" w14:textId="77777777">
            <w:pPr>
              <w:suppressAutoHyphens/>
              <w:spacing w:line="240" w:lineRule="auto"/>
              <w:rPr>
                <w:rFonts w:cs="Calibri"/>
                <w:b/>
                <w:bCs/>
                <w:color w:val="000000"/>
                <w:sz w:val="14"/>
                <w:szCs w:val="14"/>
              </w:rPr>
            </w:pPr>
            <w:r w:rsidRPr="005F055E">
              <w:rPr>
                <w:rFonts w:cs="Calibri"/>
                <w:b/>
                <w:bCs/>
                <w:color w:val="000000"/>
                <w:sz w:val="14"/>
                <w:szCs w:val="14"/>
              </w:rPr>
              <w:t>8,4%</w:t>
            </w:r>
          </w:p>
        </w:tc>
        <w:tc>
          <w:tcPr>
            <w:tcW w:w="337" w:type="pct"/>
            <w:tcBorders>
              <w:top w:val="single" w:color="auto" w:sz="8" w:space="0"/>
              <w:left w:val="nil"/>
              <w:bottom w:val="single" w:color="auto" w:sz="4" w:space="0"/>
              <w:right w:val="single" w:color="auto" w:sz="4" w:space="0"/>
            </w:tcBorders>
            <w:shd w:val="clear" w:color="000000" w:fill="DAEEF3"/>
            <w:noWrap/>
            <w:vAlign w:val="bottom"/>
            <w:hideMark/>
          </w:tcPr>
          <w:p w:rsidRPr="005F055E" w:rsidR="00341727" w:rsidP="00180EEB" w:rsidRDefault="00341727" w14:paraId="477F5A03" w14:textId="77777777">
            <w:pPr>
              <w:suppressAutoHyphens/>
              <w:spacing w:line="240" w:lineRule="auto"/>
              <w:rPr>
                <w:rFonts w:cs="Calibri"/>
                <w:b/>
                <w:bCs/>
                <w:color w:val="000000"/>
                <w:sz w:val="14"/>
                <w:szCs w:val="14"/>
              </w:rPr>
            </w:pPr>
            <w:r w:rsidRPr="005F055E">
              <w:rPr>
                <w:rFonts w:cs="Calibri"/>
                <w:b/>
                <w:bCs/>
                <w:color w:val="000000"/>
                <w:sz w:val="14"/>
                <w:szCs w:val="14"/>
              </w:rPr>
              <w:t>8,5%</w:t>
            </w:r>
          </w:p>
        </w:tc>
        <w:tc>
          <w:tcPr>
            <w:tcW w:w="335" w:type="pct"/>
            <w:tcBorders>
              <w:top w:val="single" w:color="auto" w:sz="8" w:space="0"/>
              <w:left w:val="nil"/>
              <w:bottom w:val="single" w:color="auto" w:sz="4" w:space="0"/>
              <w:right w:val="single" w:color="auto" w:sz="4" w:space="0"/>
            </w:tcBorders>
            <w:shd w:val="clear" w:color="000000" w:fill="DAEEF3"/>
            <w:noWrap/>
            <w:vAlign w:val="bottom"/>
            <w:hideMark/>
          </w:tcPr>
          <w:p w:rsidRPr="005F055E" w:rsidR="00341727" w:rsidP="00180EEB" w:rsidRDefault="00341727" w14:paraId="7BAD0D89" w14:textId="77777777">
            <w:pPr>
              <w:suppressAutoHyphens/>
              <w:spacing w:line="240" w:lineRule="auto"/>
              <w:rPr>
                <w:rFonts w:cs="Calibri"/>
                <w:b/>
                <w:bCs/>
                <w:color w:val="000000"/>
                <w:sz w:val="14"/>
                <w:szCs w:val="14"/>
              </w:rPr>
            </w:pPr>
            <w:r w:rsidRPr="005F055E">
              <w:rPr>
                <w:rFonts w:cs="Calibri"/>
                <w:b/>
                <w:bCs/>
                <w:color w:val="000000"/>
                <w:sz w:val="14"/>
                <w:szCs w:val="14"/>
              </w:rPr>
              <w:t>8,3%</w:t>
            </w:r>
          </w:p>
        </w:tc>
      </w:tr>
    </w:tbl>
    <w:p w:rsidRPr="005F055E" w:rsidR="00912A7D" w:rsidP="00180EEB" w:rsidRDefault="00912A7D" w14:paraId="0FB5634E" w14:textId="77777777">
      <w:pPr>
        <w:suppressAutoHyphens/>
      </w:pPr>
    </w:p>
    <w:p w:rsidRPr="005F055E" w:rsidR="00912A7D" w:rsidP="00180EEB" w:rsidRDefault="00912A7D" w14:paraId="2CD73F46" w14:textId="77777777">
      <w:pPr>
        <w:suppressAutoHyphens/>
      </w:pPr>
    </w:p>
    <w:p w:rsidRPr="005F055E" w:rsidR="00912A7D" w:rsidP="00180EEB" w:rsidRDefault="003E7003" w14:paraId="0505A886" w14:textId="77777777">
      <w:pPr>
        <w:suppressAutoHyphens/>
      </w:pPr>
      <w:r w:rsidRPr="005F055E">
        <w:t>Vraag 173</w:t>
      </w:r>
      <w:r w:rsidRPr="005F055E">
        <w:tab/>
      </w:r>
    </w:p>
    <w:p w:rsidRPr="005F055E" w:rsidR="00912A7D" w:rsidP="00180EEB" w:rsidRDefault="003E7003" w14:paraId="4A3B5F2B" w14:textId="77777777">
      <w:pPr>
        <w:suppressAutoHyphens/>
      </w:pPr>
      <w:r w:rsidRPr="005F055E">
        <w:t>Hoe heeft de groei van de collectieve zorguitgaven zich ten opzichte van de groei van de economie in de afgelopen vijftien jaar ontwikkeld?</w:t>
      </w:r>
      <w:r w:rsidRPr="005F055E">
        <w:tab/>
      </w:r>
    </w:p>
    <w:p w:rsidRPr="005F055E" w:rsidR="003E7003" w:rsidP="00180EEB" w:rsidRDefault="003E7003" w14:paraId="75B3F267" w14:textId="451ED0C1">
      <w:pPr>
        <w:suppressAutoHyphens/>
      </w:pPr>
      <w:r w:rsidRPr="005F055E">
        <w:t>Antwoord</w:t>
      </w:r>
    </w:p>
    <w:p w:rsidRPr="005F055E" w:rsidR="00390010" w:rsidP="00180EEB" w:rsidRDefault="00390010" w14:paraId="25D44219" w14:textId="3F2E02FB">
      <w:pPr>
        <w:suppressAutoHyphens/>
        <w:rPr>
          <w:szCs w:val="18"/>
        </w:rPr>
      </w:pPr>
      <w:r w:rsidRPr="005F055E">
        <w:rPr>
          <w:szCs w:val="18"/>
        </w:rPr>
        <w:t>In onderstaande tabel staat de netto gecorrigeerde zorguitgaven (</w:t>
      </w:r>
      <w:proofErr w:type="spellStart"/>
      <w:r w:rsidRPr="005F055E">
        <w:rPr>
          <w:szCs w:val="18"/>
        </w:rPr>
        <w:t>Zvw</w:t>
      </w:r>
      <w:proofErr w:type="spellEnd"/>
      <w:r w:rsidRPr="005F055E">
        <w:rPr>
          <w:szCs w:val="18"/>
        </w:rPr>
        <w:t xml:space="preserve">, </w:t>
      </w:r>
      <w:proofErr w:type="spellStart"/>
      <w:r w:rsidRPr="005F055E">
        <w:rPr>
          <w:szCs w:val="18"/>
        </w:rPr>
        <w:t>Wlz</w:t>
      </w:r>
      <w:proofErr w:type="spellEnd"/>
      <w:r w:rsidRPr="005F055E">
        <w:rPr>
          <w:szCs w:val="18"/>
        </w:rPr>
        <w:t xml:space="preserve">, </w:t>
      </w:r>
      <w:proofErr w:type="spellStart"/>
      <w:r w:rsidRPr="005F055E">
        <w:rPr>
          <w:szCs w:val="18"/>
        </w:rPr>
        <w:t>Wmo</w:t>
      </w:r>
      <w:proofErr w:type="spellEnd"/>
      <w:r w:rsidRPr="005F055E">
        <w:rPr>
          <w:szCs w:val="18"/>
        </w:rPr>
        <w:t xml:space="preserve"> beschermd wonen en AP-middelen</w:t>
      </w:r>
      <w:r w:rsidRPr="005F055E">
        <w:rPr>
          <w:rStyle w:val="Voetnootmarkering"/>
          <w:szCs w:val="18"/>
        </w:rPr>
        <w:footnoteReference w:id="66"/>
      </w:r>
      <w:r w:rsidRPr="005F055E">
        <w:rPr>
          <w:szCs w:val="18"/>
        </w:rPr>
        <w:t xml:space="preserve">) in relatie tot de ontwikkeling van het bruto binnenlands product (BBP) in de jaren 2010-2024 met als basisjaar 2009. </w:t>
      </w:r>
    </w:p>
    <w:p w:rsidRPr="005F055E" w:rsidR="00390010" w:rsidP="00180EEB" w:rsidRDefault="00390010" w14:paraId="5AF8789F" w14:textId="77777777">
      <w:pPr>
        <w:suppressAutoHyphens/>
        <w:rPr>
          <w:szCs w:val="18"/>
        </w:rPr>
      </w:pPr>
      <w:r w:rsidRPr="005F055E">
        <w:rPr>
          <w:szCs w:val="18"/>
        </w:rPr>
        <w:t xml:space="preserve">Het percentage dat de verhouding van de zorguitgaven ten opzichte van het BBP weergeeft fluctueert. Dit wordt met name veroorzaakt door de economische schommelingen. In jaren waar het BBP minder hard groeit of krimpt stijgt het percentage en in de jaren dat het BBP toeneemt vice versa. </w:t>
      </w:r>
    </w:p>
    <w:p w:rsidRPr="005F055E" w:rsidR="00390010" w:rsidP="00180EEB" w:rsidRDefault="00390010" w14:paraId="093846CE" w14:textId="77777777">
      <w:pPr>
        <w:suppressAutoHyphens/>
        <w:rPr>
          <w:szCs w:val="18"/>
        </w:rPr>
      </w:pPr>
    </w:p>
    <w:tbl>
      <w:tblPr>
        <w:tblW w:w="5277" w:type="pct"/>
        <w:tblCellMar>
          <w:left w:w="70" w:type="dxa"/>
          <w:right w:w="70" w:type="dxa"/>
        </w:tblCellMar>
        <w:tblLook w:val="04A0" w:firstRow="1" w:lastRow="0" w:firstColumn="1" w:lastColumn="0" w:noHBand="0" w:noVBand="1"/>
      </w:tblPr>
      <w:tblGrid>
        <w:gridCol w:w="1439"/>
        <w:gridCol w:w="1390"/>
        <w:gridCol w:w="1358"/>
        <w:gridCol w:w="179"/>
        <w:gridCol w:w="680"/>
        <w:gridCol w:w="343"/>
        <w:gridCol w:w="337"/>
        <w:gridCol w:w="680"/>
        <w:gridCol w:w="349"/>
        <w:gridCol w:w="333"/>
        <w:gridCol w:w="349"/>
        <w:gridCol w:w="478"/>
        <w:gridCol w:w="880"/>
        <w:gridCol w:w="17"/>
        <w:gridCol w:w="710"/>
      </w:tblGrid>
      <w:tr w:rsidRPr="005F055E" w:rsidR="00390010" w:rsidTr="005E2643" w14:paraId="72B28309" w14:textId="77777777">
        <w:trPr>
          <w:trHeight w:val="492"/>
        </w:trPr>
        <w:tc>
          <w:tcPr>
            <w:tcW w:w="5000" w:type="pct"/>
            <w:gridSpan w:val="15"/>
            <w:tcBorders>
              <w:top w:val="single" w:color="auto" w:sz="4" w:space="0"/>
              <w:left w:val="single" w:color="auto" w:sz="4" w:space="0"/>
              <w:bottom w:val="single" w:color="auto" w:sz="8" w:space="0"/>
              <w:right w:val="nil"/>
            </w:tcBorders>
            <w:shd w:val="clear" w:color="000000" w:fill="000000"/>
            <w:vAlign w:val="center"/>
            <w:hideMark/>
          </w:tcPr>
          <w:p w:rsidRPr="005F055E" w:rsidR="00390010" w:rsidP="00180EEB" w:rsidRDefault="00390010" w14:paraId="4F00F48C" w14:textId="77777777">
            <w:pPr>
              <w:suppressAutoHyphens/>
              <w:spacing w:line="240" w:lineRule="auto"/>
              <w:rPr>
                <w:rFonts w:cs="Calibri"/>
                <w:b/>
                <w:bCs/>
                <w:color w:val="FFFFFF"/>
                <w:sz w:val="14"/>
                <w:szCs w:val="14"/>
              </w:rPr>
            </w:pPr>
            <w:r w:rsidRPr="005F055E">
              <w:rPr>
                <w:rFonts w:cs="Calibri"/>
                <w:b/>
                <w:bCs/>
                <w:color w:val="FFFFFF"/>
                <w:sz w:val="14"/>
                <w:szCs w:val="14"/>
              </w:rPr>
              <w:t xml:space="preserve">Tabel ontwikkeling netto gecorrigeerde zorguitgaven in relatie tot ontwikkeling BBP 2010-2024 (bedragen x € 1 miljard) </w:t>
            </w:r>
            <w:r w:rsidRPr="005F055E">
              <w:rPr>
                <w:rFonts w:cs="Calibri"/>
                <w:b/>
                <w:bCs/>
                <w:color w:val="FFFFFF"/>
                <w:sz w:val="14"/>
                <w:szCs w:val="14"/>
                <w:vertAlign w:val="superscript"/>
              </w:rPr>
              <w:t>1</w:t>
            </w:r>
          </w:p>
        </w:tc>
      </w:tr>
      <w:tr w:rsidRPr="005F055E" w:rsidR="00390010" w:rsidTr="00390010" w14:paraId="0C5AC5B0" w14:textId="77777777">
        <w:trPr>
          <w:trHeight w:val="216"/>
        </w:trPr>
        <w:tc>
          <w:tcPr>
            <w:tcW w:w="2293" w:type="pct"/>
            <w:gridSpan w:val="4"/>
            <w:tcBorders>
              <w:top w:val="nil"/>
              <w:left w:val="single" w:color="auto" w:sz="4" w:space="0"/>
              <w:bottom w:val="single" w:color="auto" w:sz="8" w:space="0"/>
              <w:right w:val="single" w:color="auto" w:sz="4" w:space="0"/>
            </w:tcBorders>
            <w:shd w:val="clear" w:color="000000" w:fill="DAEEF3"/>
            <w:vAlign w:val="center"/>
            <w:hideMark/>
          </w:tcPr>
          <w:p w:rsidRPr="005F055E" w:rsidR="00390010" w:rsidP="00180EEB" w:rsidRDefault="00390010" w14:paraId="4559EADA" w14:textId="77777777">
            <w:pPr>
              <w:suppressAutoHyphens/>
              <w:spacing w:line="240" w:lineRule="auto"/>
              <w:rPr>
                <w:rFonts w:cs="Calibri"/>
                <w:color w:val="000000"/>
                <w:sz w:val="14"/>
                <w:szCs w:val="14"/>
              </w:rPr>
            </w:pPr>
            <w:r w:rsidRPr="005F055E">
              <w:rPr>
                <w:rFonts w:cs="Calibri"/>
                <w:color w:val="000000"/>
                <w:sz w:val="14"/>
                <w:szCs w:val="14"/>
              </w:rPr>
              <w:t> </w:t>
            </w:r>
          </w:p>
        </w:tc>
        <w:tc>
          <w:tcPr>
            <w:tcW w:w="357" w:type="pct"/>
            <w:tcBorders>
              <w:top w:val="nil"/>
              <w:left w:val="nil"/>
              <w:bottom w:val="single" w:color="auto" w:sz="8" w:space="0"/>
              <w:right w:val="single" w:color="auto" w:sz="4" w:space="0"/>
            </w:tcBorders>
            <w:shd w:val="clear" w:color="000000" w:fill="DAEEF3"/>
            <w:vAlign w:val="center"/>
            <w:hideMark/>
          </w:tcPr>
          <w:p w:rsidRPr="005F055E" w:rsidR="00390010" w:rsidP="00180EEB" w:rsidRDefault="00390010" w14:paraId="25938D55" w14:textId="77777777">
            <w:pPr>
              <w:suppressAutoHyphens/>
              <w:spacing w:line="240" w:lineRule="auto"/>
              <w:rPr>
                <w:rFonts w:cs="Calibri"/>
                <w:color w:val="000000"/>
                <w:sz w:val="14"/>
                <w:szCs w:val="14"/>
              </w:rPr>
            </w:pPr>
            <w:r w:rsidRPr="005F055E">
              <w:rPr>
                <w:rFonts w:cs="Calibri"/>
                <w:color w:val="000000"/>
                <w:sz w:val="14"/>
                <w:szCs w:val="14"/>
              </w:rPr>
              <w:t>2010</w:t>
            </w:r>
          </w:p>
        </w:tc>
        <w:tc>
          <w:tcPr>
            <w:tcW w:w="357" w:type="pct"/>
            <w:gridSpan w:val="2"/>
            <w:tcBorders>
              <w:top w:val="nil"/>
              <w:left w:val="nil"/>
              <w:bottom w:val="single" w:color="auto" w:sz="8" w:space="0"/>
              <w:right w:val="single" w:color="auto" w:sz="4" w:space="0"/>
            </w:tcBorders>
            <w:shd w:val="clear" w:color="000000" w:fill="DAEEF3"/>
            <w:vAlign w:val="center"/>
            <w:hideMark/>
          </w:tcPr>
          <w:p w:rsidRPr="005F055E" w:rsidR="00390010" w:rsidP="00180EEB" w:rsidRDefault="00390010" w14:paraId="28A1AB14" w14:textId="77777777">
            <w:pPr>
              <w:suppressAutoHyphens/>
              <w:spacing w:line="240" w:lineRule="auto"/>
              <w:rPr>
                <w:rFonts w:cs="Calibri"/>
                <w:color w:val="000000"/>
                <w:sz w:val="14"/>
                <w:szCs w:val="14"/>
              </w:rPr>
            </w:pPr>
            <w:r w:rsidRPr="005F055E">
              <w:rPr>
                <w:rFonts w:cs="Calibri"/>
                <w:color w:val="000000"/>
                <w:sz w:val="14"/>
                <w:szCs w:val="14"/>
              </w:rPr>
              <w:t>2011</w:t>
            </w:r>
          </w:p>
        </w:tc>
        <w:tc>
          <w:tcPr>
            <w:tcW w:w="357" w:type="pct"/>
            <w:tcBorders>
              <w:top w:val="nil"/>
              <w:left w:val="nil"/>
              <w:bottom w:val="single" w:color="auto" w:sz="8" w:space="0"/>
              <w:right w:val="single" w:color="auto" w:sz="4" w:space="0"/>
            </w:tcBorders>
            <w:shd w:val="clear" w:color="000000" w:fill="DAEEF3"/>
            <w:vAlign w:val="center"/>
            <w:hideMark/>
          </w:tcPr>
          <w:p w:rsidRPr="005F055E" w:rsidR="00390010" w:rsidP="00180EEB" w:rsidRDefault="00390010" w14:paraId="5D2CF6C1" w14:textId="77777777">
            <w:pPr>
              <w:suppressAutoHyphens/>
              <w:spacing w:line="240" w:lineRule="auto"/>
              <w:rPr>
                <w:rFonts w:cs="Calibri"/>
                <w:color w:val="000000"/>
                <w:sz w:val="14"/>
                <w:szCs w:val="14"/>
              </w:rPr>
            </w:pPr>
            <w:r w:rsidRPr="005F055E">
              <w:rPr>
                <w:rFonts w:cs="Calibri"/>
                <w:color w:val="000000"/>
                <w:sz w:val="14"/>
                <w:szCs w:val="14"/>
              </w:rPr>
              <w:t>2012</w:t>
            </w:r>
          </w:p>
        </w:tc>
        <w:tc>
          <w:tcPr>
            <w:tcW w:w="358" w:type="pct"/>
            <w:gridSpan w:val="2"/>
            <w:tcBorders>
              <w:top w:val="nil"/>
              <w:left w:val="nil"/>
              <w:bottom w:val="single" w:color="auto" w:sz="8" w:space="0"/>
              <w:right w:val="single" w:color="auto" w:sz="4" w:space="0"/>
            </w:tcBorders>
            <w:shd w:val="clear" w:color="000000" w:fill="DAEEF3"/>
            <w:vAlign w:val="center"/>
            <w:hideMark/>
          </w:tcPr>
          <w:p w:rsidRPr="005F055E" w:rsidR="00390010" w:rsidP="00180EEB" w:rsidRDefault="00390010" w14:paraId="210337CF" w14:textId="77777777">
            <w:pPr>
              <w:suppressAutoHyphens/>
              <w:spacing w:line="240" w:lineRule="auto"/>
              <w:rPr>
                <w:rFonts w:cs="Calibri"/>
                <w:color w:val="000000"/>
                <w:sz w:val="14"/>
                <w:szCs w:val="14"/>
              </w:rPr>
            </w:pPr>
            <w:r w:rsidRPr="005F055E">
              <w:rPr>
                <w:rFonts w:cs="Calibri"/>
                <w:color w:val="000000"/>
                <w:sz w:val="14"/>
                <w:szCs w:val="14"/>
              </w:rPr>
              <w:t>2013</w:t>
            </w:r>
          </w:p>
        </w:tc>
        <w:tc>
          <w:tcPr>
            <w:tcW w:w="434" w:type="pct"/>
            <w:gridSpan w:val="2"/>
            <w:tcBorders>
              <w:top w:val="nil"/>
              <w:left w:val="nil"/>
              <w:bottom w:val="single" w:color="auto" w:sz="8" w:space="0"/>
              <w:right w:val="single" w:color="auto" w:sz="4" w:space="0"/>
            </w:tcBorders>
            <w:shd w:val="clear" w:color="000000" w:fill="DAEEF3"/>
            <w:vAlign w:val="center"/>
            <w:hideMark/>
          </w:tcPr>
          <w:p w:rsidRPr="005F055E" w:rsidR="00390010" w:rsidP="00180EEB" w:rsidRDefault="00390010" w14:paraId="1380D70B" w14:textId="77777777">
            <w:pPr>
              <w:suppressAutoHyphens/>
              <w:spacing w:line="240" w:lineRule="auto"/>
              <w:rPr>
                <w:rFonts w:cs="Calibri"/>
                <w:color w:val="000000"/>
                <w:sz w:val="14"/>
                <w:szCs w:val="14"/>
              </w:rPr>
            </w:pPr>
            <w:r w:rsidRPr="005F055E">
              <w:rPr>
                <w:rFonts w:cs="Calibri"/>
                <w:color w:val="000000"/>
                <w:sz w:val="14"/>
                <w:szCs w:val="14"/>
              </w:rPr>
              <w:t xml:space="preserve">2014 </w:t>
            </w:r>
            <w:r w:rsidRPr="005F055E">
              <w:rPr>
                <w:rFonts w:cs="Calibri"/>
                <w:color w:val="000000"/>
                <w:sz w:val="14"/>
                <w:szCs w:val="14"/>
                <w:vertAlign w:val="superscript"/>
              </w:rPr>
              <w:t>2</w:t>
            </w:r>
          </w:p>
        </w:tc>
        <w:tc>
          <w:tcPr>
            <w:tcW w:w="462" w:type="pct"/>
            <w:tcBorders>
              <w:top w:val="nil"/>
              <w:left w:val="nil"/>
              <w:bottom w:val="single" w:color="auto" w:sz="8" w:space="0"/>
              <w:right w:val="single" w:color="auto" w:sz="4" w:space="0"/>
            </w:tcBorders>
            <w:shd w:val="clear" w:color="000000" w:fill="DAEEF3"/>
            <w:vAlign w:val="center"/>
            <w:hideMark/>
          </w:tcPr>
          <w:p w:rsidRPr="005F055E" w:rsidR="00390010" w:rsidP="00180EEB" w:rsidRDefault="00390010" w14:paraId="50C6887A" w14:textId="77777777">
            <w:pPr>
              <w:suppressAutoHyphens/>
              <w:spacing w:line="240" w:lineRule="auto"/>
              <w:rPr>
                <w:rFonts w:cs="Calibri"/>
                <w:color w:val="000000"/>
                <w:sz w:val="14"/>
                <w:szCs w:val="14"/>
              </w:rPr>
            </w:pPr>
            <w:r w:rsidRPr="005F055E">
              <w:rPr>
                <w:rFonts w:cs="Calibri"/>
                <w:color w:val="000000"/>
                <w:sz w:val="14"/>
                <w:szCs w:val="14"/>
              </w:rPr>
              <w:t>2015</w:t>
            </w:r>
            <w:r w:rsidRPr="005F055E">
              <w:rPr>
                <w:rFonts w:cs="Calibri"/>
                <w:color w:val="000000"/>
                <w:sz w:val="14"/>
                <w:szCs w:val="14"/>
                <w:vertAlign w:val="superscript"/>
              </w:rPr>
              <w:t xml:space="preserve"> 3+4</w:t>
            </w:r>
          </w:p>
        </w:tc>
        <w:tc>
          <w:tcPr>
            <w:tcW w:w="381" w:type="pct"/>
            <w:gridSpan w:val="2"/>
            <w:tcBorders>
              <w:top w:val="nil"/>
              <w:left w:val="nil"/>
              <w:bottom w:val="single" w:color="auto" w:sz="8" w:space="0"/>
              <w:right w:val="single" w:color="auto" w:sz="4" w:space="0"/>
            </w:tcBorders>
            <w:shd w:val="clear" w:color="000000" w:fill="DAEEF3"/>
            <w:vAlign w:val="center"/>
            <w:hideMark/>
          </w:tcPr>
          <w:p w:rsidRPr="005F055E" w:rsidR="00390010" w:rsidP="00180EEB" w:rsidRDefault="00390010" w14:paraId="6B6E9519" w14:textId="77777777">
            <w:pPr>
              <w:suppressAutoHyphens/>
              <w:spacing w:line="240" w:lineRule="auto"/>
              <w:rPr>
                <w:rFonts w:cs="Calibri"/>
                <w:color w:val="000000"/>
                <w:sz w:val="14"/>
                <w:szCs w:val="14"/>
              </w:rPr>
            </w:pPr>
            <w:r w:rsidRPr="005F055E">
              <w:rPr>
                <w:rFonts w:cs="Calibri"/>
                <w:color w:val="000000"/>
                <w:sz w:val="14"/>
                <w:szCs w:val="14"/>
              </w:rPr>
              <w:t>2016</w:t>
            </w:r>
          </w:p>
        </w:tc>
      </w:tr>
      <w:tr w:rsidRPr="005F055E" w:rsidR="00390010" w:rsidTr="00390010" w14:paraId="5525E675" w14:textId="77777777">
        <w:trPr>
          <w:trHeight w:val="204"/>
        </w:trPr>
        <w:tc>
          <w:tcPr>
            <w:tcW w:w="2293" w:type="pct"/>
            <w:gridSpan w:val="4"/>
            <w:tcBorders>
              <w:top w:val="nil"/>
              <w:left w:val="single" w:color="auto" w:sz="4" w:space="0"/>
              <w:bottom w:val="single" w:color="auto" w:sz="8" w:space="0"/>
              <w:right w:val="single" w:color="auto" w:sz="4" w:space="0"/>
            </w:tcBorders>
            <w:shd w:val="clear" w:color="000000" w:fill="DAEEF3"/>
            <w:noWrap/>
            <w:vAlign w:val="center"/>
            <w:hideMark/>
          </w:tcPr>
          <w:p w:rsidRPr="005F055E" w:rsidR="00390010" w:rsidP="00180EEB" w:rsidRDefault="00390010" w14:paraId="115EB01B" w14:textId="77777777">
            <w:pPr>
              <w:suppressAutoHyphens/>
              <w:spacing w:line="240" w:lineRule="auto"/>
              <w:rPr>
                <w:rFonts w:cs="Calibri"/>
                <w:b/>
                <w:bCs/>
                <w:color w:val="000000"/>
                <w:sz w:val="14"/>
                <w:szCs w:val="14"/>
              </w:rPr>
            </w:pPr>
            <w:r w:rsidRPr="005F055E">
              <w:rPr>
                <w:rFonts w:cs="Calibri"/>
                <w:b/>
                <w:bCs/>
                <w:color w:val="000000"/>
                <w:sz w:val="14"/>
                <w:szCs w:val="14"/>
              </w:rPr>
              <w:t>Netto gecorrigeerde zorguitgaven (€)</w:t>
            </w:r>
          </w:p>
        </w:tc>
        <w:tc>
          <w:tcPr>
            <w:tcW w:w="357" w:type="pct"/>
            <w:tcBorders>
              <w:top w:val="nil"/>
              <w:left w:val="nil"/>
              <w:bottom w:val="single" w:color="auto" w:sz="8" w:space="0"/>
              <w:right w:val="single" w:color="auto" w:sz="4" w:space="0"/>
            </w:tcBorders>
            <w:shd w:val="clear" w:color="000000" w:fill="DAEEF3"/>
            <w:noWrap/>
            <w:vAlign w:val="center"/>
            <w:hideMark/>
          </w:tcPr>
          <w:p w:rsidRPr="005F055E" w:rsidR="00390010" w:rsidP="00180EEB" w:rsidRDefault="00390010" w14:paraId="7896B400" w14:textId="77777777">
            <w:pPr>
              <w:suppressAutoHyphens/>
              <w:spacing w:line="240" w:lineRule="auto"/>
              <w:rPr>
                <w:rFonts w:cs="Calibri"/>
                <w:b/>
                <w:bCs/>
                <w:color w:val="000000"/>
                <w:sz w:val="14"/>
                <w:szCs w:val="14"/>
              </w:rPr>
            </w:pPr>
            <w:r w:rsidRPr="005F055E">
              <w:rPr>
                <w:rFonts w:cs="Calibri"/>
                <w:b/>
                <w:bCs/>
                <w:color w:val="000000"/>
                <w:sz w:val="14"/>
                <w:szCs w:val="14"/>
              </w:rPr>
              <w:t>58</w:t>
            </w:r>
          </w:p>
        </w:tc>
        <w:tc>
          <w:tcPr>
            <w:tcW w:w="357" w:type="pct"/>
            <w:gridSpan w:val="2"/>
            <w:tcBorders>
              <w:top w:val="nil"/>
              <w:left w:val="nil"/>
              <w:bottom w:val="single" w:color="auto" w:sz="8" w:space="0"/>
              <w:right w:val="single" w:color="auto" w:sz="4" w:space="0"/>
            </w:tcBorders>
            <w:shd w:val="clear" w:color="000000" w:fill="DAEEF3"/>
            <w:noWrap/>
            <w:vAlign w:val="center"/>
            <w:hideMark/>
          </w:tcPr>
          <w:p w:rsidRPr="005F055E" w:rsidR="00390010" w:rsidP="00180EEB" w:rsidRDefault="00390010" w14:paraId="48846D0B" w14:textId="77777777">
            <w:pPr>
              <w:suppressAutoHyphens/>
              <w:spacing w:line="240" w:lineRule="auto"/>
              <w:rPr>
                <w:rFonts w:cs="Calibri"/>
                <w:b/>
                <w:bCs/>
                <w:color w:val="000000"/>
                <w:sz w:val="14"/>
                <w:szCs w:val="14"/>
              </w:rPr>
            </w:pPr>
            <w:r w:rsidRPr="005F055E">
              <w:rPr>
                <w:rFonts w:cs="Calibri"/>
                <w:b/>
                <w:bCs/>
                <w:color w:val="000000"/>
                <w:sz w:val="14"/>
                <w:szCs w:val="14"/>
              </w:rPr>
              <w:t>60</w:t>
            </w:r>
          </w:p>
        </w:tc>
        <w:tc>
          <w:tcPr>
            <w:tcW w:w="357" w:type="pct"/>
            <w:tcBorders>
              <w:top w:val="nil"/>
              <w:left w:val="nil"/>
              <w:bottom w:val="single" w:color="auto" w:sz="8" w:space="0"/>
              <w:right w:val="single" w:color="auto" w:sz="4" w:space="0"/>
            </w:tcBorders>
            <w:shd w:val="clear" w:color="000000" w:fill="DAEEF3"/>
            <w:noWrap/>
            <w:vAlign w:val="center"/>
            <w:hideMark/>
          </w:tcPr>
          <w:p w:rsidRPr="005F055E" w:rsidR="00390010" w:rsidP="00180EEB" w:rsidRDefault="00390010" w14:paraId="1B582161" w14:textId="77777777">
            <w:pPr>
              <w:suppressAutoHyphens/>
              <w:spacing w:line="240" w:lineRule="auto"/>
              <w:rPr>
                <w:rFonts w:cs="Calibri"/>
                <w:b/>
                <w:bCs/>
                <w:color w:val="000000"/>
                <w:sz w:val="14"/>
                <w:szCs w:val="14"/>
              </w:rPr>
            </w:pPr>
            <w:r w:rsidRPr="005F055E">
              <w:rPr>
                <w:rFonts w:cs="Calibri"/>
                <w:b/>
                <w:bCs/>
                <w:color w:val="000000"/>
                <w:sz w:val="14"/>
                <w:szCs w:val="14"/>
              </w:rPr>
              <w:t>62</w:t>
            </w:r>
          </w:p>
        </w:tc>
        <w:tc>
          <w:tcPr>
            <w:tcW w:w="358" w:type="pct"/>
            <w:gridSpan w:val="2"/>
            <w:tcBorders>
              <w:top w:val="nil"/>
              <w:left w:val="nil"/>
              <w:bottom w:val="single" w:color="auto" w:sz="8" w:space="0"/>
              <w:right w:val="single" w:color="auto" w:sz="4" w:space="0"/>
            </w:tcBorders>
            <w:shd w:val="clear" w:color="000000" w:fill="DAEEF3"/>
            <w:noWrap/>
            <w:vAlign w:val="center"/>
            <w:hideMark/>
          </w:tcPr>
          <w:p w:rsidRPr="005F055E" w:rsidR="00390010" w:rsidP="00180EEB" w:rsidRDefault="00390010" w14:paraId="1F054CAC" w14:textId="77777777">
            <w:pPr>
              <w:suppressAutoHyphens/>
              <w:spacing w:line="240" w:lineRule="auto"/>
              <w:rPr>
                <w:rFonts w:cs="Calibri"/>
                <w:b/>
                <w:bCs/>
                <w:color w:val="000000"/>
                <w:sz w:val="14"/>
                <w:szCs w:val="14"/>
              </w:rPr>
            </w:pPr>
            <w:r w:rsidRPr="005F055E">
              <w:rPr>
                <w:rFonts w:cs="Calibri"/>
                <w:b/>
                <w:bCs/>
                <w:color w:val="000000"/>
                <w:sz w:val="14"/>
                <w:szCs w:val="14"/>
              </w:rPr>
              <w:t>64</w:t>
            </w:r>
          </w:p>
        </w:tc>
        <w:tc>
          <w:tcPr>
            <w:tcW w:w="434" w:type="pct"/>
            <w:gridSpan w:val="2"/>
            <w:tcBorders>
              <w:top w:val="nil"/>
              <w:left w:val="nil"/>
              <w:bottom w:val="single" w:color="auto" w:sz="8" w:space="0"/>
              <w:right w:val="single" w:color="auto" w:sz="4" w:space="0"/>
            </w:tcBorders>
            <w:shd w:val="clear" w:color="000000" w:fill="DAEEF3"/>
            <w:noWrap/>
            <w:vAlign w:val="center"/>
            <w:hideMark/>
          </w:tcPr>
          <w:p w:rsidRPr="005F055E" w:rsidR="00390010" w:rsidP="00180EEB" w:rsidRDefault="00390010" w14:paraId="295B326F" w14:textId="77777777">
            <w:pPr>
              <w:suppressAutoHyphens/>
              <w:spacing w:line="240" w:lineRule="auto"/>
              <w:rPr>
                <w:rFonts w:cs="Calibri"/>
                <w:b/>
                <w:bCs/>
                <w:color w:val="000000"/>
                <w:sz w:val="14"/>
                <w:szCs w:val="14"/>
              </w:rPr>
            </w:pPr>
            <w:r w:rsidRPr="005F055E">
              <w:rPr>
                <w:rFonts w:cs="Calibri"/>
                <w:b/>
                <w:bCs/>
                <w:color w:val="000000"/>
                <w:sz w:val="14"/>
                <w:szCs w:val="14"/>
              </w:rPr>
              <w:t>64</w:t>
            </w:r>
          </w:p>
        </w:tc>
        <w:tc>
          <w:tcPr>
            <w:tcW w:w="462" w:type="pct"/>
            <w:tcBorders>
              <w:top w:val="nil"/>
              <w:left w:val="nil"/>
              <w:bottom w:val="single" w:color="auto" w:sz="8" w:space="0"/>
              <w:right w:val="single" w:color="auto" w:sz="4" w:space="0"/>
            </w:tcBorders>
            <w:shd w:val="clear" w:color="000000" w:fill="DAEEF3"/>
            <w:noWrap/>
            <w:vAlign w:val="center"/>
            <w:hideMark/>
          </w:tcPr>
          <w:p w:rsidRPr="005F055E" w:rsidR="00390010" w:rsidP="00180EEB" w:rsidRDefault="00390010" w14:paraId="2AAA9EE6" w14:textId="77777777">
            <w:pPr>
              <w:suppressAutoHyphens/>
              <w:spacing w:line="240" w:lineRule="auto"/>
              <w:rPr>
                <w:rFonts w:cs="Calibri"/>
                <w:b/>
                <w:bCs/>
                <w:color w:val="000000"/>
                <w:sz w:val="14"/>
                <w:szCs w:val="14"/>
              </w:rPr>
            </w:pPr>
            <w:r w:rsidRPr="005F055E">
              <w:rPr>
                <w:rFonts w:cs="Calibri"/>
                <w:b/>
                <w:bCs/>
                <w:color w:val="000000"/>
                <w:sz w:val="14"/>
                <w:szCs w:val="14"/>
              </w:rPr>
              <w:t>59</w:t>
            </w:r>
          </w:p>
        </w:tc>
        <w:tc>
          <w:tcPr>
            <w:tcW w:w="381" w:type="pct"/>
            <w:gridSpan w:val="2"/>
            <w:tcBorders>
              <w:top w:val="nil"/>
              <w:left w:val="nil"/>
              <w:bottom w:val="single" w:color="auto" w:sz="8" w:space="0"/>
              <w:right w:val="single" w:color="auto" w:sz="4" w:space="0"/>
            </w:tcBorders>
            <w:shd w:val="clear" w:color="000000" w:fill="DAEEF3"/>
            <w:noWrap/>
            <w:vAlign w:val="center"/>
            <w:hideMark/>
          </w:tcPr>
          <w:p w:rsidRPr="005F055E" w:rsidR="00390010" w:rsidP="00180EEB" w:rsidRDefault="00390010" w14:paraId="6E9E9779" w14:textId="77777777">
            <w:pPr>
              <w:suppressAutoHyphens/>
              <w:spacing w:line="240" w:lineRule="auto"/>
              <w:rPr>
                <w:rFonts w:cs="Calibri"/>
                <w:b/>
                <w:bCs/>
                <w:color w:val="000000"/>
                <w:sz w:val="14"/>
                <w:szCs w:val="14"/>
              </w:rPr>
            </w:pPr>
            <w:r w:rsidRPr="005F055E">
              <w:rPr>
                <w:rFonts w:cs="Calibri"/>
                <w:b/>
                <w:bCs/>
                <w:color w:val="000000"/>
                <w:sz w:val="14"/>
                <w:szCs w:val="14"/>
              </w:rPr>
              <w:t>60</w:t>
            </w:r>
          </w:p>
        </w:tc>
      </w:tr>
      <w:tr w:rsidRPr="005F055E" w:rsidR="00390010" w:rsidTr="00390010" w14:paraId="3F5745A5" w14:textId="77777777">
        <w:trPr>
          <w:trHeight w:val="192"/>
        </w:trPr>
        <w:tc>
          <w:tcPr>
            <w:tcW w:w="2293" w:type="pct"/>
            <w:gridSpan w:val="4"/>
            <w:tcBorders>
              <w:top w:val="nil"/>
              <w:left w:val="single" w:color="auto" w:sz="4" w:space="0"/>
              <w:bottom w:val="single" w:color="auto" w:sz="4" w:space="0"/>
              <w:right w:val="single" w:color="auto" w:sz="4" w:space="0"/>
            </w:tcBorders>
            <w:shd w:val="clear" w:color="000000" w:fill="DAEEF3"/>
            <w:noWrap/>
            <w:vAlign w:val="center"/>
            <w:hideMark/>
          </w:tcPr>
          <w:p w:rsidRPr="005F055E" w:rsidR="00390010" w:rsidP="00180EEB" w:rsidRDefault="00390010" w14:paraId="2A06E6C1" w14:textId="77777777">
            <w:pPr>
              <w:suppressAutoHyphens/>
              <w:spacing w:line="240" w:lineRule="auto"/>
              <w:rPr>
                <w:rFonts w:cs="Calibri"/>
                <w:color w:val="000000"/>
                <w:sz w:val="14"/>
                <w:szCs w:val="14"/>
              </w:rPr>
            </w:pPr>
            <w:r w:rsidRPr="005F055E">
              <w:rPr>
                <w:rFonts w:cs="Calibri"/>
                <w:color w:val="000000"/>
                <w:sz w:val="14"/>
                <w:szCs w:val="14"/>
              </w:rPr>
              <w:t>Groei van de netto zorguitgaven (€)</w:t>
            </w:r>
          </w:p>
        </w:tc>
        <w:tc>
          <w:tcPr>
            <w:tcW w:w="357" w:type="pct"/>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65CF4231" w14:textId="77777777">
            <w:pPr>
              <w:suppressAutoHyphens/>
              <w:spacing w:line="240" w:lineRule="auto"/>
              <w:rPr>
                <w:rFonts w:cs="Calibri"/>
                <w:color w:val="000000"/>
                <w:sz w:val="14"/>
                <w:szCs w:val="14"/>
              </w:rPr>
            </w:pPr>
            <w:r w:rsidRPr="005F055E">
              <w:rPr>
                <w:rFonts w:cs="Calibri"/>
                <w:color w:val="000000"/>
                <w:sz w:val="14"/>
                <w:szCs w:val="14"/>
              </w:rPr>
              <w:t>3</w:t>
            </w:r>
          </w:p>
        </w:tc>
        <w:tc>
          <w:tcPr>
            <w:tcW w:w="357" w:type="pct"/>
            <w:gridSpan w:val="2"/>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5B2B47F6" w14:textId="77777777">
            <w:pPr>
              <w:suppressAutoHyphens/>
              <w:spacing w:line="240" w:lineRule="auto"/>
              <w:rPr>
                <w:rFonts w:cs="Calibri"/>
                <w:color w:val="000000"/>
                <w:sz w:val="14"/>
                <w:szCs w:val="14"/>
              </w:rPr>
            </w:pPr>
            <w:r w:rsidRPr="005F055E">
              <w:rPr>
                <w:rFonts w:cs="Calibri"/>
                <w:color w:val="000000"/>
                <w:sz w:val="14"/>
                <w:szCs w:val="14"/>
              </w:rPr>
              <w:t>1</w:t>
            </w:r>
          </w:p>
        </w:tc>
        <w:tc>
          <w:tcPr>
            <w:tcW w:w="357" w:type="pct"/>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2674935E" w14:textId="77777777">
            <w:pPr>
              <w:suppressAutoHyphens/>
              <w:spacing w:line="240" w:lineRule="auto"/>
              <w:rPr>
                <w:rFonts w:cs="Calibri"/>
                <w:color w:val="000000"/>
                <w:sz w:val="14"/>
                <w:szCs w:val="14"/>
              </w:rPr>
            </w:pPr>
            <w:r w:rsidRPr="005F055E">
              <w:rPr>
                <w:rFonts w:cs="Calibri"/>
                <w:color w:val="000000"/>
                <w:sz w:val="14"/>
                <w:szCs w:val="14"/>
              </w:rPr>
              <w:t>3</w:t>
            </w:r>
          </w:p>
        </w:tc>
        <w:tc>
          <w:tcPr>
            <w:tcW w:w="358" w:type="pct"/>
            <w:gridSpan w:val="2"/>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61463F4F" w14:textId="77777777">
            <w:pPr>
              <w:suppressAutoHyphens/>
              <w:spacing w:line="240" w:lineRule="auto"/>
              <w:rPr>
                <w:rFonts w:cs="Calibri"/>
                <w:color w:val="000000"/>
                <w:sz w:val="14"/>
                <w:szCs w:val="14"/>
              </w:rPr>
            </w:pPr>
            <w:r w:rsidRPr="005F055E">
              <w:rPr>
                <w:rFonts w:cs="Calibri"/>
                <w:color w:val="000000"/>
                <w:sz w:val="14"/>
                <w:szCs w:val="14"/>
              </w:rPr>
              <w:t>1</w:t>
            </w:r>
          </w:p>
        </w:tc>
        <w:tc>
          <w:tcPr>
            <w:tcW w:w="434" w:type="pct"/>
            <w:gridSpan w:val="2"/>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5EF7A273" w14:textId="77777777">
            <w:pPr>
              <w:suppressAutoHyphens/>
              <w:spacing w:line="240" w:lineRule="auto"/>
              <w:rPr>
                <w:rFonts w:cs="Calibri"/>
                <w:color w:val="000000"/>
                <w:sz w:val="14"/>
                <w:szCs w:val="14"/>
              </w:rPr>
            </w:pPr>
            <w:r w:rsidRPr="005F055E">
              <w:rPr>
                <w:rFonts w:cs="Calibri"/>
                <w:color w:val="000000"/>
                <w:sz w:val="14"/>
                <w:szCs w:val="14"/>
              </w:rPr>
              <w:t>0</w:t>
            </w:r>
          </w:p>
        </w:tc>
        <w:tc>
          <w:tcPr>
            <w:tcW w:w="462" w:type="pct"/>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5D1FED11" w14:textId="77777777">
            <w:pPr>
              <w:suppressAutoHyphens/>
              <w:spacing w:line="240" w:lineRule="auto"/>
              <w:rPr>
                <w:rFonts w:cs="Calibri"/>
                <w:color w:val="000000"/>
                <w:sz w:val="14"/>
                <w:szCs w:val="14"/>
              </w:rPr>
            </w:pPr>
            <w:r w:rsidRPr="005F055E">
              <w:rPr>
                <w:rFonts w:cs="Calibri"/>
                <w:color w:val="000000"/>
                <w:sz w:val="14"/>
                <w:szCs w:val="14"/>
              </w:rPr>
              <w:t>-5</w:t>
            </w:r>
          </w:p>
        </w:tc>
        <w:tc>
          <w:tcPr>
            <w:tcW w:w="381" w:type="pct"/>
            <w:gridSpan w:val="2"/>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2CD69678" w14:textId="77777777">
            <w:pPr>
              <w:suppressAutoHyphens/>
              <w:spacing w:line="240" w:lineRule="auto"/>
              <w:rPr>
                <w:rFonts w:cs="Calibri"/>
                <w:color w:val="000000"/>
                <w:sz w:val="14"/>
                <w:szCs w:val="14"/>
              </w:rPr>
            </w:pPr>
            <w:r w:rsidRPr="005F055E">
              <w:rPr>
                <w:rFonts w:cs="Calibri"/>
                <w:color w:val="000000"/>
                <w:sz w:val="14"/>
                <w:szCs w:val="14"/>
              </w:rPr>
              <w:t>2</w:t>
            </w:r>
          </w:p>
        </w:tc>
      </w:tr>
      <w:tr w:rsidRPr="005F055E" w:rsidR="00390010" w:rsidTr="00390010" w14:paraId="7D9C6C49" w14:textId="77777777">
        <w:trPr>
          <w:trHeight w:val="204"/>
        </w:trPr>
        <w:tc>
          <w:tcPr>
            <w:tcW w:w="2293" w:type="pct"/>
            <w:gridSpan w:val="4"/>
            <w:tcBorders>
              <w:top w:val="nil"/>
              <w:left w:val="single" w:color="auto" w:sz="4" w:space="0"/>
              <w:bottom w:val="nil"/>
              <w:right w:val="single" w:color="auto" w:sz="4" w:space="0"/>
            </w:tcBorders>
            <w:shd w:val="clear" w:color="000000" w:fill="DAEEF3"/>
            <w:noWrap/>
            <w:vAlign w:val="center"/>
            <w:hideMark/>
          </w:tcPr>
          <w:p w:rsidRPr="005F055E" w:rsidR="00390010" w:rsidP="00180EEB" w:rsidRDefault="00390010" w14:paraId="1217B2CC" w14:textId="77777777">
            <w:pPr>
              <w:suppressAutoHyphens/>
              <w:spacing w:line="240" w:lineRule="auto"/>
              <w:rPr>
                <w:rFonts w:cs="Calibri"/>
                <w:color w:val="000000"/>
                <w:sz w:val="14"/>
                <w:szCs w:val="14"/>
              </w:rPr>
            </w:pPr>
            <w:r w:rsidRPr="005F055E">
              <w:rPr>
                <w:rFonts w:cs="Calibri"/>
                <w:color w:val="000000"/>
                <w:sz w:val="14"/>
                <w:szCs w:val="14"/>
              </w:rPr>
              <w:t>Groei van de netto zorguitgaven (%)</w:t>
            </w:r>
          </w:p>
        </w:tc>
        <w:tc>
          <w:tcPr>
            <w:tcW w:w="357" w:type="pct"/>
            <w:tcBorders>
              <w:top w:val="nil"/>
              <w:left w:val="nil"/>
              <w:bottom w:val="nil"/>
              <w:right w:val="single" w:color="auto" w:sz="4" w:space="0"/>
            </w:tcBorders>
            <w:shd w:val="clear" w:color="000000" w:fill="DAEEF3"/>
            <w:noWrap/>
            <w:vAlign w:val="center"/>
            <w:hideMark/>
          </w:tcPr>
          <w:p w:rsidRPr="005F055E" w:rsidR="00390010" w:rsidP="00180EEB" w:rsidRDefault="00390010" w14:paraId="3232E625" w14:textId="77777777">
            <w:pPr>
              <w:suppressAutoHyphens/>
              <w:spacing w:line="240" w:lineRule="auto"/>
              <w:rPr>
                <w:rFonts w:cs="Calibri"/>
                <w:color w:val="000000"/>
                <w:sz w:val="14"/>
                <w:szCs w:val="14"/>
              </w:rPr>
            </w:pPr>
            <w:r w:rsidRPr="005F055E">
              <w:rPr>
                <w:rFonts w:cs="Calibri"/>
                <w:color w:val="000000"/>
                <w:sz w:val="14"/>
                <w:szCs w:val="14"/>
              </w:rPr>
              <w:t>5%</w:t>
            </w:r>
          </w:p>
        </w:tc>
        <w:tc>
          <w:tcPr>
            <w:tcW w:w="357" w:type="pct"/>
            <w:gridSpan w:val="2"/>
            <w:tcBorders>
              <w:top w:val="nil"/>
              <w:left w:val="nil"/>
              <w:bottom w:val="nil"/>
              <w:right w:val="single" w:color="auto" w:sz="4" w:space="0"/>
            </w:tcBorders>
            <w:shd w:val="clear" w:color="000000" w:fill="DAEEF3"/>
            <w:noWrap/>
            <w:vAlign w:val="center"/>
            <w:hideMark/>
          </w:tcPr>
          <w:p w:rsidRPr="005F055E" w:rsidR="00390010" w:rsidP="00180EEB" w:rsidRDefault="00390010" w14:paraId="65B3EF75" w14:textId="77777777">
            <w:pPr>
              <w:suppressAutoHyphens/>
              <w:spacing w:line="240" w:lineRule="auto"/>
              <w:rPr>
                <w:rFonts w:cs="Calibri"/>
                <w:color w:val="000000"/>
                <w:sz w:val="14"/>
                <w:szCs w:val="14"/>
              </w:rPr>
            </w:pPr>
            <w:r w:rsidRPr="005F055E">
              <w:rPr>
                <w:rFonts w:cs="Calibri"/>
                <w:color w:val="000000"/>
                <w:sz w:val="14"/>
                <w:szCs w:val="14"/>
              </w:rPr>
              <w:t>2%</w:t>
            </w:r>
          </w:p>
        </w:tc>
        <w:tc>
          <w:tcPr>
            <w:tcW w:w="357" w:type="pct"/>
            <w:tcBorders>
              <w:top w:val="nil"/>
              <w:left w:val="nil"/>
              <w:bottom w:val="nil"/>
              <w:right w:val="single" w:color="auto" w:sz="4" w:space="0"/>
            </w:tcBorders>
            <w:shd w:val="clear" w:color="000000" w:fill="DAEEF3"/>
            <w:noWrap/>
            <w:vAlign w:val="center"/>
            <w:hideMark/>
          </w:tcPr>
          <w:p w:rsidRPr="005F055E" w:rsidR="00390010" w:rsidP="00180EEB" w:rsidRDefault="00390010" w14:paraId="42F6496D" w14:textId="77777777">
            <w:pPr>
              <w:suppressAutoHyphens/>
              <w:spacing w:line="240" w:lineRule="auto"/>
              <w:rPr>
                <w:rFonts w:cs="Calibri"/>
                <w:color w:val="000000"/>
                <w:sz w:val="14"/>
                <w:szCs w:val="14"/>
              </w:rPr>
            </w:pPr>
            <w:r w:rsidRPr="005F055E">
              <w:rPr>
                <w:rFonts w:cs="Calibri"/>
                <w:color w:val="000000"/>
                <w:sz w:val="14"/>
                <w:szCs w:val="14"/>
              </w:rPr>
              <w:t>5%</w:t>
            </w:r>
          </w:p>
        </w:tc>
        <w:tc>
          <w:tcPr>
            <w:tcW w:w="358" w:type="pct"/>
            <w:gridSpan w:val="2"/>
            <w:tcBorders>
              <w:top w:val="nil"/>
              <w:left w:val="nil"/>
              <w:bottom w:val="nil"/>
              <w:right w:val="single" w:color="auto" w:sz="4" w:space="0"/>
            </w:tcBorders>
            <w:shd w:val="clear" w:color="000000" w:fill="DAEEF3"/>
            <w:noWrap/>
            <w:vAlign w:val="center"/>
            <w:hideMark/>
          </w:tcPr>
          <w:p w:rsidRPr="005F055E" w:rsidR="00390010" w:rsidP="00180EEB" w:rsidRDefault="00390010" w14:paraId="7D6B9FFA" w14:textId="77777777">
            <w:pPr>
              <w:suppressAutoHyphens/>
              <w:spacing w:line="240" w:lineRule="auto"/>
              <w:rPr>
                <w:rFonts w:cs="Calibri"/>
                <w:color w:val="000000"/>
                <w:sz w:val="14"/>
                <w:szCs w:val="14"/>
              </w:rPr>
            </w:pPr>
            <w:r w:rsidRPr="005F055E">
              <w:rPr>
                <w:rFonts w:cs="Calibri"/>
                <w:color w:val="000000"/>
                <w:sz w:val="14"/>
                <w:szCs w:val="14"/>
              </w:rPr>
              <w:t>2%</w:t>
            </w:r>
          </w:p>
        </w:tc>
        <w:tc>
          <w:tcPr>
            <w:tcW w:w="434" w:type="pct"/>
            <w:gridSpan w:val="2"/>
            <w:tcBorders>
              <w:top w:val="nil"/>
              <w:left w:val="nil"/>
              <w:bottom w:val="nil"/>
              <w:right w:val="single" w:color="auto" w:sz="4" w:space="0"/>
            </w:tcBorders>
            <w:shd w:val="clear" w:color="000000" w:fill="DAEEF3"/>
            <w:noWrap/>
            <w:vAlign w:val="center"/>
            <w:hideMark/>
          </w:tcPr>
          <w:p w:rsidRPr="005F055E" w:rsidR="00390010" w:rsidP="00180EEB" w:rsidRDefault="00390010" w14:paraId="24E541AB" w14:textId="77777777">
            <w:pPr>
              <w:suppressAutoHyphens/>
              <w:spacing w:line="240" w:lineRule="auto"/>
              <w:rPr>
                <w:rFonts w:cs="Calibri"/>
                <w:color w:val="000000"/>
                <w:sz w:val="14"/>
                <w:szCs w:val="14"/>
              </w:rPr>
            </w:pPr>
            <w:r w:rsidRPr="005F055E">
              <w:rPr>
                <w:rFonts w:cs="Calibri"/>
                <w:color w:val="000000"/>
                <w:sz w:val="14"/>
                <w:szCs w:val="14"/>
              </w:rPr>
              <w:t>1%</w:t>
            </w:r>
          </w:p>
        </w:tc>
        <w:tc>
          <w:tcPr>
            <w:tcW w:w="462" w:type="pct"/>
            <w:tcBorders>
              <w:top w:val="nil"/>
              <w:left w:val="nil"/>
              <w:bottom w:val="nil"/>
              <w:right w:val="single" w:color="auto" w:sz="4" w:space="0"/>
            </w:tcBorders>
            <w:shd w:val="clear" w:color="000000" w:fill="DAEEF3"/>
            <w:noWrap/>
            <w:vAlign w:val="center"/>
            <w:hideMark/>
          </w:tcPr>
          <w:p w:rsidRPr="005F055E" w:rsidR="00390010" w:rsidP="00180EEB" w:rsidRDefault="00390010" w14:paraId="0A14FCBD" w14:textId="77777777">
            <w:pPr>
              <w:suppressAutoHyphens/>
              <w:spacing w:line="240" w:lineRule="auto"/>
              <w:rPr>
                <w:rFonts w:cs="Calibri"/>
                <w:color w:val="000000"/>
                <w:sz w:val="14"/>
                <w:szCs w:val="14"/>
              </w:rPr>
            </w:pPr>
            <w:r w:rsidRPr="005F055E">
              <w:rPr>
                <w:rFonts w:cs="Calibri"/>
                <w:color w:val="000000"/>
                <w:sz w:val="14"/>
                <w:szCs w:val="14"/>
              </w:rPr>
              <w:t>-8%</w:t>
            </w:r>
          </w:p>
        </w:tc>
        <w:tc>
          <w:tcPr>
            <w:tcW w:w="381" w:type="pct"/>
            <w:gridSpan w:val="2"/>
            <w:tcBorders>
              <w:top w:val="nil"/>
              <w:left w:val="nil"/>
              <w:bottom w:val="nil"/>
              <w:right w:val="single" w:color="auto" w:sz="4" w:space="0"/>
            </w:tcBorders>
            <w:shd w:val="clear" w:color="000000" w:fill="DAEEF3"/>
            <w:noWrap/>
            <w:vAlign w:val="center"/>
            <w:hideMark/>
          </w:tcPr>
          <w:p w:rsidRPr="005F055E" w:rsidR="00390010" w:rsidP="00180EEB" w:rsidRDefault="00390010" w14:paraId="62309A4D" w14:textId="77777777">
            <w:pPr>
              <w:suppressAutoHyphens/>
              <w:spacing w:line="240" w:lineRule="auto"/>
              <w:rPr>
                <w:rFonts w:cs="Calibri"/>
                <w:color w:val="000000"/>
                <w:sz w:val="14"/>
                <w:szCs w:val="14"/>
              </w:rPr>
            </w:pPr>
            <w:r w:rsidRPr="005F055E">
              <w:rPr>
                <w:rFonts w:cs="Calibri"/>
                <w:color w:val="000000"/>
                <w:sz w:val="14"/>
                <w:szCs w:val="14"/>
              </w:rPr>
              <w:t>3%</w:t>
            </w:r>
          </w:p>
        </w:tc>
      </w:tr>
      <w:tr w:rsidRPr="005F055E" w:rsidR="00390010" w:rsidTr="00390010" w14:paraId="491F73DD" w14:textId="77777777">
        <w:trPr>
          <w:trHeight w:val="204"/>
        </w:trPr>
        <w:tc>
          <w:tcPr>
            <w:tcW w:w="2293" w:type="pct"/>
            <w:gridSpan w:val="4"/>
            <w:tcBorders>
              <w:top w:val="single" w:color="auto" w:sz="8" w:space="0"/>
              <w:left w:val="single" w:color="auto" w:sz="4" w:space="0"/>
              <w:bottom w:val="single" w:color="auto" w:sz="8" w:space="0"/>
              <w:right w:val="single" w:color="auto" w:sz="4" w:space="0"/>
            </w:tcBorders>
            <w:shd w:val="clear" w:color="000000" w:fill="DAEEF3"/>
            <w:noWrap/>
            <w:vAlign w:val="center"/>
            <w:hideMark/>
          </w:tcPr>
          <w:p w:rsidRPr="005F055E" w:rsidR="00390010" w:rsidP="00180EEB" w:rsidRDefault="00390010" w14:paraId="74F3376F" w14:textId="77777777">
            <w:pPr>
              <w:suppressAutoHyphens/>
              <w:spacing w:line="240" w:lineRule="auto"/>
              <w:rPr>
                <w:rFonts w:cs="Calibri"/>
                <w:b/>
                <w:bCs/>
                <w:color w:val="000000"/>
                <w:sz w:val="14"/>
                <w:szCs w:val="14"/>
              </w:rPr>
            </w:pPr>
            <w:r w:rsidRPr="005F055E">
              <w:rPr>
                <w:rFonts w:cs="Calibri"/>
                <w:b/>
                <w:bCs/>
                <w:color w:val="000000"/>
                <w:sz w:val="14"/>
                <w:szCs w:val="14"/>
              </w:rPr>
              <w:t>BBP (€)</w:t>
            </w:r>
          </w:p>
        </w:tc>
        <w:tc>
          <w:tcPr>
            <w:tcW w:w="357" w:type="pct"/>
            <w:tcBorders>
              <w:top w:val="single" w:color="auto" w:sz="8" w:space="0"/>
              <w:left w:val="nil"/>
              <w:bottom w:val="single" w:color="auto" w:sz="8" w:space="0"/>
              <w:right w:val="single" w:color="auto" w:sz="4" w:space="0"/>
            </w:tcBorders>
            <w:shd w:val="clear" w:color="000000" w:fill="DAEEF3"/>
            <w:noWrap/>
            <w:vAlign w:val="center"/>
            <w:hideMark/>
          </w:tcPr>
          <w:p w:rsidRPr="005F055E" w:rsidR="00390010" w:rsidP="00180EEB" w:rsidRDefault="00390010" w14:paraId="31A29489" w14:textId="77777777">
            <w:pPr>
              <w:suppressAutoHyphens/>
              <w:spacing w:line="240" w:lineRule="auto"/>
              <w:rPr>
                <w:rFonts w:cs="Calibri"/>
                <w:b/>
                <w:bCs/>
                <w:color w:val="000000"/>
                <w:sz w:val="14"/>
                <w:szCs w:val="14"/>
              </w:rPr>
            </w:pPr>
            <w:r w:rsidRPr="005F055E">
              <w:rPr>
                <w:rFonts w:cs="Calibri"/>
                <w:b/>
                <w:bCs/>
                <w:color w:val="000000"/>
                <w:sz w:val="14"/>
                <w:szCs w:val="14"/>
              </w:rPr>
              <w:t>643</w:t>
            </w:r>
          </w:p>
        </w:tc>
        <w:tc>
          <w:tcPr>
            <w:tcW w:w="357" w:type="pct"/>
            <w:gridSpan w:val="2"/>
            <w:tcBorders>
              <w:top w:val="single" w:color="auto" w:sz="8" w:space="0"/>
              <w:left w:val="nil"/>
              <w:bottom w:val="single" w:color="auto" w:sz="8" w:space="0"/>
              <w:right w:val="single" w:color="auto" w:sz="4" w:space="0"/>
            </w:tcBorders>
            <w:shd w:val="clear" w:color="000000" w:fill="DAEEF3"/>
            <w:noWrap/>
            <w:vAlign w:val="center"/>
            <w:hideMark/>
          </w:tcPr>
          <w:p w:rsidRPr="005F055E" w:rsidR="00390010" w:rsidP="00180EEB" w:rsidRDefault="00390010" w14:paraId="4529254F" w14:textId="77777777">
            <w:pPr>
              <w:suppressAutoHyphens/>
              <w:spacing w:line="240" w:lineRule="auto"/>
              <w:rPr>
                <w:rFonts w:cs="Calibri"/>
                <w:b/>
                <w:bCs/>
                <w:color w:val="000000"/>
                <w:sz w:val="14"/>
                <w:szCs w:val="14"/>
              </w:rPr>
            </w:pPr>
            <w:r w:rsidRPr="005F055E">
              <w:rPr>
                <w:rFonts w:cs="Calibri"/>
                <w:b/>
                <w:bCs/>
                <w:color w:val="000000"/>
                <w:sz w:val="14"/>
                <w:szCs w:val="14"/>
              </w:rPr>
              <w:t>656</w:t>
            </w:r>
          </w:p>
        </w:tc>
        <w:tc>
          <w:tcPr>
            <w:tcW w:w="357" w:type="pct"/>
            <w:tcBorders>
              <w:top w:val="single" w:color="auto" w:sz="8" w:space="0"/>
              <w:left w:val="nil"/>
              <w:bottom w:val="single" w:color="auto" w:sz="8" w:space="0"/>
              <w:right w:val="single" w:color="auto" w:sz="4" w:space="0"/>
            </w:tcBorders>
            <w:shd w:val="clear" w:color="000000" w:fill="DAEEF3"/>
            <w:noWrap/>
            <w:vAlign w:val="center"/>
            <w:hideMark/>
          </w:tcPr>
          <w:p w:rsidRPr="005F055E" w:rsidR="00390010" w:rsidP="00180EEB" w:rsidRDefault="00390010" w14:paraId="568923DC" w14:textId="77777777">
            <w:pPr>
              <w:suppressAutoHyphens/>
              <w:spacing w:line="240" w:lineRule="auto"/>
              <w:rPr>
                <w:rFonts w:cs="Calibri"/>
                <w:b/>
                <w:bCs/>
                <w:color w:val="000000"/>
                <w:sz w:val="14"/>
                <w:szCs w:val="14"/>
              </w:rPr>
            </w:pPr>
            <w:r w:rsidRPr="005F055E">
              <w:rPr>
                <w:rFonts w:cs="Calibri"/>
                <w:b/>
                <w:bCs/>
                <w:color w:val="000000"/>
                <w:sz w:val="14"/>
                <w:szCs w:val="14"/>
              </w:rPr>
              <w:t>658</w:t>
            </w:r>
          </w:p>
        </w:tc>
        <w:tc>
          <w:tcPr>
            <w:tcW w:w="358" w:type="pct"/>
            <w:gridSpan w:val="2"/>
            <w:tcBorders>
              <w:top w:val="single" w:color="auto" w:sz="8" w:space="0"/>
              <w:left w:val="nil"/>
              <w:bottom w:val="single" w:color="auto" w:sz="8" w:space="0"/>
              <w:right w:val="single" w:color="auto" w:sz="4" w:space="0"/>
            </w:tcBorders>
            <w:shd w:val="clear" w:color="000000" w:fill="DAEEF3"/>
            <w:noWrap/>
            <w:vAlign w:val="center"/>
            <w:hideMark/>
          </w:tcPr>
          <w:p w:rsidRPr="005F055E" w:rsidR="00390010" w:rsidP="00180EEB" w:rsidRDefault="00390010" w14:paraId="663198CB" w14:textId="77777777">
            <w:pPr>
              <w:suppressAutoHyphens/>
              <w:spacing w:line="240" w:lineRule="auto"/>
              <w:rPr>
                <w:rFonts w:cs="Calibri"/>
                <w:b/>
                <w:bCs/>
                <w:color w:val="000000"/>
                <w:sz w:val="14"/>
                <w:szCs w:val="14"/>
              </w:rPr>
            </w:pPr>
            <w:r w:rsidRPr="005F055E">
              <w:rPr>
                <w:rFonts w:cs="Calibri"/>
                <w:b/>
                <w:bCs/>
                <w:color w:val="000000"/>
                <w:sz w:val="14"/>
                <w:szCs w:val="14"/>
              </w:rPr>
              <w:t>666</w:t>
            </w:r>
          </w:p>
        </w:tc>
        <w:tc>
          <w:tcPr>
            <w:tcW w:w="434" w:type="pct"/>
            <w:gridSpan w:val="2"/>
            <w:tcBorders>
              <w:top w:val="single" w:color="auto" w:sz="8" w:space="0"/>
              <w:left w:val="nil"/>
              <w:bottom w:val="single" w:color="auto" w:sz="8" w:space="0"/>
              <w:right w:val="single" w:color="auto" w:sz="4" w:space="0"/>
            </w:tcBorders>
            <w:shd w:val="clear" w:color="000000" w:fill="DAEEF3"/>
            <w:noWrap/>
            <w:vAlign w:val="center"/>
            <w:hideMark/>
          </w:tcPr>
          <w:p w:rsidRPr="005F055E" w:rsidR="00390010" w:rsidP="00180EEB" w:rsidRDefault="00390010" w14:paraId="17BF96D7" w14:textId="77777777">
            <w:pPr>
              <w:suppressAutoHyphens/>
              <w:spacing w:line="240" w:lineRule="auto"/>
              <w:rPr>
                <w:rFonts w:cs="Calibri"/>
                <w:b/>
                <w:bCs/>
                <w:color w:val="000000"/>
                <w:sz w:val="14"/>
                <w:szCs w:val="14"/>
              </w:rPr>
            </w:pPr>
            <w:r w:rsidRPr="005F055E">
              <w:rPr>
                <w:rFonts w:cs="Calibri"/>
                <w:b/>
                <w:bCs/>
                <w:color w:val="000000"/>
                <w:sz w:val="14"/>
                <w:szCs w:val="14"/>
              </w:rPr>
              <w:t>679</w:t>
            </w:r>
          </w:p>
        </w:tc>
        <w:tc>
          <w:tcPr>
            <w:tcW w:w="462" w:type="pct"/>
            <w:tcBorders>
              <w:top w:val="single" w:color="auto" w:sz="8" w:space="0"/>
              <w:left w:val="nil"/>
              <w:bottom w:val="single" w:color="auto" w:sz="8" w:space="0"/>
              <w:right w:val="single" w:color="auto" w:sz="4" w:space="0"/>
            </w:tcBorders>
            <w:shd w:val="clear" w:color="000000" w:fill="DAEEF3"/>
            <w:noWrap/>
            <w:vAlign w:val="center"/>
            <w:hideMark/>
          </w:tcPr>
          <w:p w:rsidRPr="005F055E" w:rsidR="00390010" w:rsidP="00180EEB" w:rsidRDefault="00390010" w14:paraId="2C0A6995" w14:textId="77777777">
            <w:pPr>
              <w:suppressAutoHyphens/>
              <w:spacing w:line="240" w:lineRule="auto"/>
              <w:rPr>
                <w:rFonts w:cs="Calibri"/>
                <w:b/>
                <w:bCs/>
                <w:color w:val="000000"/>
                <w:sz w:val="14"/>
                <w:szCs w:val="14"/>
              </w:rPr>
            </w:pPr>
            <w:r w:rsidRPr="005F055E">
              <w:rPr>
                <w:rFonts w:cs="Calibri"/>
                <w:b/>
                <w:bCs/>
                <w:color w:val="000000"/>
                <w:sz w:val="14"/>
                <w:szCs w:val="14"/>
              </w:rPr>
              <w:t>699</w:t>
            </w:r>
          </w:p>
        </w:tc>
        <w:tc>
          <w:tcPr>
            <w:tcW w:w="381" w:type="pct"/>
            <w:gridSpan w:val="2"/>
            <w:tcBorders>
              <w:top w:val="single" w:color="auto" w:sz="8" w:space="0"/>
              <w:left w:val="nil"/>
              <w:bottom w:val="single" w:color="auto" w:sz="8" w:space="0"/>
              <w:right w:val="single" w:color="auto" w:sz="4" w:space="0"/>
            </w:tcBorders>
            <w:shd w:val="clear" w:color="000000" w:fill="DAEEF3"/>
            <w:noWrap/>
            <w:vAlign w:val="center"/>
            <w:hideMark/>
          </w:tcPr>
          <w:p w:rsidRPr="005F055E" w:rsidR="00390010" w:rsidP="00180EEB" w:rsidRDefault="00390010" w14:paraId="26814ACD" w14:textId="77777777">
            <w:pPr>
              <w:suppressAutoHyphens/>
              <w:spacing w:line="240" w:lineRule="auto"/>
              <w:rPr>
                <w:rFonts w:cs="Calibri"/>
                <w:b/>
                <w:bCs/>
                <w:color w:val="000000"/>
                <w:sz w:val="14"/>
                <w:szCs w:val="14"/>
              </w:rPr>
            </w:pPr>
            <w:r w:rsidRPr="005F055E">
              <w:rPr>
                <w:rFonts w:cs="Calibri"/>
                <w:b/>
                <w:bCs/>
                <w:color w:val="000000"/>
                <w:sz w:val="14"/>
                <w:szCs w:val="14"/>
              </w:rPr>
              <w:t>720</w:t>
            </w:r>
          </w:p>
        </w:tc>
      </w:tr>
      <w:tr w:rsidRPr="005F055E" w:rsidR="00390010" w:rsidTr="00390010" w14:paraId="43D2D4E3" w14:textId="77777777">
        <w:trPr>
          <w:trHeight w:val="192"/>
        </w:trPr>
        <w:tc>
          <w:tcPr>
            <w:tcW w:w="2293" w:type="pct"/>
            <w:gridSpan w:val="4"/>
            <w:tcBorders>
              <w:top w:val="nil"/>
              <w:left w:val="single" w:color="auto" w:sz="4" w:space="0"/>
              <w:bottom w:val="single" w:color="auto" w:sz="4" w:space="0"/>
              <w:right w:val="single" w:color="auto" w:sz="4" w:space="0"/>
            </w:tcBorders>
            <w:shd w:val="clear" w:color="000000" w:fill="DAEEF3"/>
            <w:noWrap/>
            <w:vAlign w:val="center"/>
            <w:hideMark/>
          </w:tcPr>
          <w:p w:rsidRPr="005F055E" w:rsidR="00390010" w:rsidP="00180EEB" w:rsidRDefault="00390010" w14:paraId="56ACB382" w14:textId="77777777">
            <w:pPr>
              <w:suppressAutoHyphens/>
              <w:spacing w:line="240" w:lineRule="auto"/>
              <w:rPr>
                <w:rFonts w:cs="Calibri"/>
                <w:color w:val="000000"/>
                <w:sz w:val="14"/>
                <w:szCs w:val="14"/>
              </w:rPr>
            </w:pPr>
            <w:r w:rsidRPr="005F055E">
              <w:rPr>
                <w:rFonts w:cs="Calibri"/>
                <w:color w:val="000000"/>
                <w:sz w:val="14"/>
                <w:szCs w:val="14"/>
              </w:rPr>
              <w:t>Groei BBP (€)</w:t>
            </w:r>
          </w:p>
        </w:tc>
        <w:tc>
          <w:tcPr>
            <w:tcW w:w="357" w:type="pct"/>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3A6F7458" w14:textId="77777777">
            <w:pPr>
              <w:suppressAutoHyphens/>
              <w:spacing w:line="240" w:lineRule="auto"/>
              <w:rPr>
                <w:rFonts w:cs="Calibri"/>
                <w:color w:val="000000"/>
                <w:sz w:val="14"/>
                <w:szCs w:val="14"/>
              </w:rPr>
            </w:pPr>
            <w:r w:rsidRPr="005F055E">
              <w:rPr>
                <w:rFonts w:cs="Calibri"/>
                <w:color w:val="000000"/>
                <w:sz w:val="14"/>
                <w:szCs w:val="14"/>
              </w:rPr>
              <w:t>18</w:t>
            </w:r>
          </w:p>
        </w:tc>
        <w:tc>
          <w:tcPr>
            <w:tcW w:w="357" w:type="pct"/>
            <w:gridSpan w:val="2"/>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60CF1FF2" w14:textId="77777777">
            <w:pPr>
              <w:suppressAutoHyphens/>
              <w:spacing w:line="240" w:lineRule="auto"/>
              <w:rPr>
                <w:rFonts w:cs="Calibri"/>
                <w:color w:val="000000"/>
                <w:sz w:val="14"/>
                <w:szCs w:val="14"/>
              </w:rPr>
            </w:pPr>
            <w:r w:rsidRPr="005F055E">
              <w:rPr>
                <w:rFonts w:cs="Calibri"/>
                <w:color w:val="000000"/>
                <w:sz w:val="14"/>
                <w:szCs w:val="14"/>
              </w:rPr>
              <w:t>13</w:t>
            </w:r>
          </w:p>
        </w:tc>
        <w:tc>
          <w:tcPr>
            <w:tcW w:w="357" w:type="pct"/>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050967CD" w14:textId="77777777">
            <w:pPr>
              <w:suppressAutoHyphens/>
              <w:spacing w:line="240" w:lineRule="auto"/>
              <w:rPr>
                <w:rFonts w:cs="Calibri"/>
                <w:color w:val="000000"/>
                <w:sz w:val="14"/>
                <w:szCs w:val="14"/>
              </w:rPr>
            </w:pPr>
            <w:r w:rsidRPr="005F055E">
              <w:rPr>
                <w:rFonts w:cs="Calibri"/>
                <w:color w:val="000000"/>
                <w:sz w:val="14"/>
                <w:szCs w:val="14"/>
              </w:rPr>
              <w:t>2</w:t>
            </w:r>
          </w:p>
        </w:tc>
        <w:tc>
          <w:tcPr>
            <w:tcW w:w="358" w:type="pct"/>
            <w:gridSpan w:val="2"/>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54DFD1A1" w14:textId="77777777">
            <w:pPr>
              <w:suppressAutoHyphens/>
              <w:spacing w:line="240" w:lineRule="auto"/>
              <w:rPr>
                <w:rFonts w:cs="Calibri"/>
                <w:color w:val="000000"/>
                <w:sz w:val="14"/>
                <w:szCs w:val="14"/>
              </w:rPr>
            </w:pPr>
            <w:r w:rsidRPr="005F055E">
              <w:rPr>
                <w:rFonts w:cs="Calibri"/>
                <w:color w:val="000000"/>
                <w:sz w:val="14"/>
                <w:szCs w:val="14"/>
              </w:rPr>
              <w:t>7</w:t>
            </w:r>
          </w:p>
        </w:tc>
        <w:tc>
          <w:tcPr>
            <w:tcW w:w="434" w:type="pct"/>
            <w:gridSpan w:val="2"/>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2979E322" w14:textId="77777777">
            <w:pPr>
              <w:suppressAutoHyphens/>
              <w:spacing w:line="240" w:lineRule="auto"/>
              <w:rPr>
                <w:rFonts w:cs="Calibri"/>
                <w:color w:val="000000"/>
                <w:sz w:val="14"/>
                <w:szCs w:val="14"/>
              </w:rPr>
            </w:pPr>
            <w:r w:rsidRPr="005F055E">
              <w:rPr>
                <w:rFonts w:cs="Calibri"/>
                <w:color w:val="000000"/>
                <w:sz w:val="14"/>
                <w:szCs w:val="14"/>
              </w:rPr>
              <w:t>13</w:t>
            </w:r>
          </w:p>
        </w:tc>
        <w:tc>
          <w:tcPr>
            <w:tcW w:w="462" w:type="pct"/>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440B5A6E" w14:textId="77777777">
            <w:pPr>
              <w:suppressAutoHyphens/>
              <w:spacing w:line="240" w:lineRule="auto"/>
              <w:rPr>
                <w:rFonts w:cs="Calibri"/>
                <w:color w:val="000000"/>
                <w:sz w:val="14"/>
                <w:szCs w:val="14"/>
              </w:rPr>
            </w:pPr>
            <w:r w:rsidRPr="005F055E">
              <w:rPr>
                <w:rFonts w:cs="Calibri"/>
                <w:color w:val="000000"/>
                <w:sz w:val="14"/>
                <w:szCs w:val="14"/>
              </w:rPr>
              <w:t>21</w:t>
            </w:r>
          </w:p>
        </w:tc>
        <w:tc>
          <w:tcPr>
            <w:tcW w:w="381" w:type="pct"/>
            <w:gridSpan w:val="2"/>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029907F4" w14:textId="77777777">
            <w:pPr>
              <w:suppressAutoHyphens/>
              <w:spacing w:line="240" w:lineRule="auto"/>
              <w:rPr>
                <w:rFonts w:cs="Calibri"/>
                <w:color w:val="000000"/>
                <w:sz w:val="14"/>
                <w:szCs w:val="14"/>
              </w:rPr>
            </w:pPr>
            <w:r w:rsidRPr="005F055E">
              <w:rPr>
                <w:rFonts w:cs="Calibri"/>
                <w:color w:val="000000"/>
                <w:sz w:val="14"/>
                <w:szCs w:val="14"/>
              </w:rPr>
              <w:t>21</w:t>
            </w:r>
          </w:p>
        </w:tc>
      </w:tr>
      <w:tr w:rsidRPr="005F055E" w:rsidR="00390010" w:rsidTr="00390010" w14:paraId="219C6CC2" w14:textId="77777777">
        <w:trPr>
          <w:trHeight w:val="192"/>
        </w:trPr>
        <w:tc>
          <w:tcPr>
            <w:tcW w:w="2293" w:type="pct"/>
            <w:gridSpan w:val="4"/>
            <w:tcBorders>
              <w:top w:val="nil"/>
              <w:left w:val="single" w:color="auto" w:sz="4" w:space="0"/>
              <w:bottom w:val="single" w:color="auto" w:sz="4" w:space="0"/>
              <w:right w:val="single" w:color="auto" w:sz="4" w:space="0"/>
            </w:tcBorders>
            <w:shd w:val="clear" w:color="000000" w:fill="DAEEF3"/>
            <w:noWrap/>
            <w:vAlign w:val="center"/>
            <w:hideMark/>
          </w:tcPr>
          <w:p w:rsidRPr="005F055E" w:rsidR="00390010" w:rsidP="00180EEB" w:rsidRDefault="00390010" w14:paraId="0A3DD99E" w14:textId="77777777">
            <w:pPr>
              <w:suppressAutoHyphens/>
              <w:spacing w:line="240" w:lineRule="auto"/>
              <w:rPr>
                <w:rFonts w:cs="Calibri"/>
                <w:color w:val="000000"/>
                <w:sz w:val="14"/>
                <w:szCs w:val="14"/>
              </w:rPr>
            </w:pPr>
            <w:r w:rsidRPr="005F055E">
              <w:rPr>
                <w:rFonts w:cs="Calibri"/>
                <w:color w:val="000000"/>
                <w:sz w:val="14"/>
                <w:szCs w:val="14"/>
              </w:rPr>
              <w:t>Groei BBP (%)</w:t>
            </w:r>
          </w:p>
        </w:tc>
        <w:tc>
          <w:tcPr>
            <w:tcW w:w="357" w:type="pct"/>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01D24204" w14:textId="77777777">
            <w:pPr>
              <w:suppressAutoHyphens/>
              <w:spacing w:line="240" w:lineRule="auto"/>
              <w:rPr>
                <w:rFonts w:cs="Calibri"/>
                <w:color w:val="000000"/>
                <w:sz w:val="14"/>
                <w:szCs w:val="14"/>
              </w:rPr>
            </w:pPr>
            <w:r w:rsidRPr="005F055E">
              <w:rPr>
                <w:rFonts w:cs="Calibri"/>
                <w:color w:val="000000"/>
                <w:sz w:val="14"/>
                <w:szCs w:val="14"/>
              </w:rPr>
              <w:t>3%</w:t>
            </w:r>
          </w:p>
        </w:tc>
        <w:tc>
          <w:tcPr>
            <w:tcW w:w="357" w:type="pct"/>
            <w:gridSpan w:val="2"/>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7A3B4F18" w14:textId="77777777">
            <w:pPr>
              <w:suppressAutoHyphens/>
              <w:spacing w:line="240" w:lineRule="auto"/>
              <w:rPr>
                <w:rFonts w:cs="Calibri"/>
                <w:color w:val="000000"/>
                <w:sz w:val="14"/>
                <w:szCs w:val="14"/>
              </w:rPr>
            </w:pPr>
            <w:r w:rsidRPr="005F055E">
              <w:rPr>
                <w:rFonts w:cs="Calibri"/>
                <w:color w:val="000000"/>
                <w:sz w:val="14"/>
                <w:szCs w:val="14"/>
              </w:rPr>
              <w:t>2%</w:t>
            </w:r>
          </w:p>
        </w:tc>
        <w:tc>
          <w:tcPr>
            <w:tcW w:w="357" w:type="pct"/>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50563C0A" w14:textId="77777777">
            <w:pPr>
              <w:suppressAutoHyphens/>
              <w:spacing w:line="240" w:lineRule="auto"/>
              <w:rPr>
                <w:rFonts w:cs="Calibri"/>
                <w:color w:val="000000"/>
                <w:sz w:val="14"/>
                <w:szCs w:val="14"/>
              </w:rPr>
            </w:pPr>
            <w:r w:rsidRPr="005F055E">
              <w:rPr>
                <w:rFonts w:cs="Calibri"/>
                <w:color w:val="000000"/>
                <w:sz w:val="14"/>
                <w:szCs w:val="14"/>
              </w:rPr>
              <w:t>0%</w:t>
            </w:r>
          </w:p>
        </w:tc>
        <w:tc>
          <w:tcPr>
            <w:tcW w:w="358" w:type="pct"/>
            <w:gridSpan w:val="2"/>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174A20D4" w14:textId="77777777">
            <w:pPr>
              <w:suppressAutoHyphens/>
              <w:spacing w:line="240" w:lineRule="auto"/>
              <w:rPr>
                <w:rFonts w:cs="Calibri"/>
                <w:color w:val="000000"/>
                <w:sz w:val="14"/>
                <w:szCs w:val="14"/>
              </w:rPr>
            </w:pPr>
            <w:r w:rsidRPr="005F055E">
              <w:rPr>
                <w:rFonts w:cs="Calibri"/>
                <w:color w:val="000000"/>
                <w:sz w:val="14"/>
                <w:szCs w:val="14"/>
              </w:rPr>
              <w:t>1%</w:t>
            </w:r>
          </w:p>
        </w:tc>
        <w:tc>
          <w:tcPr>
            <w:tcW w:w="434" w:type="pct"/>
            <w:gridSpan w:val="2"/>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11DA2CA6" w14:textId="77777777">
            <w:pPr>
              <w:suppressAutoHyphens/>
              <w:spacing w:line="240" w:lineRule="auto"/>
              <w:rPr>
                <w:rFonts w:cs="Calibri"/>
                <w:color w:val="000000"/>
                <w:sz w:val="14"/>
                <w:szCs w:val="14"/>
              </w:rPr>
            </w:pPr>
            <w:r w:rsidRPr="005F055E">
              <w:rPr>
                <w:rFonts w:cs="Calibri"/>
                <w:color w:val="000000"/>
                <w:sz w:val="14"/>
                <w:szCs w:val="14"/>
              </w:rPr>
              <w:t>2%</w:t>
            </w:r>
          </w:p>
        </w:tc>
        <w:tc>
          <w:tcPr>
            <w:tcW w:w="462" w:type="pct"/>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79EFA8A7" w14:textId="77777777">
            <w:pPr>
              <w:suppressAutoHyphens/>
              <w:spacing w:line="240" w:lineRule="auto"/>
              <w:rPr>
                <w:rFonts w:cs="Calibri"/>
                <w:color w:val="000000"/>
                <w:sz w:val="14"/>
                <w:szCs w:val="14"/>
              </w:rPr>
            </w:pPr>
            <w:r w:rsidRPr="005F055E">
              <w:rPr>
                <w:rFonts w:cs="Calibri"/>
                <w:color w:val="000000"/>
                <w:sz w:val="14"/>
                <w:szCs w:val="14"/>
              </w:rPr>
              <w:t>3%</w:t>
            </w:r>
          </w:p>
        </w:tc>
        <w:tc>
          <w:tcPr>
            <w:tcW w:w="381" w:type="pct"/>
            <w:gridSpan w:val="2"/>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7A261264" w14:textId="77777777">
            <w:pPr>
              <w:suppressAutoHyphens/>
              <w:spacing w:line="240" w:lineRule="auto"/>
              <w:rPr>
                <w:rFonts w:cs="Calibri"/>
                <w:color w:val="000000"/>
                <w:sz w:val="14"/>
                <w:szCs w:val="14"/>
              </w:rPr>
            </w:pPr>
            <w:r w:rsidRPr="005F055E">
              <w:rPr>
                <w:rFonts w:cs="Calibri"/>
                <w:color w:val="000000"/>
                <w:sz w:val="14"/>
                <w:szCs w:val="14"/>
              </w:rPr>
              <w:t>3%</w:t>
            </w:r>
          </w:p>
        </w:tc>
      </w:tr>
      <w:tr w:rsidRPr="005F055E" w:rsidR="00390010" w:rsidTr="00390010" w14:paraId="6993378A" w14:textId="77777777">
        <w:trPr>
          <w:trHeight w:val="204"/>
        </w:trPr>
        <w:tc>
          <w:tcPr>
            <w:tcW w:w="2293" w:type="pct"/>
            <w:gridSpan w:val="4"/>
            <w:tcBorders>
              <w:top w:val="nil"/>
              <w:left w:val="single" w:color="auto" w:sz="4" w:space="0"/>
              <w:bottom w:val="nil"/>
              <w:right w:val="single" w:color="auto" w:sz="4" w:space="0"/>
            </w:tcBorders>
            <w:shd w:val="clear" w:color="000000" w:fill="DAEEF3"/>
            <w:noWrap/>
            <w:vAlign w:val="center"/>
            <w:hideMark/>
          </w:tcPr>
          <w:p w:rsidRPr="005F055E" w:rsidR="00390010" w:rsidP="00180EEB" w:rsidRDefault="00390010" w14:paraId="09050DA5" w14:textId="77777777">
            <w:pPr>
              <w:suppressAutoHyphens/>
              <w:spacing w:line="240" w:lineRule="auto"/>
              <w:rPr>
                <w:rFonts w:cs="Calibri"/>
                <w:color w:val="000000"/>
                <w:sz w:val="14"/>
                <w:szCs w:val="14"/>
              </w:rPr>
            </w:pPr>
            <w:r w:rsidRPr="005F055E">
              <w:rPr>
                <w:rFonts w:cs="Calibri"/>
                <w:color w:val="000000"/>
                <w:sz w:val="14"/>
                <w:szCs w:val="14"/>
              </w:rPr>
              <w:t> </w:t>
            </w:r>
          </w:p>
        </w:tc>
        <w:tc>
          <w:tcPr>
            <w:tcW w:w="357" w:type="pct"/>
            <w:tcBorders>
              <w:top w:val="nil"/>
              <w:left w:val="nil"/>
              <w:bottom w:val="nil"/>
              <w:right w:val="single" w:color="auto" w:sz="4" w:space="0"/>
            </w:tcBorders>
            <w:shd w:val="clear" w:color="000000" w:fill="DAEEF3"/>
            <w:noWrap/>
            <w:vAlign w:val="center"/>
            <w:hideMark/>
          </w:tcPr>
          <w:p w:rsidRPr="005F055E" w:rsidR="00390010" w:rsidP="00180EEB" w:rsidRDefault="00390010" w14:paraId="21E92B24" w14:textId="77777777">
            <w:pPr>
              <w:suppressAutoHyphens/>
              <w:spacing w:line="240" w:lineRule="auto"/>
              <w:rPr>
                <w:rFonts w:cs="Calibri"/>
                <w:color w:val="000000"/>
                <w:sz w:val="14"/>
                <w:szCs w:val="14"/>
              </w:rPr>
            </w:pPr>
            <w:r w:rsidRPr="005F055E">
              <w:rPr>
                <w:rFonts w:cs="Calibri"/>
                <w:color w:val="000000"/>
                <w:sz w:val="14"/>
                <w:szCs w:val="14"/>
              </w:rPr>
              <w:t> </w:t>
            </w:r>
          </w:p>
        </w:tc>
        <w:tc>
          <w:tcPr>
            <w:tcW w:w="357" w:type="pct"/>
            <w:gridSpan w:val="2"/>
            <w:tcBorders>
              <w:top w:val="nil"/>
              <w:left w:val="nil"/>
              <w:bottom w:val="nil"/>
              <w:right w:val="single" w:color="auto" w:sz="4" w:space="0"/>
            </w:tcBorders>
            <w:shd w:val="clear" w:color="000000" w:fill="DAEEF3"/>
            <w:noWrap/>
            <w:vAlign w:val="center"/>
            <w:hideMark/>
          </w:tcPr>
          <w:p w:rsidRPr="005F055E" w:rsidR="00390010" w:rsidP="00180EEB" w:rsidRDefault="00390010" w14:paraId="0928C066" w14:textId="77777777">
            <w:pPr>
              <w:suppressAutoHyphens/>
              <w:spacing w:line="240" w:lineRule="auto"/>
              <w:rPr>
                <w:rFonts w:cs="Calibri"/>
                <w:color w:val="000000"/>
                <w:sz w:val="14"/>
                <w:szCs w:val="14"/>
              </w:rPr>
            </w:pPr>
            <w:r w:rsidRPr="005F055E">
              <w:rPr>
                <w:rFonts w:cs="Calibri"/>
                <w:color w:val="000000"/>
                <w:sz w:val="14"/>
                <w:szCs w:val="14"/>
              </w:rPr>
              <w:t> </w:t>
            </w:r>
          </w:p>
        </w:tc>
        <w:tc>
          <w:tcPr>
            <w:tcW w:w="357" w:type="pct"/>
            <w:tcBorders>
              <w:top w:val="nil"/>
              <w:left w:val="nil"/>
              <w:bottom w:val="nil"/>
              <w:right w:val="single" w:color="auto" w:sz="4" w:space="0"/>
            </w:tcBorders>
            <w:shd w:val="clear" w:color="000000" w:fill="DAEEF3"/>
            <w:noWrap/>
            <w:vAlign w:val="center"/>
            <w:hideMark/>
          </w:tcPr>
          <w:p w:rsidRPr="005F055E" w:rsidR="00390010" w:rsidP="00180EEB" w:rsidRDefault="00390010" w14:paraId="7B69C4FE" w14:textId="77777777">
            <w:pPr>
              <w:suppressAutoHyphens/>
              <w:spacing w:line="240" w:lineRule="auto"/>
              <w:rPr>
                <w:rFonts w:cs="Calibri"/>
                <w:color w:val="000000"/>
                <w:sz w:val="14"/>
                <w:szCs w:val="14"/>
              </w:rPr>
            </w:pPr>
            <w:r w:rsidRPr="005F055E">
              <w:rPr>
                <w:rFonts w:cs="Calibri"/>
                <w:color w:val="000000"/>
                <w:sz w:val="14"/>
                <w:szCs w:val="14"/>
              </w:rPr>
              <w:t> </w:t>
            </w:r>
          </w:p>
        </w:tc>
        <w:tc>
          <w:tcPr>
            <w:tcW w:w="358" w:type="pct"/>
            <w:gridSpan w:val="2"/>
            <w:tcBorders>
              <w:top w:val="nil"/>
              <w:left w:val="nil"/>
              <w:bottom w:val="nil"/>
              <w:right w:val="single" w:color="auto" w:sz="4" w:space="0"/>
            </w:tcBorders>
            <w:shd w:val="clear" w:color="000000" w:fill="DAEEF3"/>
            <w:noWrap/>
            <w:vAlign w:val="center"/>
            <w:hideMark/>
          </w:tcPr>
          <w:p w:rsidRPr="005F055E" w:rsidR="00390010" w:rsidP="00180EEB" w:rsidRDefault="00390010" w14:paraId="23B75077" w14:textId="77777777">
            <w:pPr>
              <w:suppressAutoHyphens/>
              <w:spacing w:line="240" w:lineRule="auto"/>
              <w:rPr>
                <w:rFonts w:cs="Calibri"/>
                <w:color w:val="000000"/>
                <w:sz w:val="14"/>
                <w:szCs w:val="14"/>
              </w:rPr>
            </w:pPr>
            <w:r w:rsidRPr="005F055E">
              <w:rPr>
                <w:rFonts w:cs="Calibri"/>
                <w:color w:val="000000"/>
                <w:sz w:val="14"/>
                <w:szCs w:val="14"/>
              </w:rPr>
              <w:t> </w:t>
            </w:r>
          </w:p>
        </w:tc>
        <w:tc>
          <w:tcPr>
            <w:tcW w:w="434" w:type="pct"/>
            <w:gridSpan w:val="2"/>
            <w:tcBorders>
              <w:top w:val="nil"/>
              <w:left w:val="nil"/>
              <w:bottom w:val="nil"/>
              <w:right w:val="single" w:color="auto" w:sz="4" w:space="0"/>
            </w:tcBorders>
            <w:shd w:val="clear" w:color="000000" w:fill="DAEEF3"/>
            <w:noWrap/>
            <w:vAlign w:val="center"/>
            <w:hideMark/>
          </w:tcPr>
          <w:p w:rsidRPr="005F055E" w:rsidR="00390010" w:rsidP="00180EEB" w:rsidRDefault="00390010" w14:paraId="4A96B960" w14:textId="77777777">
            <w:pPr>
              <w:suppressAutoHyphens/>
              <w:spacing w:line="240" w:lineRule="auto"/>
              <w:rPr>
                <w:rFonts w:cs="Calibri"/>
                <w:color w:val="000000"/>
                <w:sz w:val="14"/>
                <w:szCs w:val="14"/>
              </w:rPr>
            </w:pPr>
            <w:r w:rsidRPr="005F055E">
              <w:rPr>
                <w:rFonts w:cs="Calibri"/>
                <w:color w:val="000000"/>
                <w:sz w:val="14"/>
                <w:szCs w:val="14"/>
              </w:rPr>
              <w:t> </w:t>
            </w:r>
          </w:p>
        </w:tc>
        <w:tc>
          <w:tcPr>
            <w:tcW w:w="462" w:type="pct"/>
            <w:tcBorders>
              <w:top w:val="nil"/>
              <w:left w:val="nil"/>
              <w:bottom w:val="nil"/>
              <w:right w:val="single" w:color="auto" w:sz="4" w:space="0"/>
            </w:tcBorders>
            <w:shd w:val="clear" w:color="000000" w:fill="DAEEF3"/>
            <w:noWrap/>
            <w:vAlign w:val="center"/>
            <w:hideMark/>
          </w:tcPr>
          <w:p w:rsidRPr="005F055E" w:rsidR="00390010" w:rsidP="00180EEB" w:rsidRDefault="00390010" w14:paraId="1352710B" w14:textId="77777777">
            <w:pPr>
              <w:suppressAutoHyphens/>
              <w:spacing w:line="240" w:lineRule="auto"/>
              <w:rPr>
                <w:rFonts w:cs="Calibri"/>
                <w:color w:val="000000"/>
                <w:sz w:val="14"/>
                <w:szCs w:val="14"/>
              </w:rPr>
            </w:pPr>
            <w:r w:rsidRPr="005F055E">
              <w:rPr>
                <w:rFonts w:cs="Calibri"/>
                <w:color w:val="000000"/>
                <w:sz w:val="14"/>
                <w:szCs w:val="14"/>
              </w:rPr>
              <w:t> </w:t>
            </w:r>
          </w:p>
        </w:tc>
        <w:tc>
          <w:tcPr>
            <w:tcW w:w="381" w:type="pct"/>
            <w:gridSpan w:val="2"/>
            <w:tcBorders>
              <w:top w:val="nil"/>
              <w:left w:val="nil"/>
              <w:bottom w:val="nil"/>
              <w:right w:val="single" w:color="auto" w:sz="4" w:space="0"/>
            </w:tcBorders>
            <w:shd w:val="clear" w:color="000000" w:fill="DAEEF3"/>
            <w:noWrap/>
            <w:vAlign w:val="center"/>
            <w:hideMark/>
          </w:tcPr>
          <w:p w:rsidRPr="005F055E" w:rsidR="00390010" w:rsidP="00180EEB" w:rsidRDefault="00390010" w14:paraId="5CC76C51" w14:textId="77777777">
            <w:pPr>
              <w:suppressAutoHyphens/>
              <w:spacing w:line="240" w:lineRule="auto"/>
              <w:rPr>
                <w:rFonts w:cs="Calibri"/>
                <w:color w:val="000000"/>
                <w:sz w:val="14"/>
                <w:szCs w:val="14"/>
              </w:rPr>
            </w:pPr>
            <w:r w:rsidRPr="005F055E">
              <w:rPr>
                <w:rFonts w:cs="Calibri"/>
                <w:color w:val="000000"/>
                <w:sz w:val="14"/>
                <w:szCs w:val="14"/>
              </w:rPr>
              <w:t> </w:t>
            </w:r>
          </w:p>
        </w:tc>
      </w:tr>
      <w:tr w:rsidRPr="005F055E" w:rsidR="00390010" w:rsidTr="00390010" w14:paraId="6DB27A31" w14:textId="77777777">
        <w:trPr>
          <w:trHeight w:val="192"/>
        </w:trPr>
        <w:tc>
          <w:tcPr>
            <w:tcW w:w="2293" w:type="pct"/>
            <w:gridSpan w:val="4"/>
            <w:tcBorders>
              <w:top w:val="single" w:color="auto" w:sz="8" w:space="0"/>
              <w:left w:val="single" w:color="auto" w:sz="4" w:space="0"/>
              <w:bottom w:val="single" w:color="auto" w:sz="4" w:space="0"/>
              <w:right w:val="single" w:color="auto" w:sz="4" w:space="0"/>
            </w:tcBorders>
            <w:shd w:val="clear" w:color="000000" w:fill="DAEEF3"/>
            <w:noWrap/>
            <w:vAlign w:val="center"/>
            <w:hideMark/>
          </w:tcPr>
          <w:p w:rsidRPr="005F055E" w:rsidR="00390010" w:rsidP="00180EEB" w:rsidRDefault="00390010" w14:paraId="4FC69A59" w14:textId="77777777">
            <w:pPr>
              <w:suppressAutoHyphens/>
              <w:spacing w:line="240" w:lineRule="auto"/>
              <w:rPr>
                <w:rFonts w:cs="Calibri"/>
                <w:b/>
                <w:bCs/>
                <w:color w:val="000000"/>
                <w:sz w:val="14"/>
                <w:szCs w:val="14"/>
              </w:rPr>
            </w:pPr>
            <w:r w:rsidRPr="005F055E">
              <w:rPr>
                <w:rFonts w:cs="Calibri"/>
                <w:b/>
                <w:bCs/>
                <w:color w:val="000000"/>
                <w:sz w:val="14"/>
                <w:szCs w:val="14"/>
              </w:rPr>
              <w:t>Netto gecorrigeerde zorguitgaven/ BBP (%)</w:t>
            </w:r>
          </w:p>
        </w:tc>
        <w:tc>
          <w:tcPr>
            <w:tcW w:w="357" w:type="pct"/>
            <w:tcBorders>
              <w:top w:val="single" w:color="auto" w:sz="8" w:space="0"/>
              <w:left w:val="nil"/>
              <w:bottom w:val="single" w:color="auto" w:sz="4" w:space="0"/>
              <w:right w:val="single" w:color="auto" w:sz="4" w:space="0"/>
            </w:tcBorders>
            <w:shd w:val="clear" w:color="000000" w:fill="DAEEF3"/>
            <w:noWrap/>
            <w:vAlign w:val="bottom"/>
            <w:hideMark/>
          </w:tcPr>
          <w:p w:rsidRPr="005F055E" w:rsidR="00390010" w:rsidP="00180EEB" w:rsidRDefault="00390010" w14:paraId="111C33C8" w14:textId="77777777">
            <w:pPr>
              <w:suppressAutoHyphens/>
              <w:spacing w:line="240" w:lineRule="auto"/>
              <w:rPr>
                <w:rFonts w:cs="Calibri"/>
                <w:b/>
                <w:bCs/>
                <w:color w:val="000000"/>
                <w:sz w:val="14"/>
                <w:szCs w:val="14"/>
              </w:rPr>
            </w:pPr>
            <w:r w:rsidRPr="005F055E">
              <w:rPr>
                <w:rFonts w:cs="Calibri"/>
                <w:b/>
                <w:bCs/>
                <w:color w:val="000000"/>
                <w:sz w:val="14"/>
                <w:szCs w:val="14"/>
              </w:rPr>
              <w:t>9,0%</w:t>
            </w:r>
          </w:p>
        </w:tc>
        <w:tc>
          <w:tcPr>
            <w:tcW w:w="357" w:type="pct"/>
            <w:gridSpan w:val="2"/>
            <w:tcBorders>
              <w:top w:val="single" w:color="auto" w:sz="8" w:space="0"/>
              <w:left w:val="nil"/>
              <w:bottom w:val="single" w:color="auto" w:sz="4" w:space="0"/>
              <w:right w:val="single" w:color="auto" w:sz="4" w:space="0"/>
            </w:tcBorders>
            <w:shd w:val="clear" w:color="000000" w:fill="DAEEF3"/>
            <w:noWrap/>
            <w:vAlign w:val="bottom"/>
            <w:hideMark/>
          </w:tcPr>
          <w:p w:rsidRPr="005F055E" w:rsidR="00390010" w:rsidP="00180EEB" w:rsidRDefault="00390010" w14:paraId="01FB4545" w14:textId="77777777">
            <w:pPr>
              <w:suppressAutoHyphens/>
              <w:spacing w:line="240" w:lineRule="auto"/>
              <w:rPr>
                <w:rFonts w:cs="Calibri"/>
                <w:b/>
                <w:bCs/>
                <w:color w:val="000000"/>
                <w:sz w:val="14"/>
                <w:szCs w:val="14"/>
              </w:rPr>
            </w:pPr>
            <w:r w:rsidRPr="005F055E">
              <w:rPr>
                <w:rFonts w:cs="Calibri"/>
                <w:b/>
                <w:bCs/>
                <w:color w:val="000000"/>
                <w:sz w:val="14"/>
                <w:szCs w:val="14"/>
              </w:rPr>
              <w:t>9,1%</w:t>
            </w:r>
          </w:p>
        </w:tc>
        <w:tc>
          <w:tcPr>
            <w:tcW w:w="357" w:type="pct"/>
            <w:tcBorders>
              <w:top w:val="single" w:color="auto" w:sz="8" w:space="0"/>
              <w:left w:val="nil"/>
              <w:bottom w:val="single" w:color="auto" w:sz="4" w:space="0"/>
              <w:right w:val="single" w:color="auto" w:sz="4" w:space="0"/>
            </w:tcBorders>
            <w:shd w:val="clear" w:color="000000" w:fill="DAEEF3"/>
            <w:noWrap/>
            <w:vAlign w:val="bottom"/>
            <w:hideMark/>
          </w:tcPr>
          <w:p w:rsidRPr="005F055E" w:rsidR="00390010" w:rsidP="00180EEB" w:rsidRDefault="00390010" w14:paraId="1F9D11BB" w14:textId="77777777">
            <w:pPr>
              <w:suppressAutoHyphens/>
              <w:spacing w:line="240" w:lineRule="auto"/>
              <w:rPr>
                <w:rFonts w:cs="Calibri"/>
                <w:b/>
                <w:bCs/>
                <w:color w:val="000000"/>
                <w:sz w:val="14"/>
                <w:szCs w:val="14"/>
              </w:rPr>
            </w:pPr>
            <w:r w:rsidRPr="005F055E">
              <w:rPr>
                <w:rFonts w:cs="Calibri"/>
                <w:b/>
                <w:bCs/>
                <w:color w:val="000000"/>
                <w:sz w:val="14"/>
                <w:szCs w:val="14"/>
              </w:rPr>
              <w:t>9,5%</w:t>
            </w:r>
          </w:p>
        </w:tc>
        <w:tc>
          <w:tcPr>
            <w:tcW w:w="358" w:type="pct"/>
            <w:gridSpan w:val="2"/>
            <w:tcBorders>
              <w:top w:val="single" w:color="auto" w:sz="8" w:space="0"/>
              <w:left w:val="nil"/>
              <w:bottom w:val="single" w:color="auto" w:sz="4" w:space="0"/>
              <w:right w:val="single" w:color="auto" w:sz="4" w:space="0"/>
            </w:tcBorders>
            <w:shd w:val="clear" w:color="000000" w:fill="DAEEF3"/>
            <w:noWrap/>
            <w:vAlign w:val="bottom"/>
            <w:hideMark/>
          </w:tcPr>
          <w:p w:rsidRPr="005F055E" w:rsidR="00390010" w:rsidP="00180EEB" w:rsidRDefault="00390010" w14:paraId="67BDE61C" w14:textId="77777777">
            <w:pPr>
              <w:suppressAutoHyphens/>
              <w:spacing w:line="240" w:lineRule="auto"/>
              <w:rPr>
                <w:rFonts w:cs="Calibri"/>
                <w:b/>
                <w:bCs/>
                <w:color w:val="000000"/>
                <w:sz w:val="14"/>
                <w:szCs w:val="14"/>
              </w:rPr>
            </w:pPr>
            <w:r w:rsidRPr="005F055E">
              <w:rPr>
                <w:rFonts w:cs="Calibri"/>
                <w:b/>
                <w:bCs/>
                <w:color w:val="000000"/>
                <w:sz w:val="14"/>
                <w:szCs w:val="14"/>
              </w:rPr>
              <w:t>9,6%</w:t>
            </w:r>
          </w:p>
        </w:tc>
        <w:tc>
          <w:tcPr>
            <w:tcW w:w="434" w:type="pct"/>
            <w:gridSpan w:val="2"/>
            <w:tcBorders>
              <w:top w:val="single" w:color="auto" w:sz="8" w:space="0"/>
              <w:left w:val="nil"/>
              <w:bottom w:val="single" w:color="auto" w:sz="4" w:space="0"/>
              <w:right w:val="single" w:color="auto" w:sz="4" w:space="0"/>
            </w:tcBorders>
            <w:shd w:val="clear" w:color="000000" w:fill="DAEEF3"/>
            <w:noWrap/>
            <w:vAlign w:val="bottom"/>
            <w:hideMark/>
          </w:tcPr>
          <w:p w:rsidRPr="005F055E" w:rsidR="00390010" w:rsidP="00180EEB" w:rsidRDefault="00390010" w14:paraId="7B31B355" w14:textId="77777777">
            <w:pPr>
              <w:suppressAutoHyphens/>
              <w:spacing w:line="240" w:lineRule="auto"/>
              <w:rPr>
                <w:rFonts w:cs="Calibri"/>
                <w:b/>
                <w:bCs/>
                <w:color w:val="000000"/>
                <w:sz w:val="14"/>
                <w:szCs w:val="14"/>
              </w:rPr>
            </w:pPr>
            <w:r w:rsidRPr="005F055E">
              <w:rPr>
                <w:rFonts w:cs="Calibri"/>
                <w:b/>
                <w:bCs/>
                <w:color w:val="000000"/>
                <w:sz w:val="14"/>
                <w:szCs w:val="14"/>
              </w:rPr>
              <w:t>9,4%</w:t>
            </w:r>
          </w:p>
        </w:tc>
        <w:tc>
          <w:tcPr>
            <w:tcW w:w="462" w:type="pct"/>
            <w:tcBorders>
              <w:top w:val="single" w:color="auto" w:sz="8" w:space="0"/>
              <w:left w:val="nil"/>
              <w:bottom w:val="single" w:color="auto" w:sz="4" w:space="0"/>
              <w:right w:val="single" w:color="auto" w:sz="4" w:space="0"/>
            </w:tcBorders>
            <w:shd w:val="clear" w:color="000000" w:fill="DAEEF3"/>
            <w:noWrap/>
            <w:vAlign w:val="bottom"/>
            <w:hideMark/>
          </w:tcPr>
          <w:p w:rsidRPr="005F055E" w:rsidR="00390010" w:rsidP="00180EEB" w:rsidRDefault="00390010" w14:paraId="3CB9CB0D" w14:textId="77777777">
            <w:pPr>
              <w:suppressAutoHyphens/>
              <w:spacing w:line="240" w:lineRule="auto"/>
              <w:rPr>
                <w:rFonts w:cs="Calibri"/>
                <w:b/>
                <w:bCs/>
                <w:color w:val="000000"/>
                <w:sz w:val="14"/>
                <w:szCs w:val="14"/>
              </w:rPr>
            </w:pPr>
            <w:r w:rsidRPr="005F055E">
              <w:rPr>
                <w:rFonts w:cs="Calibri"/>
                <w:b/>
                <w:bCs/>
                <w:color w:val="000000"/>
                <w:sz w:val="14"/>
                <w:szCs w:val="14"/>
              </w:rPr>
              <w:t>8,4%</w:t>
            </w:r>
          </w:p>
        </w:tc>
        <w:tc>
          <w:tcPr>
            <w:tcW w:w="381" w:type="pct"/>
            <w:gridSpan w:val="2"/>
            <w:tcBorders>
              <w:top w:val="single" w:color="auto" w:sz="8" w:space="0"/>
              <w:left w:val="nil"/>
              <w:bottom w:val="single" w:color="auto" w:sz="4" w:space="0"/>
              <w:right w:val="single" w:color="auto" w:sz="4" w:space="0"/>
            </w:tcBorders>
            <w:shd w:val="clear" w:color="000000" w:fill="DAEEF3"/>
            <w:noWrap/>
            <w:vAlign w:val="bottom"/>
            <w:hideMark/>
          </w:tcPr>
          <w:p w:rsidRPr="005F055E" w:rsidR="00390010" w:rsidP="00180EEB" w:rsidRDefault="00390010" w14:paraId="3EAF7F46" w14:textId="77777777">
            <w:pPr>
              <w:suppressAutoHyphens/>
              <w:spacing w:line="240" w:lineRule="auto"/>
              <w:rPr>
                <w:rFonts w:cs="Calibri"/>
                <w:b/>
                <w:bCs/>
                <w:color w:val="000000"/>
                <w:sz w:val="14"/>
                <w:szCs w:val="14"/>
              </w:rPr>
            </w:pPr>
            <w:r w:rsidRPr="005F055E">
              <w:rPr>
                <w:rFonts w:cs="Calibri"/>
                <w:b/>
                <w:bCs/>
                <w:color w:val="000000"/>
                <w:sz w:val="14"/>
                <w:szCs w:val="14"/>
              </w:rPr>
              <w:t>8,4%</w:t>
            </w:r>
          </w:p>
        </w:tc>
      </w:tr>
      <w:tr w:rsidRPr="005F055E" w:rsidR="00390010" w:rsidTr="005E2643" w14:paraId="5F70143B" w14:textId="77777777">
        <w:trPr>
          <w:trHeight w:val="441"/>
        </w:trPr>
        <w:tc>
          <w:tcPr>
            <w:tcW w:w="5000" w:type="pct"/>
            <w:gridSpan w:val="15"/>
            <w:tcBorders>
              <w:top w:val="single" w:color="auto" w:sz="8" w:space="0"/>
              <w:left w:val="single" w:color="auto" w:sz="8" w:space="0"/>
              <w:bottom w:val="single" w:color="auto" w:sz="8" w:space="0"/>
              <w:right w:val="single" w:color="000000" w:sz="8" w:space="0"/>
            </w:tcBorders>
            <w:shd w:val="clear" w:color="auto" w:fill="auto"/>
            <w:vAlign w:val="center"/>
            <w:hideMark/>
          </w:tcPr>
          <w:p w:rsidRPr="005F055E" w:rsidR="00390010" w:rsidP="00180EEB" w:rsidRDefault="00390010" w14:paraId="73069ADD" w14:textId="77777777">
            <w:pPr>
              <w:suppressAutoHyphens/>
              <w:spacing w:line="240" w:lineRule="auto"/>
              <w:rPr>
                <w:rFonts w:cs="Calibri"/>
                <w:b/>
                <w:bCs/>
                <w:sz w:val="14"/>
                <w:szCs w:val="14"/>
              </w:rPr>
            </w:pPr>
            <w:r w:rsidRPr="005F055E">
              <w:rPr>
                <w:rFonts w:cs="Calibri"/>
                <w:b/>
                <w:bCs/>
                <w:sz w:val="14"/>
                <w:szCs w:val="14"/>
              </w:rPr>
              <w:t>Vervolg tabel</w:t>
            </w:r>
          </w:p>
        </w:tc>
      </w:tr>
      <w:tr w:rsidRPr="005F055E" w:rsidR="00390010" w:rsidTr="00390010" w14:paraId="5656BF7B" w14:textId="77777777">
        <w:trPr>
          <w:trHeight w:val="216"/>
        </w:trPr>
        <w:tc>
          <w:tcPr>
            <w:tcW w:w="756" w:type="pct"/>
            <w:tcBorders>
              <w:top w:val="nil"/>
              <w:left w:val="single" w:color="auto" w:sz="8" w:space="0"/>
              <w:bottom w:val="single" w:color="auto" w:sz="8" w:space="0"/>
              <w:right w:val="single" w:color="auto" w:sz="4" w:space="0"/>
            </w:tcBorders>
            <w:shd w:val="clear" w:color="000000" w:fill="DAEEF3"/>
            <w:vAlign w:val="center"/>
            <w:hideMark/>
          </w:tcPr>
          <w:p w:rsidRPr="005F055E" w:rsidR="00390010" w:rsidP="00180EEB" w:rsidRDefault="00390010" w14:paraId="69C516B0" w14:textId="77777777">
            <w:pPr>
              <w:suppressAutoHyphens/>
              <w:spacing w:line="240" w:lineRule="auto"/>
              <w:rPr>
                <w:rFonts w:cs="Calibri"/>
                <w:color w:val="000000"/>
                <w:sz w:val="14"/>
                <w:szCs w:val="14"/>
              </w:rPr>
            </w:pPr>
            <w:r w:rsidRPr="005F055E">
              <w:rPr>
                <w:rFonts w:cs="Calibri"/>
                <w:color w:val="000000"/>
                <w:sz w:val="14"/>
                <w:szCs w:val="14"/>
              </w:rPr>
              <w:t>2017</w:t>
            </w:r>
          </w:p>
        </w:tc>
        <w:tc>
          <w:tcPr>
            <w:tcW w:w="730" w:type="pct"/>
            <w:tcBorders>
              <w:top w:val="nil"/>
              <w:left w:val="nil"/>
              <w:bottom w:val="single" w:color="auto" w:sz="8" w:space="0"/>
              <w:right w:val="single" w:color="auto" w:sz="4" w:space="0"/>
            </w:tcBorders>
            <w:shd w:val="clear" w:color="000000" w:fill="DAEEF3"/>
            <w:vAlign w:val="center"/>
            <w:hideMark/>
          </w:tcPr>
          <w:p w:rsidRPr="005F055E" w:rsidR="00390010" w:rsidP="00180EEB" w:rsidRDefault="00390010" w14:paraId="4904566C" w14:textId="77777777">
            <w:pPr>
              <w:suppressAutoHyphens/>
              <w:spacing w:line="240" w:lineRule="auto"/>
              <w:rPr>
                <w:rFonts w:cs="Calibri"/>
                <w:color w:val="000000"/>
                <w:sz w:val="14"/>
                <w:szCs w:val="14"/>
              </w:rPr>
            </w:pPr>
            <w:r w:rsidRPr="005F055E">
              <w:rPr>
                <w:rFonts w:cs="Calibri"/>
                <w:color w:val="000000"/>
                <w:sz w:val="14"/>
                <w:szCs w:val="14"/>
              </w:rPr>
              <w:t>2018</w:t>
            </w:r>
          </w:p>
        </w:tc>
        <w:tc>
          <w:tcPr>
            <w:tcW w:w="713" w:type="pct"/>
            <w:tcBorders>
              <w:top w:val="single" w:color="auto" w:sz="4" w:space="0"/>
              <w:left w:val="nil"/>
              <w:bottom w:val="single" w:color="auto" w:sz="8" w:space="0"/>
              <w:right w:val="single" w:color="auto" w:sz="4" w:space="0"/>
            </w:tcBorders>
            <w:shd w:val="clear" w:color="000000" w:fill="DAEEF3"/>
            <w:vAlign w:val="center"/>
            <w:hideMark/>
          </w:tcPr>
          <w:p w:rsidRPr="005F055E" w:rsidR="00390010" w:rsidP="00180EEB" w:rsidRDefault="00390010" w14:paraId="46744A12" w14:textId="77777777">
            <w:pPr>
              <w:suppressAutoHyphens/>
              <w:spacing w:line="240" w:lineRule="auto"/>
              <w:rPr>
                <w:rFonts w:cs="Calibri"/>
                <w:color w:val="000000"/>
                <w:sz w:val="14"/>
                <w:szCs w:val="14"/>
              </w:rPr>
            </w:pPr>
            <w:r w:rsidRPr="005F055E">
              <w:rPr>
                <w:rFonts w:cs="Calibri"/>
                <w:color w:val="000000"/>
                <w:sz w:val="14"/>
                <w:szCs w:val="14"/>
              </w:rPr>
              <w:t>2019</w:t>
            </w:r>
          </w:p>
        </w:tc>
        <w:tc>
          <w:tcPr>
            <w:tcW w:w="631" w:type="pct"/>
            <w:gridSpan w:val="3"/>
            <w:tcBorders>
              <w:top w:val="single" w:color="auto" w:sz="4" w:space="0"/>
              <w:left w:val="nil"/>
              <w:bottom w:val="single" w:color="auto" w:sz="8" w:space="0"/>
              <w:right w:val="single" w:color="auto" w:sz="4" w:space="0"/>
            </w:tcBorders>
            <w:shd w:val="clear" w:color="000000" w:fill="DAEEF3"/>
            <w:vAlign w:val="center"/>
            <w:hideMark/>
          </w:tcPr>
          <w:p w:rsidRPr="005F055E" w:rsidR="00390010" w:rsidP="00180EEB" w:rsidRDefault="00390010" w14:paraId="764A7066" w14:textId="77777777">
            <w:pPr>
              <w:suppressAutoHyphens/>
              <w:spacing w:line="240" w:lineRule="auto"/>
              <w:rPr>
                <w:rFonts w:cs="Calibri"/>
                <w:color w:val="000000"/>
                <w:sz w:val="14"/>
                <w:szCs w:val="14"/>
              </w:rPr>
            </w:pPr>
            <w:r w:rsidRPr="005F055E">
              <w:rPr>
                <w:rFonts w:cs="Calibri"/>
                <w:color w:val="000000"/>
                <w:sz w:val="14"/>
                <w:szCs w:val="14"/>
              </w:rPr>
              <w:t>2020</w:t>
            </w:r>
          </w:p>
        </w:tc>
        <w:tc>
          <w:tcPr>
            <w:tcW w:w="717" w:type="pct"/>
            <w:gridSpan w:val="3"/>
            <w:tcBorders>
              <w:top w:val="single" w:color="auto" w:sz="4" w:space="0"/>
              <w:left w:val="nil"/>
              <w:bottom w:val="single" w:color="auto" w:sz="8" w:space="0"/>
              <w:right w:val="single" w:color="auto" w:sz="4" w:space="0"/>
            </w:tcBorders>
            <w:shd w:val="clear" w:color="000000" w:fill="DAEEF3"/>
            <w:vAlign w:val="center"/>
            <w:hideMark/>
          </w:tcPr>
          <w:p w:rsidRPr="005F055E" w:rsidR="00390010" w:rsidP="00180EEB" w:rsidRDefault="00390010" w14:paraId="20C6ED6C" w14:textId="77777777">
            <w:pPr>
              <w:suppressAutoHyphens/>
              <w:spacing w:line="240" w:lineRule="auto"/>
              <w:rPr>
                <w:rFonts w:cs="Calibri"/>
                <w:color w:val="000000"/>
                <w:sz w:val="14"/>
                <w:szCs w:val="14"/>
              </w:rPr>
            </w:pPr>
            <w:r w:rsidRPr="005F055E">
              <w:rPr>
                <w:rFonts w:cs="Calibri"/>
                <w:color w:val="000000"/>
                <w:sz w:val="14"/>
                <w:szCs w:val="14"/>
              </w:rPr>
              <w:t xml:space="preserve">2021 </w:t>
            </w:r>
            <w:r w:rsidRPr="005F055E">
              <w:rPr>
                <w:rFonts w:cs="Calibri"/>
                <w:color w:val="000000"/>
                <w:sz w:val="14"/>
                <w:szCs w:val="14"/>
                <w:vertAlign w:val="superscript"/>
              </w:rPr>
              <w:t>5</w:t>
            </w:r>
          </w:p>
        </w:tc>
        <w:tc>
          <w:tcPr>
            <w:tcW w:w="358" w:type="pct"/>
            <w:gridSpan w:val="2"/>
            <w:tcBorders>
              <w:top w:val="single" w:color="auto" w:sz="4" w:space="0"/>
              <w:left w:val="nil"/>
              <w:bottom w:val="single" w:color="auto" w:sz="8" w:space="0"/>
              <w:right w:val="single" w:color="auto" w:sz="4" w:space="0"/>
            </w:tcBorders>
            <w:shd w:val="clear" w:color="000000" w:fill="DAEEF3"/>
            <w:noWrap/>
            <w:vAlign w:val="center"/>
            <w:hideMark/>
          </w:tcPr>
          <w:p w:rsidRPr="005F055E" w:rsidR="00390010" w:rsidP="00180EEB" w:rsidRDefault="00390010" w14:paraId="0A8EFF29" w14:textId="77777777">
            <w:pPr>
              <w:suppressAutoHyphens/>
              <w:spacing w:line="240" w:lineRule="auto"/>
              <w:rPr>
                <w:rFonts w:cs="Calibri"/>
                <w:color w:val="000000"/>
                <w:sz w:val="14"/>
                <w:szCs w:val="14"/>
              </w:rPr>
            </w:pPr>
            <w:r w:rsidRPr="005F055E">
              <w:rPr>
                <w:rFonts w:cs="Calibri"/>
                <w:color w:val="000000"/>
                <w:sz w:val="14"/>
                <w:szCs w:val="14"/>
              </w:rPr>
              <w:t>2022</w:t>
            </w:r>
          </w:p>
        </w:tc>
        <w:tc>
          <w:tcPr>
            <w:tcW w:w="722" w:type="pct"/>
            <w:gridSpan w:val="3"/>
            <w:tcBorders>
              <w:top w:val="single" w:color="auto" w:sz="4" w:space="0"/>
              <w:left w:val="nil"/>
              <w:bottom w:val="single" w:color="auto" w:sz="8" w:space="0"/>
              <w:right w:val="single" w:color="auto" w:sz="4" w:space="0"/>
            </w:tcBorders>
            <w:shd w:val="clear" w:color="000000" w:fill="DAEEF3"/>
            <w:vAlign w:val="center"/>
            <w:hideMark/>
          </w:tcPr>
          <w:p w:rsidRPr="005F055E" w:rsidR="00390010" w:rsidP="00180EEB" w:rsidRDefault="00390010" w14:paraId="2ADF80D7" w14:textId="77777777">
            <w:pPr>
              <w:suppressAutoHyphens/>
              <w:spacing w:line="240" w:lineRule="auto"/>
              <w:rPr>
                <w:rFonts w:cs="Calibri"/>
                <w:color w:val="000000"/>
                <w:sz w:val="14"/>
                <w:szCs w:val="14"/>
              </w:rPr>
            </w:pPr>
            <w:r w:rsidRPr="005F055E">
              <w:rPr>
                <w:rFonts w:cs="Calibri"/>
                <w:color w:val="000000"/>
                <w:sz w:val="14"/>
                <w:szCs w:val="14"/>
              </w:rPr>
              <w:t>2023</w:t>
            </w:r>
          </w:p>
        </w:tc>
        <w:tc>
          <w:tcPr>
            <w:tcW w:w="374" w:type="pct"/>
            <w:tcBorders>
              <w:top w:val="single" w:color="auto" w:sz="4" w:space="0"/>
              <w:left w:val="nil"/>
              <w:bottom w:val="single" w:color="auto" w:sz="8" w:space="0"/>
              <w:right w:val="single" w:color="auto" w:sz="8" w:space="0"/>
            </w:tcBorders>
            <w:shd w:val="clear" w:color="000000" w:fill="DAEEF3"/>
            <w:noWrap/>
            <w:vAlign w:val="center"/>
            <w:hideMark/>
          </w:tcPr>
          <w:p w:rsidRPr="005F055E" w:rsidR="00390010" w:rsidP="00180EEB" w:rsidRDefault="00390010" w14:paraId="5B5E93BE" w14:textId="77777777">
            <w:pPr>
              <w:suppressAutoHyphens/>
              <w:spacing w:line="240" w:lineRule="auto"/>
              <w:rPr>
                <w:rFonts w:cs="Calibri"/>
                <w:color w:val="000000"/>
                <w:sz w:val="14"/>
                <w:szCs w:val="14"/>
              </w:rPr>
            </w:pPr>
            <w:r w:rsidRPr="005F055E">
              <w:rPr>
                <w:rFonts w:cs="Calibri"/>
                <w:color w:val="000000"/>
                <w:sz w:val="14"/>
                <w:szCs w:val="14"/>
              </w:rPr>
              <w:t>2024</w:t>
            </w:r>
          </w:p>
        </w:tc>
      </w:tr>
      <w:tr w:rsidRPr="005F055E" w:rsidR="00390010" w:rsidTr="00390010" w14:paraId="35DC7826" w14:textId="77777777">
        <w:trPr>
          <w:trHeight w:val="204"/>
        </w:trPr>
        <w:tc>
          <w:tcPr>
            <w:tcW w:w="756" w:type="pct"/>
            <w:tcBorders>
              <w:top w:val="nil"/>
              <w:left w:val="single" w:color="auto" w:sz="8" w:space="0"/>
              <w:bottom w:val="single" w:color="auto" w:sz="8" w:space="0"/>
              <w:right w:val="single" w:color="auto" w:sz="4" w:space="0"/>
            </w:tcBorders>
            <w:shd w:val="clear" w:color="000000" w:fill="DAEEF3"/>
            <w:noWrap/>
            <w:vAlign w:val="center"/>
            <w:hideMark/>
          </w:tcPr>
          <w:p w:rsidRPr="005F055E" w:rsidR="00390010" w:rsidP="00180EEB" w:rsidRDefault="00390010" w14:paraId="58FCBB42" w14:textId="77777777">
            <w:pPr>
              <w:suppressAutoHyphens/>
              <w:spacing w:line="240" w:lineRule="auto"/>
              <w:rPr>
                <w:rFonts w:cs="Calibri"/>
                <w:b/>
                <w:bCs/>
                <w:color w:val="000000"/>
                <w:sz w:val="14"/>
                <w:szCs w:val="14"/>
              </w:rPr>
            </w:pPr>
            <w:r w:rsidRPr="005F055E">
              <w:rPr>
                <w:rFonts w:cs="Calibri"/>
                <w:b/>
                <w:bCs/>
                <w:color w:val="000000"/>
                <w:sz w:val="14"/>
                <w:szCs w:val="14"/>
              </w:rPr>
              <w:t>64</w:t>
            </w:r>
          </w:p>
        </w:tc>
        <w:tc>
          <w:tcPr>
            <w:tcW w:w="730" w:type="pct"/>
            <w:tcBorders>
              <w:top w:val="nil"/>
              <w:left w:val="nil"/>
              <w:bottom w:val="single" w:color="auto" w:sz="8" w:space="0"/>
              <w:right w:val="single" w:color="auto" w:sz="4" w:space="0"/>
            </w:tcBorders>
            <w:shd w:val="clear" w:color="000000" w:fill="DAEEF3"/>
            <w:noWrap/>
            <w:vAlign w:val="center"/>
            <w:hideMark/>
          </w:tcPr>
          <w:p w:rsidRPr="005F055E" w:rsidR="00390010" w:rsidP="00180EEB" w:rsidRDefault="00390010" w14:paraId="72A8AA31" w14:textId="77777777">
            <w:pPr>
              <w:suppressAutoHyphens/>
              <w:spacing w:line="240" w:lineRule="auto"/>
              <w:rPr>
                <w:rFonts w:cs="Calibri"/>
                <w:b/>
                <w:bCs/>
                <w:color w:val="000000"/>
                <w:sz w:val="14"/>
                <w:szCs w:val="14"/>
              </w:rPr>
            </w:pPr>
            <w:r w:rsidRPr="005F055E">
              <w:rPr>
                <w:rFonts w:cs="Calibri"/>
                <w:b/>
                <w:bCs/>
                <w:color w:val="000000"/>
                <w:sz w:val="14"/>
                <w:szCs w:val="14"/>
              </w:rPr>
              <w:t>65</w:t>
            </w:r>
          </w:p>
        </w:tc>
        <w:tc>
          <w:tcPr>
            <w:tcW w:w="713" w:type="pct"/>
            <w:tcBorders>
              <w:top w:val="nil"/>
              <w:left w:val="nil"/>
              <w:bottom w:val="single" w:color="auto" w:sz="8" w:space="0"/>
              <w:right w:val="single" w:color="auto" w:sz="4" w:space="0"/>
            </w:tcBorders>
            <w:shd w:val="clear" w:color="000000" w:fill="DAEEF3"/>
            <w:noWrap/>
            <w:vAlign w:val="center"/>
            <w:hideMark/>
          </w:tcPr>
          <w:p w:rsidRPr="005F055E" w:rsidR="00390010" w:rsidP="00180EEB" w:rsidRDefault="00390010" w14:paraId="4B960420" w14:textId="77777777">
            <w:pPr>
              <w:suppressAutoHyphens/>
              <w:spacing w:line="240" w:lineRule="auto"/>
              <w:rPr>
                <w:rFonts w:cs="Calibri"/>
                <w:b/>
                <w:bCs/>
                <w:color w:val="000000"/>
                <w:sz w:val="14"/>
                <w:szCs w:val="14"/>
              </w:rPr>
            </w:pPr>
            <w:r w:rsidRPr="005F055E">
              <w:rPr>
                <w:rFonts w:cs="Calibri"/>
                <w:b/>
                <w:bCs/>
                <w:color w:val="000000"/>
                <w:sz w:val="14"/>
                <w:szCs w:val="14"/>
              </w:rPr>
              <w:t>69</w:t>
            </w:r>
          </w:p>
        </w:tc>
        <w:tc>
          <w:tcPr>
            <w:tcW w:w="631" w:type="pct"/>
            <w:gridSpan w:val="3"/>
            <w:tcBorders>
              <w:top w:val="nil"/>
              <w:left w:val="nil"/>
              <w:bottom w:val="single" w:color="auto" w:sz="8" w:space="0"/>
              <w:right w:val="single" w:color="auto" w:sz="4" w:space="0"/>
            </w:tcBorders>
            <w:shd w:val="clear" w:color="000000" w:fill="DAEEF3"/>
            <w:noWrap/>
            <w:vAlign w:val="center"/>
            <w:hideMark/>
          </w:tcPr>
          <w:p w:rsidRPr="005F055E" w:rsidR="00390010" w:rsidP="00180EEB" w:rsidRDefault="00390010" w14:paraId="55290FDF" w14:textId="77777777">
            <w:pPr>
              <w:suppressAutoHyphens/>
              <w:spacing w:line="240" w:lineRule="auto"/>
              <w:rPr>
                <w:rFonts w:cs="Calibri"/>
                <w:b/>
                <w:bCs/>
                <w:color w:val="000000"/>
                <w:sz w:val="14"/>
                <w:szCs w:val="14"/>
              </w:rPr>
            </w:pPr>
            <w:r w:rsidRPr="005F055E">
              <w:rPr>
                <w:rFonts w:cs="Calibri"/>
                <w:b/>
                <w:bCs/>
                <w:color w:val="000000"/>
                <w:sz w:val="14"/>
                <w:szCs w:val="14"/>
              </w:rPr>
              <w:t>74</w:t>
            </w:r>
          </w:p>
        </w:tc>
        <w:tc>
          <w:tcPr>
            <w:tcW w:w="717" w:type="pct"/>
            <w:gridSpan w:val="3"/>
            <w:tcBorders>
              <w:top w:val="nil"/>
              <w:left w:val="nil"/>
              <w:bottom w:val="single" w:color="auto" w:sz="8" w:space="0"/>
              <w:right w:val="single" w:color="auto" w:sz="4" w:space="0"/>
            </w:tcBorders>
            <w:shd w:val="clear" w:color="000000" w:fill="DAEEF3"/>
            <w:noWrap/>
            <w:vAlign w:val="center"/>
            <w:hideMark/>
          </w:tcPr>
          <w:p w:rsidRPr="005F055E" w:rsidR="00390010" w:rsidP="00180EEB" w:rsidRDefault="00390010" w14:paraId="2352CC75" w14:textId="77777777">
            <w:pPr>
              <w:suppressAutoHyphens/>
              <w:spacing w:line="240" w:lineRule="auto"/>
              <w:rPr>
                <w:rFonts w:cs="Calibri"/>
                <w:b/>
                <w:bCs/>
                <w:color w:val="000000"/>
                <w:sz w:val="14"/>
                <w:szCs w:val="14"/>
              </w:rPr>
            </w:pPr>
            <w:r w:rsidRPr="005F055E">
              <w:rPr>
                <w:rFonts w:cs="Calibri"/>
                <w:b/>
                <w:bCs/>
                <w:color w:val="000000"/>
                <w:sz w:val="14"/>
                <w:szCs w:val="14"/>
              </w:rPr>
              <w:t>77</w:t>
            </w:r>
          </w:p>
        </w:tc>
        <w:tc>
          <w:tcPr>
            <w:tcW w:w="358" w:type="pct"/>
            <w:gridSpan w:val="2"/>
            <w:tcBorders>
              <w:top w:val="nil"/>
              <w:left w:val="nil"/>
              <w:bottom w:val="single" w:color="auto" w:sz="8" w:space="0"/>
              <w:right w:val="single" w:color="auto" w:sz="4" w:space="0"/>
            </w:tcBorders>
            <w:shd w:val="clear" w:color="000000" w:fill="DAEEF3"/>
            <w:noWrap/>
            <w:vAlign w:val="center"/>
            <w:hideMark/>
          </w:tcPr>
          <w:p w:rsidRPr="005F055E" w:rsidR="00390010" w:rsidP="00180EEB" w:rsidRDefault="00390010" w14:paraId="3A7A744E" w14:textId="77777777">
            <w:pPr>
              <w:suppressAutoHyphens/>
              <w:spacing w:line="240" w:lineRule="auto"/>
              <w:rPr>
                <w:rFonts w:cs="Calibri"/>
                <w:b/>
                <w:bCs/>
                <w:color w:val="000000"/>
                <w:sz w:val="14"/>
                <w:szCs w:val="14"/>
              </w:rPr>
            </w:pPr>
            <w:r w:rsidRPr="005F055E">
              <w:rPr>
                <w:rFonts w:cs="Calibri"/>
                <w:b/>
                <w:bCs/>
                <w:color w:val="000000"/>
                <w:sz w:val="14"/>
                <w:szCs w:val="14"/>
              </w:rPr>
              <w:t>81</w:t>
            </w:r>
          </w:p>
        </w:tc>
        <w:tc>
          <w:tcPr>
            <w:tcW w:w="722" w:type="pct"/>
            <w:gridSpan w:val="3"/>
            <w:tcBorders>
              <w:top w:val="nil"/>
              <w:left w:val="nil"/>
              <w:bottom w:val="single" w:color="auto" w:sz="8" w:space="0"/>
              <w:right w:val="single" w:color="auto" w:sz="4" w:space="0"/>
            </w:tcBorders>
            <w:shd w:val="clear" w:color="000000" w:fill="DAEEF3"/>
            <w:noWrap/>
            <w:vAlign w:val="center"/>
            <w:hideMark/>
          </w:tcPr>
          <w:p w:rsidRPr="005F055E" w:rsidR="00390010" w:rsidP="00180EEB" w:rsidRDefault="00390010" w14:paraId="06CC98F9" w14:textId="77777777">
            <w:pPr>
              <w:suppressAutoHyphens/>
              <w:spacing w:line="240" w:lineRule="auto"/>
              <w:rPr>
                <w:rFonts w:cs="Calibri"/>
                <w:b/>
                <w:bCs/>
                <w:color w:val="000000"/>
                <w:sz w:val="14"/>
                <w:szCs w:val="14"/>
              </w:rPr>
            </w:pPr>
            <w:r w:rsidRPr="005F055E">
              <w:rPr>
                <w:rFonts w:cs="Calibri"/>
                <w:b/>
                <w:bCs/>
                <w:color w:val="000000"/>
                <w:sz w:val="14"/>
                <w:szCs w:val="14"/>
              </w:rPr>
              <w:t>87</w:t>
            </w:r>
          </w:p>
        </w:tc>
        <w:tc>
          <w:tcPr>
            <w:tcW w:w="374" w:type="pct"/>
            <w:tcBorders>
              <w:top w:val="nil"/>
              <w:left w:val="nil"/>
              <w:bottom w:val="single" w:color="auto" w:sz="8" w:space="0"/>
              <w:right w:val="single" w:color="auto" w:sz="8" w:space="0"/>
            </w:tcBorders>
            <w:shd w:val="clear" w:color="000000" w:fill="DAEEF3"/>
            <w:noWrap/>
            <w:vAlign w:val="center"/>
            <w:hideMark/>
          </w:tcPr>
          <w:p w:rsidRPr="005F055E" w:rsidR="00390010" w:rsidP="00180EEB" w:rsidRDefault="00390010" w14:paraId="72154A9E" w14:textId="77777777">
            <w:pPr>
              <w:suppressAutoHyphens/>
              <w:spacing w:line="240" w:lineRule="auto"/>
              <w:rPr>
                <w:rFonts w:cs="Calibri"/>
                <w:b/>
                <w:bCs/>
                <w:color w:val="000000"/>
                <w:sz w:val="14"/>
                <w:szCs w:val="14"/>
              </w:rPr>
            </w:pPr>
            <w:r w:rsidRPr="005F055E">
              <w:rPr>
                <w:rFonts w:cs="Calibri"/>
                <w:b/>
                <w:bCs/>
                <w:color w:val="000000"/>
                <w:sz w:val="14"/>
                <w:szCs w:val="14"/>
              </w:rPr>
              <w:t>95</w:t>
            </w:r>
          </w:p>
        </w:tc>
      </w:tr>
      <w:tr w:rsidRPr="005F055E" w:rsidR="00390010" w:rsidTr="00390010" w14:paraId="63C167E8" w14:textId="77777777">
        <w:trPr>
          <w:trHeight w:val="192"/>
        </w:trPr>
        <w:tc>
          <w:tcPr>
            <w:tcW w:w="756" w:type="pct"/>
            <w:tcBorders>
              <w:top w:val="nil"/>
              <w:left w:val="single" w:color="auto" w:sz="8" w:space="0"/>
              <w:bottom w:val="single" w:color="auto" w:sz="4" w:space="0"/>
              <w:right w:val="single" w:color="auto" w:sz="4" w:space="0"/>
            </w:tcBorders>
            <w:shd w:val="clear" w:color="000000" w:fill="DAEEF3"/>
            <w:noWrap/>
            <w:vAlign w:val="center"/>
            <w:hideMark/>
          </w:tcPr>
          <w:p w:rsidRPr="005F055E" w:rsidR="00390010" w:rsidP="00180EEB" w:rsidRDefault="00390010" w14:paraId="65FA213E" w14:textId="77777777">
            <w:pPr>
              <w:suppressAutoHyphens/>
              <w:spacing w:line="240" w:lineRule="auto"/>
              <w:rPr>
                <w:rFonts w:cs="Calibri"/>
                <w:color w:val="000000"/>
                <w:sz w:val="14"/>
                <w:szCs w:val="14"/>
              </w:rPr>
            </w:pPr>
            <w:r w:rsidRPr="005F055E">
              <w:rPr>
                <w:rFonts w:cs="Calibri"/>
                <w:color w:val="000000"/>
                <w:sz w:val="14"/>
                <w:szCs w:val="14"/>
              </w:rPr>
              <w:t>4</w:t>
            </w:r>
          </w:p>
        </w:tc>
        <w:tc>
          <w:tcPr>
            <w:tcW w:w="730" w:type="pct"/>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47DA46C0" w14:textId="77777777">
            <w:pPr>
              <w:suppressAutoHyphens/>
              <w:spacing w:line="240" w:lineRule="auto"/>
              <w:rPr>
                <w:rFonts w:cs="Calibri"/>
                <w:color w:val="000000"/>
                <w:sz w:val="14"/>
                <w:szCs w:val="14"/>
              </w:rPr>
            </w:pPr>
            <w:r w:rsidRPr="005F055E">
              <w:rPr>
                <w:rFonts w:cs="Calibri"/>
                <w:color w:val="000000"/>
                <w:sz w:val="14"/>
                <w:szCs w:val="14"/>
              </w:rPr>
              <w:t>1</w:t>
            </w:r>
          </w:p>
        </w:tc>
        <w:tc>
          <w:tcPr>
            <w:tcW w:w="713" w:type="pct"/>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1BD91DED" w14:textId="77777777">
            <w:pPr>
              <w:suppressAutoHyphens/>
              <w:spacing w:line="240" w:lineRule="auto"/>
              <w:rPr>
                <w:rFonts w:cs="Calibri"/>
                <w:color w:val="000000"/>
                <w:sz w:val="14"/>
                <w:szCs w:val="14"/>
              </w:rPr>
            </w:pPr>
            <w:r w:rsidRPr="005F055E">
              <w:rPr>
                <w:rFonts w:cs="Calibri"/>
                <w:color w:val="000000"/>
                <w:sz w:val="14"/>
                <w:szCs w:val="14"/>
              </w:rPr>
              <w:t>4</w:t>
            </w:r>
          </w:p>
        </w:tc>
        <w:tc>
          <w:tcPr>
            <w:tcW w:w="631" w:type="pct"/>
            <w:gridSpan w:val="3"/>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735DCF55" w14:textId="77777777">
            <w:pPr>
              <w:suppressAutoHyphens/>
              <w:spacing w:line="240" w:lineRule="auto"/>
              <w:rPr>
                <w:rFonts w:cs="Calibri"/>
                <w:color w:val="000000"/>
                <w:sz w:val="14"/>
                <w:szCs w:val="14"/>
              </w:rPr>
            </w:pPr>
            <w:r w:rsidRPr="005F055E">
              <w:rPr>
                <w:rFonts w:cs="Calibri"/>
                <w:color w:val="000000"/>
                <w:sz w:val="14"/>
                <w:szCs w:val="14"/>
              </w:rPr>
              <w:t>4</w:t>
            </w:r>
          </w:p>
        </w:tc>
        <w:tc>
          <w:tcPr>
            <w:tcW w:w="717" w:type="pct"/>
            <w:gridSpan w:val="3"/>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70E7DF98" w14:textId="77777777">
            <w:pPr>
              <w:suppressAutoHyphens/>
              <w:spacing w:line="240" w:lineRule="auto"/>
              <w:rPr>
                <w:rFonts w:cs="Calibri"/>
                <w:color w:val="000000"/>
                <w:sz w:val="14"/>
                <w:szCs w:val="14"/>
              </w:rPr>
            </w:pPr>
            <w:r w:rsidRPr="005F055E">
              <w:rPr>
                <w:rFonts w:cs="Calibri"/>
                <w:color w:val="000000"/>
                <w:sz w:val="14"/>
                <w:szCs w:val="14"/>
              </w:rPr>
              <w:t>3</w:t>
            </w:r>
          </w:p>
        </w:tc>
        <w:tc>
          <w:tcPr>
            <w:tcW w:w="358" w:type="pct"/>
            <w:gridSpan w:val="2"/>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0A79C3D5" w14:textId="77777777">
            <w:pPr>
              <w:suppressAutoHyphens/>
              <w:spacing w:line="240" w:lineRule="auto"/>
              <w:rPr>
                <w:rFonts w:cs="Calibri"/>
                <w:color w:val="000000"/>
                <w:sz w:val="14"/>
                <w:szCs w:val="14"/>
              </w:rPr>
            </w:pPr>
            <w:r w:rsidRPr="005F055E">
              <w:rPr>
                <w:rFonts w:cs="Calibri"/>
                <w:color w:val="000000"/>
                <w:sz w:val="14"/>
                <w:szCs w:val="14"/>
              </w:rPr>
              <w:t>4</w:t>
            </w:r>
          </w:p>
        </w:tc>
        <w:tc>
          <w:tcPr>
            <w:tcW w:w="722" w:type="pct"/>
            <w:gridSpan w:val="3"/>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7C5A6E5C" w14:textId="77777777">
            <w:pPr>
              <w:suppressAutoHyphens/>
              <w:spacing w:line="240" w:lineRule="auto"/>
              <w:rPr>
                <w:rFonts w:cs="Calibri"/>
                <w:color w:val="000000"/>
                <w:sz w:val="14"/>
                <w:szCs w:val="14"/>
              </w:rPr>
            </w:pPr>
            <w:r w:rsidRPr="005F055E">
              <w:rPr>
                <w:rFonts w:cs="Calibri"/>
                <w:color w:val="000000"/>
                <w:sz w:val="14"/>
                <w:szCs w:val="14"/>
              </w:rPr>
              <w:t>6</w:t>
            </w:r>
          </w:p>
        </w:tc>
        <w:tc>
          <w:tcPr>
            <w:tcW w:w="374" w:type="pct"/>
            <w:tcBorders>
              <w:top w:val="nil"/>
              <w:left w:val="nil"/>
              <w:bottom w:val="single" w:color="auto" w:sz="4" w:space="0"/>
              <w:right w:val="single" w:color="auto" w:sz="8" w:space="0"/>
            </w:tcBorders>
            <w:shd w:val="clear" w:color="000000" w:fill="DAEEF3"/>
            <w:noWrap/>
            <w:vAlign w:val="center"/>
            <w:hideMark/>
          </w:tcPr>
          <w:p w:rsidRPr="005F055E" w:rsidR="00390010" w:rsidP="00180EEB" w:rsidRDefault="00390010" w14:paraId="3448B12A" w14:textId="77777777">
            <w:pPr>
              <w:suppressAutoHyphens/>
              <w:spacing w:line="240" w:lineRule="auto"/>
              <w:rPr>
                <w:rFonts w:cs="Calibri"/>
                <w:color w:val="000000"/>
                <w:sz w:val="14"/>
                <w:szCs w:val="14"/>
              </w:rPr>
            </w:pPr>
            <w:r w:rsidRPr="005F055E">
              <w:rPr>
                <w:rFonts w:cs="Calibri"/>
                <w:color w:val="000000"/>
                <w:sz w:val="14"/>
                <w:szCs w:val="14"/>
              </w:rPr>
              <w:t>8</w:t>
            </w:r>
          </w:p>
        </w:tc>
      </w:tr>
      <w:tr w:rsidRPr="005F055E" w:rsidR="00390010" w:rsidTr="00390010" w14:paraId="30428883" w14:textId="77777777">
        <w:trPr>
          <w:trHeight w:val="204"/>
        </w:trPr>
        <w:tc>
          <w:tcPr>
            <w:tcW w:w="756" w:type="pct"/>
            <w:tcBorders>
              <w:top w:val="nil"/>
              <w:left w:val="single" w:color="auto" w:sz="8" w:space="0"/>
              <w:bottom w:val="nil"/>
              <w:right w:val="single" w:color="auto" w:sz="4" w:space="0"/>
            </w:tcBorders>
            <w:shd w:val="clear" w:color="000000" w:fill="DAEEF3"/>
            <w:noWrap/>
            <w:vAlign w:val="center"/>
            <w:hideMark/>
          </w:tcPr>
          <w:p w:rsidRPr="005F055E" w:rsidR="00390010" w:rsidP="00180EEB" w:rsidRDefault="00390010" w14:paraId="0DBC0C58" w14:textId="77777777">
            <w:pPr>
              <w:suppressAutoHyphens/>
              <w:spacing w:line="240" w:lineRule="auto"/>
              <w:rPr>
                <w:rFonts w:cs="Calibri"/>
                <w:color w:val="000000"/>
                <w:sz w:val="14"/>
                <w:szCs w:val="14"/>
              </w:rPr>
            </w:pPr>
            <w:r w:rsidRPr="005F055E">
              <w:rPr>
                <w:rFonts w:cs="Calibri"/>
                <w:color w:val="000000"/>
                <w:sz w:val="14"/>
                <w:szCs w:val="14"/>
              </w:rPr>
              <w:t>6%</w:t>
            </w:r>
          </w:p>
        </w:tc>
        <w:tc>
          <w:tcPr>
            <w:tcW w:w="730" w:type="pct"/>
            <w:tcBorders>
              <w:top w:val="nil"/>
              <w:left w:val="nil"/>
              <w:bottom w:val="nil"/>
              <w:right w:val="single" w:color="auto" w:sz="4" w:space="0"/>
            </w:tcBorders>
            <w:shd w:val="clear" w:color="000000" w:fill="DAEEF3"/>
            <w:noWrap/>
            <w:vAlign w:val="center"/>
            <w:hideMark/>
          </w:tcPr>
          <w:p w:rsidRPr="005F055E" w:rsidR="00390010" w:rsidP="00180EEB" w:rsidRDefault="00390010" w14:paraId="02325660" w14:textId="77777777">
            <w:pPr>
              <w:suppressAutoHyphens/>
              <w:spacing w:line="240" w:lineRule="auto"/>
              <w:rPr>
                <w:rFonts w:cs="Calibri"/>
                <w:color w:val="000000"/>
                <w:sz w:val="14"/>
                <w:szCs w:val="14"/>
              </w:rPr>
            </w:pPr>
            <w:r w:rsidRPr="005F055E">
              <w:rPr>
                <w:rFonts w:cs="Calibri"/>
                <w:color w:val="000000"/>
                <w:sz w:val="14"/>
                <w:szCs w:val="14"/>
              </w:rPr>
              <w:t>2%</w:t>
            </w:r>
          </w:p>
        </w:tc>
        <w:tc>
          <w:tcPr>
            <w:tcW w:w="713" w:type="pct"/>
            <w:tcBorders>
              <w:top w:val="nil"/>
              <w:left w:val="nil"/>
              <w:bottom w:val="nil"/>
              <w:right w:val="single" w:color="auto" w:sz="4" w:space="0"/>
            </w:tcBorders>
            <w:shd w:val="clear" w:color="000000" w:fill="DAEEF3"/>
            <w:noWrap/>
            <w:vAlign w:val="center"/>
            <w:hideMark/>
          </w:tcPr>
          <w:p w:rsidRPr="005F055E" w:rsidR="00390010" w:rsidP="00180EEB" w:rsidRDefault="00390010" w14:paraId="60286283" w14:textId="77777777">
            <w:pPr>
              <w:suppressAutoHyphens/>
              <w:spacing w:line="240" w:lineRule="auto"/>
              <w:rPr>
                <w:rFonts w:cs="Calibri"/>
                <w:color w:val="000000"/>
                <w:sz w:val="14"/>
                <w:szCs w:val="14"/>
              </w:rPr>
            </w:pPr>
            <w:r w:rsidRPr="005F055E">
              <w:rPr>
                <w:rFonts w:cs="Calibri"/>
                <w:color w:val="000000"/>
                <w:sz w:val="14"/>
                <w:szCs w:val="14"/>
              </w:rPr>
              <w:t>7%</w:t>
            </w:r>
          </w:p>
        </w:tc>
        <w:tc>
          <w:tcPr>
            <w:tcW w:w="631" w:type="pct"/>
            <w:gridSpan w:val="3"/>
            <w:tcBorders>
              <w:top w:val="nil"/>
              <w:left w:val="nil"/>
              <w:bottom w:val="nil"/>
              <w:right w:val="single" w:color="auto" w:sz="4" w:space="0"/>
            </w:tcBorders>
            <w:shd w:val="clear" w:color="000000" w:fill="DAEEF3"/>
            <w:noWrap/>
            <w:vAlign w:val="center"/>
            <w:hideMark/>
          </w:tcPr>
          <w:p w:rsidRPr="005F055E" w:rsidR="00390010" w:rsidP="00180EEB" w:rsidRDefault="00390010" w14:paraId="085819EE" w14:textId="77777777">
            <w:pPr>
              <w:suppressAutoHyphens/>
              <w:spacing w:line="240" w:lineRule="auto"/>
              <w:rPr>
                <w:rFonts w:cs="Calibri"/>
                <w:color w:val="000000"/>
                <w:sz w:val="14"/>
                <w:szCs w:val="14"/>
              </w:rPr>
            </w:pPr>
            <w:r w:rsidRPr="005F055E">
              <w:rPr>
                <w:rFonts w:cs="Calibri"/>
                <w:color w:val="000000"/>
                <w:sz w:val="14"/>
                <w:szCs w:val="14"/>
              </w:rPr>
              <w:t>6%</w:t>
            </w:r>
          </w:p>
        </w:tc>
        <w:tc>
          <w:tcPr>
            <w:tcW w:w="717" w:type="pct"/>
            <w:gridSpan w:val="3"/>
            <w:tcBorders>
              <w:top w:val="nil"/>
              <w:left w:val="nil"/>
              <w:bottom w:val="nil"/>
              <w:right w:val="single" w:color="auto" w:sz="4" w:space="0"/>
            </w:tcBorders>
            <w:shd w:val="clear" w:color="000000" w:fill="DAEEF3"/>
            <w:noWrap/>
            <w:vAlign w:val="center"/>
            <w:hideMark/>
          </w:tcPr>
          <w:p w:rsidRPr="005F055E" w:rsidR="00390010" w:rsidP="00180EEB" w:rsidRDefault="00390010" w14:paraId="36E77DE1" w14:textId="77777777">
            <w:pPr>
              <w:suppressAutoHyphens/>
              <w:spacing w:line="240" w:lineRule="auto"/>
              <w:rPr>
                <w:rFonts w:cs="Calibri"/>
                <w:color w:val="000000"/>
                <w:sz w:val="14"/>
                <w:szCs w:val="14"/>
              </w:rPr>
            </w:pPr>
            <w:r w:rsidRPr="005F055E">
              <w:rPr>
                <w:rFonts w:cs="Calibri"/>
                <w:color w:val="000000"/>
                <w:sz w:val="14"/>
                <w:szCs w:val="14"/>
              </w:rPr>
              <w:t>4%</w:t>
            </w:r>
          </w:p>
        </w:tc>
        <w:tc>
          <w:tcPr>
            <w:tcW w:w="358" w:type="pct"/>
            <w:gridSpan w:val="2"/>
            <w:tcBorders>
              <w:top w:val="nil"/>
              <w:left w:val="nil"/>
              <w:bottom w:val="nil"/>
              <w:right w:val="single" w:color="auto" w:sz="4" w:space="0"/>
            </w:tcBorders>
            <w:shd w:val="clear" w:color="000000" w:fill="DAEEF3"/>
            <w:noWrap/>
            <w:vAlign w:val="center"/>
            <w:hideMark/>
          </w:tcPr>
          <w:p w:rsidRPr="005F055E" w:rsidR="00390010" w:rsidP="00180EEB" w:rsidRDefault="00390010" w14:paraId="69D4DFFA" w14:textId="77777777">
            <w:pPr>
              <w:suppressAutoHyphens/>
              <w:spacing w:line="240" w:lineRule="auto"/>
              <w:rPr>
                <w:rFonts w:cs="Calibri"/>
                <w:color w:val="000000"/>
                <w:sz w:val="14"/>
                <w:szCs w:val="14"/>
              </w:rPr>
            </w:pPr>
            <w:r w:rsidRPr="005F055E">
              <w:rPr>
                <w:rFonts w:cs="Calibri"/>
                <w:color w:val="000000"/>
                <w:sz w:val="14"/>
                <w:szCs w:val="14"/>
              </w:rPr>
              <w:t>5%</w:t>
            </w:r>
          </w:p>
        </w:tc>
        <w:tc>
          <w:tcPr>
            <w:tcW w:w="722" w:type="pct"/>
            <w:gridSpan w:val="3"/>
            <w:tcBorders>
              <w:top w:val="nil"/>
              <w:left w:val="nil"/>
              <w:bottom w:val="nil"/>
              <w:right w:val="single" w:color="auto" w:sz="4" w:space="0"/>
            </w:tcBorders>
            <w:shd w:val="clear" w:color="000000" w:fill="DAEEF3"/>
            <w:noWrap/>
            <w:vAlign w:val="center"/>
            <w:hideMark/>
          </w:tcPr>
          <w:p w:rsidRPr="005F055E" w:rsidR="00390010" w:rsidP="00180EEB" w:rsidRDefault="00390010" w14:paraId="26A15F5A" w14:textId="77777777">
            <w:pPr>
              <w:suppressAutoHyphens/>
              <w:spacing w:line="240" w:lineRule="auto"/>
              <w:rPr>
                <w:rFonts w:cs="Calibri"/>
                <w:color w:val="000000"/>
                <w:sz w:val="14"/>
                <w:szCs w:val="14"/>
              </w:rPr>
            </w:pPr>
            <w:r w:rsidRPr="005F055E">
              <w:rPr>
                <w:rFonts w:cs="Calibri"/>
                <w:color w:val="000000"/>
                <w:sz w:val="14"/>
                <w:szCs w:val="14"/>
              </w:rPr>
              <w:t>7%</w:t>
            </w:r>
          </w:p>
        </w:tc>
        <w:tc>
          <w:tcPr>
            <w:tcW w:w="374" w:type="pct"/>
            <w:tcBorders>
              <w:top w:val="nil"/>
              <w:left w:val="nil"/>
              <w:bottom w:val="nil"/>
              <w:right w:val="single" w:color="auto" w:sz="8" w:space="0"/>
            </w:tcBorders>
            <w:shd w:val="clear" w:color="000000" w:fill="DAEEF3"/>
            <w:noWrap/>
            <w:vAlign w:val="center"/>
            <w:hideMark/>
          </w:tcPr>
          <w:p w:rsidRPr="005F055E" w:rsidR="00390010" w:rsidP="00180EEB" w:rsidRDefault="00390010" w14:paraId="17D3B7E5" w14:textId="77777777">
            <w:pPr>
              <w:suppressAutoHyphens/>
              <w:spacing w:line="240" w:lineRule="auto"/>
              <w:rPr>
                <w:rFonts w:cs="Calibri"/>
                <w:color w:val="000000"/>
                <w:sz w:val="14"/>
                <w:szCs w:val="14"/>
              </w:rPr>
            </w:pPr>
            <w:r w:rsidRPr="005F055E">
              <w:rPr>
                <w:rFonts w:cs="Calibri"/>
                <w:color w:val="000000"/>
                <w:sz w:val="14"/>
                <w:szCs w:val="14"/>
              </w:rPr>
              <w:t>9%</w:t>
            </w:r>
          </w:p>
        </w:tc>
      </w:tr>
      <w:tr w:rsidRPr="005F055E" w:rsidR="00390010" w:rsidTr="00390010" w14:paraId="17EE4AA4" w14:textId="77777777">
        <w:trPr>
          <w:trHeight w:val="204"/>
        </w:trPr>
        <w:tc>
          <w:tcPr>
            <w:tcW w:w="756" w:type="pct"/>
            <w:tcBorders>
              <w:top w:val="single" w:color="auto" w:sz="8" w:space="0"/>
              <w:left w:val="single" w:color="auto" w:sz="8" w:space="0"/>
              <w:bottom w:val="single" w:color="auto" w:sz="8" w:space="0"/>
              <w:right w:val="single" w:color="auto" w:sz="4" w:space="0"/>
            </w:tcBorders>
            <w:shd w:val="clear" w:color="000000" w:fill="DAEEF3"/>
            <w:noWrap/>
            <w:vAlign w:val="center"/>
            <w:hideMark/>
          </w:tcPr>
          <w:p w:rsidRPr="005F055E" w:rsidR="00390010" w:rsidP="00180EEB" w:rsidRDefault="00390010" w14:paraId="037BC589" w14:textId="77777777">
            <w:pPr>
              <w:suppressAutoHyphens/>
              <w:spacing w:line="240" w:lineRule="auto"/>
              <w:rPr>
                <w:rFonts w:cs="Calibri"/>
                <w:b/>
                <w:bCs/>
                <w:color w:val="000000"/>
                <w:sz w:val="14"/>
                <w:szCs w:val="14"/>
              </w:rPr>
            </w:pPr>
            <w:r w:rsidRPr="005F055E">
              <w:rPr>
                <w:rFonts w:cs="Calibri"/>
                <w:b/>
                <w:bCs/>
                <w:color w:val="000000"/>
                <w:sz w:val="14"/>
                <w:szCs w:val="14"/>
              </w:rPr>
              <w:t>751</w:t>
            </w:r>
          </w:p>
        </w:tc>
        <w:tc>
          <w:tcPr>
            <w:tcW w:w="730" w:type="pct"/>
            <w:tcBorders>
              <w:top w:val="single" w:color="auto" w:sz="8" w:space="0"/>
              <w:left w:val="nil"/>
              <w:bottom w:val="single" w:color="auto" w:sz="8" w:space="0"/>
              <w:right w:val="single" w:color="auto" w:sz="4" w:space="0"/>
            </w:tcBorders>
            <w:shd w:val="clear" w:color="000000" w:fill="DAEEF3"/>
            <w:noWrap/>
            <w:vAlign w:val="center"/>
            <w:hideMark/>
          </w:tcPr>
          <w:p w:rsidRPr="005F055E" w:rsidR="00390010" w:rsidP="00180EEB" w:rsidRDefault="00390010" w14:paraId="3E55D83C" w14:textId="77777777">
            <w:pPr>
              <w:suppressAutoHyphens/>
              <w:spacing w:line="240" w:lineRule="auto"/>
              <w:rPr>
                <w:rFonts w:cs="Calibri"/>
                <w:b/>
                <w:bCs/>
                <w:color w:val="000000"/>
                <w:sz w:val="14"/>
                <w:szCs w:val="14"/>
              </w:rPr>
            </w:pPr>
            <w:r w:rsidRPr="005F055E">
              <w:rPr>
                <w:rFonts w:cs="Calibri"/>
                <w:b/>
                <w:bCs/>
                <w:color w:val="000000"/>
                <w:sz w:val="14"/>
                <w:szCs w:val="14"/>
              </w:rPr>
              <w:t>787</w:t>
            </w:r>
          </w:p>
        </w:tc>
        <w:tc>
          <w:tcPr>
            <w:tcW w:w="713" w:type="pct"/>
            <w:tcBorders>
              <w:top w:val="single" w:color="auto" w:sz="8" w:space="0"/>
              <w:left w:val="nil"/>
              <w:bottom w:val="single" w:color="auto" w:sz="8" w:space="0"/>
              <w:right w:val="single" w:color="auto" w:sz="4" w:space="0"/>
            </w:tcBorders>
            <w:shd w:val="clear" w:color="000000" w:fill="DAEEF3"/>
            <w:noWrap/>
            <w:vAlign w:val="center"/>
            <w:hideMark/>
          </w:tcPr>
          <w:p w:rsidRPr="005F055E" w:rsidR="00390010" w:rsidP="00180EEB" w:rsidRDefault="00390010" w14:paraId="7E5549DD" w14:textId="77777777">
            <w:pPr>
              <w:suppressAutoHyphens/>
              <w:spacing w:line="240" w:lineRule="auto"/>
              <w:rPr>
                <w:rFonts w:cs="Calibri"/>
                <w:b/>
                <w:bCs/>
                <w:color w:val="000000"/>
                <w:sz w:val="14"/>
                <w:szCs w:val="14"/>
              </w:rPr>
            </w:pPr>
            <w:r w:rsidRPr="005F055E">
              <w:rPr>
                <w:rFonts w:cs="Calibri"/>
                <w:b/>
                <w:bCs/>
                <w:color w:val="000000"/>
                <w:sz w:val="14"/>
                <w:szCs w:val="14"/>
              </w:rPr>
              <w:t>830</w:t>
            </w:r>
          </w:p>
        </w:tc>
        <w:tc>
          <w:tcPr>
            <w:tcW w:w="631" w:type="pct"/>
            <w:gridSpan w:val="3"/>
            <w:tcBorders>
              <w:top w:val="single" w:color="auto" w:sz="8" w:space="0"/>
              <w:left w:val="nil"/>
              <w:bottom w:val="single" w:color="auto" w:sz="8" w:space="0"/>
              <w:right w:val="single" w:color="auto" w:sz="4" w:space="0"/>
            </w:tcBorders>
            <w:shd w:val="clear" w:color="000000" w:fill="DAEEF3"/>
            <w:noWrap/>
            <w:vAlign w:val="center"/>
            <w:hideMark/>
          </w:tcPr>
          <w:p w:rsidRPr="005F055E" w:rsidR="00390010" w:rsidP="00180EEB" w:rsidRDefault="00390010" w14:paraId="28FF9BD9" w14:textId="77777777">
            <w:pPr>
              <w:suppressAutoHyphens/>
              <w:spacing w:line="240" w:lineRule="auto"/>
              <w:rPr>
                <w:rFonts w:cs="Calibri"/>
                <w:b/>
                <w:bCs/>
                <w:color w:val="000000"/>
                <w:sz w:val="14"/>
                <w:szCs w:val="14"/>
              </w:rPr>
            </w:pPr>
            <w:r w:rsidRPr="005F055E">
              <w:rPr>
                <w:rFonts w:cs="Calibri"/>
                <w:b/>
                <w:bCs/>
                <w:color w:val="000000"/>
                <w:sz w:val="14"/>
                <w:szCs w:val="14"/>
              </w:rPr>
              <w:t>817</w:t>
            </w:r>
          </w:p>
        </w:tc>
        <w:tc>
          <w:tcPr>
            <w:tcW w:w="717" w:type="pct"/>
            <w:gridSpan w:val="3"/>
            <w:tcBorders>
              <w:top w:val="single" w:color="auto" w:sz="8" w:space="0"/>
              <w:left w:val="nil"/>
              <w:bottom w:val="single" w:color="auto" w:sz="8" w:space="0"/>
              <w:right w:val="single" w:color="auto" w:sz="4" w:space="0"/>
            </w:tcBorders>
            <w:shd w:val="clear" w:color="000000" w:fill="DAEEF3"/>
            <w:noWrap/>
            <w:vAlign w:val="center"/>
            <w:hideMark/>
          </w:tcPr>
          <w:p w:rsidRPr="005F055E" w:rsidR="00390010" w:rsidP="00180EEB" w:rsidRDefault="00390010" w14:paraId="710A9158" w14:textId="77777777">
            <w:pPr>
              <w:suppressAutoHyphens/>
              <w:spacing w:line="240" w:lineRule="auto"/>
              <w:rPr>
                <w:rFonts w:cs="Calibri"/>
                <w:b/>
                <w:bCs/>
                <w:color w:val="000000"/>
                <w:sz w:val="14"/>
                <w:szCs w:val="14"/>
              </w:rPr>
            </w:pPr>
            <w:r w:rsidRPr="005F055E">
              <w:rPr>
                <w:rFonts w:cs="Calibri"/>
                <w:b/>
                <w:bCs/>
                <w:color w:val="000000"/>
                <w:sz w:val="14"/>
                <w:szCs w:val="14"/>
              </w:rPr>
              <w:t>892</w:t>
            </w:r>
          </w:p>
        </w:tc>
        <w:tc>
          <w:tcPr>
            <w:tcW w:w="358" w:type="pct"/>
            <w:gridSpan w:val="2"/>
            <w:tcBorders>
              <w:top w:val="single" w:color="auto" w:sz="8" w:space="0"/>
              <w:left w:val="nil"/>
              <w:bottom w:val="single" w:color="auto" w:sz="8" w:space="0"/>
              <w:right w:val="single" w:color="auto" w:sz="4" w:space="0"/>
            </w:tcBorders>
            <w:shd w:val="clear" w:color="000000" w:fill="DAEEF3"/>
            <w:noWrap/>
            <w:vAlign w:val="center"/>
            <w:hideMark/>
          </w:tcPr>
          <w:p w:rsidRPr="005F055E" w:rsidR="00390010" w:rsidP="00180EEB" w:rsidRDefault="00390010" w14:paraId="3D76E20B" w14:textId="77777777">
            <w:pPr>
              <w:suppressAutoHyphens/>
              <w:spacing w:line="240" w:lineRule="auto"/>
              <w:rPr>
                <w:rFonts w:cs="Calibri"/>
                <w:b/>
                <w:bCs/>
                <w:color w:val="000000"/>
                <w:sz w:val="14"/>
                <w:szCs w:val="14"/>
              </w:rPr>
            </w:pPr>
            <w:r w:rsidRPr="005F055E">
              <w:rPr>
                <w:rFonts w:cs="Calibri"/>
                <w:b/>
                <w:bCs/>
                <w:color w:val="000000"/>
                <w:sz w:val="14"/>
                <w:szCs w:val="14"/>
              </w:rPr>
              <w:t>994</w:t>
            </w:r>
          </w:p>
        </w:tc>
        <w:tc>
          <w:tcPr>
            <w:tcW w:w="722" w:type="pct"/>
            <w:gridSpan w:val="3"/>
            <w:tcBorders>
              <w:top w:val="single" w:color="auto" w:sz="8" w:space="0"/>
              <w:left w:val="nil"/>
              <w:bottom w:val="single" w:color="auto" w:sz="8" w:space="0"/>
              <w:right w:val="single" w:color="auto" w:sz="4" w:space="0"/>
            </w:tcBorders>
            <w:shd w:val="clear" w:color="000000" w:fill="DAEEF3"/>
            <w:noWrap/>
            <w:vAlign w:val="center"/>
            <w:hideMark/>
          </w:tcPr>
          <w:p w:rsidRPr="005F055E" w:rsidR="00390010" w:rsidP="00180EEB" w:rsidRDefault="00390010" w14:paraId="14CA8A41" w14:textId="77777777">
            <w:pPr>
              <w:suppressAutoHyphens/>
              <w:spacing w:line="240" w:lineRule="auto"/>
              <w:rPr>
                <w:rFonts w:cs="Calibri"/>
                <w:b/>
                <w:bCs/>
                <w:color w:val="000000"/>
                <w:sz w:val="14"/>
                <w:szCs w:val="14"/>
              </w:rPr>
            </w:pPr>
            <w:r w:rsidRPr="005F055E">
              <w:rPr>
                <w:rFonts w:cs="Calibri"/>
                <w:b/>
                <w:bCs/>
                <w:color w:val="000000"/>
                <w:sz w:val="14"/>
                <w:szCs w:val="14"/>
              </w:rPr>
              <w:t>1.050</w:t>
            </w:r>
          </w:p>
        </w:tc>
        <w:tc>
          <w:tcPr>
            <w:tcW w:w="374" w:type="pct"/>
            <w:tcBorders>
              <w:top w:val="single" w:color="auto" w:sz="8" w:space="0"/>
              <w:left w:val="nil"/>
              <w:bottom w:val="single" w:color="auto" w:sz="8" w:space="0"/>
              <w:right w:val="single" w:color="auto" w:sz="8" w:space="0"/>
            </w:tcBorders>
            <w:shd w:val="clear" w:color="000000" w:fill="DAEEF3"/>
            <w:noWrap/>
            <w:vAlign w:val="center"/>
            <w:hideMark/>
          </w:tcPr>
          <w:p w:rsidRPr="005F055E" w:rsidR="00390010" w:rsidP="00180EEB" w:rsidRDefault="00390010" w14:paraId="39269351" w14:textId="77777777">
            <w:pPr>
              <w:suppressAutoHyphens/>
              <w:spacing w:line="240" w:lineRule="auto"/>
              <w:rPr>
                <w:rFonts w:cs="Calibri"/>
                <w:b/>
                <w:bCs/>
                <w:color w:val="000000"/>
                <w:sz w:val="14"/>
                <w:szCs w:val="14"/>
              </w:rPr>
            </w:pPr>
            <w:r w:rsidRPr="005F055E">
              <w:rPr>
                <w:rFonts w:cs="Calibri"/>
                <w:b/>
                <w:bCs/>
                <w:color w:val="000000"/>
                <w:sz w:val="14"/>
                <w:szCs w:val="14"/>
              </w:rPr>
              <w:t>1.122</w:t>
            </w:r>
          </w:p>
        </w:tc>
      </w:tr>
      <w:tr w:rsidRPr="005F055E" w:rsidR="00390010" w:rsidTr="00390010" w14:paraId="3EC3DC79" w14:textId="77777777">
        <w:trPr>
          <w:trHeight w:val="192"/>
        </w:trPr>
        <w:tc>
          <w:tcPr>
            <w:tcW w:w="756" w:type="pct"/>
            <w:tcBorders>
              <w:top w:val="nil"/>
              <w:left w:val="single" w:color="auto" w:sz="8" w:space="0"/>
              <w:bottom w:val="single" w:color="auto" w:sz="4" w:space="0"/>
              <w:right w:val="single" w:color="auto" w:sz="4" w:space="0"/>
            </w:tcBorders>
            <w:shd w:val="clear" w:color="000000" w:fill="DAEEF3"/>
            <w:noWrap/>
            <w:vAlign w:val="center"/>
            <w:hideMark/>
          </w:tcPr>
          <w:p w:rsidRPr="005F055E" w:rsidR="00390010" w:rsidP="00180EEB" w:rsidRDefault="00390010" w14:paraId="2BB2429B" w14:textId="77777777">
            <w:pPr>
              <w:suppressAutoHyphens/>
              <w:spacing w:line="240" w:lineRule="auto"/>
              <w:rPr>
                <w:rFonts w:cs="Calibri"/>
                <w:color w:val="000000"/>
                <w:sz w:val="14"/>
                <w:szCs w:val="14"/>
              </w:rPr>
            </w:pPr>
            <w:r w:rsidRPr="005F055E">
              <w:rPr>
                <w:rFonts w:cs="Calibri"/>
                <w:color w:val="000000"/>
                <w:sz w:val="14"/>
                <w:szCs w:val="14"/>
              </w:rPr>
              <w:t>31</w:t>
            </w:r>
          </w:p>
        </w:tc>
        <w:tc>
          <w:tcPr>
            <w:tcW w:w="730" w:type="pct"/>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70B203A8" w14:textId="77777777">
            <w:pPr>
              <w:suppressAutoHyphens/>
              <w:spacing w:line="240" w:lineRule="auto"/>
              <w:rPr>
                <w:rFonts w:cs="Calibri"/>
                <w:color w:val="000000"/>
                <w:sz w:val="14"/>
                <w:szCs w:val="14"/>
              </w:rPr>
            </w:pPr>
            <w:r w:rsidRPr="005F055E">
              <w:rPr>
                <w:rFonts w:cs="Calibri"/>
                <w:color w:val="000000"/>
                <w:sz w:val="14"/>
                <w:szCs w:val="14"/>
              </w:rPr>
              <w:t>36</w:t>
            </w:r>
          </w:p>
        </w:tc>
        <w:tc>
          <w:tcPr>
            <w:tcW w:w="713" w:type="pct"/>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78432B94" w14:textId="77777777">
            <w:pPr>
              <w:suppressAutoHyphens/>
              <w:spacing w:line="240" w:lineRule="auto"/>
              <w:rPr>
                <w:rFonts w:cs="Calibri"/>
                <w:color w:val="000000"/>
                <w:sz w:val="14"/>
                <w:szCs w:val="14"/>
              </w:rPr>
            </w:pPr>
            <w:r w:rsidRPr="005F055E">
              <w:rPr>
                <w:rFonts w:cs="Calibri"/>
                <w:color w:val="000000"/>
                <w:sz w:val="14"/>
                <w:szCs w:val="14"/>
              </w:rPr>
              <w:t>43</w:t>
            </w:r>
          </w:p>
        </w:tc>
        <w:tc>
          <w:tcPr>
            <w:tcW w:w="631" w:type="pct"/>
            <w:gridSpan w:val="3"/>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43EBCE2B" w14:textId="77777777">
            <w:pPr>
              <w:suppressAutoHyphens/>
              <w:spacing w:line="240" w:lineRule="auto"/>
              <w:rPr>
                <w:rFonts w:cs="Calibri"/>
                <w:color w:val="000000"/>
                <w:sz w:val="14"/>
                <w:szCs w:val="14"/>
              </w:rPr>
            </w:pPr>
            <w:r w:rsidRPr="005F055E">
              <w:rPr>
                <w:rFonts w:cs="Calibri"/>
                <w:color w:val="000000"/>
                <w:sz w:val="14"/>
                <w:szCs w:val="14"/>
              </w:rPr>
              <w:t>-13</w:t>
            </w:r>
          </w:p>
        </w:tc>
        <w:tc>
          <w:tcPr>
            <w:tcW w:w="717" w:type="pct"/>
            <w:gridSpan w:val="3"/>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485115C5" w14:textId="77777777">
            <w:pPr>
              <w:suppressAutoHyphens/>
              <w:spacing w:line="240" w:lineRule="auto"/>
              <w:rPr>
                <w:rFonts w:cs="Calibri"/>
                <w:color w:val="000000"/>
                <w:sz w:val="14"/>
                <w:szCs w:val="14"/>
              </w:rPr>
            </w:pPr>
            <w:r w:rsidRPr="005F055E">
              <w:rPr>
                <w:rFonts w:cs="Calibri"/>
                <w:color w:val="000000"/>
                <w:sz w:val="14"/>
                <w:szCs w:val="14"/>
              </w:rPr>
              <w:t>75</w:t>
            </w:r>
          </w:p>
        </w:tc>
        <w:tc>
          <w:tcPr>
            <w:tcW w:w="358" w:type="pct"/>
            <w:gridSpan w:val="2"/>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69BD11B6" w14:textId="77777777">
            <w:pPr>
              <w:suppressAutoHyphens/>
              <w:spacing w:line="240" w:lineRule="auto"/>
              <w:rPr>
                <w:rFonts w:cs="Calibri"/>
                <w:color w:val="000000"/>
                <w:sz w:val="14"/>
                <w:szCs w:val="14"/>
              </w:rPr>
            </w:pPr>
            <w:r w:rsidRPr="005F055E">
              <w:rPr>
                <w:rFonts w:cs="Calibri"/>
                <w:color w:val="000000"/>
                <w:sz w:val="14"/>
                <w:szCs w:val="14"/>
              </w:rPr>
              <w:t>102</w:t>
            </w:r>
          </w:p>
        </w:tc>
        <w:tc>
          <w:tcPr>
            <w:tcW w:w="722" w:type="pct"/>
            <w:gridSpan w:val="3"/>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155D6995" w14:textId="77777777">
            <w:pPr>
              <w:suppressAutoHyphens/>
              <w:spacing w:line="240" w:lineRule="auto"/>
              <w:rPr>
                <w:rFonts w:cs="Calibri"/>
                <w:color w:val="000000"/>
                <w:sz w:val="14"/>
                <w:szCs w:val="14"/>
              </w:rPr>
            </w:pPr>
            <w:r w:rsidRPr="005F055E">
              <w:rPr>
                <w:rFonts w:cs="Calibri"/>
                <w:color w:val="000000"/>
                <w:sz w:val="14"/>
                <w:szCs w:val="14"/>
              </w:rPr>
              <w:t>56</w:t>
            </w:r>
          </w:p>
        </w:tc>
        <w:tc>
          <w:tcPr>
            <w:tcW w:w="374" w:type="pct"/>
            <w:tcBorders>
              <w:top w:val="nil"/>
              <w:left w:val="nil"/>
              <w:bottom w:val="single" w:color="auto" w:sz="4" w:space="0"/>
              <w:right w:val="single" w:color="auto" w:sz="8" w:space="0"/>
            </w:tcBorders>
            <w:shd w:val="clear" w:color="000000" w:fill="DAEEF3"/>
            <w:noWrap/>
            <w:vAlign w:val="center"/>
            <w:hideMark/>
          </w:tcPr>
          <w:p w:rsidRPr="005F055E" w:rsidR="00390010" w:rsidP="00180EEB" w:rsidRDefault="00390010" w14:paraId="3BA83346" w14:textId="77777777">
            <w:pPr>
              <w:suppressAutoHyphens/>
              <w:spacing w:line="240" w:lineRule="auto"/>
              <w:rPr>
                <w:rFonts w:cs="Calibri"/>
                <w:color w:val="000000"/>
                <w:sz w:val="14"/>
                <w:szCs w:val="14"/>
              </w:rPr>
            </w:pPr>
            <w:r w:rsidRPr="005F055E">
              <w:rPr>
                <w:rFonts w:cs="Calibri"/>
                <w:color w:val="000000"/>
                <w:sz w:val="14"/>
                <w:szCs w:val="14"/>
              </w:rPr>
              <w:t>72</w:t>
            </w:r>
          </w:p>
        </w:tc>
      </w:tr>
      <w:tr w:rsidRPr="005F055E" w:rsidR="00390010" w:rsidTr="00390010" w14:paraId="5F37B950" w14:textId="77777777">
        <w:trPr>
          <w:trHeight w:val="192"/>
        </w:trPr>
        <w:tc>
          <w:tcPr>
            <w:tcW w:w="756" w:type="pct"/>
            <w:tcBorders>
              <w:top w:val="nil"/>
              <w:left w:val="single" w:color="auto" w:sz="8" w:space="0"/>
              <w:bottom w:val="single" w:color="auto" w:sz="4" w:space="0"/>
              <w:right w:val="single" w:color="auto" w:sz="4" w:space="0"/>
            </w:tcBorders>
            <w:shd w:val="clear" w:color="000000" w:fill="DAEEF3"/>
            <w:noWrap/>
            <w:vAlign w:val="center"/>
            <w:hideMark/>
          </w:tcPr>
          <w:p w:rsidRPr="005F055E" w:rsidR="00390010" w:rsidP="00180EEB" w:rsidRDefault="00390010" w14:paraId="7AEDD1D7" w14:textId="77777777">
            <w:pPr>
              <w:suppressAutoHyphens/>
              <w:spacing w:line="240" w:lineRule="auto"/>
              <w:rPr>
                <w:rFonts w:cs="Calibri"/>
                <w:color w:val="000000"/>
                <w:sz w:val="14"/>
                <w:szCs w:val="14"/>
              </w:rPr>
            </w:pPr>
            <w:r w:rsidRPr="005F055E">
              <w:rPr>
                <w:rFonts w:cs="Calibri"/>
                <w:color w:val="000000"/>
                <w:sz w:val="14"/>
                <w:szCs w:val="14"/>
              </w:rPr>
              <w:t>4%</w:t>
            </w:r>
          </w:p>
        </w:tc>
        <w:tc>
          <w:tcPr>
            <w:tcW w:w="730" w:type="pct"/>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109814AD" w14:textId="77777777">
            <w:pPr>
              <w:suppressAutoHyphens/>
              <w:spacing w:line="240" w:lineRule="auto"/>
              <w:rPr>
                <w:rFonts w:cs="Calibri"/>
                <w:color w:val="000000"/>
                <w:sz w:val="14"/>
                <w:szCs w:val="14"/>
              </w:rPr>
            </w:pPr>
            <w:r w:rsidRPr="005F055E">
              <w:rPr>
                <w:rFonts w:cs="Calibri"/>
                <w:color w:val="000000"/>
                <w:sz w:val="14"/>
                <w:szCs w:val="14"/>
              </w:rPr>
              <w:t>5%</w:t>
            </w:r>
          </w:p>
        </w:tc>
        <w:tc>
          <w:tcPr>
            <w:tcW w:w="713" w:type="pct"/>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355DF628" w14:textId="77777777">
            <w:pPr>
              <w:suppressAutoHyphens/>
              <w:spacing w:line="240" w:lineRule="auto"/>
              <w:rPr>
                <w:rFonts w:cs="Calibri"/>
                <w:color w:val="000000"/>
                <w:sz w:val="14"/>
                <w:szCs w:val="14"/>
              </w:rPr>
            </w:pPr>
            <w:r w:rsidRPr="005F055E">
              <w:rPr>
                <w:rFonts w:cs="Calibri"/>
                <w:color w:val="000000"/>
                <w:sz w:val="14"/>
                <w:szCs w:val="14"/>
              </w:rPr>
              <w:t>5%</w:t>
            </w:r>
          </w:p>
        </w:tc>
        <w:tc>
          <w:tcPr>
            <w:tcW w:w="631" w:type="pct"/>
            <w:gridSpan w:val="3"/>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70B9370B" w14:textId="77777777">
            <w:pPr>
              <w:suppressAutoHyphens/>
              <w:spacing w:line="240" w:lineRule="auto"/>
              <w:rPr>
                <w:rFonts w:cs="Calibri"/>
                <w:color w:val="000000"/>
                <w:sz w:val="14"/>
                <w:szCs w:val="14"/>
              </w:rPr>
            </w:pPr>
            <w:r w:rsidRPr="005F055E">
              <w:rPr>
                <w:rFonts w:cs="Calibri"/>
                <w:color w:val="000000"/>
                <w:sz w:val="14"/>
                <w:szCs w:val="14"/>
              </w:rPr>
              <w:t>-2%</w:t>
            </w:r>
          </w:p>
        </w:tc>
        <w:tc>
          <w:tcPr>
            <w:tcW w:w="717" w:type="pct"/>
            <w:gridSpan w:val="3"/>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0C818B06" w14:textId="77777777">
            <w:pPr>
              <w:suppressAutoHyphens/>
              <w:spacing w:line="240" w:lineRule="auto"/>
              <w:rPr>
                <w:rFonts w:cs="Calibri"/>
                <w:color w:val="000000"/>
                <w:sz w:val="14"/>
                <w:szCs w:val="14"/>
              </w:rPr>
            </w:pPr>
            <w:r w:rsidRPr="005F055E">
              <w:rPr>
                <w:rFonts w:cs="Calibri"/>
                <w:color w:val="000000"/>
                <w:sz w:val="14"/>
                <w:szCs w:val="14"/>
              </w:rPr>
              <w:t>9%</w:t>
            </w:r>
          </w:p>
        </w:tc>
        <w:tc>
          <w:tcPr>
            <w:tcW w:w="358" w:type="pct"/>
            <w:gridSpan w:val="2"/>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60BF198E" w14:textId="77777777">
            <w:pPr>
              <w:suppressAutoHyphens/>
              <w:spacing w:line="240" w:lineRule="auto"/>
              <w:rPr>
                <w:rFonts w:cs="Calibri"/>
                <w:color w:val="000000"/>
                <w:sz w:val="14"/>
                <w:szCs w:val="14"/>
              </w:rPr>
            </w:pPr>
            <w:r w:rsidRPr="005F055E">
              <w:rPr>
                <w:rFonts w:cs="Calibri"/>
                <w:color w:val="000000"/>
                <w:sz w:val="14"/>
                <w:szCs w:val="14"/>
              </w:rPr>
              <w:t>11%</w:t>
            </w:r>
          </w:p>
        </w:tc>
        <w:tc>
          <w:tcPr>
            <w:tcW w:w="722" w:type="pct"/>
            <w:gridSpan w:val="3"/>
            <w:tcBorders>
              <w:top w:val="nil"/>
              <w:left w:val="nil"/>
              <w:bottom w:val="single" w:color="auto" w:sz="4" w:space="0"/>
              <w:right w:val="single" w:color="auto" w:sz="4" w:space="0"/>
            </w:tcBorders>
            <w:shd w:val="clear" w:color="000000" w:fill="DAEEF3"/>
            <w:noWrap/>
            <w:vAlign w:val="center"/>
            <w:hideMark/>
          </w:tcPr>
          <w:p w:rsidRPr="005F055E" w:rsidR="00390010" w:rsidP="00180EEB" w:rsidRDefault="00390010" w14:paraId="1E443527" w14:textId="77777777">
            <w:pPr>
              <w:suppressAutoHyphens/>
              <w:spacing w:line="240" w:lineRule="auto"/>
              <w:rPr>
                <w:rFonts w:cs="Calibri"/>
                <w:color w:val="000000"/>
                <w:sz w:val="14"/>
                <w:szCs w:val="14"/>
              </w:rPr>
            </w:pPr>
            <w:r w:rsidRPr="005F055E">
              <w:rPr>
                <w:rFonts w:cs="Calibri"/>
                <w:color w:val="000000"/>
                <w:sz w:val="14"/>
                <w:szCs w:val="14"/>
              </w:rPr>
              <w:t>6%</w:t>
            </w:r>
          </w:p>
        </w:tc>
        <w:tc>
          <w:tcPr>
            <w:tcW w:w="374" w:type="pct"/>
            <w:tcBorders>
              <w:top w:val="nil"/>
              <w:left w:val="nil"/>
              <w:bottom w:val="single" w:color="auto" w:sz="4" w:space="0"/>
              <w:right w:val="single" w:color="auto" w:sz="8" w:space="0"/>
            </w:tcBorders>
            <w:shd w:val="clear" w:color="000000" w:fill="DAEEF3"/>
            <w:noWrap/>
            <w:vAlign w:val="center"/>
            <w:hideMark/>
          </w:tcPr>
          <w:p w:rsidRPr="005F055E" w:rsidR="00390010" w:rsidP="00180EEB" w:rsidRDefault="00390010" w14:paraId="39B7E778" w14:textId="77777777">
            <w:pPr>
              <w:suppressAutoHyphens/>
              <w:spacing w:line="240" w:lineRule="auto"/>
              <w:rPr>
                <w:rFonts w:cs="Calibri"/>
                <w:color w:val="000000"/>
                <w:sz w:val="14"/>
                <w:szCs w:val="14"/>
              </w:rPr>
            </w:pPr>
            <w:r w:rsidRPr="005F055E">
              <w:rPr>
                <w:rFonts w:cs="Calibri"/>
                <w:color w:val="000000"/>
                <w:sz w:val="14"/>
                <w:szCs w:val="14"/>
              </w:rPr>
              <w:t>7%</w:t>
            </w:r>
          </w:p>
        </w:tc>
      </w:tr>
      <w:tr w:rsidRPr="005F055E" w:rsidR="00390010" w:rsidTr="00390010" w14:paraId="69EE3858" w14:textId="77777777">
        <w:trPr>
          <w:trHeight w:val="204"/>
        </w:trPr>
        <w:tc>
          <w:tcPr>
            <w:tcW w:w="756" w:type="pct"/>
            <w:tcBorders>
              <w:top w:val="nil"/>
              <w:left w:val="single" w:color="auto" w:sz="8" w:space="0"/>
              <w:bottom w:val="nil"/>
              <w:right w:val="single" w:color="auto" w:sz="4" w:space="0"/>
            </w:tcBorders>
            <w:shd w:val="clear" w:color="000000" w:fill="DAEEF3"/>
            <w:noWrap/>
            <w:vAlign w:val="center"/>
            <w:hideMark/>
          </w:tcPr>
          <w:p w:rsidRPr="005F055E" w:rsidR="00390010" w:rsidP="00180EEB" w:rsidRDefault="00390010" w14:paraId="77CD2047" w14:textId="77777777">
            <w:pPr>
              <w:suppressAutoHyphens/>
              <w:spacing w:line="240" w:lineRule="auto"/>
              <w:rPr>
                <w:rFonts w:cs="Calibri"/>
                <w:color w:val="000000"/>
                <w:sz w:val="14"/>
                <w:szCs w:val="14"/>
              </w:rPr>
            </w:pPr>
            <w:r w:rsidRPr="005F055E">
              <w:rPr>
                <w:rFonts w:cs="Calibri"/>
                <w:color w:val="000000"/>
                <w:sz w:val="14"/>
                <w:szCs w:val="14"/>
              </w:rPr>
              <w:t> </w:t>
            </w:r>
          </w:p>
        </w:tc>
        <w:tc>
          <w:tcPr>
            <w:tcW w:w="730" w:type="pct"/>
            <w:tcBorders>
              <w:top w:val="nil"/>
              <w:left w:val="nil"/>
              <w:bottom w:val="nil"/>
              <w:right w:val="single" w:color="auto" w:sz="4" w:space="0"/>
            </w:tcBorders>
            <w:shd w:val="clear" w:color="000000" w:fill="DAEEF3"/>
            <w:noWrap/>
            <w:vAlign w:val="center"/>
            <w:hideMark/>
          </w:tcPr>
          <w:p w:rsidRPr="005F055E" w:rsidR="00390010" w:rsidP="00180EEB" w:rsidRDefault="00390010" w14:paraId="135C4B6B" w14:textId="77777777">
            <w:pPr>
              <w:suppressAutoHyphens/>
              <w:spacing w:line="240" w:lineRule="auto"/>
              <w:rPr>
                <w:rFonts w:cs="Calibri"/>
                <w:color w:val="000000"/>
                <w:sz w:val="14"/>
                <w:szCs w:val="14"/>
              </w:rPr>
            </w:pPr>
            <w:r w:rsidRPr="005F055E">
              <w:rPr>
                <w:rFonts w:cs="Calibri"/>
                <w:color w:val="000000"/>
                <w:sz w:val="14"/>
                <w:szCs w:val="14"/>
              </w:rPr>
              <w:t> </w:t>
            </w:r>
          </w:p>
        </w:tc>
        <w:tc>
          <w:tcPr>
            <w:tcW w:w="713" w:type="pct"/>
            <w:tcBorders>
              <w:top w:val="nil"/>
              <w:left w:val="nil"/>
              <w:bottom w:val="nil"/>
              <w:right w:val="single" w:color="auto" w:sz="4" w:space="0"/>
            </w:tcBorders>
            <w:shd w:val="clear" w:color="000000" w:fill="DAEEF3"/>
            <w:noWrap/>
            <w:vAlign w:val="center"/>
            <w:hideMark/>
          </w:tcPr>
          <w:p w:rsidRPr="005F055E" w:rsidR="00390010" w:rsidP="00180EEB" w:rsidRDefault="00390010" w14:paraId="56C5F2A7" w14:textId="77777777">
            <w:pPr>
              <w:suppressAutoHyphens/>
              <w:spacing w:line="240" w:lineRule="auto"/>
              <w:rPr>
                <w:rFonts w:cs="Calibri"/>
                <w:color w:val="000000"/>
                <w:sz w:val="14"/>
                <w:szCs w:val="14"/>
              </w:rPr>
            </w:pPr>
            <w:r w:rsidRPr="005F055E">
              <w:rPr>
                <w:rFonts w:cs="Calibri"/>
                <w:color w:val="000000"/>
                <w:sz w:val="14"/>
                <w:szCs w:val="14"/>
              </w:rPr>
              <w:t> </w:t>
            </w:r>
          </w:p>
        </w:tc>
        <w:tc>
          <w:tcPr>
            <w:tcW w:w="631" w:type="pct"/>
            <w:gridSpan w:val="3"/>
            <w:tcBorders>
              <w:top w:val="nil"/>
              <w:left w:val="nil"/>
              <w:bottom w:val="nil"/>
              <w:right w:val="single" w:color="auto" w:sz="4" w:space="0"/>
            </w:tcBorders>
            <w:shd w:val="clear" w:color="000000" w:fill="DAEEF3"/>
            <w:noWrap/>
            <w:vAlign w:val="center"/>
            <w:hideMark/>
          </w:tcPr>
          <w:p w:rsidRPr="005F055E" w:rsidR="00390010" w:rsidP="00180EEB" w:rsidRDefault="00390010" w14:paraId="02FAE602" w14:textId="77777777">
            <w:pPr>
              <w:suppressAutoHyphens/>
              <w:spacing w:line="240" w:lineRule="auto"/>
              <w:rPr>
                <w:rFonts w:cs="Calibri"/>
                <w:color w:val="000000"/>
                <w:sz w:val="14"/>
                <w:szCs w:val="14"/>
              </w:rPr>
            </w:pPr>
            <w:r w:rsidRPr="005F055E">
              <w:rPr>
                <w:rFonts w:cs="Calibri"/>
                <w:color w:val="000000"/>
                <w:sz w:val="14"/>
                <w:szCs w:val="14"/>
              </w:rPr>
              <w:t> </w:t>
            </w:r>
          </w:p>
        </w:tc>
        <w:tc>
          <w:tcPr>
            <w:tcW w:w="717" w:type="pct"/>
            <w:gridSpan w:val="3"/>
            <w:tcBorders>
              <w:top w:val="nil"/>
              <w:left w:val="nil"/>
              <w:bottom w:val="nil"/>
              <w:right w:val="single" w:color="auto" w:sz="4" w:space="0"/>
            </w:tcBorders>
            <w:shd w:val="clear" w:color="000000" w:fill="DAEEF3"/>
            <w:noWrap/>
            <w:vAlign w:val="center"/>
            <w:hideMark/>
          </w:tcPr>
          <w:p w:rsidRPr="005F055E" w:rsidR="00390010" w:rsidP="00180EEB" w:rsidRDefault="00390010" w14:paraId="6E569F6F" w14:textId="77777777">
            <w:pPr>
              <w:suppressAutoHyphens/>
              <w:spacing w:line="240" w:lineRule="auto"/>
              <w:rPr>
                <w:rFonts w:cs="Calibri"/>
                <w:color w:val="000000"/>
                <w:sz w:val="14"/>
                <w:szCs w:val="14"/>
              </w:rPr>
            </w:pPr>
            <w:r w:rsidRPr="005F055E">
              <w:rPr>
                <w:rFonts w:cs="Calibri"/>
                <w:color w:val="000000"/>
                <w:sz w:val="14"/>
                <w:szCs w:val="14"/>
              </w:rPr>
              <w:t> </w:t>
            </w:r>
          </w:p>
        </w:tc>
        <w:tc>
          <w:tcPr>
            <w:tcW w:w="358" w:type="pct"/>
            <w:gridSpan w:val="2"/>
            <w:tcBorders>
              <w:top w:val="nil"/>
              <w:left w:val="nil"/>
              <w:bottom w:val="nil"/>
              <w:right w:val="single" w:color="auto" w:sz="4" w:space="0"/>
            </w:tcBorders>
            <w:shd w:val="clear" w:color="000000" w:fill="DAEEF3"/>
            <w:noWrap/>
            <w:vAlign w:val="center"/>
            <w:hideMark/>
          </w:tcPr>
          <w:p w:rsidRPr="005F055E" w:rsidR="00390010" w:rsidP="00180EEB" w:rsidRDefault="00390010" w14:paraId="0C2F54D3" w14:textId="77777777">
            <w:pPr>
              <w:suppressAutoHyphens/>
              <w:spacing w:line="240" w:lineRule="auto"/>
              <w:rPr>
                <w:rFonts w:cs="Calibri"/>
                <w:color w:val="000000"/>
                <w:sz w:val="14"/>
                <w:szCs w:val="14"/>
              </w:rPr>
            </w:pPr>
            <w:r w:rsidRPr="005F055E">
              <w:rPr>
                <w:rFonts w:cs="Calibri"/>
                <w:color w:val="000000"/>
                <w:sz w:val="14"/>
                <w:szCs w:val="14"/>
              </w:rPr>
              <w:t> </w:t>
            </w:r>
          </w:p>
        </w:tc>
        <w:tc>
          <w:tcPr>
            <w:tcW w:w="722" w:type="pct"/>
            <w:gridSpan w:val="3"/>
            <w:tcBorders>
              <w:top w:val="nil"/>
              <w:left w:val="nil"/>
              <w:bottom w:val="nil"/>
              <w:right w:val="single" w:color="auto" w:sz="4" w:space="0"/>
            </w:tcBorders>
            <w:shd w:val="clear" w:color="000000" w:fill="DAEEF3"/>
            <w:noWrap/>
            <w:vAlign w:val="center"/>
            <w:hideMark/>
          </w:tcPr>
          <w:p w:rsidRPr="005F055E" w:rsidR="00390010" w:rsidP="00180EEB" w:rsidRDefault="00390010" w14:paraId="0ED5D1A3" w14:textId="77777777">
            <w:pPr>
              <w:suppressAutoHyphens/>
              <w:spacing w:line="240" w:lineRule="auto"/>
              <w:rPr>
                <w:rFonts w:cs="Calibri"/>
                <w:color w:val="000000"/>
                <w:sz w:val="14"/>
                <w:szCs w:val="14"/>
              </w:rPr>
            </w:pPr>
            <w:r w:rsidRPr="005F055E">
              <w:rPr>
                <w:rFonts w:cs="Calibri"/>
                <w:color w:val="000000"/>
                <w:sz w:val="14"/>
                <w:szCs w:val="14"/>
              </w:rPr>
              <w:t> </w:t>
            </w:r>
          </w:p>
        </w:tc>
        <w:tc>
          <w:tcPr>
            <w:tcW w:w="374" w:type="pct"/>
            <w:tcBorders>
              <w:top w:val="nil"/>
              <w:left w:val="nil"/>
              <w:bottom w:val="nil"/>
              <w:right w:val="single" w:color="auto" w:sz="8" w:space="0"/>
            </w:tcBorders>
            <w:shd w:val="clear" w:color="000000" w:fill="DAEEF3"/>
            <w:noWrap/>
            <w:vAlign w:val="center"/>
            <w:hideMark/>
          </w:tcPr>
          <w:p w:rsidRPr="005F055E" w:rsidR="00390010" w:rsidP="00180EEB" w:rsidRDefault="00390010" w14:paraId="3BD8096C" w14:textId="77777777">
            <w:pPr>
              <w:suppressAutoHyphens/>
              <w:spacing w:line="240" w:lineRule="auto"/>
              <w:rPr>
                <w:rFonts w:cs="Calibri"/>
                <w:color w:val="000000"/>
                <w:sz w:val="14"/>
                <w:szCs w:val="14"/>
              </w:rPr>
            </w:pPr>
            <w:r w:rsidRPr="005F055E">
              <w:rPr>
                <w:rFonts w:cs="Calibri"/>
                <w:color w:val="000000"/>
                <w:sz w:val="14"/>
                <w:szCs w:val="14"/>
              </w:rPr>
              <w:t> </w:t>
            </w:r>
          </w:p>
        </w:tc>
      </w:tr>
      <w:tr w:rsidRPr="005F055E" w:rsidR="00390010" w:rsidTr="00390010" w14:paraId="6600BA1B" w14:textId="77777777">
        <w:trPr>
          <w:trHeight w:val="204"/>
        </w:trPr>
        <w:tc>
          <w:tcPr>
            <w:tcW w:w="756" w:type="pct"/>
            <w:tcBorders>
              <w:top w:val="single" w:color="auto" w:sz="8" w:space="0"/>
              <w:left w:val="single" w:color="auto" w:sz="8" w:space="0"/>
              <w:bottom w:val="single" w:color="auto" w:sz="8" w:space="0"/>
              <w:right w:val="single" w:color="auto" w:sz="4" w:space="0"/>
            </w:tcBorders>
            <w:shd w:val="clear" w:color="000000" w:fill="DAEEF3"/>
            <w:noWrap/>
            <w:vAlign w:val="bottom"/>
            <w:hideMark/>
          </w:tcPr>
          <w:p w:rsidRPr="005F055E" w:rsidR="00390010" w:rsidP="00180EEB" w:rsidRDefault="00390010" w14:paraId="72F46613" w14:textId="77777777">
            <w:pPr>
              <w:suppressAutoHyphens/>
              <w:spacing w:line="240" w:lineRule="auto"/>
              <w:rPr>
                <w:rFonts w:cs="Calibri"/>
                <w:b/>
                <w:bCs/>
                <w:color w:val="000000"/>
                <w:sz w:val="14"/>
                <w:szCs w:val="14"/>
              </w:rPr>
            </w:pPr>
            <w:r w:rsidRPr="005F055E">
              <w:rPr>
                <w:rFonts w:cs="Calibri"/>
                <w:b/>
                <w:bCs/>
                <w:color w:val="000000"/>
                <w:sz w:val="14"/>
                <w:szCs w:val="14"/>
              </w:rPr>
              <w:t>8,5%</w:t>
            </w:r>
          </w:p>
        </w:tc>
        <w:tc>
          <w:tcPr>
            <w:tcW w:w="730" w:type="pct"/>
            <w:tcBorders>
              <w:top w:val="single" w:color="auto" w:sz="8" w:space="0"/>
              <w:left w:val="nil"/>
              <w:bottom w:val="single" w:color="auto" w:sz="8" w:space="0"/>
              <w:right w:val="single" w:color="auto" w:sz="4" w:space="0"/>
            </w:tcBorders>
            <w:shd w:val="clear" w:color="000000" w:fill="DAEEF3"/>
            <w:noWrap/>
            <w:vAlign w:val="bottom"/>
            <w:hideMark/>
          </w:tcPr>
          <w:p w:rsidRPr="005F055E" w:rsidR="00390010" w:rsidP="00180EEB" w:rsidRDefault="00390010" w14:paraId="24FCEC80" w14:textId="77777777">
            <w:pPr>
              <w:suppressAutoHyphens/>
              <w:spacing w:line="240" w:lineRule="auto"/>
              <w:rPr>
                <w:rFonts w:cs="Calibri"/>
                <w:b/>
                <w:bCs/>
                <w:color w:val="000000"/>
                <w:sz w:val="14"/>
                <w:szCs w:val="14"/>
              </w:rPr>
            </w:pPr>
            <w:r w:rsidRPr="005F055E">
              <w:rPr>
                <w:rFonts w:cs="Calibri"/>
                <w:b/>
                <w:bCs/>
                <w:color w:val="000000"/>
                <w:sz w:val="14"/>
                <w:szCs w:val="14"/>
              </w:rPr>
              <w:t>8,3%</w:t>
            </w:r>
          </w:p>
        </w:tc>
        <w:tc>
          <w:tcPr>
            <w:tcW w:w="713" w:type="pct"/>
            <w:tcBorders>
              <w:top w:val="single" w:color="auto" w:sz="8" w:space="0"/>
              <w:left w:val="nil"/>
              <w:bottom w:val="single" w:color="auto" w:sz="8" w:space="0"/>
              <w:right w:val="single" w:color="auto" w:sz="4" w:space="0"/>
            </w:tcBorders>
            <w:shd w:val="clear" w:color="000000" w:fill="DAEEF3"/>
            <w:noWrap/>
            <w:vAlign w:val="bottom"/>
            <w:hideMark/>
          </w:tcPr>
          <w:p w:rsidRPr="005F055E" w:rsidR="00390010" w:rsidP="00180EEB" w:rsidRDefault="00390010" w14:paraId="1609BF3F" w14:textId="77777777">
            <w:pPr>
              <w:suppressAutoHyphens/>
              <w:spacing w:line="240" w:lineRule="auto"/>
              <w:rPr>
                <w:rFonts w:cs="Calibri"/>
                <w:b/>
                <w:bCs/>
                <w:color w:val="000000"/>
                <w:sz w:val="14"/>
                <w:szCs w:val="14"/>
              </w:rPr>
            </w:pPr>
            <w:r w:rsidRPr="005F055E">
              <w:rPr>
                <w:rFonts w:cs="Calibri"/>
                <w:b/>
                <w:bCs/>
                <w:color w:val="000000"/>
                <w:sz w:val="14"/>
                <w:szCs w:val="14"/>
              </w:rPr>
              <w:t>8,4%</w:t>
            </w:r>
          </w:p>
        </w:tc>
        <w:tc>
          <w:tcPr>
            <w:tcW w:w="631" w:type="pct"/>
            <w:gridSpan w:val="3"/>
            <w:tcBorders>
              <w:top w:val="single" w:color="auto" w:sz="8" w:space="0"/>
              <w:left w:val="nil"/>
              <w:bottom w:val="single" w:color="auto" w:sz="8" w:space="0"/>
              <w:right w:val="single" w:color="auto" w:sz="4" w:space="0"/>
            </w:tcBorders>
            <w:shd w:val="clear" w:color="000000" w:fill="DAEEF3"/>
            <w:noWrap/>
            <w:vAlign w:val="bottom"/>
            <w:hideMark/>
          </w:tcPr>
          <w:p w:rsidRPr="005F055E" w:rsidR="00390010" w:rsidP="00180EEB" w:rsidRDefault="00390010" w14:paraId="0EFA9813" w14:textId="77777777">
            <w:pPr>
              <w:suppressAutoHyphens/>
              <w:spacing w:line="240" w:lineRule="auto"/>
              <w:rPr>
                <w:rFonts w:cs="Calibri"/>
                <w:b/>
                <w:bCs/>
                <w:color w:val="000000"/>
                <w:sz w:val="14"/>
                <w:szCs w:val="14"/>
              </w:rPr>
            </w:pPr>
            <w:r w:rsidRPr="005F055E">
              <w:rPr>
                <w:rFonts w:cs="Calibri"/>
                <w:b/>
                <w:bCs/>
                <w:color w:val="000000"/>
                <w:sz w:val="14"/>
                <w:szCs w:val="14"/>
              </w:rPr>
              <w:t>9,0%</w:t>
            </w:r>
          </w:p>
        </w:tc>
        <w:tc>
          <w:tcPr>
            <w:tcW w:w="717" w:type="pct"/>
            <w:gridSpan w:val="3"/>
            <w:tcBorders>
              <w:top w:val="single" w:color="auto" w:sz="8" w:space="0"/>
              <w:left w:val="nil"/>
              <w:bottom w:val="single" w:color="auto" w:sz="8" w:space="0"/>
              <w:right w:val="single" w:color="auto" w:sz="4" w:space="0"/>
            </w:tcBorders>
            <w:shd w:val="clear" w:color="000000" w:fill="DAEEF3"/>
            <w:noWrap/>
            <w:vAlign w:val="bottom"/>
            <w:hideMark/>
          </w:tcPr>
          <w:p w:rsidRPr="005F055E" w:rsidR="00390010" w:rsidP="00180EEB" w:rsidRDefault="00390010" w14:paraId="3EA8CF9E" w14:textId="77777777">
            <w:pPr>
              <w:suppressAutoHyphens/>
              <w:spacing w:line="240" w:lineRule="auto"/>
              <w:rPr>
                <w:rFonts w:cs="Calibri"/>
                <w:b/>
                <w:bCs/>
                <w:color w:val="000000"/>
                <w:sz w:val="14"/>
                <w:szCs w:val="14"/>
              </w:rPr>
            </w:pPr>
            <w:r w:rsidRPr="005F055E">
              <w:rPr>
                <w:rFonts w:cs="Calibri"/>
                <w:b/>
                <w:bCs/>
                <w:color w:val="000000"/>
                <w:sz w:val="14"/>
                <w:szCs w:val="14"/>
              </w:rPr>
              <w:t>8,6%</w:t>
            </w:r>
          </w:p>
        </w:tc>
        <w:tc>
          <w:tcPr>
            <w:tcW w:w="358" w:type="pct"/>
            <w:gridSpan w:val="2"/>
            <w:tcBorders>
              <w:top w:val="single" w:color="auto" w:sz="8" w:space="0"/>
              <w:left w:val="nil"/>
              <w:bottom w:val="single" w:color="auto" w:sz="8" w:space="0"/>
              <w:right w:val="single" w:color="auto" w:sz="4" w:space="0"/>
            </w:tcBorders>
            <w:shd w:val="clear" w:color="000000" w:fill="DAEEF3"/>
            <w:noWrap/>
            <w:vAlign w:val="bottom"/>
            <w:hideMark/>
          </w:tcPr>
          <w:p w:rsidRPr="005F055E" w:rsidR="00390010" w:rsidP="00180EEB" w:rsidRDefault="00390010" w14:paraId="6D31BB82" w14:textId="77777777">
            <w:pPr>
              <w:suppressAutoHyphens/>
              <w:spacing w:line="240" w:lineRule="auto"/>
              <w:rPr>
                <w:rFonts w:cs="Calibri"/>
                <w:b/>
                <w:bCs/>
                <w:color w:val="000000"/>
                <w:sz w:val="14"/>
                <w:szCs w:val="14"/>
              </w:rPr>
            </w:pPr>
            <w:r w:rsidRPr="005F055E">
              <w:rPr>
                <w:rFonts w:cs="Calibri"/>
                <w:b/>
                <w:bCs/>
                <w:color w:val="000000"/>
                <w:sz w:val="14"/>
                <w:szCs w:val="14"/>
              </w:rPr>
              <w:t>8,1%</w:t>
            </w:r>
          </w:p>
        </w:tc>
        <w:tc>
          <w:tcPr>
            <w:tcW w:w="722" w:type="pct"/>
            <w:gridSpan w:val="3"/>
            <w:tcBorders>
              <w:top w:val="single" w:color="auto" w:sz="8" w:space="0"/>
              <w:left w:val="nil"/>
              <w:bottom w:val="single" w:color="auto" w:sz="8" w:space="0"/>
              <w:right w:val="single" w:color="auto" w:sz="4" w:space="0"/>
            </w:tcBorders>
            <w:shd w:val="clear" w:color="000000" w:fill="DAEEF3"/>
            <w:noWrap/>
            <w:vAlign w:val="bottom"/>
            <w:hideMark/>
          </w:tcPr>
          <w:p w:rsidRPr="005F055E" w:rsidR="00390010" w:rsidP="00180EEB" w:rsidRDefault="00390010" w14:paraId="27F365A3" w14:textId="77777777">
            <w:pPr>
              <w:suppressAutoHyphens/>
              <w:spacing w:line="240" w:lineRule="auto"/>
              <w:rPr>
                <w:rFonts w:cs="Calibri"/>
                <w:b/>
                <w:bCs/>
                <w:color w:val="000000"/>
                <w:sz w:val="14"/>
                <w:szCs w:val="14"/>
              </w:rPr>
            </w:pPr>
            <w:r w:rsidRPr="005F055E">
              <w:rPr>
                <w:rFonts w:cs="Calibri"/>
                <w:b/>
                <w:bCs/>
                <w:color w:val="000000"/>
                <w:sz w:val="14"/>
                <w:szCs w:val="14"/>
              </w:rPr>
              <w:t>8,3%</w:t>
            </w:r>
          </w:p>
        </w:tc>
        <w:tc>
          <w:tcPr>
            <w:tcW w:w="374" w:type="pct"/>
            <w:tcBorders>
              <w:top w:val="single" w:color="auto" w:sz="8" w:space="0"/>
              <w:left w:val="nil"/>
              <w:bottom w:val="single" w:color="auto" w:sz="8" w:space="0"/>
              <w:right w:val="single" w:color="auto" w:sz="8" w:space="0"/>
            </w:tcBorders>
            <w:shd w:val="clear" w:color="000000" w:fill="DAEEF3"/>
            <w:noWrap/>
            <w:vAlign w:val="bottom"/>
            <w:hideMark/>
          </w:tcPr>
          <w:p w:rsidRPr="005F055E" w:rsidR="00390010" w:rsidP="00180EEB" w:rsidRDefault="00390010" w14:paraId="3F8ED7FC" w14:textId="77777777">
            <w:pPr>
              <w:suppressAutoHyphens/>
              <w:spacing w:line="240" w:lineRule="auto"/>
              <w:rPr>
                <w:rFonts w:cs="Calibri"/>
                <w:b/>
                <w:bCs/>
                <w:color w:val="000000"/>
                <w:sz w:val="14"/>
                <w:szCs w:val="14"/>
              </w:rPr>
            </w:pPr>
            <w:r w:rsidRPr="005F055E">
              <w:rPr>
                <w:rFonts w:cs="Calibri"/>
                <w:b/>
                <w:bCs/>
                <w:color w:val="000000"/>
                <w:sz w:val="14"/>
                <w:szCs w:val="14"/>
              </w:rPr>
              <w:t>8,4%</w:t>
            </w:r>
          </w:p>
        </w:tc>
      </w:tr>
      <w:tr w:rsidRPr="005F055E" w:rsidR="00390010" w:rsidTr="005E2643" w14:paraId="397A9510" w14:textId="77777777">
        <w:trPr>
          <w:trHeight w:val="411"/>
        </w:trPr>
        <w:tc>
          <w:tcPr>
            <w:tcW w:w="5000" w:type="pct"/>
            <w:gridSpan w:val="15"/>
            <w:tcBorders>
              <w:top w:val="nil"/>
              <w:left w:val="nil"/>
              <w:bottom w:val="nil"/>
              <w:right w:val="nil"/>
            </w:tcBorders>
            <w:shd w:val="clear" w:color="auto" w:fill="auto"/>
            <w:vAlign w:val="center"/>
            <w:hideMark/>
          </w:tcPr>
          <w:p w:rsidRPr="005F055E" w:rsidR="00390010" w:rsidP="00180EEB" w:rsidRDefault="00390010" w14:paraId="348A520D" w14:textId="77777777">
            <w:pPr>
              <w:suppressAutoHyphens/>
              <w:spacing w:line="240" w:lineRule="auto"/>
              <w:rPr>
                <w:rFonts w:cs="Calibri"/>
                <w:i/>
                <w:iCs/>
                <w:color w:val="000000"/>
                <w:sz w:val="14"/>
                <w:szCs w:val="14"/>
              </w:rPr>
            </w:pPr>
            <w:r w:rsidRPr="005F055E">
              <w:rPr>
                <w:rFonts w:cs="Calibri"/>
                <w:i/>
                <w:iCs/>
                <w:color w:val="000000"/>
                <w:sz w:val="14"/>
                <w:szCs w:val="14"/>
              </w:rPr>
              <w:t>Bron: VWS- en CPB-cijfers</w:t>
            </w:r>
          </w:p>
        </w:tc>
      </w:tr>
      <w:tr w:rsidRPr="005F055E" w:rsidR="00390010" w:rsidTr="005E2643" w14:paraId="51EC685B" w14:textId="77777777">
        <w:trPr>
          <w:trHeight w:val="1176"/>
        </w:trPr>
        <w:tc>
          <w:tcPr>
            <w:tcW w:w="5000" w:type="pct"/>
            <w:gridSpan w:val="15"/>
            <w:tcBorders>
              <w:top w:val="nil"/>
              <w:left w:val="nil"/>
              <w:bottom w:val="nil"/>
              <w:right w:val="nil"/>
            </w:tcBorders>
            <w:shd w:val="clear" w:color="auto" w:fill="auto"/>
            <w:vAlign w:val="center"/>
            <w:hideMark/>
          </w:tcPr>
          <w:p w:rsidRPr="005F055E" w:rsidR="00390010" w:rsidP="00180EEB" w:rsidRDefault="00390010" w14:paraId="2EB56692" w14:textId="025808A2">
            <w:pPr>
              <w:suppressAutoHyphens/>
              <w:spacing w:line="240" w:lineRule="auto"/>
              <w:rPr>
                <w:rFonts w:cs="Calibri"/>
                <w:i/>
                <w:iCs/>
                <w:color w:val="000000"/>
                <w:sz w:val="14"/>
                <w:szCs w:val="14"/>
              </w:rPr>
            </w:pPr>
            <w:r w:rsidRPr="005F055E">
              <w:rPr>
                <w:rFonts w:cs="Calibri"/>
                <w:i/>
                <w:iCs/>
                <w:color w:val="000000"/>
                <w:sz w:val="14"/>
                <w:szCs w:val="14"/>
                <w:vertAlign w:val="superscript"/>
              </w:rPr>
              <w:t>1</w:t>
            </w:r>
            <w:r w:rsidRPr="005F055E">
              <w:rPr>
                <w:rFonts w:cs="Calibri"/>
                <w:i/>
                <w:iCs/>
                <w:color w:val="000000"/>
                <w:sz w:val="14"/>
                <w:szCs w:val="14"/>
              </w:rPr>
              <w:t xml:space="preserve"> Bij de beoordeling van deze cijfers is van belang dat de groei van de zorguitgaven wordt beïnvloed door wijzigingen in de definitie van de zorguitgaven (zoals de overheveling van grote delen van de </w:t>
            </w:r>
            <w:proofErr w:type="spellStart"/>
            <w:r w:rsidRPr="005F055E">
              <w:rPr>
                <w:rFonts w:cs="Calibri"/>
                <w:i/>
                <w:iCs/>
                <w:color w:val="000000"/>
                <w:sz w:val="14"/>
                <w:szCs w:val="14"/>
              </w:rPr>
              <w:t>Wmo</w:t>
            </w:r>
            <w:proofErr w:type="spellEnd"/>
            <w:r w:rsidRPr="005F055E">
              <w:rPr>
                <w:rFonts w:cs="Calibri"/>
                <w:i/>
                <w:iCs/>
                <w:color w:val="000000"/>
                <w:sz w:val="14"/>
                <w:szCs w:val="14"/>
              </w:rPr>
              <w:t xml:space="preserve"> en de jeugdzorg naar het gemeentefonds) en door statistische vertekeningen, zoals in 2014 de technische correctie kader jeugd, in 2015 de technische correctie verkorting DBC-doorlooptijd en in 2021 de statistische verlaging van de uitgaven vanwege de nieuwe bekostigingssystematiek in de </w:t>
            </w:r>
            <w:r w:rsidR="00D55762">
              <w:rPr>
                <w:rFonts w:cs="Calibri"/>
                <w:i/>
                <w:iCs/>
                <w:color w:val="000000"/>
                <w:sz w:val="14"/>
                <w:szCs w:val="14"/>
              </w:rPr>
              <w:t>GGZ</w:t>
            </w:r>
            <w:r w:rsidRPr="005F055E">
              <w:rPr>
                <w:rFonts w:cs="Calibri"/>
                <w:i/>
                <w:iCs/>
                <w:color w:val="000000"/>
                <w:sz w:val="14"/>
                <w:szCs w:val="14"/>
              </w:rPr>
              <w:t>. Per 2024 is het Uitgavenplafond zorg (UPZ) afgeschaft.</w:t>
            </w:r>
          </w:p>
          <w:p w:rsidRPr="005F055E" w:rsidR="00390010" w:rsidP="00180EEB" w:rsidRDefault="00390010" w14:paraId="002CCE21" w14:textId="77777777">
            <w:pPr>
              <w:suppressAutoHyphens/>
              <w:spacing w:line="240" w:lineRule="auto"/>
              <w:rPr>
                <w:rFonts w:cs="Calibri"/>
                <w:i/>
                <w:iCs/>
                <w:color w:val="000000"/>
                <w:sz w:val="14"/>
                <w:szCs w:val="14"/>
              </w:rPr>
            </w:pPr>
            <w:r w:rsidRPr="005F055E">
              <w:rPr>
                <w:rFonts w:cs="Calibri"/>
                <w:i/>
                <w:iCs/>
                <w:color w:val="000000"/>
                <w:sz w:val="14"/>
                <w:szCs w:val="14"/>
              </w:rPr>
              <w:t xml:space="preserve"> </w:t>
            </w:r>
            <w:r w:rsidRPr="005F055E">
              <w:rPr>
                <w:rFonts w:cs="Calibri"/>
                <w:i/>
                <w:iCs/>
                <w:color w:val="000000"/>
                <w:sz w:val="14"/>
                <w:szCs w:val="14"/>
              </w:rPr>
              <w:br/>
              <w:t xml:space="preserve">Vanwege het afschaffen van de deelplafonds worden de </w:t>
            </w:r>
            <w:proofErr w:type="spellStart"/>
            <w:r w:rsidRPr="005F055E">
              <w:rPr>
                <w:rFonts w:cs="Calibri"/>
                <w:i/>
                <w:iCs/>
                <w:color w:val="000000"/>
                <w:sz w:val="14"/>
                <w:szCs w:val="14"/>
              </w:rPr>
              <w:t>begrotingsgefinancierde</w:t>
            </w:r>
            <w:proofErr w:type="spellEnd"/>
            <w:r w:rsidRPr="005F055E">
              <w:rPr>
                <w:rFonts w:cs="Calibri"/>
                <w:i/>
                <w:iCs/>
                <w:color w:val="000000"/>
                <w:sz w:val="14"/>
                <w:szCs w:val="14"/>
              </w:rPr>
              <w:t xml:space="preserve"> zorguitgaven van de VWS-begroting en de gereserveerde loon- en prijsbijstellingen vanaf de ontwerpbegroting 2025 voor de jaren vanaf 2024 niet meer opgenomen onder de definitie </w:t>
            </w:r>
            <w:proofErr w:type="spellStart"/>
            <w:r w:rsidRPr="005F055E">
              <w:rPr>
                <w:rFonts w:cs="Calibri"/>
                <w:i/>
                <w:iCs/>
                <w:color w:val="000000"/>
                <w:sz w:val="14"/>
                <w:szCs w:val="14"/>
              </w:rPr>
              <w:t>Premiegefinancierde</w:t>
            </w:r>
            <w:proofErr w:type="spellEnd"/>
            <w:r w:rsidRPr="005F055E">
              <w:rPr>
                <w:rFonts w:cs="Calibri"/>
                <w:i/>
                <w:iCs/>
                <w:color w:val="000000"/>
                <w:sz w:val="14"/>
                <w:szCs w:val="14"/>
              </w:rPr>
              <w:t xml:space="preserve"> zorguitgaven (PZ). Om vergelijkbare cijfers te presenteren zijn deze uitgaven in de onderstaande tabel ook voor de jaren 2010 t/m 2023 gecorrigeerd. In deze uitgavendefinitie zijn de uitgaven uit de artikelen van de VWS-begroting niet meegenomen. De definitie wijkt ook af van de definitie die in de Miljoenennota wordt gehanteerd.</w:t>
            </w:r>
          </w:p>
        </w:tc>
      </w:tr>
      <w:tr w:rsidRPr="005F055E" w:rsidR="00390010" w:rsidTr="005E2643" w14:paraId="584DEC93" w14:textId="77777777">
        <w:trPr>
          <w:trHeight w:val="564"/>
        </w:trPr>
        <w:tc>
          <w:tcPr>
            <w:tcW w:w="5000" w:type="pct"/>
            <w:gridSpan w:val="15"/>
            <w:tcBorders>
              <w:top w:val="nil"/>
              <w:left w:val="nil"/>
              <w:bottom w:val="nil"/>
              <w:right w:val="nil"/>
            </w:tcBorders>
            <w:shd w:val="clear" w:color="auto" w:fill="auto"/>
            <w:vAlign w:val="center"/>
            <w:hideMark/>
          </w:tcPr>
          <w:p w:rsidRPr="005F055E" w:rsidR="00390010" w:rsidP="00180EEB" w:rsidRDefault="00390010" w14:paraId="756C56E1" w14:textId="77777777">
            <w:pPr>
              <w:suppressAutoHyphens/>
              <w:spacing w:line="240" w:lineRule="auto"/>
              <w:rPr>
                <w:rFonts w:cs="Calibri"/>
                <w:i/>
                <w:iCs/>
                <w:color w:val="000000"/>
                <w:sz w:val="14"/>
                <w:szCs w:val="14"/>
              </w:rPr>
            </w:pPr>
            <w:r w:rsidRPr="005F055E">
              <w:rPr>
                <w:rFonts w:cs="Calibri"/>
                <w:i/>
                <w:iCs/>
                <w:color w:val="000000"/>
                <w:sz w:val="14"/>
                <w:szCs w:val="14"/>
                <w:vertAlign w:val="superscript"/>
              </w:rPr>
              <w:t xml:space="preserve"> 2</w:t>
            </w:r>
            <w:r w:rsidRPr="005F055E">
              <w:rPr>
                <w:rFonts w:cs="Calibri"/>
                <w:i/>
                <w:iCs/>
                <w:color w:val="000000"/>
                <w:sz w:val="14"/>
                <w:szCs w:val="14"/>
              </w:rPr>
              <w:t xml:space="preserve"> In 2014 zijn de zorguitgaven met € 346 miljoen neerwaarts bijgesteld als gevolg van de technische correctie kader jeugd.</w:t>
            </w:r>
          </w:p>
        </w:tc>
      </w:tr>
      <w:tr w:rsidRPr="005F055E" w:rsidR="00390010" w:rsidTr="005E2643" w14:paraId="15109F82" w14:textId="77777777">
        <w:trPr>
          <w:trHeight w:val="624"/>
        </w:trPr>
        <w:tc>
          <w:tcPr>
            <w:tcW w:w="5000" w:type="pct"/>
            <w:gridSpan w:val="15"/>
            <w:tcBorders>
              <w:top w:val="nil"/>
              <w:left w:val="nil"/>
              <w:bottom w:val="nil"/>
              <w:right w:val="nil"/>
            </w:tcBorders>
            <w:shd w:val="clear" w:color="auto" w:fill="auto"/>
            <w:vAlign w:val="center"/>
            <w:hideMark/>
          </w:tcPr>
          <w:p w:rsidRPr="005F055E" w:rsidR="00390010" w:rsidP="00180EEB" w:rsidRDefault="00390010" w14:paraId="4079A08A" w14:textId="77777777">
            <w:pPr>
              <w:suppressAutoHyphens/>
              <w:spacing w:line="240" w:lineRule="auto"/>
              <w:rPr>
                <w:rFonts w:cs="Calibri"/>
                <w:i/>
                <w:iCs/>
                <w:color w:val="000000"/>
                <w:sz w:val="14"/>
                <w:szCs w:val="14"/>
              </w:rPr>
            </w:pPr>
            <w:r w:rsidRPr="005F055E">
              <w:rPr>
                <w:rFonts w:cs="Calibri"/>
                <w:i/>
                <w:iCs/>
                <w:color w:val="000000"/>
                <w:sz w:val="14"/>
                <w:szCs w:val="14"/>
                <w:vertAlign w:val="superscript"/>
              </w:rPr>
              <w:t xml:space="preserve"> 3</w:t>
            </w:r>
            <w:r w:rsidRPr="005F055E">
              <w:rPr>
                <w:rFonts w:cs="Calibri"/>
                <w:i/>
                <w:iCs/>
                <w:color w:val="000000"/>
                <w:sz w:val="14"/>
                <w:szCs w:val="14"/>
              </w:rPr>
              <w:t xml:space="preserve"> In 2015 zijn de zorguitgaven met € 685 miljoen neerwaarts bijgesteld als gevolg van de technische correctie verkorting DBC-doorlooptijd.</w:t>
            </w:r>
          </w:p>
        </w:tc>
      </w:tr>
      <w:tr w:rsidRPr="005F055E" w:rsidR="00390010" w:rsidTr="005E2643" w14:paraId="2E9D86BC" w14:textId="77777777">
        <w:trPr>
          <w:trHeight w:val="1491"/>
        </w:trPr>
        <w:tc>
          <w:tcPr>
            <w:tcW w:w="5000" w:type="pct"/>
            <w:gridSpan w:val="15"/>
            <w:tcBorders>
              <w:top w:val="nil"/>
              <w:left w:val="nil"/>
              <w:bottom w:val="nil"/>
              <w:right w:val="nil"/>
            </w:tcBorders>
            <w:shd w:val="clear" w:color="auto" w:fill="auto"/>
            <w:vAlign w:val="center"/>
            <w:hideMark/>
          </w:tcPr>
          <w:p w:rsidRPr="005F055E" w:rsidR="00390010" w:rsidP="00180EEB" w:rsidRDefault="00390010" w14:paraId="39C3FBBE" w14:textId="77777777">
            <w:pPr>
              <w:suppressAutoHyphens/>
              <w:spacing w:line="240" w:lineRule="auto"/>
              <w:rPr>
                <w:rFonts w:cs="Calibri"/>
                <w:i/>
                <w:iCs/>
                <w:color w:val="000000"/>
                <w:sz w:val="14"/>
                <w:szCs w:val="14"/>
              </w:rPr>
            </w:pPr>
            <w:r w:rsidRPr="005F055E">
              <w:rPr>
                <w:rFonts w:cs="Calibri"/>
                <w:i/>
                <w:iCs/>
                <w:color w:val="000000"/>
                <w:sz w:val="14"/>
                <w:szCs w:val="14"/>
                <w:vertAlign w:val="superscript"/>
              </w:rPr>
              <w:t>4</w:t>
            </w:r>
            <w:r w:rsidRPr="005F055E">
              <w:rPr>
                <w:rFonts w:cs="Calibri"/>
                <w:i/>
                <w:iCs/>
                <w:color w:val="000000"/>
                <w:sz w:val="14"/>
                <w:szCs w:val="14"/>
              </w:rPr>
              <w:t xml:space="preserve"> De grote daling in 2015 ten opzichte van 2014 wordt met name veroorzaakt door de overheveling van de </w:t>
            </w:r>
            <w:proofErr w:type="spellStart"/>
            <w:r w:rsidRPr="005F055E">
              <w:rPr>
                <w:rFonts w:cs="Calibri"/>
                <w:i/>
                <w:iCs/>
                <w:color w:val="000000"/>
                <w:sz w:val="14"/>
                <w:szCs w:val="14"/>
              </w:rPr>
              <w:t>Wmo</w:t>
            </w:r>
            <w:proofErr w:type="spellEnd"/>
            <w:r w:rsidRPr="005F055E">
              <w:rPr>
                <w:rFonts w:cs="Calibri"/>
                <w:i/>
                <w:iCs/>
                <w:color w:val="000000"/>
                <w:sz w:val="14"/>
                <w:szCs w:val="14"/>
              </w:rPr>
              <w:t xml:space="preserve"> en jeugd in 2015 naar de Integratie-uitkering Sociaal Domein (IUSD). De IUSD telde mee in de definitie van de zorguitgaven. Vanaf 2019 zijn de middelen uit de IUSD opgegaan in de Algemene Uitkering van het gemeentefonds en zijn ze geen onderdeel meer van de definitie van de zorguitgaven. Om een vergelijkbare uitgavenreeks te hebben met dezelfde definitie is voor de jaren 2015 t/m 2018 gecorrigeerd voor de IUSD, door deze ook voor deze jaren niet mee te laten tellen onder de definitie die nu wordt gehanteerd voor de </w:t>
            </w:r>
            <w:proofErr w:type="spellStart"/>
            <w:r w:rsidRPr="005F055E">
              <w:rPr>
                <w:rFonts w:cs="Calibri"/>
                <w:i/>
                <w:iCs/>
                <w:color w:val="000000"/>
                <w:sz w:val="14"/>
                <w:szCs w:val="14"/>
              </w:rPr>
              <w:t>Premiegefinancierde</w:t>
            </w:r>
            <w:proofErr w:type="spellEnd"/>
            <w:r w:rsidRPr="005F055E">
              <w:rPr>
                <w:rFonts w:cs="Calibri"/>
                <w:i/>
                <w:iCs/>
                <w:color w:val="000000"/>
                <w:sz w:val="14"/>
                <w:szCs w:val="14"/>
              </w:rPr>
              <w:t xml:space="preserve"> Zorguitgaven (PZ).</w:t>
            </w:r>
          </w:p>
        </w:tc>
      </w:tr>
      <w:tr w:rsidRPr="005F055E" w:rsidR="00390010" w:rsidTr="005E2643" w14:paraId="6D238F49" w14:textId="77777777">
        <w:trPr>
          <w:trHeight w:val="912"/>
        </w:trPr>
        <w:tc>
          <w:tcPr>
            <w:tcW w:w="5000" w:type="pct"/>
            <w:gridSpan w:val="15"/>
            <w:tcBorders>
              <w:top w:val="nil"/>
              <w:left w:val="nil"/>
              <w:bottom w:val="nil"/>
              <w:right w:val="nil"/>
            </w:tcBorders>
            <w:shd w:val="clear" w:color="auto" w:fill="auto"/>
            <w:vAlign w:val="center"/>
            <w:hideMark/>
          </w:tcPr>
          <w:p w:rsidRPr="005F055E" w:rsidR="00390010" w:rsidP="00180EEB" w:rsidRDefault="00390010" w14:paraId="6C46A48C" w14:textId="584886C7">
            <w:pPr>
              <w:suppressAutoHyphens/>
              <w:spacing w:line="240" w:lineRule="auto"/>
              <w:rPr>
                <w:rFonts w:cs="Calibri"/>
                <w:i/>
                <w:iCs/>
                <w:color w:val="000000"/>
                <w:sz w:val="14"/>
                <w:szCs w:val="14"/>
              </w:rPr>
            </w:pPr>
            <w:r w:rsidRPr="005F055E">
              <w:rPr>
                <w:rFonts w:cs="Calibri"/>
                <w:i/>
                <w:iCs/>
                <w:color w:val="000000"/>
                <w:sz w:val="14"/>
                <w:szCs w:val="14"/>
                <w:vertAlign w:val="superscript"/>
              </w:rPr>
              <w:t>5</w:t>
            </w:r>
            <w:r w:rsidRPr="005F055E">
              <w:rPr>
                <w:rFonts w:cs="Calibri"/>
                <w:i/>
                <w:iCs/>
                <w:color w:val="000000"/>
                <w:sz w:val="14"/>
                <w:szCs w:val="14"/>
              </w:rPr>
              <w:t xml:space="preserve"> De zorguitgaven zijn in 2021 gecorrigeerd als gevolg van de technische correctieboeking van de schadelastdip </w:t>
            </w:r>
            <w:r w:rsidR="00D55762">
              <w:rPr>
                <w:rFonts w:cs="Calibri"/>
                <w:i/>
                <w:iCs/>
                <w:color w:val="000000"/>
                <w:sz w:val="14"/>
                <w:szCs w:val="14"/>
              </w:rPr>
              <w:t>GGZ</w:t>
            </w:r>
            <w:r w:rsidRPr="005F055E">
              <w:rPr>
                <w:rFonts w:cs="Calibri"/>
                <w:i/>
                <w:iCs/>
                <w:color w:val="000000"/>
                <w:sz w:val="14"/>
                <w:szCs w:val="14"/>
              </w:rPr>
              <w:t xml:space="preserve"> van ‒ € 1,2 miljard. Per 1 januari 2022 wordt een nieuw bekostigingsmodel voor de </w:t>
            </w:r>
            <w:r w:rsidR="00D55762">
              <w:rPr>
                <w:rFonts w:cs="Calibri"/>
                <w:i/>
                <w:iCs/>
                <w:color w:val="000000"/>
                <w:sz w:val="14"/>
                <w:szCs w:val="14"/>
              </w:rPr>
              <w:t>GGZ</w:t>
            </w:r>
            <w:r w:rsidRPr="005F055E">
              <w:rPr>
                <w:rFonts w:cs="Calibri"/>
                <w:i/>
                <w:iCs/>
                <w:color w:val="000000"/>
                <w:sz w:val="14"/>
                <w:szCs w:val="14"/>
              </w:rPr>
              <w:t xml:space="preserve"> ingevoerd. In dit nieuwe model wordt voor de bekostiging niet meer gewerkt met </w:t>
            </w:r>
            <w:proofErr w:type="spellStart"/>
            <w:r w:rsidRPr="005F055E">
              <w:rPr>
                <w:rFonts w:cs="Calibri"/>
                <w:i/>
                <w:iCs/>
                <w:color w:val="000000"/>
                <w:sz w:val="14"/>
                <w:szCs w:val="14"/>
              </w:rPr>
              <w:t>DBC’s</w:t>
            </w:r>
            <w:proofErr w:type="spellEnd"/>
            <w:r w:rsidRPr="005F055E">
              <w:rPr>
                <w:rFonts w:cs="Calibri"/>
                <w:i/>
                <w:iCs/>
                <w:color w:val="000000"/>
                <w:sz w:val="14"/>
                <w:szCs w:val="14"/>
              </w:rPr>
              <w:t xml:space="preserve"> en komt er een aparte bekostiging voor de basis-</w:t>
            </w:r>
            <w:r w:rsidR="00D55762">
              <w:rPr>
                <w:rFonts w:cs="Calibri"/>
                <w:i/>
                <w:iCs/>
                <w:color w:val="000000"/>
                <w:sz w:val="14"/>
                <w:szCs w:val="14"/>
              </w:rPr>
              <w:t>GGZ</w:t>
            </w:r>
            <w:r w:rsidRPr="005F055E">
              <w:rPr>
                <w:rFonts w:cs="Calibri"/>
                <w:i/>
                <w:iCs/>
                <w:color w:val="000000"/>
                <w:sz w:val="14"/>
                <w:szCs w:val="14"/>
              </w:rPr>
              <w:t xml:space="preserve">. De </w:t>
            </w:r>
            <w:proofErr w:type="spellStart"/>
            <w:r w:rsidRPr="005F055E">
              <w:rPr>
                <w:rFonts w:cs="Calibri"/>
                <w:i/>
                <w:iCs/>
                <w:color w:val="000000"/>
                <w:sz w:val="14"/>
                <w:szCs w:val="14"/>
              </w:rPr>
              <w:t>DBC’s</w:t>
            </w:r>
            <w:proofErr w:type="spellEnd"/>
            <w:r w:rsidRPr="005F055E">
              <w:rPr>
                <w:rFonts w:cs="Calibri"/>
                <w:i/>
                <w:iCs/>
                <w:color w:val="000000"/>
                <w:sz w:val="14"/>
                <w:szCs w:val="14"/>
              </w:rPr>
              <w:t xml:space="preserve"> die worden geopend in 2021 worden derhalve uiterlijk 31-12-2021 afgesloten; dit geldt ook voor de huidige bekostiging van de basis-</w:t>
            </w:r>
            <w:r w:rsidR="00D55762">
              <w:rPr>
                <w:rFonts w:cs="Calibri"/>
                <w:i/>
                <w:iCs/>
                <w:color w:val="000000"/>
                <w:sz w:val="14"/>
                <w:szCs w:val="14"/>
              </w:rPr>
              <w:t>GGZ</w:t>
            </w:r>
            <w:r w:rsidRPr="005F055E">
              <w:rPr>
                <w:rFonts w:cs="Calibri"/>
                <w:i/>
                <w:iCs/>
                <w:color w:val="000000"/>
                <w:sz w:val="14"/>
                <w:szCs w:val="14"/>
              </w:rPr>
              <w:t xml:space="preserve">. Hierdoor is er in 2021 om technisch-administratieve redenen sprake van eenmalig lagere zorguitgaven in termen van schadelast. Deze technische aanpassing heeft geen gevolgen voor de hoeveelheid </w:t>
            </w:r>
            <w:r w:rsidR="00D55762">
              <w:rPr>
                <w:rFonts w:cs="Calibri"/>
                <w:i/>
                <w:iCs/>
                <w:color w:val="000000"/>
                <w:sz w:val="14"/>
                <w:szCs w:val="14"/>
              </w:rPr>
              <w:t>GGZ</w:t>
            </w:r>
            <w:r w:rsidRPr="005F055E">
              <w:rPr>
                <w:rFonts w:cs="Calibri"/>
                <w:i/>
                <w:iCs/>
                <w:color w:val="000000"/>
                <w:sz w:val="14"/>
                <w:szCs w:val="14"/>
              </w:rPr>
              <w:t xml:space="preserve"> die feitelijk kan worden geleverd of op de omzetten van zorgaanbieders. Er is geen sprake van een bezuiniging. Deze technische bijstelling heeft dan ook geen gevolgen voor het EMU-saldo en geen invloed op de premiehoogte.</w:t>
            </w:r>
          </w:p>
        </w:tc>
      </w:tr>
    </w:tbl>
    <w:p w:rsidRPr="005F055E" w:rsidR="00912A7D" w:rsidP="00180EEB" w:rsidRDefault="00912A7D" w14:paraId="4DC10E01" w14:textId="77777777">
      <w:pPr>
        <w:suppressAutoHyphens/>
      </w:pPr>
    </w:p>
    <w:p w:rsidRPr="005F055E" w:rsidR="00912A7D" w:rsidP="00180EEB" w:rsidRDefault="003E7003" w14:paraId="5C311713" w14:textId="77777777">
      <w:pPr>
        <w:suppressAutoHyphens/>
      </w:pPr>
      <w:r w:rsidRPr="005F055E">
        <w:t>Vraag 174</w:t>
      </w:r>
      <w:r w:rsidRPr="005F055E">
        <w:tab/>
      </w:r>
    </w:p>
    <w:p w:rsidRPr="005F055E" w:rsidR="00912A7D" w:rsidP="00180EEB" w:rsidRDefault="003E7003" w14:paraId="0EC91872" w14:textId="77777777">
      <w:pPr>
        <w:suppressAutoHyphens/>
      </w:pPr>
      <w:r w:rsidRPr="005F055E">
        <w:t>Wat is het gemiddelde aan niet-vergoede zorgkosten en eigen bijdragen dat een chronische patiënt in 2025 naar benadering betaalt?</w:t>
      </w:r>
      <w:r w:rsidRPr="005F055E">
        <w:tab/>
      </w:r>
    </w:p>
    <w:p w:rsidR="006D333D" w:rsidP="00180EEB" w:rsidRDefault="006D333D" w14:paraId="759B02BA" w14:textId="77777777">
      <w:pPr>
        <w:suppressAutoHyphens/>
      </w:pPr>
    </w:p>
    <w:p w:rsidRPr="005F055E" w:rsidR="003E7003" w:rsidP="00180EEB" w:rsidRDefault="003E7003" w14:paraId="13675547" w14:textId="30317D27">
      <w:pPr>
        <w:suppressAutoHyphens/>
      </w:pPr>
      <w:r w:rsidRPr="005F055E">
        <w:t>Antwoord</w:t>
      </w:r>
    </w:p>
    <w:p w:rsidRPr="005F055E" w:rsidR="00390010" w:rsidP="00180EEB" w:rsidRDefault="00390010" w14:paraId="1959AB9A" w14:textId="77777777">
      <w:pPr>
        <w:suppressAutoHyphens/>
        <w:spacing w:line="276" w:lineRule="auto"/>
      </w:pPr>
      <w:r w:rsidRPr="005F055E">
        <w:t xml:space="preserve">Er bestaat geen eenduidige definitie voor wanneer iemand een chronische patiënt is. Daarnaast is er geen centrale databron beschikbaar voor niet-vergoede zorgkosten. Dit maakt het niet mogelijk om de gemiddelde niet-vergoede zorgkosten en eigen bijdragen van een chronische patiënt te bepalen. </w:t>
      </w:r>
    </w:p>
    <w:p w:rsidRPr="005F055E" w:rsidR="00390010" w:rsidP="00180EEB" w:rsidRDefault="00390010" w14:paraId="2018E526" w14:textId="77B200F6">
      <w:pPr>
        <w:suppressAutoHyphens/>
        <w:spacing w:line="276" w:lineRule="auto"/>
      </w:pPr>
      <w:r w:rsidRPr="005F055E">
        <w:br/>
        <w:t>Voor niet-vergoede zorgkosten die mensen maken in verband met ziekte of invaliditeit bestaat de fiscale regeling aftrek specifieke zorgkosten. Daar mogen mensen hun kosten voor geneeskundige hulp of hulpmiddelen onder bepaalde voorwaarden als aftrekpost opvoeren in de inkomstenbelasting. Voor mensen die geen of weinig inkomstenbelasting betalen en daardoor geen profijt hebben van het opvoeren van aftrekposten, bestaat er de tegemoetkoming specifieke zorgkosten.</w:t>
      </w:r>
      <w:r w:rsidRPr="005F055E" w:rsidR="009C0ACD">
        <w:t xml:space="preserve"> Ook kent een deel van de gemeenten een meerkostenregeling voor chronisch patiënten en mensen met een beperking.</w:t>
      </w:r>
    </w:p>
    <w:p w:rsidRPr="005F055E" w:rsidR="00912A7D" w:rsidP="00180EEB" w:rsidRDefault="00912A7D" w14:paraId="1E87F2C4" w14:textId="77777777">
      <w:pPr>
        <w:suppressAutoHyphens/>
      </w:pPr>
    </w:p>
    <w:p w:rsidRPr="005F055E" w:rsidR="00912A7D" w:rsidP="00180EEB" w:rsidRDefault="003E7003" w14:paraId="1EFDB44E" w14:textId="77777777">
      <w:pPr>
        <w:suppressAutoHyphens/>
      </w:pPr>
      <w:r w:rsidRPr="005F055E">
        <w:t>Vraag 175</w:t>
      </w:r>
      <w:r w:rsidRPr="005F055E">
        <w:tab/>
      </w:r>
    </w:p>
    <w:p w:rsidRPr="005F055E" w:rsidR="00912A7D" w:rsidP="00180EEB" w:rsidRDefault="003E7003" w14:paraId="023D57D0" w14:textId="77777777">
      <w:pPr>
        <w:suppressAutoHyphens/>
      </w:pPr>
      <w:r w:rsidRPr="005F055E">
        <w:t>Hoe heeft de nominale premie zich sinds 2006 ontwikkeld als percentage van het modale inkomen?</w:t>
      </w:r>
      <w:r w:rsidRPr="005F055E">
        <w:tab/>
      </w:r>
    </w:p>
    <w:p w:rsidRPr="005F055E" w:rsidR="003E7003" w:rsidP="00180EEB" w:rsidRDefault="003E7003" w14:paraId="7E3F4202" w14:textId="05FAD155">
      <w:pPr>
        <w:suppressAutoHyphens/>
      </w:pPr>
      <w:r w:rsidRPr="005F055E">
        <w:t>Antwoord</w:t>
      </w:r>
    </w:p>
    <w:tbl>
      <w:tblPr>
        <w:tblW w:w="5000" w:type="pct"/>
        <w:tblCellMar>
          <w:left w:w="70" w:type="dxa"/>
          <w:right w:w="70" w:type="dxa"/>
        </w:tblCellMar>
        <w:tblLook w:val="04A0" w:firstRow="1" w:lastRow="0" w:firstColumn="1" w:lastColumn="0" w:noHBand="0" w:noVBand="1"/>
      </w:tblPr>
      <w:tblGrid>
        <w:gridCol w:w="2169"/>
        <w:gridCol w:w="2286"/>
        <w:gridCol w:w="2286"/>
        <w:gridCol w:w="2286"/>
      </w:tblGrid>
      <w:tr w:rsidRPr="005F055E" w:rsidR="00390010" w:rsidTr="005E2643" w14:paraId="7C82A80A" w14:textId="77777777">
        <w:trPr>
          <w:trHeight w:val="1200"/>
        </w:trPr>
        <w:tc>
          <w:tcPr>
            <w:tcW w:w="1199" w:type="pct"/>
            <w:tcBorders>
              <w:top w:val="nil"/>
              <w:left w:val="nil"/>
              <w:bottom w:val="single" w:color="auto" w:sz="4" w:space="0"/>
              <w:right w:val="nil"/>
            </w:tcBorders>
            <w:shd w:val="clear" w:color="auto" w:fill="auto"/>
            <w:noWrap/>
            <w:vAlign w:val="bottom"/>
            <w:hideMark/>
          </w:tcPr>
          <w:p w:rsidRPr="00F36E36" w:rsidR="00390010" w:rsidP="00180EEB" w:rsidRDefault="00390010" w14:paraId="4815CC7C" w14:textId="77777777">
            <w:pPr>
              <w:suppressAutoHyphens/>
              <w:spacing w:line="240" w:lineRule="auto"/>
              <w:rPr>
                <w:color w:val="000000"/>
                <w:sz w:val="20"/>
                <w:szCs w:val="20"/>
              </w:rPr>
            </w:pPr>
            <w:r w:rsidRPr="00F36E36">
              <w:rPr>
                <w:color w:val="000000"/>
                <w:sz w:val="20"/>
                <w:szCs w:val="20"/>
              </w:rPr>
              <w:t> </w:t>
            </w:r>
          </w:p>
        </w:tc>
        <w:tc>
          <w:tcPr>
            <w:tcW w:w="1267" w:type="pct"/>
            <w:tcBorders>
              <w:top w:val="nil"/>
              <w:left w:val="nil"/>
              <w:bottom w:val="single" w:color="auto" w:sz="4" w:space="0"/>
              <w:right w:val="nil"/>
            </w:tcBorders>
            <w:shd w:val="clear" w:color="auto" w:fill="auto"/>
            <w:vAlign w:val="bottom"/>
            <w:hideMark/>
          </w:tcPr>
          <w:p w:rsidRPr="00F36E36" w:rsidR="00390010" w:rsidP="00180EEB" w:rsidRDefault="00390010" w14:paraId="075295FB" w14:textId="77777777">
            <w:pPr>
              <w:suppressAutoHyphens/>
              <w:spacing w:line="240" w:lineRule="auto"/>
              <w:rPr>
                <w:color w:val="000000"/>
                <w:sz w:val="20"/>
                <w:szCs w:val="20"/>
              </w:rPr>
            </w:pPr>
            <w:r w:rsidRPr="00F36E36">
              <w:rPr>
                <w:color w:val="000000"/>
                <w:sz w:val="20"/>
                <w:szCs w:val="20"/>
              </w:rPr>
              <w:t>Bruto modaal inkomen per jaar</w:t>
            </w:r>
          </w:p>
        </w:tc>
        <w:tc>
          <w:tcPr>
            <w:tcW w:w="1267" w:type="pct"/>
            <w:tcBorders>
              <w:top w:val="nil"/>
              <w:left w:val="nil"/>
              <w:bottom w:val="single" w:color="auto" w:sz="4" w:space="0"/>
              <w:right w:val="nil"/>
            </w:tcBorders>
            <w:shd w:val="clear" w:color="auto" w:fill="auto"/>
            <w:vAlign w:val="bottom"/>
            <w:hideMark/>
          </w:tcPr>
          <w:p w:rsidRPr="00F36E36" w:rsidR="00390010" w:rsidP="00180EEB" w:rsidRDefault="00390010" w14:paraId="06506500" w14:textId="77777777">
            <w:pPr>
              <w:suppressAutoHyphens/>
              <w:spacing w:line="240" w:lineRule="auto"/>
              <w:rPr>
                <w:color w:val="000000"/>
                <w:sz w:val="20"/>
                <w:szCs w:val="20"/>
              </w:rPr>
            </w:pPr>
            <w:r w:rsidRPr="00F36E36">
              <w:rPr>
                <w:color w:val="000000"/>
                <w:sz w:val="20"/>
                <w:szCs w:val="20"/>
              </w:rPr>
              <w:t>Nominale premie per jaar</w:t>
            </w:r>
          </w:p>
        </w:tc>
        <w:tc>
          <w:tcPr>
            <w:tcW w:w="1267" w:type="pct"/>
            <w:tcBorders>
              <w:top w:val="nil"/>
              <w:left w:val="nil"/>
              <w:bottom w:val="single" w:color="auto" w:sz="4" w:space="0"/>
              <w:right w:val="nil"/>
            </w:tcBorders>
            <w:shd w:val="clear" w:color="auto" w:fill="auto"/>
            <w:vAlign w:val="bottom"/>
            <w:hideMark/>
          </w:tcPr>
          <w:p w:rsidRPr="00F36E36" w:rsidR="00390010" w:rsidP="00180EEB" w:rsidRDefault="00390010" w14:paraId="553F67EC" w14:textId="77777777">
            <w:pPr>
              <w:suppressAutoHyphens/>
              <w:spacing w:line="240" w:lineRule="auto"/>
              <w:rPr>
                <w:color w:val="000000"/>
                <w:sz w:val="20"/>
                <w:szCs w:val="20"/>
              </w:rPr>
            </w:pPr>
            <w:r w:rsidRPr="00F36E36">
              <w:rPr>
                <w:color w:val="000000"/>
                <w:sz w:val="20"/>
                <w:szCs w:val="20"/>
              </w:rPr>
              <w:t>Nominale premie als percentage van het bruto modaal inkomen</w:t>
            </w:r>
          </w:p>
        </w:tc>
      </w:tr>
      <w:tr w:rsidRPr="005F055E" w:rsidR="00390010" w:rsidTr="005E2643" w14:paraId="0D0FCF79"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3B7589A2" w14:textId="77777777">
            <w:pPr>
              <w:suppressAutoHyphens/>
              <w:spacing w:line="240" w:lineRule="auto"/>
              <w:rPr>
                <w:b/>
                <w:bCs/>
                <w:color w:val="000000"/>
                <w:sz w:val="20"/>
                <w:szCs w:val="20"/>
              </w:rPr>
            </w:pPr>
            <w:r w:rsidRPr="00F36E36">
              <w:rPr>
                <w:b/>
                <w:bCs/>
                <w:color w:val="000000"/>
                <w:sz w:val="20"/>
                <w:szCs w:val="20"/>
              </w:rPr>
              <w:t>2006</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272DEB63" w14:textId="77777777">
            <w:pPr>
              <w:suppressAutoHyphens/>
              <w:spacing w:line="240" w:lineRule="auto"/>
              <w:rPr>
                <w:color w:val="000000"/>
                <w:sz w:val="20"/>
                <w:szCs w:val="20"/>
              </w:rPr>
            </w:pPr>
            <w:r w:rsidRPr="00F36E36">
              <w:rPr>
                <w:color w:val="000000"/>
                <w:sz w:val="20"/>
                <w:szCs w:val="20"/>
              </w:rPr>
              <w:t>29500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27ABFF25" w14:textId="77777777">
            <w:pPr>
              <w:suppressAutoHyphens/>
              <w:spacing w:line="240" w:lineRule="auto"/>
              <w:rPr>
                <w:color w:val="000000"/>
                <w:sz w:val="20"/>
                <w:szCs w:val="20"/>
              </w:rPr>
            </w:pPr>
            <w:r w:rsidRPr="00F36E36">
              <w:rPr>
                <w:color w:val="000000"/>
                <w:sz w:val="20"/>
                <w:szCs w:val="20"/>
              </w:rPr>
              <w:t>926</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0C68018A" w14:textId="77777777">
            <w:pPr>
              <w:suppressAutoHyphens/>
              <w:spacing w:line="240" w:lineRule="auto"/>
              <w:rPr>
                <w:color w:val="000000"/>
                <w:sz w:val="20"/>
                <w:szCs w:val="20"/>
              </w:rPr>
            </w:pPr>
            <w:r w:rsidRPr="00F36E36">
              <w:rPr>
                <w:color w:val="000000"/>
                <w:sz w:val="20"/>
                <w:szCs w:val="20"/>
              </w:rPr>
              <w:t>3%</w:t>
            </w:r>
          </w:p>
        </w:tc>
      </w:tr>
      <w:tr w:rsidRPr="005F055E" w:rsidR="00390010" w:rsidTr="005E2643" w14:paraId="50D2C960"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3296FB3F" w14:textId="77777777">
            <w:pPr>
              <w:suppressAutoHyphens/>
              <w:spacing w:line="240" w:lineRule="auto"/>
              <w:rPr>
                <w:b/>
                <w:bCs/>
                <w:color w:val="000000"/>
                <w:sz w:val="20"/>
                <w:szCs w:val="20"/>
              </w:rPr>
            </w:pPr>
            <w:r w:rsidRPr="00F36E36">
              <w:rPr>
                <w:b/>
                <w:bCs/>
                <w:color w:val="000000"/>
                <w:sz w:val="20"/>
                <w:szCs w:val="20"/>
              </w:rPr>
              <w:t>2007</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653172C1" w14:textId="77777777">
            <w:pPr>
              <w:suppressAutoHyphens/>
              <w:spacing w:line="240" w:lineRule="auto"/>
              <w:rPr>
                <w:color w:val="000000"/>
                <w:sz w:val="20"/>
                <w:szCs w:val="20"/>
              </w:rPr>
            </w:pPr>
            <w:r w:rsidRPr="00F36E36">
              <w:rPr>
                <w:color w:val="000000"/>
                <w:sz w:val="20"/>
                <w:szCs w:val="20"/>
              </w:rPr>
              <w:t>30000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350C5245" w14:textId="77777777">
            <w:pPr>
              <w:suppressAutoHyphens/>
              <w:spacing w:line="240" w:lineRule="auto"/>
              <w:rPr>
                <w:color w:val="000000"/>
                <w:sz w:val="20"/>
                <w:szCs w:val="20"/>
              </w:rPr>
            </w:pPr>
            <w:r w:rsidRPr="00F36E36">
              <w:rPr>
                <w:color w:val="000000"/>
                <w:sz w:val="20"/>
                <w:szCs w:val="20"/>
              </w:rPr>
              <w:t>1001</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34BCFA15" w14:textId="77777777">
            <w:pPr>
              <w:suppressAutoHyphens/>
              <w:spacing w:line="240" w:lineRule="auto"/>
              <w:rPr>
                <w:color w:val="000000"/>
                <w:sz w:val="20"/>
                <w:szCs w:val="20"/>
              </w:rPr>
            </w:pPr>
            <w:r w:rsidRPr="00F36E36">
              <w:rPr>
                <w:color w:val="000000"/>
                <w:sz w:val="20"/>
                <w:szCs w:val="20"/>
              </w:rPr>
              <w:t>3%</w:t>
            </w:r>
          </w:p>
        </w:tc>
      </w:tr>
      <w:tr w:rsidRPr="005F055E" w:rsidR="00390010" w:rsidTr="005E2643" w14:paraId="4EC7C747"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4184483C" w14:textId="77777777">
            <w:pPr>
              <w:suppressAutoHyphens/>
              <w:spacing w:line="240" w:lineRule="auto"/>
              <w:rPr>
                <w:b/>
                <w:bCs/>
                <w:color w:val="000000"/>
                <w:sz w:val="20"/>
                <w:szCs w:val="20"/>
              </w:rPr>
            </w:pPr>
            <w:r w:rsidRPr="00F36E36">
              <w:rPr>
                <w:b/>
                <w:bCs/>
                <w:color w:val="000000"/>
                <w:sz w:val="20"/>
                <w:szCs w:val="20"/>
              </w:rPr>
              <w:t>2008</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0AD3EFE8" w14:textId="77777777">
            <w:pPr>
              <w:suppressAutoHyphens/>
              <w:spacing w:line="240" w:lineRule="auto"/>
              <w:rPr>
                <w:color w:val="000000"/>
                <w:sz w:val="20"/>
                <w:szCs w:val="20"/>
              </w:rPr>
            </w:pPr>
            <w:r w:rsidRPr="00F36E36">
              <w:rPr>
                <w:color w:val="000000"/>
                <w:sz w:val="20"/>
                <w:szCs w:val="20"/>
              </w:rPr>
              <w:t>31500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7FA73D0B" w14:textId="77777777">
            <w:pPr>
              <w:suppressAutoHyphens/>
              <w:spacing w:line="240" w:lineRule="auto"/>
              <w:rPr>
                <w:color w:val="000000"/>
                <w:sz w:val="20"/>
                <w:szCs w:val="20"/>
              </w:rPr>
            </w:pPr>
            <w:r w:rsidRPr="00F36E36">
              <w:rPr>
                <w:color w:val="000000"/>
                <w:sz w:val="20"/>
                <w:szCs w:val="20"/>
              </w:rPr>
              <w:t>1049</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4DDDBDD1" w14:textId="77777777">
            <w:pPr>
              <w:suppressAutoHyphens/>
              <w:spacing w:line="240" w:lineRule="auto"/>
              <w:rPr>
                <w:color w:val="000000"/>
                <w:sz w:val="20"/>
                <w:szCs w:val="20"/>
              </w:rPr>
            </w:pPr>
            <w:r w:rsidRPr="00F36E36">
              <w:rPr>
                <w:color w:val="000000"/>
                <w:sz w:val="20"/>
                <w:szCs w:val="20"/>
              </w:rPr>
              <w:t>3%</w:t>
            </w:r>
          </w:p>
        </w:tc>
      </w:tr>
      <w:tr w:rsidRPr="005F055E" w:rsidR="00390010" w:rsidTr="005E2643" w14:paraId="05ECD34D"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6134CC27" w14:textId="77777777">
            <w:pPr>
              <w:suppressAutoHyphens/>
              <w:spacing w:line="240" w:lineRule="auto"/>
              <w:rPr>
                <w:b/>
                <w:bCs/>
                <w:color w:val="000000"/>
                <w:sz w:val="20"/>
                <w:szCs w:val="20"/>
              </w:rPr>
            </w:pPr>
            <w:r w:rsidRPr="00F36E36">
              <w:rPr>
                <w:b/>
                <w:bCs/>
                <w:color w:val="000000"/>
                <w:sz w:val="20"/>
                <w:szCs w:val="20"/>
              </w:rPr>
              <w:t>2009</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4188DA72" w14:textId="77777777">
            <w:pPr>
              <w:suppressAutoHyphens/>
              <w:spacing w:line="240" w:lineRule="auto"/>
              <w:rPr>
                <w:color w:val="000000"/>
                <w:sz w:val="20"/>
                <w:szCs w:val="20"/>
              </w:rPr>
            </w:pPr>
            <w:r w:rsidRPr="00F36E36">
              <w:rPr>
                <w:color w:val="000000"/>
                <w:sz w:val="20"/>
                <w:szCs w:val="20"/>
              </w:rPr>
              <w:t>32500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3A311EEE" w14:textId="77777777">
            <w:pPr>
              <w:suppressAutoHyphens/>
              <w:spacing w:line="240" w:lineRule="auto"/>
              <w:rPr>
                <w:color w:val="000000"/>
                <w:sz w:val="20"/>
                <w:szCs w:val="20"/>
              </w:rPr>
            </w:pPr>
            <w:r w:rsidRPr="00F36E36">
              <w:rPr>
                <w:color w:val="000000"/>
                <w:sz w:val="20"/>
                <w:szCs w:val="20"/>
              </w:rPr>
              <w:t>1059</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097C704C" w14:textId="77777777">
            <w:pPr>
              <w:suppressAutoHyphens/>
              <w:spacing w:line="240" w:lineRule="auto"/>
              <w:rPr>
                <w:color w:val="000000"/>
                <w:sz w:val="20"/>
                <w:szCs w:val="20"/>
              </w:rPr>
            </w:pPr>
            <w:r w:rsidRPr="00F36E36">
              <w:rPr>
                <w:color w:val="000000"/>
                <w:sz w:val="20"/>
                <w:szCs w:val="20"/>
              </w:rPr>
              <w:t>3%</w:t>
            </w:r>
          </w:p>
        </w:tc>
      </w:tr>
      <w:tr w:rsidRPr="005F055E" w:rsidR="00390010" w:rsidTr="005E2643" w14:paraId="3BD7E5FE"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6972F395" w14:textId="77777777">
            <w:pPr>
              <w:suppressAutoHyphens/>
              <w:spacing w:line="240" w:lineRule="auto"/>
              <w:rPr>
                <w:b/>
                <w:bCs/>
                <w:color w:val="000000"/>
                <w:sz w:val="20"/>
                <w:szCs w:val="20"/>
              </w:rPr>
            </w:pPr>
            <w:r w:rsidRPr="00F36E36">
              <w:rPr>
                <w:b/>
                <w:bCs/>
                <w:color w:val="000000"/>
                <w:sz w:val="20"/>
                <w:szCs w:val="20"/>
              </w:rPr>
              <w:t>2010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79F78752" w14:textId="77777777">
            <w:pPr>
              <w:suppressAutoHyphens/>
              <w:spacing w:line="240" w:lineRule="auto"/>
              <w:rPr>
                <w:color w:val="000000"/>
                <w:sz w:val="20"/>
                <w:szCs w:val="20"/>
              </w:rPr>
            </w:pPr>
            <w:r w:rsidRPr="00F36E36">
              <w:rPr>
                <w:color w:val="000000"/>
                <w:sz w:val="20"/>
                <w:szCs w:val="20"/>
              </w:rPr>
              <w:t>32500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280F6015" w14:textId="77777777">
            <w:pPr>
              <w:suppressAutoHyphens/>
              <w:spacing w:line="240" w:lineRule="auto"/>
              <w:rPr>
                <w:color w:val="000000"/>
                <w:sz w:val="20"/>
                <w:szCs w:val="20"/>
              </w:rPr>
            </w:pPr>
            <w:r w:rsidRPr="00F36E36">
              <w:rPr>
                <w:color w:val="000000"/>
                <w:sz w:val="20"/>
                <w:szCs w:val="20"/>
              </w:rPr>
              <w:t>1095</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70E5D2E1" w14:textId="77777777">
            <w:pPr>
              <w:suppressAutoHyphens/>
              <w:spacing w:line="240" w:lineRule="auto"/>
              <w:rPr>
                <w:color w:val="000000"/>
                <w:sz w:val="20"/>
                <w:szCs w:val="20"/>
              </w:rPr>
            </w:pPr>
            <w:r w:rsidRPr="00F36E36">
              <w:rPr>
                <w:color w:val="000000"/>
                <w:sz w:val="20"/>
                <w:szCs w:val="20"/>
              </w:rPr>
              <w:t>3%</w:t>
            </w:r>
          </w:p>
        </w:tc>
      </w:tr>
      <w:tr w:rsidRPr="005F055E" w:rsidR="00390010" w:rsidTr="005E2643" w14:paraId="78D2EFC0"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649F1C9C" w14:textId="77777777">
            <w:pPr>
              <w:suppressAutoHyphens/>
              <w:spacing w:line="240" w:lineRule="auto"/>
              <w:rPr>
                <w:b/>
                <w:bCs/>
                <w:color w:val="000000"/>
                <w:sz w:val="20"/>
                <w:szCs w:val="20"/>
              </w:rPr>
            </w:pPr>
            <w:r w:rsidRPr="00F36E36">
              <w:rPr>
                <w:b/>
                <w:bCs/>
                <w:color w:val="000000"/>
                <w:sz w:val="20"/>
                <w:szCs w:val="20"/>
              </w:rPr>
              <w:t>2011</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4719769F" w14:textId="77777777">
            <w:pPr>
              <w:suppressAutoHyphens/>
              <w:spacing w:line="240" w:lineRule="auto"/>
              <w:rPr>
                <w:color w:val="000000"/>
                <w:sz w:val="20"/>
                <w:szCs w:val="20"/>
              </w:rPr>
            </w:pPr>
            <w:r w:rsidRPr="00F36E36">
              <w:rPr>
                <w:color w:val="000000"/>
                <w:sz w:val="20"/>
                <w:szCs w:val="20"/>
              </w:rPr>
              <w:t>33000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36E88575" w14:textId="77777777">
            <w:pPr>
              <w:suppressAutoHyphens/>
              <w:spacing w:line="240" w:lineRule="auto"/>
              <w:rPr>
                <w:color w:val="000000"/>
                <w:sz w:val="20"/>
                <w:szCs w:val="20"/>
              </w:rPr>
            </w:pPr>
            <w:r w:rsidRPr="00F36E36">
              <w:rPr>
                <w:color w:val="000000"/>
                <w:sz w:val="20"/>
                <w:szCs w:val="20"/>
              </w:rPr>
              <w:t>1199</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1154AF3A" w14:textId="77777777">
            <w:pPr>
              <w:suppressAutoHyphens/>
              <w:spacing w:line="240" w:lineRule="auto"/>
              <w:rPr>
                <w:color w:val="000000"/>
                <w:sz w:val="20"/>
                <w:szCs w:val="20"/>
              </w:rPr>
            </w:pPr>
            <w:r w:rsidRPr="00F36E36">
              <w:rPr>
                <w:color w:val="000000"/>
                <w:sz w:val="20"/>
                <w:szCs w:val="20"/>
              </w:rPr>
              <w:t>4%</w:t>
            </w:r>
          </w:p>
        </w:tc>
      </w:tr>
      <w:tr w:rsidRPr="005F055E" w:rsidR="00390010" w:rsidTr="005E2643" w14:paraId="10AB63C1"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4F4494FB" w14:textId="77777777">
            <w:pPr>
              <w:suppressAutoHyphens/>
              <w:spacing w:line="240" w:lineRule="auto"/>
              <w:rPr>
                <w:b/>
                <w:bCs/>
                <w:color w:val="000000"/>
                <w:sz w:val="20"/>
                <w:szCs w:val="20"/>
              </w:rPr>
            </w:pPr>
            <w:r w:rsidRPr="00F36E36">
              <w:rPr>
                <w:b/>
                <w:bCs/>
                <w:color w:val="000000"/>
                <w:sz w:val="20"/>
                <w:szCs w:val="20"/>
              </w:rPr>
              <w:t>2012</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15144152" w14:textId="77777777">
            <w:pPr>
              <w:suppressAutoHyphens/>
              <w:spacing w:line="240" w:lineRule="auto"/>
              <w:rPr>
                <w:color w:val="000000"/>
                <w:sz w:val="20"/>
                <w:szCs w:val="20"/>
              </w:rPr>
            </w:pPr>
            <w:r w:rsidRPr="00F36E36">
              <w:rPr>
                <w:color w:val="000000"/>
                <w:sz w:val="20"/>
                <w:szCs w:val="20"/>
              </w:rPr>
              <w:t>33000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451A9BFD" w14:textId="77777777">
            <w:pPr>
              <w:suppressAutoHyphens/>
              <w:spacing w:line="240" w:lineRule="auto"/>
              <w:rPr>
                <w:color w:val="000000"/>
                <w:sz w:val="20"/>
                <w:szCs w:val="20"/>
              </w:rPr>
            </w:pPr>
            <w:r w:rsidRPr="00F36E36">
              <w:rPr>
                <w:color w:val="000000"/>
                <w:sz w:val="20"/>
                <w:szCs w:val="20"/>
              </w:rPr>
              <w:t>1226</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28DF1167" w14:textId="77777777">
            <w:pPr>
              <w:suppressAutoHyphens/>
              <w:spacing w:line="240" w:lineRule="auto"/>
              <w:rPr>
                <w:color w:val="000000"/>
                <w:sz w:val="20"/>
                <w:szCs w:val="20"/>
              </w:rPr>
            </w:pPr>
            <w:r w:rsidRPr="00F36E36">
              <w:rPr>
                <w:color w:val="000000"/>
                <w:sz w:val="20"/>
                <w:szCs w:val="20"/>
              </w:rPr>
              <w:t>4%</w:t>
            </w:r>
          </w:p>
        </w:tc>
      </w:tr>
      <w:tr w:rsidRPr="005F055E" w:rsidR="00390010" w:rsidTr="005E2643" w14:paraId="7F225A36"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1A1E9398" w14:textId="77777777">
            <w:pPr>
              <w:suppressAutoHyphens/>
              <w:spacing w:line="240" w:lineRule="auto"/>
              <w:rPr>
                <w:b/>
                <w:bCs/>
                <w:color w:val="000000"/>
                <w:sz w:val="20"/>
                <w:szCs w:val="20"/>
              </w:rPr>
            </w:pPr>
            <w:r w:rsidRPr="00F36E36">
              <w:rPr>
                <w:b/>
                <w:bCs/>
                <w:color w:val="000000"/>
                <w:sz w:val="20"/>
                <w:szCs w:val="20"/>
              </w:rPr>
              <w:t>2013</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2210F5B4" w14:textId="77777777">
            <w:pPr>
              <w:suppressAutoHyphens/>
              <w:spacing w:line="240" w:lineRule="auto"/>
              <w:rPr>
                <w:color w:val="000000"/>
                <w:sz w:val="20"/>
                <w:szCs w:val="20"/>
              </w:rPr>
            </w:pPr>
            <w:r w:rsidRPr="00F36E36">
              <w:rPr>
                <w:color w:val="000000"/>
                <w:sz w:val="20"/>
                <w:szCs w:val="20"/>
              </w:rPr>
              <w:t>32500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7FAEB8CD" w14:textId="77777777">
            <w:pPr>
              <w:suppressAutoHyphens/>
              <w:spacing w:line="240" w:lineRule="auto"/>
              <w:rPr>
                <w:color w:val="000000"/>
                <w:sz w:val="20"/>
                <w:szCs w:val="20"/>
              </w:rPr>
            </w:pPr>
            <w:r w:rsidRPr="00F36E36">
              <w:rPr>
                <w:color w:val="000000"/>
                <w:sz w:val="20"/>
                <w:szCs w:val="20"/>
              </w:rPr>
              <w:t>1213</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6CF49C70" w14:textId="77777777">
            <w:pPr>
              <w:suppressAutoHyphens/>
              <w:spacing w:line="240" w:lineRule="auto"/>
              <w:rPr>
                <w:color w:val="000000"/>
                <w:sz w:val="20"/>
                <w:szCs w:val="20"/>
              </w:rPr>
            </w:pPr>
            <w:r w:rsidRPr="00F36E36">
              <w:rPr>
                <w:color w:val="000000"/>
                <w:sz w:val="20"/>
                <w:szCs w:val="20"/>
              </w:rPr>
              <w:t>4%</w:t>
            </w:r>
          </w:p>
        </w:tc>
      </w:tr>
      <w:tr w:rsidRPr="005F055E" w:rsidR="00390010" w:rsidTr="005E2643" w14:paraId="10C9B8F7"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63EBCE9D" w14:textId="77777777">
            <w:pPr>
              <w:suppressAutoHyphens/>
              <w:spacing w:line="240" w:lineRule="auto"/>
              <w:rPr>
                <w:b/>
                <w:bCs/>
                <w:color w:val="000000"/>
                <w:sz w:val="20"/>
                <w:szCs w:val="20"/>
              </w:rPr>
            </w:pPr>
            <w:r w:rsidRPr="00F36E36">
              <w:rPr>
                <w:b/>
                <w:bCs/>
                <w:color w:val="000000"/>
                <w:sz w:val="20"/>
                <w:szCs w:val="20"/>
              </w:rPr>
              <w:t>2014</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686246C2" w14:textId="77777777">
            <w:pPr>
              <w:suppressAutoHyphens/>
              <w:spacing w:line="240" w:lineRule="auto"/>
              <w:rPr>
                <w:color w:val="000000"/>
                <w:sz w:val="20"/>
                <w:szCs w:val="20"/>
              </w:rPr>
            </w:pPr>
            <w:r w:rsidRPr="00F36E36">
              <w:rPr>
                <w:color w:val="000000"/>
                <w:sz w:val="20"/>
                <w:szCs w:val="20"/>
              </w:rPr>
              <w:t>33000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1D4165A2" w14:textId="77777777">
            <w:pPr>
              <w:suppressAutoHyphens/>
              <w:spacing w:line="240" w:lineRule="auto"/>
              <w:rPr>
                <w:color w:val="000000"/>
                <w:sz w:val="20"/>
                <w:szCs w:val="20"/>
              </w:rPr>
            </w:pPr>
            <w:r w:rsidRPr="00F36E36">
              <w:rPr>
                <w:color w:val="000000"/>
                <w:sz w:val="20"/>
                <w:szCs w:val="20"/>
              </w:rPr>
              <w:t>1098</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70E4B391" w14:textId="77777777">
            <w:pPr>
              <w:suppressAutoHyphens/>
              <w:spacing w:line="240" w:lineRule="auto"/>
              <w:rPr>
                <w:color w:val="000000"/>
                <w:sz w:val="20"/>
                <w:szCs w:val="20"/>
              </w:rPr>
            </w:pPr>
            <w:r w:rsidRPr="00F36E36">
              <w:rPr>
                <w:color w:val="000000"/>
                <w:sz w:val="20"/>
                <w:szCs w:val="20"/>
              </w:rPr>
              <w:t>3%</w:t>
            </w:r>
          </w:p>
        </w:tc>
      </w:tr>
      <w:tr w:rsidRPr="005F055E" w:rsidR="00390010" w:rsidTr="005E2643" w14:paraId="52EA9470"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25C995CD" w14:textId="77777777">
            <w:pPr>
              <w:suppressAutoHyphens/>
              <w:spacing w:line="240" w:lineRule="auto"/>
              <w:rPr>
                <w:b/>
                <w:bCs/>
                <w:color w:val="000000"/>
                <w:sz w:val="20"/>
                <w:szCs w:val="20"/>
              </w:rPr>
            </w:pPr>
            <w:r w:rsidRPr="00F36E36">
              <w:rPr>
                <w:b/>
                <w:bCs/>
                <w:color w:val="000000"/>
                <w:sz w:val="20"/>
                <w:szCs w:val="20"/>
              </w:rPr>
              <w:t>2015</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4184AA8C" w14:textId="77777777">
            <w:pPr>
              <w:suppressAutoHyphens/>
              <w:spacing w:line="240" w:lineRule="auto"/>
              <w:rPr>
                <w:color w:val="000000"/>
                <w:sz w:val="20"/>
                <w:szCs w:val="20"/>
              </w:rPr>
            </w:pPr>
            <w:r w:rsidRPr="00F36E36">
              <w:rPr>
                <w:color w:val="000000"/>
                <w:sz w:val="20"/>
                <w:szCs w:val="20"/>
              </w:rPr>
              <w:t>33000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198F84DE" w14:textId="77777777">
            <w:pPr>
              <w:suppressAutoHyphens/>
              <w:spacing w:line="240" w:lineRule="auto"/>
              <w:rPr>
                <w:color w:val="000000"/>
                <w:sz w:val="20"/>
                <w:szCs w:val="20"/>
              </w:rPr>
            </w:pPr>
            <w:r w:rsidRPr="00F36E36">
              <w:rPr>
                <w:color w:val="000000"/>
                <w:sz w:val="20"/>
                <w:szCs w:val="20"/>
              </w:rPr>
              <w:t>1158</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31E9017B" w14:textId="77777777">
            <w:pPr>
              <w:suppressAutoHyphens/>
              <w:spacing w:line="240" w:lineRule="auto"/>
              <w:rPr>
                <w:color w:val="000000"/>
                <w:sz w:val="20"/>
                <w:szCs w:val="20"/>
              </w:rPr>
            </w:pPr>
            <w:r w:rsidRPr="00F36E36">
              <w:rPr>
                <w:color w:val="000000"/>
                <w:sz w:val="20"/>
                <w:szCs w:val="20"/>
              </w:rPr>
              <w:t>4%</w:t>
            </w:r>
          </w:p>
        </w:tc>
      </w:tr>
      <w:tr w:rsidRPr="005F055E" w:rsidR="00390010" w:rsidTr="005E2643" w14:paraId="7E260363"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0C4D74D7" w14:textId="77777777">
            <w:pPr>
              <w:suppressAutoHyphens/>
              <w:spacing w:line="240" w:lineRule="auto"/>
              <w:rPr>
                <w:b/>
                <w:bCs/>
                <w:color w:val="000000"/>
                <w:sz w:val="20"/>
                <w:szCs w:val="20"/>
              </w:rPr>
            </w:pPr>
            <w:r w:rsidRPr="00F36E36">
              <w:rPr>
                <w:b/>
                <w:bCs/>
                <w:color w:val="000000"/>
                <w:sz w:val="20"/>
                <w:szCs w:val="20"/>
              </w:rPr>
              <w:t>2016</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12882204" w14:textId="77777777">
            <w:pPr>
              <w:suppressAutoHyphens/>
              <w:spacing w:line="240" w:lineRule="auto"/>
              <w:rPr>
                <w:color w:val="000000"/>
                <w:sz w:val="20"/>
                <w:szCs w:val="20"/>
              </w:rPr>
            </w:pPr>
            <w:r w:rsidRPr="00F36E36">
              <w:rPr>
                <w:color w:val="000000"/>
                <w:sz w:val="20"/>
                <w:szCs w:val="20"/>
              </w:rPr>
              <w:t>33500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0B8DB8FD" w14:textId="77777777">
            <w:pPr>
              <w:suppressAutoHyphens/>
              <w:spacing w:line="240" w:lineRule="auto"/>
              <w:rPr>
                <w:color w:val="000000"/>
                <w:sz w:val="20"/>
                <w:szCs w:val="20"/>
              </w:rPr>
            </w:pPr>
            <w:r w:rsidRPr="00F36E36">
              <w:rPr>
                <w:color w:val="000000"/>
                <w:sz w:val="20"/>
                <w:szCs w:val="20"/>
              </w:rPr>
              <w:t>1201</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56FE8AF7" w14:textId="77777777">
            <w:pPr>
              <w:suppressAutoHyphens/>
              <w:spacing w:line="240" w:lineRule="auto"/>
              <w:rPr>
                <w:color w:val="000000"/>
                <w:sz w:val="20"/>
                <w:szCs w:val="20"/>
              </w:rPr>
            </w:pPr>
            <w:r w:rsidRPr="00F36E36">
              <w:rPr>
                <w:color w:val="000000"/>
                <w:sz w:val="20"/>
                <w:szCs w:val="20"/>
              </w:rPr>
              <w:t>4%</w:t>
            </w:r>
          </w:p>
        </w:tc>
      </w:tr>
      <w:tr w:rsidRPr="005F055E" w:rsidR="00390010" w:rsidTr="005E2643" w14:paraId="45206B9A"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135CEF1E" w14:textId="77777777">
            <w:pPr>
              <w:suppressAutoHyphens/>
              <w:spacing w:line="240" w:lineRule="auto"/>
              <w:rPr>
                <w:b/>
                <w:bCs/>
                <w:color w:val="000000"/>
                <w:sz w:val="20"/>
                <w:szCs w:val="20"/>
              </w:rPr>
            </w:pPr>
            <w:r w:rsidRPr="00F36E36">
              <w:rPr>
                <w:b/>
                <w:bCs/>
                <w:color w:val="000000"/>
                <w:sz w:val="20"/>
                <w:szCs w:val="20"/>
              </w:rPr>
              <w:t>2017</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6F4E1901" w14:textId="77777777">
            <w:pPr>
              <w:suppressAutoHyphens/>
              <w:spacing w:line="240" w:lineRule="auto"/>
              <w:rPr>
                <w:color w:val="000000"/>
                <w:sz w:val="20"/>
                <w:szCs w:val="20"/>
              </w:rPr>
            </w:pPr>
            <w:r w:rsidRPr="00F36E36">
              <w:rPr>
                <w:color w:val="000000"/>
                <w:sz w:val="20"/>
                <w:szCs w:val="20"/>
              </w:rPr>
              <w:t>34000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222223AA" w14:textId="77777777">
            <w:pPr>
              <w:suppressAutoHyphens/>
              <w:spacing w:line="240" w:lineRule="auto"/>
              <w:rPr>
                <w:color w:val="000000"/>
                <w:sz w:val="20"/>
                <w:szCs w:val="20"/>
              </w:rPr>
            </w:pPr>
            <w:r w:rsidRPr="00F36E36">
              <w:rPr>
                <w:color w:val="000000"/>
                <w:sz w:val="20"/>
                <w:szCs w:val="20"/>
              </w:rPr>
              <w:t>1286</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12BF049B" w14:textId="77777777">
            <w:pPr>
              <w:suppressAutoHyphens/>
              <w:spacing w:line="240" w:lineRule="auto"/>
              <w:rPr>
                <w:color w:val="000000"/>
                <w:sz w:val="20"/>
                <w:szCs w:val="20"/>
              </w:rPr>
            </w:pPr>
            <w:r w:rsidRPr="00F36E36">
              <w:rPr>
                <w:color w:val="000000"/>
                <w:sz w:val="20"/>
                <w:szCs w:val="20"/>
              </w:rPr>
              <w:t>4%</w:t>
            </w:r>
          </w:p>
        </w:tc>
      </w:tr>
      <w:tr w:rsidRPr="005F055E" w:rsidR="00390010" w:rsidTr="005E2643" w14:paraId="301854D5"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07CCBCC1" w14:textId="77777777">
            <w:pPr>
              <w:suppressAutoHyphens/>
              <w:spacing w:line="240" w:lineRule="auto"/>
              <w:rPr>
                <w:b/>
                <w:bCs/>
                <w:color w:val="000000"/>
                <w:sz w:val="20"/>
                <w:szCs w:val="20"/>
              </w:rPr>
            </w:pPr>
            <w:r w:rsidRPr="00F36E36">
              <w:rPr>
                <w:b/>
                <w:bCs/>
                <w:color w:val="000000"/>
                <w:sz w:val="20"/>
                <w:szCs w:val="20"/>
              </w:rPr>
              <w:t>2018</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5471E85E" w14:textId="77777777">
            <w:pPr>
              <w:suppressAutoHyphens/>
              <w:spacing w:line="240" w:lineRule="auto"/>
              <w:rPr>
                <w:color w:val="000000"/>
                <w:sz w:val="20"/>
                <w:szCs w:val="20"/>
              </w:rPr>
            </w:pPr>
            <w:r w:rsidRPr="00F36E36">
              <w:rPr>
                <w:color w:val="000000"/>
                <w:sz w:val="20"/>
                <w:szCs w:val="20"/>
              </w:rPr>
              <w:t>34500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30EC3717" w14:textId="77777777">
            <w:pPr>
              <w:suppressAutoHyphens/>
              <w:spacing w:line="240" w:lineRule="auto"/>
              <w:rPr>
                <w:color w:val="000000"/>
                <w:sz w:val="20"/>
                <w:szCs w:val="20"/>
              </w:rPr>
            </w:pPr>
            <w:r w:rsidRPr="00F36E36">
              <w:rPr>
                <w:color w:val="000000"/>
                <w:sz w:val="20"/>
                <w:szCs w:val="20"/>
              </w:rPr>
              <w:t>1308</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710A3822" w14:textId="77777777">
            <w:pPr>
              <w:suppressAutoHyphens/>
              <w:spacing w:line="240" w:lineRule="auto"/>
              <w:rPr>
                <w:color w:val="000000"/>
                <w:sz w:val="20"/>
                <w:szCs w:val="20"/>
              </w:rPr>
            </w:pPr>
            <w:r w:rsidRPr="00F36E36">
              <w:rPr>
                <w:color w:val="000000"/>
                <w:sz w:val="20"/>
                <w:szCs w:val="20"/>
              </w:rPr>
              <w:t>4%</w:t>
            </w:r>
          </w:p>
        </w:tc>
      </w:tr>
      <w:tr w:rsidRPr="005F055E" w:rsidR="00390010" w:rsidTr="005E2643" w14:paraId="47FCAB87"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307B392F" w14:textId="77777777">
            <w:pPr>
              <w:suppressAutoHyphens/>
              <w:spacing w:line="240" w:lineRule="auto"/>
              <w:rPr>
                <w:b/>
                <w:bCs/>
                <w:color w:val="000000"/>
                <w:sz w:val="20"/>
                <w:szCs w:val="20"/>
              </w:rPr>
            </w:pPr>
            <w:r w:rsidRPr="00F36E36">
              <w:rPr>
                <w:b/>
                <w:bCs/>
                <w:color w:val="000000"/>
                <w:sz w:val="20"/>
                <w:szCs w:val="20"/>
              </w:rPr>
              <w:t>2019</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024D96B2" w14:textId="77777777">
            <w:pPr>
              <w:suppressAutoHyphens/>
              <w:spacing w:line="240" w:lineRule="auto"/>
              <w:rPr>
                <w:color w:val="000000"/>
                <w:sz w:val="20"/>
                <w:szCs w:val="20"/>
              </w:rPr>
            </w:pPr>
            <w:r w:rsidRPr="00F36E36">
              <w:rPr>
                <w:color w:val="000000"/>
                <w:sz w:val="20"/>
                <w:szCs w:val="20"/>
              </w:rPr>
              <w:t>35000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759ADD3D" w14:textId="77777777">
            <w:pPr>
              <w:suppressAutoHyphens/>
              <w:spacing w:line="240" w:lineRule="auto"/>
              <w:rPr>
                <w:color w:val="000000"/>
                <w:sz w:val="20"/>
                <w:szCs w:val="20"/>
              </w:rPr>
            </w:pPr>
            <w:r w:rsidRPr="00F36E36">
              <w:rPr>
                <w:color w:val="000000"/>
                <w:sz w:val="20"/>
                <w:szCs w:val="20"/>
              </w:rPr>
              <w:t>1384</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51265E4E" w14:textId="77777777">
            <w:pPr>
              <w:suppressAutoHyphens/>
              <w:spacing w:line="240" w:lineRule="auto"/>
              <w:rPr>
                <w:color w:val="000000"/>
                <w:sz w:val="20"/>
                <w:szCs w:val="20"/>
              </w:rPr>
            </w:pPr>
            <w:r w:rsidRPr="00F36E36">
              <w:rPr>
                <w:color w:val="000000"/>
                <w:sz w:val="20"/>
                <w:szCs w:val="20"/>
              </w:rPr>
              <w:t>4%</w:t>
            </w:r>
          </w:p>
        </w:tc>
      </w:tr>
      <w:tr w:rsidRPr="005F055E" w:rsidR="00390010" w:rsidTr="005E2643" w14:paraId="367DE677"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434D480A" w14:textId="77777777">
            <w:pPr>
              <w:suppressAutoHyphens/>
              <w:spacing w:line="240" w:lineRule="auto"/>
              <w:rPr>
                <w:b/>
                <w:bCs/>
                <w:color w:val="000000"/>
                <w:sz w:val="20"/>
                <w:szCs w:val="20"/>
              </w:rPr>
            </w:pPr>
            <w:r w:rsidRPr="00F36E36">
              <w:rPr>
                <w:b/>
                <w:bCs/>
                <w:color w:val="000000"/>
                <w:sz w:val="20"/>
                <w:szCs w:val="20"/>
              </w:rPr>
              <w:t>2020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06D173FD" w14:textId="77777777">
            <w:pPr>
              <w:suppressAutoHyphens/>
              <w:spacing w:line="240" w:lineRule="auto"/>
              <w:rPr>
                <w:color w:val="000000"/>
                <w:sz w:val="20"/>
                <w:szCs w:val="20"/>
              </w:rPr>
            </w:pPr>
            <w:r w:rsidRPr="00F36E36">
              <w:rPr>
                <w:color w:val="000000"/>
                <w:sz w:val="20"/>
                <w:szCs w:val="20"/>
              </w:rPr>
              <w:t>36500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2C5B67E9" w14:textId="77777777">
            <w:pPr>
              <w:suppressAutoHyphens/>
              <w:spacing w:line="240" w:lineRule="auto"/>
              <w:rPr>
                <w:color w:val="000000"/>
                <w:sz w:val="20"/>
                <w:szCs w:val="20"/>
              </w:rPr>
            </w:pPr>
            <w:r w:rsidRPr="00F36E36">
              <w:rPr>
                <w:color w:val="000000"/>
                <w:sz w:val="20"/>
                <w:szCs w:val="20"/>
              </w:rPr>
              <w:t>1414</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49AE158F" w14:textId="77777777">
            <w:pPr>
              <w:suppressAutoHyphens/>
              <w:spacing w:line="240" w:lineRule="auto"/>
              <w:rPr>
                <w:color w:val="000000"/>
                <w:sz w:val="20"/>
                <w:szCs w:val="20"/>
              </w:rPr>
            </w:pPr>
            <w:r w:rsidRPr="00F36E36">
              <w:rPr>
                <w:color w:val="000000"/>
                <w:sz w:val="20"/>
                <w:szCs w:val="20"/>
              </w:rPr>
              <w:t>4%</w:t>
            </w:r>
          </w:p>
        </w:tc>
      </w:tr>
      <w:tr w:rsidRPr="005F055E" w:rsidR="00390010" w:rsidTr="005E2643" w14:paraId="05CAB5EB"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16FF4311" w14:textId="77777777">
            <w:pPr>
              <w:suppressAutoHyphens/>
              <w:spacing w:line="240" w:lineRule="auto"/>
              <w:rPr>
                <w:b/>
                <w:bCs/>
                <w:color w:val="000000"/>
                <w:sz w:val="20"/>
                <w:szCs w:val="20"/>
              </w:rPr>
            </w:pPr>
            <w:r w:rsidRPr="00F36E36">
              <w:rPr>
                <w:b/>
                <w:bCs/>
                <w:color w:val="000000"/>
                <w:sz w:val="20"/>
                <w:szCs w:val="20"/>
              </w:rPr>
              <w:t>2021</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59BCA2DD" w14:textId="77777777">
            <w:pPr>
              <w:suppressAutoHyphens/>
              <w:spacing w:line="240" w:lineRule="auto"/>
              <w:rPr>
                <w:color w:val="000000"/>
                <w:sz w:val="20"/>
                <w:szCs w:val="20"/>
              </w:rPr>
            </w:pPr>
            <w:r w:rsidRPr="00F36E36">
              <w:rPr>
                <w:color w:val="000000"/>
                <w:sz w:val="20"/>
                <w:szCs w:val="20"/>
              </w:rPr>
              <w:t>37500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34C0E143" w14:textId="77777777">
            <w:pPr>
              <w:suppressAutoHyphens/>
              <w:spacing w:line="240" w:lineRule="auto"/>
              <w:rPr>
                <w:color w:val="000000"/>
                <w:sz w:val="20"/>
                <w:szCs w:val="20"/>
              </w:rPr>
            </w:pPr>
            <w:r w:rsidRPr="00F36E36">
              <w:rPr>
                <w:color w:val="000000"/>
                <w:sz w:val="20"/>
                <w:szCs w:val="20"/>
              </w:rPr>
              <w:t>1471</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668E8D2C" w14:textId="77777777">
            <w:pPr>
              <w:suppressAutoHyphens/>
              <w:spacing w:line="240" w:lineRule="auto"/>
              <w:rPr>
                <w:color w:val="000000"/>
                <w:sz w:val="20"/>
                <w:szCs w:val="20"/>
              </w:rPr>
            </w:pPr>
            <w:r w:rsidRPr="00F36E36">
              <w:rPr>
                <w:color w:val="000000"/>
                <w:sz w:val="20"/>
                <w:szCs w:val="20"/>
              </w:rPr>
              <w:t>4%</w:t>
            </w:r>
          </w:p>
        </w:tc>
      </w:tr>
      <w:tr w:rsidRPr="005F055E" w:rsidR="00390010" w:rsidTr="005E2643" w14:paraId="18F7BC80"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4CB19F2F" w14:textId="77777777">
            <w:pPr>
              <w:suppressAutoHyphens/>
              <w:spacing w:line="240" w:lineRule="auto"/>
              <w:rPr>
                <w:b/>
                <w:bCs/>
                <w:color w:val="000000"/>
                <w:sz w:val="20"/>
                <w:szCs w:val="20"/>
              </w:rPr>
            </w:pPr>
            <w:r w:rsidRPr="00F36E36">
              <w:rPr>
                <w:b/>
                <w:bCs/>
                <w:color w:val="000000"/>
                <w:sz w:val="20"/>
                <w:szCs w:val="20"/>
              </w:rPr>
              <w:t>2022</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5534AB5C" w14:textId="77777777">
            <w:pPr>
              <w:suppressAutoHyphens/>
              <w:spacing w:line="240" w:lineRule="auto"/>
              <w:rPr>
                <w:color w:val="000000"/>
                <w:sz w:val="20"/>
                <w:szCs w:val="20"/>
              </w:rPr>
            </w:pPr>
            <w:r w:rsidRPr="00F36E36">
              <w:rPr>
                <w:color w:val="000000"/>
                <w:sz w:val="20"/>
                <w:szCs w:val="20"/>
              </w:rPr>
              <w:t>39000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609EC7BB" w14:textId="77777777">
            <w:pPr>
              <w:suppressAutoHyphens/>
              <w:spacing w:line="240" w:lineRule="auto"/>
              <w:rPr>
                <w:color w:val="000000"/>
                <w:sz w:val="20"/>
                <w:szCs w:val="20"/>
              </w:rPr>
            </w:pPr>
            <w:r w:rsidRPr="00F36E36">
              <w:rPr>
                <w:color w:val="000000"/>
                <w:sz w:val="20"/>
                <w:szCs w:val="20"/>
              </w:rPr>
              <w:t>1514</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46612C92" w14:textId="77777777">
            <w:pPr>
              <w:suppressAutoHyphens/>
              <w:spacing w:line="240" w:lineRule="auto"/>
              <w:rPr>
                <w:color w:val="000000"/>
                <w:sz w:val="20"/>
                <w:szCs w:val="20"/>
              </w:rPr>
            </w:pPr>
            <w:r w:rsidRPr="00F36E36">
              <w:rPr>
                <w:color w:val="000000"/>
                <w:sz w:val="20"/>
                <w:szCs w:val="20"/>
              </w:rPr>
              <w:t>4%</w:t>
            </w:r>
          </w:p>
        </w:tc>
      </w:tr>
      <w:tr w:rsidRPr="005F055E" w:rsidR="00390010" w:rsidTr="005E2643" w14:paraId="08E3F92A"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73073DB5" w14:textId="77777777">
            <w:pPr>
              <w:suppressAutoHyphens/>
              <w:spacing w:line="240" w:lineRule="auto"/>
              <w:rPr>
                <w:b/>
                <w:bCs/>
                <w:color w:val="000000"/>
                <w:sz w:val="20"/>
                <w:szCs w:val="20"/>
              </w:rPr>
            </w:pPr>
            <w:r w:rsidRPr="00F36E36">
              <w:rPr>
                <w:b/>
                <w:bCs/>
                <w:color w:val="000000"/>
                <w:sz w:val="20"/>
                <w:szCs w:val="20"/>
              </w:rPr>
              <w:t>2023</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77D74655" w14:textId="77777777">
            <w:pPr>
              <w:suppressAutoHyphens/>
              <w:spacing w:line="240" w:lineRule="auto"/>
              <w:rPr>
                <w:color w:val="000000"/>
                <w:sz w:val="20"/>
                <w:szCs w:val="20"/>
              </w:rPr>
            </w:pPr>
            <w:r w:rsidRPr="00F36E36">
              <w:rPr>
                <w:color w:val="000000"/>
                <w:sz w:val="20"/>
                <w:szCs w:val="20"/>
              </w:rPr>
              <w:t>41500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18B21534" w14:textId="77777777">
            <w:pPr>
              <w:suppressAutoHyphens/>
              <w:spacing w:line="240" w:lineRule="auto"/>
              <w:rPr>
                <w:color w:val="000000"/>
                <w:sz w:val="20"/>
                <w:szCs w:val="20"/>
              </w:rPr>
            </w:pPr>
            <w:r w:rsidRPr="00F36E36">
              <w:rPr>
                <w:color w:val="000000"/>
                <w:sz w:val="20"/>
                <w:szCs w:val="20"/>
              </w:rPr>
              <w:t>1650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02E43C25" w14:textId="77777777">
            <w:pPr>
              <w:suppressAutoHyphens/>
              <w:spacing w:line="240" w:lineRule="auto"/>
              <w:rPr>
                <w:color w:val="000000"/>
                <w:sz w:val="20"/>
                <w:szCs w:val="20"/>
              </w:rPr>
            </w:pPr>
            <w:r w:rsidRPr="00F36E36">
              <w:rPr>
                <w:color w:val="000000"/>
                <w:sz w:val="20"/>
                <w:szCs w:val="20"/>
              </w:rPr>
              <w:t>4%</w:t>
            </w:r>
          </w:p>
        </w:tc>
      </w:tr>
      <w:tr w:rsidRPr="005F055E" w:rsidR="00390010" w:rsidTr="005E2643" w14:paraId="52719522"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2CDA69B2" w14:textId="77777777">
            <w:pPr>
              <w:suppressAutoHyphens/>
              <w:spacing w:line="240" w:lineRule="auto"/>
              <w:rPr>
                <w:b/>
                <w:bCs/>
                <w:color w:val="000000"/>
                <w:sz w:val="20"/>
                <w:szCs w:val="20"/>
              </w:rPr>
            </w:pPr>
            <w:r w:rsidRPr="00F36E36">
              <w:rPr>
                <w:b/>
                <w:bCs/>
                <w:color w:val="000000"/>
                <w:sz w:val="20"/>
                <w:szCs w:val="20"/>
              </w:rPr>
              <w:t>2024</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5215AD4B" w14:textId="77777777">
            <w:pPr>
              <w:suppressAutoHyphens/>
              <w:spacing w:line="240" w:lineRule="auto"/>
              <w:rPr>
                <w:color w:val="000000"/>
                <w:sz w:val="20"/>
                <w:szCs w:val="20"/>
              </w:rPr>
            </w:pPr>
            <w:r w:rsidRPr="00F36E36">
              <w:rPr>
                <w:color w:val="000000"/>
                <w:sz w:val="20"/>
                <w:szCs w:val="20"/>
              </w:rPr>
              <w:t>44000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24A5E675" w14:textId="77777777">
            <w:pPr>
              <w:suppressAutoHyphens/>
              <w:spacing w:line="240" w:lineRule="auto"/>
              <w:rPr>
                <w:color w:val="000000"/>
                <w:sz w:val="20"/>
                <w:szCs w:val="20"/>
              </w:rPr>
            </w:pPr>
            <w:r w:rsidRPr="00F36E36">
              <w:rPr>
                <w:color w:val="000000"/>
                <w:sz w:val="20"/>
                <w:szCs w:val="20"/>
              </w:rPr>
              <w:t>1747</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0B86EE53" w14:textId="77777777">
            <w:pPr>
              <w:suppressAutoHyphens/>
              <w:spacing w:line="240" w:lineRule="auto"/>
              <w:rPr>
                <w:color w:val="000000"/>
                <w:sz w:val="20"/>
                <w:szCs w:val="20"/>
              </w:rPr>
            </w:pPr>
            <w:r w:rsidRPr="00F36E36">
              <w:rPr>
                <w:color w:val="000000"/>
                <w:sz w:val="20"/>
                <w:szCs w:val="20"/>
              </w:rPr>
              <w:t>4%</w:t>
            </w:r>
          </w:p>
        </w:tc>
      </w:tr>
      <w:tr w:rsidRPr="005F055E" w:rsidR="00390010" w:rsidTr="005E2643" w14:paraId="71CFBCAB"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6A730EEB" w14:textId="77777777">
            <w:pPr>
              <w:suppressAutoHyphens/>
              <w:spacing w:line="240" w:lineRule="auto"/>
              <w:rPr>
                <w:b/>
                <w:bCs/>
                <w:color w:val="000000"/>
                <w:sz w:val="20"/>
                <w:szCs w:val="20"/>
              </w:rPr>
            </w:pPr>
            <w:r w:rsidRPr="00F36E36">
              <w:rPr>
                <w:b/>
                <w:bCs/>
                <w:color w:val="000000"/>
                <w:sz w:val="20"/>
                <w:szCs w:val="20"/>
              </w:rPr>
              <w:t>2025</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5B1037D8" w14:textId="77777777">
            <w:pPr>
              <w:suppressAutoHyphens/>
              <w:spacing w:line="240" w:lineRule="auto"/>
              <w:rPr>
                <w:color w:val="000000"/>
                <w:sz w:val="20"/>
                <w:szCs w:val="20"/>
              </w:rPr>
            </w:pPr>
            <w:r w:rsidRPr="00F36E36">
              <w:rPr>
                <w:color w:val="000000"/>
                <w:sz w:val="20"/>
                <w:szCs w:val="20"/>
              </w:rPr>
              <w:t>46000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183B3795" w14:textId="77777777">
            <w:pPr>
              <w:suppressAutoHyphens/>
              <w:spacing w:line="240" w:lineRule="auto"/>
              <w:rPr>
                <w:color w:val="000000"/>
                <w:sz w:val="20"/>
                <w:szCs w:val="20"/>
              </w:rPr>
            </w:pPr>
            <w:r w:rsidRPr="00F36E36">
              <w:rPr>
                <w:color w:val="000000"/>
                <w:sz w:val="20"/>
                <w:szCs w:val="20"/>
              </w:rPr>
              <w:t>1876</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32D00800" w14:textId="77777777">
            <w:pPr>
              <w:suppressAutoHyphens/>
              <w:spacing w:line="240" w:lineRule="auto"/>
              <w:rPr>
                <w:color w:val="000000"/>
                <w:sz w:val="20"/>
                <w:szCs w:val="20"/>
              </w:rPr>
            </w:pPr>
            <w:r w:rsidRPr="00F36E36">
              <w:rPr>
                <w:color w:val="000000"/>
                <w:sz w:val="20"/>
                <w:szCs w:val="20"/>
              </w:rPr>
              <w:t>4%</w:t>
            </w:r>
          </w:p>
        </w:tc>
      </w:tr>
      <w:tr w:rsidRPr="005F055E" w:rsidR="00390010" w:rsidTr="005E2643" w14:paraId="23EA94B5" w14:textId="77777777">
        <w:trPr>
          <w:trHeight w:val="300"/>
        </w:trPr>
        <w:tc>
          <w:tcPr>
            <w:tcW w:w="1199" w:type="pct"/>
            <w:tcBorders>
              <w:top w:val="nil"/>
              <w:left w:val="nil"/>
              <w:bottom w:val="nil"/>
              <w:right w:val="nil"/>
            </w:tcBorders>
            <w:shd w:val="clear" w:color="auto" w:fill="auto"/>
            <w:noWrap/>
            <w:vAlign w:val="bottom"/>
            <w:hideMark/>
          </w:tcPr>
          <w:p w:rsidRPr="00F36E36" w:rsidR="00390010" w:rsidP="00180EEB" w:rsidRDefault="00390010" w14:paraId="4985CFB3" w14:textId="77777777">
            <w:pPr>
              <w:suppressAutoHyphens/>
              <w:spacing w:line="240" w:lineRule="auto"/>
              <w:rPr>
                <w:b/>
                <w:bCs/>
                <w:color w:val="000000"/>
                <w:sz w:val="20"/>
                <w:szCs w:val="20"/>
              </w:rPr>
            </w:pPr>
            <w:r w:rsidRPr="00F36E36">
              <w:rPr>
                <w:b/>
                <w:bCs/>
                <w:color w:val="000000"/>
                <w:sz w:val="20"/>
                <w:szCs w:val="20"/>
              </w:rPr>
              <w:t>2026</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2D7DEF4E" w14:textId="77777777">
            <w:pPr>
              <w:suppressAutoHyphens/>
              <w:spacing w:line="240" w:lineRule="auto"/>
              <w:rPr>
                <w:color w:val="000000"/>
                <w:sz w:val="20"/>
                <w:szCs w:val="20"/>
              </w:rPr>
            </w:pPr>
            <w:r w:rsidRPr="00F36E36">
              <w:rPr>
                <w:color w:val="000000"/>
                <w:sz w:val="20"/>
                <w:szCs w:val="20"/>
              </w:rPr>
              <w:t>48000</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53523EAE" w14:textId="77777777">
            <w:pPr>
              <w:suppressAutoHyphens/>
              <w:spacing w:line="240" w:lineRule="auto"/>
              <w:rPr>
                <w:color w:val="000000"/>
                <w:sz w:val="20"/>
                <w:szCs w:val="20"/>
              </w:rPr>
            </w:pPr>
            <w:r w:rsidRPr="00F36E36">
              <w:rPr>
                <w:color w:val="000000"/>
                <w:sz w:val="20"/>
                <w:szCs w:val="20"/>
              </w:rPr>
              <w:t>1908</w:t>
            </w:r>
          </w:p>
        </w:tc>
        <w:tc>
          <w:tcPr>
            <w:tcW w:w="1267" w:type="pct"/>
            <w:tcBorders>
              <w:top w:val="nil"/>
              <w:left w:val="nil"/>
              <w:bottom w:val="nil"/>
              <w:right w:val="nil"/>
            </w:tcBorders>
            <w:shd w:val="clear" w:color="auto" w:fill="auto"/>
            <w:noWrap/>
            <w:vAlign w:val="bottom"/>
            <w:hideMark/>
          </w:tcPr>
          <w:p w:rsidRPr="00F36E36" w:rsidR="00390010" w:rsidP="00180EEB" w:rsidRDefault="00390010" w14:paraId="153B6DA8" w14:textId="77777777">
            <w:pPr>
              <w:suppressAutoHyphens/>
              <w:spacing w:line="240" w:lineRule="auto"/>
              <w:rPr>
                <w:color w:val="000000"/>
                <w:sz w:val="20"/>
                <w:szCs w:val="20"/>
              </w:rPr>
            </w:pPr>
            <w:r w:rsidRPr="00F36E36">
              <w:rPr>
                <w:color w:val="000000"/>
                <w:sz w:val="20"/>
                <w:szCs w:val="20"/>
              </w:rPr>
              <w:t>4%</w:t>
            </w:r>
          </w:p>
        </w:tc>
      </w:tr>
      <w:tr w:rsidRPr="005F055E" w:rsidR="00390010" w:rsidTr="005E2643" w14:paraId="34791442" w14:textId="77777777">
        <w:trPr>
          <w:trHeight w:val="300"/>
        </w:trPr>
        <w:tc>
          <w:tcPr>
            <w:tcW w:w="5000" w:type="pct"/>
            <w:gridSpan w:val="4"/>
            <w:tcBorders>
              <w:top w:val="nil"/>
              <w:left w:val="nil"/>
              <w:bottom w:val="nil"/>
              <w:right w:val="nil"/>
            </w:tcBorders>
            <w:shd w:val="clear" w:color="auto" w:fill="auto"/>
            <w:noWrap/>
            <w:vAlign w:val="bottom"/>
            <w:hideMark/>
          </w:tcPr>
          <w:p w:rsidRPr="005F055E" w:rsidR="00390010" w:rsidP="00180EEB" w:rsidRDefault="00390010" w14:paraId="7957B2F3" w14:textId="77777777">
            <w:pPr>
              <w:suppressAutoHyphens/>
              <w:spacing w:line="240" w:lineRule="auto"/>
              <w:rPr>
                <w:i/>
                <w:iCs/>
                <w:color w:val="000000"/>
                <w:sz w:val="22"/>
              </w:rPr>
            </w:pPr>
            <w:r w:rsidRPr="00F36E36">
              <w:rPr>
                <w:i/>
                <w:iCs/>
                <w:color w:val="000000"/>
                <w:sz w:val="20"/>
                <w:szCs w:val="20"/>
              </w:rPr>
              <w:t>Noot: De inschatting van het modale inkomen is overgenomen van het CPB. De nominale premie in de jaren 2006 en 2007 wijkt af vanwege de no-claimkorting. Gepresenteerde premie in die jaren is inclusief no-claim premie en gemiddelde no-claim teruggave. Het jaar 2026 is gebaseerd op een raming van de premie en het inkomen.</w:t>
            </w:r>
          </w:p>
        </w:tc>
      </w:tr>
    </w:tbl>
    <w:p w:rsidRPr="005F055E" w:rsidR="00912A7D" w:rsidP="00180EEB" w:rsidRDefault="00912A7D" w14:paraId="73796C6A" w14:textId="77777777">
      <w:pPr>
        <w:suppressAutoHyphens/>
      </w:pPr>
    </w:p>
    <w:p w:rsidRPr="005F055E" w:rsidR="00912A7D" w:rsidP="00180EEB" w:rsidRDefault="003E7003" w14:paraId="18F9311C" w14:textId="77777777">
      <w:pPr>
        <w:suppressAutoHyphens/>
      </w:pPr>
      <w:r w:rsidRPr="005F055E">
        <w:t>Vraag 176</w:t>
      </w:r>
      <w:r w:rsidRPr="005F055E">
        <w:tab/>
      </w:r>
    </w:p>
    <w:p w:rsidRPr="005F055E" w:rsidR="00912A7D" w:rsidP="00180EEB" w:rsidRDefault="003E7003" w14:paraId="19E9D023" w14:textId="77777777">
      <w:pPr>
        <w:suppressAutoHyphens/>
      </w:pPr>
      <w:r w:rsidRPr="005F055E">
        <w:t>Hoe heeft de nominale premie zich sinds 2006 ontwikkeld als percentage van het minimumloon op maandbasis?</w:t>
      </w:r>
      <w:r w:rsidRPr="005F055E">
        <w:tab/>
      </w:r>
    </w:p>
    <w:p w:rsidRPr="005F055E" w:rsidR="003E7003" w:rsidP="00180EEB" w:rsidRDefault="003E7003" w14:paraId="5BD42FED" w14:textId="2ADDCC0D">
      <w:pPr>
        <w:suppressAutoHyphens/>
      </w:pPr>
      <w:r w:rsidRPr="005F055E">
        <w:t>Antwoord</w:t>
      </w:r>
    </w:p>
    <w:tbl>
      <w:tblPr>
        <w:tblW w:w="5000" w:type="pct"/>
        <w:tblCellMar>
          <w:left w:w="70" w:type="dxa"/>
          <w:right w:w="70" w:type="dxa"/>
        </w:tblCellMar>
        <w:tblLook w:val="04A0" w:firstRow="1" w:lastRow="0" w:firstColumn="1" w:lastColumn="0" w:noHBand="0" w:noVBand="1"/>
      </w:tblPr>
      <w:tblGrid>
        <w:gridCol w:w="1978"/>
        <w:gridCol w:w="2396"/>
        <w:gridCol w:w="2396"/>
        <w:gridCol w:w="2257"/>
      </w:tblGrid>
      <w:tr w:rsidRPr="005F055E" w:rsidR="00390010" w:rsidTr="005E2643" w14:paraId="0664EBC4" w14:textId="77777777">
        <w:trPr>
          <w:trHeight w:val="900"/>
        </w:trPr>
        <w:tc>
          <w:tcPr>
            <w:tcW w:w="1095" w:type="pct"/>
            <w:tcBorders>
              <w:top w:val="nil"/>
              <w:left w:val="nil"/>
              <w:bottom w:val="single" w:color="auto" w:sz="4" w:space="0"/>
              <w:right w:val="nil"/>
            </w:tcBorders>
            <w:shd w:val="clear" w:color="auto" w:fill="auto"/>
            <w:noWrap/>
            <w:vAlign w:val="bottom"/>
            <w:hideMark/>
          </w:tcPr>
          <w:p w:rsidRPr="005F055E" w:rsidR="00390010" w:rsidP="00180EEB" w:rsidRDefault="00390010" w14:paraId="1B215875" w14:textId="77777777">
            <w:pPr>
              <w:suppressAutoHyphens/>
              <w:spacing w:line="240" w:lineRule="auto"/>
              <w:rPr>
                <w:color w:val="000000"/>
                <w:sz w:val="20"/>
                <w:szCs w:val="20"/>
              </w:rPr>
            </w:pPr>
            <w:r w:rsidRPr="005F055E">
              <w:rPr>
                <w:color w:val="000000"/>
                <w:sz w:val="20"/>
                <w:szCs w:val="20"/>
              </w:rPr>
              <w:t> </w:t>
            </w:r>
          </w:p>
        </w:tc>
        <w:tc>
          <w:tcPr>
            <w:tcW w:w="1327" w:type="pct"/>
            <w:tcBorders>
              <w:top w:val="nil"/>
              <w:left w:val="nil"/>
              <w:bottom w:val="single" w:color="auto" w:sz="4" w:space="0"/>
              <w:right w:val="nil"/>
            </w:tcBorders>
            <w:shd w:val="clear" w:color="auto" w:fill="auto"/>
            <w:vAlign w:val="bottom"/>
            <w:hideMark/>
          </w:tcPr>
          <w:p w:rsidRPr="005F055E" w:rsidR="00390010" w:rsidP="00180EEB" w:rsidRDefault="00390010" w14:paraId="694B358D" w14:textId="77777777">
            <w:pPr>
              <w:suppressAutoHyphens/>
              <w:spacing w:line="240" w:lineRule="auto"/>
              <w:rPr>
                <w:color w:val="000000"/>
                <w:sz w:val="20"/>
                <w:szCs w:val="20"/>
              </w:rPr>
            </w:pPr>
            <w:r w:rsidRPr="005F055E">
              <w:rPr>
                <w:color w:val="000000"/>
                <w:sz w:val="20"/>
                <w:szCs w:val="20"/>
              </w:rPr>
              <w:t>WML per maand (inclusief vakantiegeld)</w:t>
            </w:r>
          </w:p>
        </w:tc>
        <w:tc>
          <w:tcPr>
            <w:tcW w:w="1327" w:type="pct"/>
            <w:tcBorders>
              <w:top w:val="nil"/>
              <w:left w:val="nil"/>
              <w:bottom w:val="single" w:color="auto" w:sz="4" w:space="0"/>
              <w:right w:val="nil"/>
            </w:tcBorders>
            <w:shd w:val="clear" w:color="auto" w:fill="auto"/>
            <w:vAlign w:val="bottom"/>
            <w:hideMark/>
          </w:tcPr>
          <w:p w:rsidRPr="005F055E" w:rsidR="00390010" w:rsidP="00180EEB" w:rsidRDefault="00390010" w14:paraId="05525325" w14:textId="77777777">
            <w:pPr>
              <w:suppressAutoHyphens/>
              <w:spacing w:line="240" w:lineRule="auto"/>
              <w:rPr>
                <w:color w:val="000000"/>
                <w:sz w:val="20"/>
                <w:szCs w:val="20"/>
              </w:rPr>
            </w:pPr>
            <w:r w:rsidRPr="005F055E">
              <w:rPr>
                <w:color w:val="000000"/>
                <w:sz w:val="20"/>
                <w:szCs w:val="20"/>
              </w:rPr>
              <w:t>Nominale premie per maand</w:t>
            </w:r>
          </w:p>
        </w:tc>
        <w:tc>
          <w:tcPr>
            <w:tcW w:w="1250" w:type="pct"/>
            <w:tcBorders>
              <w:top w:val="nil"/>
              <w:left w:val="nil"/>
              <w:bottom w:val="single" w:color="auto" w:sz="4" w:space="0"/>
              <w:right w:val="nil"/>
            </w:tcBorders>
            <w:shd w:val="clear" w:color="auto" w:fill="auto"/>
            <w:vAlign w:val="bottom"/>
            <w:hideMark/>
          </w:tcPr>
          <w:p w:rsidRPr="005F055E" w:rsidR="00390010" w:rsidP="00180EEB" w:rsidRDefault="00390010" w14:paraId="424C5BA7" w14:textId="77777777">
            <w:pPr>
              <w:suppressAutoHyphens/>
              <w:spacing w:line="240" w:lineRule="auto"/>
              <w:rPr>
                <w:color w:val="000000"/>
                <w:sz w:val="20"/>
                <w:szCs w:val="20"/>
              </w:rPr>
            </w:pPr>
            <w:r w:rsidRPr="005F055E">
              <w:rPr>
                <w:color w:val="000000"/>
                <w:sz w:val="20"/>
                <w:szCs w:val="20"/>
              </w:rPr>
              <w:t>Nominale premie als percentage van het WML</w:t>
            </w:r>
          </w:p>
        </w:tc>
      </w:tr>
      <w:tr w:rsidRPr="005F055E" w:rsidR="00390010" w:rsidTr="005E2643" w14:paraId="1114170A"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68B5665D" w14:textId="77777777">
            <w:pPr>
              <w:suppressAutoHyphens/>
              <w:spacing w:line="240" w:lineRule="auto"/>
              <w:rPr>
                <w:b/>
                <w:bCs/>
                <w:color w:val="000000"/>
                <w:sz w:val="20"/>
                <w:szCs w:val="20"/>
              </w:rPr>
            </w:pPr>
            <w:r w:rsidRPr="005F055E">
              <w:rPr>
                <w:b/>
                <w:bCs/>
                <w:color w:val="000000"/>
                <w:sz w:val="20"/>
                <w:szCs w:val="20"/>
              </w:rPr>
              <w:t>2006</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1224E56A" w14:textId="77777777">
            <w:pPr>
              <w:suppressAutoHyphens/>
              <w:spacing w:line="240" w:lineRule="auto"/>
              <w:rPr>
                <w:color w:val="000000"/>
                <w:sz w:val="20"/>
                <w:szCs w:val="20"/>
              </w:rPr>
            </w:pPr>
            <w:r w:rsidRPr="005F055E">
              <w:rPr>
                <w:color w:val="000000"/>
                <w:sz w:val="20"/>
                <w:szCs w:val="20"/>
              </w:rPr>
              <w:t>1374</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2C81CF01" w14:textId="77777777">
            <w:pPr>
              <w:suppressAutoHyphens/>
              <w:spacing w:line="240" w:lineRule="auto"/>
              <w:rPr>
                <w:color w:val="000000"/>
                <w:sz w:val="20"/>
                <w:szCs w:val="20"/>
              </w:rPr>
            </w:pPr>
            <w:r w:rsidRPr="005F055E">
              <w:rPr>
                <w:color w:val="000000"/>
                <w:sz w:val="20"/>
                <w:szCs w:val="20"/>
              </w:rPr>
              <w:t>77</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0AEF1562" w14:textId="77777777">
            <w:pPr>
              <w:suppressAutoHyphens/>
              <w:spacing w:line="240" w:lineRule="auto"/>
              <w:rPr>
                <w:color w:val="000000"/>
                <w:sz w:val="20"/>
                <w:szCs w:val="20"/>
              </w:rPr>
            </w:pPr>
            <w:r w:rsidRPr="005F055E">
              <w:rPr>
                <w:color w:val="000000"/>
                <w:sz w:val="20"/>
                <w:szCs w:val="20"/>
              </w:rPr>
              <w:t>6%</w:t>
            </w:r>
          </w:p>
        </w:tc>
      </w:tr>
      <w:tr w:rsidRPr="005F055E" w:rsidR="00390010" w:rsidTr="005E2643" w14:paraId="468D6AB8"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4AC48438" w14:textId="77777777">
            <w:pPr>
              <w:suppressAutoHyphens/>
              <w:spacing w:line="240" w:lineRule="auto"/>
              <w:rPr>
                <w:b/>
                <w:bCs/>
                <w:color w:val="000000"/>
                <w:sz w:val="20"/>
                <w:szCs w:val="20"/>
              </w:rPr>
            </w:pPr>
            <w:r w:rsidRPr="005F055E">
              <w:rPr>
                <w:b/>
                <w:bCs/>
                <w:color w:val="000000"/>
                <w:sz w:val="20"/>
                <w:szCs w:val="20"/>
              </w:rPr>
              <w:t>2007</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70112AEA" w14:textId="77777777">
            <w:pPr>
              <w:suppressAutoHyphens/>
              <w:spacing w:line="240" w:lineRule="auto"/>
              <w:rPr>
                <w:color w:val="000000"/>
                <w:sz w:val="20"/>
                <w:szCs w:val="20"/>
              </w:rPr>
            </w:pPr>
            <w:r w:rsidRPr="005F055E">
              <w:rPr>
                <w:color w:val="000000"/>
                <w:sz w:val="20"/>
                <w:szCs w:val="20"/>
              </w:rPr>
              <w:t>1405</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5DA8334A" w14:textId="77777777">
            <w:pPr>
              <w:suppressAutoHyphens/>
              <w:spacing w:line="240" w:lineRule="auto"/>
              <w:rPr>
                <w:color w:val="000000"/>
                <w:sz w:val="20"/>
                <w:szCs w:val="20"/>
              </w:rPr>
            </w:pPr>
            <w:r w:rsidRPr="005F055E">
              <w:rPr>
                <w:color w:val="000000"/>
                <w:sz w:val="20"/>
                <w:szCs w:val="20"/>
              </w:rPr>
              <w:t>83</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18C48776" w14:textId="77777777">
            <w:pPr>
              <w:suppressAutoHyphens/>
              <w:spacing w:line="240" w:lineRule="auto"/>
              <w:rPr>
                <w:color w:val="000000"/>
                <w:sz w:val="20"/>
                <w:szCs w:val="20"/>
              </w:rPr>
            </w:pPr>
            <w:r w:rsidRPr="005F055E">
              <w:rPr>
                <w:color w:val="000000"/>
                <w:sz w:val="20"/>
                <w:szCs w:val="20"/>
              </w:rPr>
              <w:t>6%</w:t>
            </w:r>
          </w:p>
        </w:tc>
      </w:tr>
      <w:tr w:rsidRPr="005F055E" w:rsidR="00390010" w:rsidTr="005E2643" w14:paraId="4E6BA9C0"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3A43FF2B" w14:textId="77777777">
            <w:pPr>
              <w:suppressAutoHyphens/>
              <w:spacing w:line="240" w:lineRule="auto"/>
              <w:rPr>
                <w:b/>
                <w:bCs/>
                <w:color w:val="000000"/>
                <w:sz w:val="20"/>
                <w:szCs w:val="20"/>
              </w:rPr>
            </w:pPr>
            <w:r w:rsidRPr="005F055E">
              <w:rPr>
                <w:b/>
                <w:bCs/>
                <w:color w:val="000000"/>
                <w:sz w:val="20"/>
                <w:szCs w:val="20"/>
              </w:rPr>
              <w:t>2008</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5DA0E4CB" w14:textId="77777777">
            <w:pPr>
              <w:suppressAutoHyphens/>
              <w:spacing w:line="240" w:lineRule="auto"/>
              <w:rPr>
                <w:color w:val="000000"/>
                <w:sz w:val="20"/>
                <w:szCs w:val="20"/>
              </w:rPr>
            </w:pPr>
            <w:r w:rsidRPr="005F055E">
              <w:rPr>
                <w:color w:val="000000"/>
                <w:sz w:val="20"/>
                <w:szCs w:val="20"/>
              </w:rPr>
              <w:t>1442</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0076273A" w14:textId="77777777">
            <w:pPr>
              <w:suppressAutoHyphens/>
              <w:spacing w:line="240" w:lineRule="auto"/>
              <w:rPr>
                <w:color w:val="000000"/>
                <w:sz w:val="20"/>
                <w:szCs w:val="20"/>
              </w:rPr>
            </w:pPr>
            <w:r w:rsidRPr="005F055E">
              <w:rPr>
                <w:color w:val="000000"/>
                <w:sz w:val="20"/>
                <w:szCs w:val="20"/>
              </w:rPr>
              <w:t>87</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4FCB89A0" w14:textId="77777777">
            <w:pPr>
              <w:suppressAutoHyphens/>
              <w:spacing w:line="240" w:lineRule="auto"/>
              <w:rPr>
                <w:color w:val="000000"/>
                <w:sz w:val="20"/>
                <w:szCs w:val="20"/>
              </w:rPr>
            </w:pPr>
            <w:r w:rsidRPr="005F055E">
              <w:rPr>
                <w:color w:val="000000"/>
                <w:sz w:val="20"/>
                <w:szCs w:val="20"/>
              </w:rPr>
              <w:t>6%</w:t>
            </w:r>
          </w:p>
        </w:tc>
      </w:tr>
      <w:tr w:rsidRPr="005F055E" w:rsidR="00390010" w:rsidTr="005E2643" w14:paraId="79CB382B"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135BFBE7" w14:textId="77777777">
            <w:pPr>
              <w:suppressAutoHyphens/>
              <w:spacing w:line="240" w:lineRule="auto"/>
              <w:rPr>
                <w:b/>
                <w:bCs/>
                <w:color w:val="000000"/>
                <w:sz w:val="20"/>
                <w:szCs w:val="20"/>
              </w:rPr>
            </w:pPr>
            <w:r w:rsidRPr="005F055E">
              <w:rPr>
                <w:b/>
                <w:bCs/>
                <w:color w:val="000000"/>
                <w:sz w:val="20"/>
                <w:szCs w:val="20"/>
              </w:rPr>
              <w:t>2009</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4ADB7587" w14:textId="77777777">
            <w:pPr>
              <w:suppressAutoHyphens/>
              <w:spacing w:line="240" w:lineRule="auto"/>
              <w:rPr>
                <w:color w:val="000000"/>
                <w:sz w:val="20"/>
                <w:szCs w:val="20"/>
              </w:rPr>
            </w:pPr>
            <w:r w:rsidRPr="005F055E">
              <w:rPr>
                <w:color w:val="000000"/>
                <w:sz w:val="20"/>
                <w:szCs w:val="20"/>
              </w:rPr>
              <w:t>1492</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6038A71D" w14:textId="77777777">
            <w:pPr>
              <w:suppressAutoHyphens/>
              <w:spacing w:line="240" w:lineRule="auto"/>
              <w:rPr>
                <w:color w:val="000000"/>
                <w:sz w:val="20"/>
                <w:szCs w:val="20"/>
              </w:rPr>
            </w:pPr>
            <w:r w:rsidRPr="005F055E">
              <w:rPr>
                <w:color w:val="000000"/>
                <w:sz w:val="20"/>
                <w:szCs w:val="20"/>
              </w:rPr>
              <w:t>88</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786FF306" w14:textId="77777777">
            <w:pPr>
              <w:suppressAutoHyphens/>
              <w:spacing w:line="240" w:lineRule="auto"/>
              <w:rPr>
                <w:color w:val="000000"/>
                <w:sz w:val="20"/>
                <w:szCs w:val="20"/>
              </w:rPr>
            </w:pPr>
            <w:r w:rsidRPr="005F055E">
              <w:rPr>
                <w:color w:val="000000"/>
                <w:sz w:val="20"/>
                <w:szCs w:val="20"/>
              </w:rPr>
              <w:t>6%</w:t>
            </w:r>
          </w:p>
        </w:tc>
      </w:tr>
      <w:tr w:rsidRPr="005F055E" w:rsidR="00390010" w:rsidTr="005E2643" w14:paraId="51D7BAD4"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0436C7BB" w14:textId="77777777">
            <w:pPr>
              <w:suppressAutoHyphens/>
              <w:spacing w:line="240" w:lineRule="auto"/>
              <w:rPr>
                <w:b/>
                <w:bCs/>
                <w:color w:val="000000"/>
                <w:sz w:val="20"/>
                <w:szCs w:val="20"/>
              </w:rPr>
            </w:pPr>
            <w:r w:rsidRPr="005F055E">
              <w:rPr>
                <w:b/>
                <w:bCs/>
                <w:color w:val="000000"/>
                <w:sz w:val="20"/>
                <w:szCs w:val="20"/>
              </w:rPr>
              <w:t>2010</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4498F905" w14:textId="77777777">
            <w:pPr>
              <w:suppressAutoHyphens/>
              <w:spacing w:line="240" w:lineRule="auto"/>
              <w:rPr>
                <w:color w:val="000000"/>
                <w:sz w:val="20"/>
                <w:szCs w:val="20"/>
              </w:rPr>
            </w:pPr>
            <w:r w:rsidRPr="005F055E">
              <w:rPr>
                <w:color w:val="000000"/>
                <w:sz w:val="20"/>
                <w:szCs w:val="20"/>
              </w:rPr>
              <w:t>1520</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3B961579" w14:textId="77777777">
            <w:pPr>
              <w:suppressAutoHyphens/>
              <w:spacing w:line="240" w:lineRule="auto"/>
              <w:rPr>
                <w:color w:val="000000"/>
                <w:sz w:val="20"/>
                <w:szCs w:val="20"/>
              </w:rPr>
            </w:pPr>
            <w:r w:rsidRPr="005F055E">
              <w:rPr>
                <w:color w:val="000000"/>
                <w:sz w:val="20"/>
                <w:szCs w:val="20"/>
              </w:rPr>
              <w:t>91</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07C2A8F0" w14:textId="77777777">
            <w:pPr>
              <w:suppressAutoHyphens/>
              <w:spacing w:line="240" w:lineRule="auto"/>
              <w:rPr>
                <w:color w:val="000000"/>
                <w:sz w:val="20"/>
                <w:szCs w:val="20"/>
              </w:rPr>
            </w:pPr>
            <w:r w:rsidRPr="005F055E">
              <w:rPr>
                <w:color w:val="000000"/>
                <w:sz w:val="20"/>
                <w:szCs w:val="20"/>
              </w:rPr>
              <w:t>6%</w:t>
            </w:r>
          </w:p>
        </w:tc>
      </w:tr>
      <w:tr w:rsidRPr="005F055E" w:rsidR="00390010" w:rsidTr="005E2643" w14:paraId="7657B130"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5C274755" w14:textId="77777777">
            <w:pPr>
              <w:suppressAutoHyphens/>
              <w:spacing w:line="240" w:lineRule="auto"/>
              <w:rPr>
                <w:b/>
                <w:bCs/>
                <w:color w:val="000000"/>
                <w:sz w:val="20"/>
                <w:szCs w:val="20"/>
              </w:rPr>
            </w:pPr>
            <w:r w:rsidRPr="005F055E">
              <w:rPr>
                <w:b/>
                <w:bCs/>
                <w:color w:val="000000"/>
                <w:sz w:val="20"/>
                <w:szCs w:val="20"/>
              </w:rPr>
              <w:t>2011</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69E86C6E" w14:textId="77777777">
            <w:pPr>
              <w:suppressAutoHyphens/>
              <w:spacing w:line="240" w:lineRule="auto"/>
              <w:rPr>
                <w:color w:val="000000"/>
                <w:sz w:val="20"/>
                <w:szCs w:val="20"/>
              </w:rPr>
            </w:pPr>
            <w:r w:rsidRPr="005F055E">
              <w:rPr>
                <w:color w:val="000000"/>
                <w:sz w:val="20"/>
                <w:szCs w:val="20"/>
              </w:rPr>
              <w:t>1538</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1494AF06" w14:textId="77777777">
            <w:pPr>
              <w:suppressAutoHyphens/>
              <w:spacing w:line="240" w:lineRule="auto"/>
              <w:rPr>
                <w:color w:val="000000"/>
                <w:sz w:val="20"/>
                <w:szCs w:val="20"/>
              </w:rPr>
            </w:pPr>
            <w:r w:rsidRPr="005F055E">
              <w:rPr>
                <w:color w:val="000000"/>
                <w:sz w:val="20"/>
                <w:szCs w:val="20"/>
              </w:rPr>
              <w:t>100</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270B44B6" w14:textId="77777777">
            <w:pPr>
              <w:suppressAutoHyphens/>
              <w:spacing w:line="240" w:lineRule="auto"/>
              <w:rPr>
                <w:color w:val="000000"/>
                <w:sz w:val="20"/>
                <w:szCs w:val="20"/>
              </w:rPr>
            </w:pPr>
            <w:r w:rsidRPr="005F055E">
              <w:rPr>
                <w:color w:val="000000"/>
                <w:sz w:val="20"/>
                <w:szCs w:val="20"/>
              </w:rPr>
              <w:t>6%</w:t>
            </w:r>
          </w:p>
        </w:tc>
      </w:tr>
      <w:tr w:rsidRPr="005F055E" w:rsidR="00390010" w:rsidTr="005E2643" w14:paraId="7F1876B6"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1D356BAF" w14:textId="77777777">
            <w:pPr>
              <w:suppressAutoHyphens/>
              <w:spacing w:line="240" w:lineRule="auto"/>
              <w:rPr>
                <w:b/>
                <w:bCs/>
                <w:color w:val="000000"/>
                <w:sz w:val="20"/>
                <w:szCs w:val="20"/>
              </w:rPr>
            </w:pPr>
            <w:r w:rsidRPr="005F055E">
              <w:rPr>
                <w:b/>
                <w:bCs/>
                <w:color w:val="000000"/>
                <w:sz w:val="20"/>
                <w:szCs w:val="20"/>
              </w:rPr>
              <w:t>2012</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2570EC1F" w14:textId="77777777">
            <w:pPr>
              <w:suppressAutoHyphens/>
              <w:spacing w:line="240" w:lineRule="auto"/>
              <w:rPr>
                <w:color w:val="000000"/>
                <w:sz w:val="20"/>
                <w:szCs w:val="20"/>
              </w:rPr>
            </w:pPr>
            <w:r w:rsidRPr="005F055E">
              <w:rPr>
                <w:color w:val="000000"/>
                <w:sz w:val="20"/>
                <w:szCs w:val="20"/>
              </w:rPr>
              <w:t>1562</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781F290A" w14:textId="77777777">
            <w:pPr>
              <w:suppressAutoHyphens/>
              <w:spacing w:line="240" w:lineRule="auto"/>
              <w:rPr>
                <w:color w:val="000000"/>
                <w:sz w:val="20"/>
                <w:szCs w:val="20"/>
              </w:rPr>
            </w:pPr>
            <w:r w:rsidRPr="005F055E">
              <w:rPr>
                <w:color w:val="000000"/>
                <w:sz w:val="20"/>
                <w:szCs w:val="20"/>
              </w:rPr>
              <w:t>102</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5E766548" w14:textId="77777777">
            <w:pPr>
              <w:suppressAutoHyphens/>
              <w:spacing w:line="240" w:lineRule="auto"/>
              <w:rPr>
                <w:color w:val="000000"/>
                <w:sz w:val="20"/>
                <w:szCs w:val="20"/>
              </w:rPr>
            </w:pPr>
            <w:r w:rsidRPr="005F055E">
              <w:rPr>
                <w:color w:val="000000"/>
                <w:sz w:val="20"/>
                <w:szCs w:val="20"/>
              </w:rPr>
              <w:t>7%</w:t>
            </w:r>
          </w:p>
        </w:tc>
      </w:tr>
      <w:tr w:rsidRPr="005F055E" w:rsidR="00390010" w:rsidTr="005E2643" w14:paraId="2D6184FB"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688F121C" w14:textId="77777777">
            <w:pPr>
              <w:suppressAutoHyphens/>
              <w:spacing w:line="240" w:lineRule="auto"/>
              <w:rPr>
                <w:b/>
                <w:bCs/>
                <w:color w:val="000000"/>
                <w:sz w:val="20"/>
                <w:szCs w:val="20"/>
              </w:rPr>
            </w:pPr>
            <w:r w:rsidRPr="005F055E">
              <w:rPr>
                <w:b/>
                <w:bCs/>
                <w:color w:val="000000"/>
                <w:sz w:val="20"/>
                <w:szCs w:val="20"/>
              </w:rPr>
              <w:t>2013</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53B6AEE3" w14:textId="77777777">
            <w:pPr>
              <w:suppressAutoHyphens/>
              <w:spacing w:line="240" w:lineRule="auto"/>
              <w:rPr>
                <w:color w:val="000000"/>
                <w:sz w:val="20"/>
                <w:szCs w:val="20"/>
              </w:rPr>
            </w:pPr>
            <w:r w:rsidRPr="005F055E">
              <w:rPr>
                <w:color w:val="000000"/>
                <w:sz w:val="20"/>
                <w:szCs w:val="20"/>
              </w:rPr>
              <w:t>1587</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226017D4" w14:textId="77777777">
            <w:pPr>
              <w:suppressAutoHyphens/>
              <w:spacing w:line="240" w:lineRule="auto"/>
              <w:rPr>
                <w:color w:val="000000"/>
                <w:sz w:val="20"/>
                <w:szCs w:val="20"/>
              </w:rPr>
            </w:pPr>
            <w:r w:rsidRPr="005F055E">
              <w:rPr>
                <w:color w:val="000000"/>
                <w:sz w:val="20"/>
                <w:szCs w:val="20"/>
              </w:rPr>
              <w:t>101</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5B7EDFEE" w14:textId="77777777">
            <w:pPr>
              <w:suppressAutoHyphens/>
              <w:spacing w:line="240" w:lineRule="auto"/>
              <w:rPr>
                <w:color w:val="000000"/>
                <w:sz w:val="20"/>
                <w:szCs w:val="20"/>
              </w:rPr>
            </w:pPr>
            <w:r w:rsidRPr="005F055E">
              <w:rPr>
                <w:color w:val="000000"/>
                <w:sz w:val="20"/>
                <w:szCs w:val="20"/>
              </w:rPr>
              <w:t>6%</w:t>
            </w:r>
          </w:p>
        </w:tc>
      </w:tr>
      <w:tr w:rsidRPr="005F055E" w:rsidR="00390010" w:rsidTr="005E2643" w14:paraId="3EF6A931"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11374AA8" w14:textId="77777777">
            <w:pPr>
              <w:suppressAutoHyphens/>
              <w:spacing w:line="240" w:lineRule="auto"/>
              <w:rPr>
                <w:b/>
                <w:bCs/>
                <w:color w:val="000000"/>
                <w:sz w:val="20"/>
                <w:szCs w:val="20"/>
              </w:rPr>
            </w:pPr>
            <w:r w:rsidRPr="005F055E">
              <w:rPr>
                <w:b/>
                <w:bCs/>
                <w:color w:val="000000"/>
                <w:sz w:val="20"/>
                <w:szCs w:val="20"/>
              </w:rPr>
              <w:t>2014</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1137CEB9" w14:textId="77777777">
            <w:pPr>
              <w:suppressAutoHyphens/>
              <w:spacing w:line="240" w:lineRule="auto"/>
              <w:rPr>
                <w:color w:val="000000"/>
                <w:sz w:val="20"/>
                <w:szCs w:val="20"/>
              </w:rPr>
            </w:pPr>
            <w:r w:rsidRPr="005F055E">
              <w:rPr>
                <w:color w:val="000000"/>
                <w:sz w:val="20"/>
                <w:szCs w:val="20"/>
              </w:rPr>
              <w:t>1604</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250251D2" w14:textId="77777777">
            <w:pPr>
              <w:suppressAutoHyphens/>
              <w:spacing w:line="240" w:lineRule="auto"/>
              <w:rPr>
                <w:color w:val="000000"/>
                <w:sz w:val="20"/>
                <w:szCs w:val="20"/>
              </w:rPr>
            </w:pPr>
            <w:r w:rsidRPr="005F055E">
              <w:rPr>
                <w:color w:val="000000"/>
                <w:sz w:val="20"/>
                <w:szCs w:val="20"/>
              </w:rPr>
              <w:t>92</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6509AB1F" w14:textId="77777777">
            <w:pPr>
              <w:suppressAutoHyphens/>
              <w:spacing w:line="240" w:lineRule="auto"/>
              <w:rPr>
                <w:color w:val="000000"/>
                <w:sz w:val="20"/>
                <w:szCs w:val="20"/>
              </w:rPr>
            </w:pPr>
            <w:r w:rsidRPr="005F055E">
              <w:rPr>
                <w:color w:val="000000"/>
                <w:sz w:val="20"/>
                <w:szCs w:val="20"/>
              </w:rPr>
              <w:t>6%</w:t>
            </w:r>
          </w:p>
        </w:tc>
      </w:tr>
      <w:tr w:rsidRPr="005F055E" w:rsidR="00390010" w:rsidTr="005E2643" w14:paraId="2E92193B"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17C589FB" w14:textId="77777777">
            <w:pPr>
              <w:suppressAutoHyphens/>
              <w:spacing w:line="240" w:lineRule="auto"/>
              <w:rPr>
                <w:b/>
                <w:bCs/>
                <w:color w:val="000000"/>
                <w:sz w:val="20"/>
                <w:szCs w:val="20"/>
              </w:rPr>
            </w:pPr>
            <w:r w:rsidRPr="005F055E">
              <w:rPr>
                <w:b/>
                <w:bCs/>
                <w:color w:val="000000"/>
                <w:sz w:val="20"/>
                <w:szCs w:val="20"/>
              </w:rPr>
              <w:t>2015</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104B191C" w14:textId="77777777">
            <w:pPr>
              <w:suppressAutoHyphens/>
              <w:spacing w:line="240" w:lineRule="auto"/>
              <w:rPr>
                <w:color w:val="000000"/>
                <w:sz w:val="20"/>
                <w:szCs w:val="20"/>
              </w:rPr>
            </w:pPr>
            <w:r w:rsidRPr="005F055E">
              <w:rPr>
                <w:color w:val="000000"/>
                <w:sz w:val="20"/>
                <w:szCs w:val="20"/>
              </w:rPr>
              <w:t>1622</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2C0F001E" w14:textId="77777777">
            <w:pPr>
              <w:suppressAutoHyphens/>
              <w:spacing w:line="240" w:lineRule="auto"/>
              <w:rPr>
                <w:color w:val="000000"/>
                <w:sz w:val="20"/>
                <w:szCs w:val="20"/>
              </w:rPr>
            </w:pPr>
            <w:r w:rsidRPr="005F055E">
              <w:rPr>
                <w:color w:val="000000"/>
                <w:sz w:val="20"/>
                <w:szCs w:val="20"/>
              </w:rPr>
              <w:t>97</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56845A89" w14:textId="77777777">
            <w:pPr>
              <w:suppressAutoHyphens/>
              <w:spacing w:line="240" w:lineRule="auto"/>
              <w:rPr>
                <w:color w:val="000000"/>
                <w:sz w:val="20"/>
                <w:szCs w:val="20"/>
              </w:rPr>
            </w:pPr>
            <w:r w:rsidRPr="005F055E">
              <w:rPr>
                <w:color w:val="000000"/>
                <w:sz w:val="20"/>
                <w:szCs w:val="20"/>
              </w:rPr>
              <w:t>6%</w:t>
            </w:r>
          </w:p>
        </w:tc>
      </w:tr>
      <w:tr w:rsidRPr="005F055E" w:rsidR="00390010" w:rsidTr="005E2643" w14:paraId="66FC4668"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35DEAFA5" w14:textId="77777777">
            <w:pPr>
              <w:suppressAutoHyphens/>
              <w:spacing w:line="240" w:lineRule="auto"/>
              <w:rPr>
                <w:b/>
                <w:bCs/>
                <w:color w:val="000000"/>
                <w:sz w:val="20"/>
                <w:szCs w:val="20"/>
              </w:rPr>
            </w:pPr>
            <w:r w:rsidRPr="005F055E">
              <w:rPr>
                <w:b/>
                <w:bCs/>
                <w:color w:val="000000"/>
                <w:sz w:val="20"/>
                <w:szCs w:val="20"/>
              </w:rPr>
              <w:t>2016</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3B052429" w14:textId="77777777">
            <w:pPr>
              <w:suppressAutoHyphens/>
              <w:spacing w:line="240" w:lineRule="auto"/>
              <w:rPr>
                <w:color w:val="000000"/>
                <w:sz w:val="20"/>
                <w:szCs w:val="20"/>
              </w:rPr>
            </w:pPr>
            <w:r w:rsidRPr="005F055E">
              <w:rPr>
                <w:color w:val="000000"/>
                <w:sz w:val="20"/>
                <w:szCs w:val="20"/>
              </w:rPr>
              <w:t>1647</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4F48FCDB" w14:textId="77777777">
            <w:pPr>
              <w:suppressAutoHyphens/>
              <w:spacing w:line="240" w:lineRule="auto"/>
              <w:rPr>
                <w:color w:val="000000"/>
                <w:sz w:val="20"/>
                <w:szCs w:val="20"/>
              </w:rPr>
            </w:pPr>
            <w:r w:rsidRPr="005F055E">
              <w:rPr>
                <w:color w:val="000000"/>
                <w:sz w:val="20"/>
                <w:szCs w:val="20"/>
              </w:rPr>
              <w:t>100</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3E192DBB" w14:textId="77777777">
            <w:pPr>
              <w:suppressAutoHyphens/>
              <w:spacing w:line="240" w:lineRule="auto"/>
              <w:rPr>
                <w:color w:val="000000"/>
                <w:sz w:val="20"/>
                <w:szCs w:val="20"/>
              </w:rPr>
            </w:pPr>
            <w:r w:rsidRPr="005F055E">
              <w:rPr>
                <w:color w:val="000000"/>
                <w:sz w:val="20"/>
                <w:szCs w:val="20"/>
              </w:rPr>
              <w:t>6%</w:t>
            </w:r>
          </w:p>
        </w:tc>
      </w:tr>
      <w:tr w:rsidRPr="005F055E" w:rsidR="00390010" w:rsidTr="005E2643" w14:paraId="321BE72C"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7725FE10" w14:textId="77777777">
            <w:pPr>
              <w:suppressAutoHyphens/>
              <w:spacing w:line="240" w:lineRule="auto"/>
              <w:rPr>
                <w:b/>
                <w:bCs/>
                <w:color w:val="000000"/>
                <w:sz w:val="20"/>
                <w:szCs w:val="20"/>
              </w:rPr>
            </w:pPr>
            <w:r w:rsidRPr="005F055E">
              <w:rPr>
                <w:b/>
                <w:bCs/>
                <w:color w:val="000000"/>
                <w:sz w:val="20"/>
                <w:szCs w:val="20"/>
              </w:rPr>
              <w:t>2017</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07909670" w14:textId="77777777">
            <w:pPr>
              <w:suppressAutoHyphens/>
              <w:spacing w:line="240" w:lineRule="auto"/>
              <w:rPr>
                <w:color w:val="000000"/>
                <w:sz w:val="20"/>
                <w:szCs w:val="20"/>
              </w:rPr>
            </w:pPr>
            <w:r w:rsidRPr="005F055E">
              <w:rPr>
                <w:color w:val="000000"/>
                <w:sz w:val="20"/>
                <w:szCs w:val="20"/>
              </w:rPr>
              <w:t>1676</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50E80C72" w14:textId="77777777">
            <w:pPr>
              <w:suppressAutoHyphens/>
              <w:spacing w:line="240" w:lineRule="auto"/>
              <w:rPr>
                <w:color w:val="000000"/>
                <w:sz w:val="20"/>
                <w:szCs w:val="20"/>
              </w:rPr>
            </w:pPr>
            <w:r w:rsidRPr="005F055E">
              <w:rPr>
                <w:color w:val="000000"/>
                <w:sz w:val="20"/>
                <w:szCs w:val="20"/>
              </w:rPr>
              <w:t>107</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71324F5F" w14:textId="77777777">
            <w:pPr>
              <w:suppressAutoHyphens/>
              <w:spacing w:line="240" w:lineRule="auto"/>
              <w:rPr>
                <w:color w:val="000000"/>
                <w:sz w:val="20"/>
                <w:szCs w:val="20"/>
              </w:rPr>
            </w:pPr>
            <w:r w:rsidRPr="005F055E">
              <w:rPr>
                <w:color w:val="000000"/>
                <w:sz w:val="20"/>
                <w:szCs w:val="20"/>
              </w:rPr>
              <w:t>6%</w:t>
            </w:r>
          </w:p>
        </w:tc>
      </w:tr>
      <w:tr w:rsidRPr="005F055E" w:rsidR="00390010" w:rsidTr="005E2643" w14:paraId="73BC5174"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73805FF8" w14:textId="77777777">
            <w:pPr>
              <w:suppressAutoHyphens/>
              <w:spacing w:line="240" w:lineRule="auto"/>
              <w:rPr>
                <w:b/>
                <w:bCs/>
                <w:color w:val="000000"/>
                <w:sz w:val="20"/>
                <w:szCs w:val="20"/>
              </w:rPr>
            </w:pPr>
            <w:r w:rsidRPr="005F055E">
              <w:rPr>
                <w:b/>
                <w:bCs/>
                <w:color w:val="000000"/>
                <w:sz w:val="20"/>
                <w:szCs w:val="20"/>
              </w:rPr>
              <w:t>2018</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1EEE96E5" w14:textId="77777777">
            <w:pPr>
              <w:suppressAutoHyphens/>
              <w:spacing w:line="240" w:lineRule="auto"/>
              <w:rPr>
                <w:color w:val="000000"/>
                <w:sz w:val="20"/>
                <w:szCs w:val="20"/>
              </w:rPr>
            </w:pPr>
            <w:r w:rsidRPr="005F055E">
              <w:rPr>
                <w:color w:val="000000"/>
                <w:sz w:val="20"/>
                <w:szCs w:val="20"/>
              </w:rPr>
              <w:t>1704</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421F94F3" w14:textId="77777777">
            <w:pPr>
              <w:suppressAutoHyphens/>
              <w:spacing w:line="240" w:lineRule="auto"/>
              <w:rPr>
                <w:color w:val="000000"/>
                <w:sz w:val="20"/>
                <w:szCs w:val="20"/>
              </w:rPr>
            </w:pPr>
            <w:r w:rsidRPr="005F055E">
              <w:rPr>
                <w:color w:val="000000"/>
                <w:sz w:val="20"/>
                <w:szCs w:val="20"/>
              </w:rPr>
              <w:t>109</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50A20C3D" w14:textId="77777777">
            <w:pPr>
              <w:suppressAutoHyphens/>
              <w:spacing w:line="240" w:lineRule="auto"/>
              <w:rPr>
                <w:color w:val="000000"/>
                <w:sz w:val="20"/>
                <w:szCs w:val="20"/>
              </w:rPr>
            </w:pPr>
            <w:r w:rsidRPr="005F055E">
              <w:rPr>
                <w:color w:val="000000"/>
                <w:sz w:val="20"/>
                <w:szCs w:val="20"/>
              </w:rPr>
              <w:t>6%</w:t>
            </w:r>
          </w:p>
        </w:tc>
      </w:tr>
      <w:tr w:rsidRPr="005F055E" w:rsidR="00390010" w:rsidTr="005E2643" w14:paraId="43497BBF"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1A8DD26B" w14:textId="77777777">
            <w:pPr>
              <w:suppressAutoHyphens/>
              <w:spacing w:line="240" w:lineRule="auto"/>
              <w:rPr>
                <w:b/>
                <w:bCs/>
                <w:color w:val="000000"/>
                <w:sz w:val="20"/>
                <w:szCs w:val="20"/>
              </w:rPr>
            </w:pPr>
            <w:r w:rsidRPr="005F055E">
              <w:rPr>
                <w:b/>
                <w:bCs/>
                <w:color w:val="000000"/>
                <w:sz w:val="20"/>
                <w:szCs w:val="20"/>
              </w:rPr>
              <w:t>2019</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4DCE0F56" w14:textId="77777777">
            <w:pPr>
              <w:suppressAutoHyphens/>
              <w:spacing w:line="240" w:lineRule="auto"/>
              <w:rPr>
                <w:color w:val="000000"/>
                <w:sz w:val="20"/>
                <w:szCs w:val="20"/>
              </w:rPr>
            </w:pPr>
            <w:r w:rsidRPr="005F055E">
              <w:rPr>
                <w:color w:val="000000"/>
                <w:sz w:val="20"/>
                <w:szCs w:val="20"/>
              </w:rPr>
              <w:t>1745</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752F467B" w14:textId="77777777">
            <w:pPr>
              <w:suppressAutoHyphens/>
              <w:spacing w:line="240" w:lineRule="auto"/>
              <w:rPr>
                <w:color w:val="000000"/>
                <w:sz w:val="20"/>
                <w:szCs w:val="20"/>
              </w:rPr>
            </w:pPr>
            <w:r w:rsidRPr="005F055E">
              <w:rPr>
                <w:color w:val="000000"/>
                <w:sz w:val="20"/>
                <w:szCs w:val="20"/>
              </w:rPr>
              <w:t>115</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31AFE0A2" w14:textId="77777777">
            <w:pPr>
              <w:suppressAutoHyphens/>
              <w:spacing w:line="240" w:lineRule="auto"/>
              <w:rPr>
                <w:color w:val="000000"/>
                <w:sz w:val="20"/>
                <w:szCs w:val="20"/>
              </w:rPr>
            </w:pPr>
            <w:r w:rsidRPr="005F055E">
              <w:rPr>
                <w:color w:val="000000"/>
                <w:sz w:val="20"/>
                <w:szCs w:val="20"/>
              </w:rPr>
              <w:t>7%</w:t>
            </w:r>
          </w:p>
        </w:tc>
      </w:tr>
      <w:tr w:rsidRPr="005F055E" w:rsidR="00390010" w:rsidTr="005E2643" w14:paraId="50241ECE"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751D2081" w14:textId="77777777">
            <w:pPr>
              <w:suppressAutoHyphens/>
              <w:spacing w:line="240" w:lineRule="auto"/>
              <w:rPr>
                <w:b/>
                <w:bCs/>
                <w:color w:val="000000"/>
                <w:sz w:val="20"/>
                <w:szCs w:val="20"/>
              </w:rPr>
            </w:pPr>
            <w:r w:rsidRPr="005F055E">
              <w:rPr>
                <w:b/>
                <w:bCs/>
                <w:color w:val="000000"/>
                <w:sz w:val="20"/>
                <w:szCs w:val="20"/>
              </w:rPr>
              <w:t>2020</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7974F80F" w14:textId="77777777">
            <w:pPr>
              <w:suppressAutoHyphens/>
              <w:spacing w:line="240" w:lineRule="auto"/>
              <w:rPr>
                <w:color w:val="000000"/>
                <w:sz w:val="20"/>
                <w:szCs w:val="20"/>
              </w:rPr>
            </w:pPr>
            <w:r w:rsidRPr="005F055E">
              <w:rPr>
                <w:color w:val="000000"/>
                <w:sz w:val="20"/>
                <w:szCs w:val="20"/>
              </w:rPr>
              <w:t>1786</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175D59C1" w14:textId="77777777">
            <w:pPr>
              <w:suppressAutoHyphens/>
              <w:spacing w:line="240" w:lineRule="auto"/>
              <w:rPr>
                <w:color w:val="000000"/>
                <w:sz w:val="20"/>
                <w:szCs w:val="20"/>
              </w:rPr>
            </w:pPr>
            <w:r w:rsidRPr="005F055E">
              <w:rPr>
                <w:color w:val="000000"/>
                <w:sz w:val="20"/>
                <w:szCs w:val="20"/>
              </w:rPr>
              <w:t>118</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7348EFCA" w14:textId="77777777">
            <w:pPr>
              <w:suppressAutoHyphens/>
              <w:spacing w:line="240" w:lineRule="auto"/>
              <w:rPr>
                <w:color w:val="000000"/>
                <w:sz w:val="20"/>
                <w:szCs w:val="20"/>
              </w:rPr>
            </w:pPr>
            <w:r w:rsidRPr="005F055E">
              <w:rPr>
                <w:color w:val="000000"/>
                <w:sz w:val="20"/>
                <w:szCs w:val="20"/>
              </w:rPr>
              <w:t>7%</w:t>
            </w:r>
          </w:p>
        </w:tc>
      </w:tr>
      <w:tr w:rsidRPr="005F055E" w:rsidR="00390010" w:rsidTr="005E2643" w14:paraId="63351FB7"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14BE9995" w14:textId="77777777">
            <w:pPr>
              <w:suppressAutoHyphens/>
              <w:spacing w:line="240" w:lineRule="auto"/>
              <w:rPr>
                <w:b/>
                <w:bCs/>
                <w:color w:val="000000"/>
                <w:sz w:val="20"/>
                <w:szCs w:val="20"/>
              </w:rPr>
            </w:pPr>
            <w:r w:rsidRPr="005F055E">
              <w:rPr>
                <w:b/>
                <w:bCs/>
                <w:color w:val="000000"/>
                <w:sz w:val="20"/>
                <w:szCs w:val="20"/>
              </w:rPr>
              <w:t>2021</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6F16AD50" w14:textId="77777777">
            <w:pPr>
              <w:suppressAutoHyphens/>
              <w:spacing w:line="240" w:lineRule="auto"/>
              <w:rPr>
                <w:color w:val="000000"/>
                <w:sz w:val="20"/>
                <w:szCs w:val="20"/>
              </w:rPr>
            </w:pPr>
            <w:r w:rsidRPr="005F055E">
              <w:rPr>
                <w:color w:val="000000"/>
                <w:sz w:val="20"/>
                <w:szCs w:val="20"/>
              </w:rPr>
              <w:t>1820</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5403BB24" w14:textId="77777777">
            <w:pPr>
              <w:suppressAutoHyphens/>
              <w:spacing w:line="240" w:lineRule="auto"/>
              <w:rPr>
                <w:color w:val="000000"/>
                <w:sz w:val="20"/>
                <w:szCs w:val="20"/>
              </w:rPr>
            </w:pPr>
            <w:r w:rsidRPr="005F055E">
              <w:rPr>
                <w:color w:val="000000"/>
                <w:sz w:val="20"/>
                <w:szCs w:val="20"/>
              </w:rPr>
              <w:t>123</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2E2F2F44" w14:textId="77777777">
            <w:pPr>
              <w:suppressAutoHyphens/>
              <w:spacing w:line="240" w:lineRule="auto"/>
              <w:rPr>
                <w:color w:val="000000"/>
                <w:sz w:val="20"/>
                <w:szCs w:val="20"/>
              </w:rPr>
            </w:pPr>
            <w:r w:rsidRPr="005F055E">
              <w:rPr>
                <w:color w:val="000000"/>
                <w:sz w:val="20"/>
                <w:szCs w:val="20"/>
              </w:rPr>
              <w:t>7%</w:t>
            </w:r>
          </w:p>
        </w:tc>
      </w:tr>
      <w:tr w:rsidRPr="005F055E" w:rsidR="00390010" w:rsidTr="005E2643" w14:paraId="4A49F6FA"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080E8B6C" w14:textId="77777777">
            <w:pPr>
              <w:suppressAutoHyphens/>
              <w:spacing w:line="240" w:lineRule="auto"/>
              <w:rPr>
                <w:b/>
                <w:bCs/>
                <w:color w:val="000000"/>
                <w:sz w:val="20"/>
                <w:szCs w:val="20"/>
              </w:rPr>
            </w:pPr>
            <w:r w:rsidRPr="005F055E">
              <w:rPr>
                <w:b/>
                <w:bCs/>
                <w:color w:val="000000"/>
                <w:sz w:val="20"/>
                <w:szCs w:val="20"/>
              </w:rPr>
              <w:t>2022</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31075CD7" w14:textId="77777777">
            <w:pPr>
              <w:suppressAutoHyphens/>
              <w:spacing w:line="240" w:lineRule="auto"/>
              <w:rPr>
                <w:color w:val="000000"/>
                <w:sz w:val="20"/>
                <w:szCs w:val="20"/>
              </w:rPr>
            </w:pPr>
            <w:r w:rsidRPr="005F055E">
              <w:rPr>
                <w:color w:val="000000"/>
                <w:sz w:val="20"/>
                <w:szCs w:val="20"/>
              </w:rPr>
              <w:t>1863</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02817D33" w14:textId="77777777">
            <w:pPr>
              <w:suppressAutoHyphens/>
              <w:spacing w:line="240" w:lineRule="auto"/>
              <w:rPr>
                <w:color w:val="000000"/>
                <w:sz w:val="20"/>
                <w:szCs w:val="20"/>
              </w:rPr>
            </w:pPr>
            <w:r w:rsidRPr="005F055E">
              <w:rPr>
                <w:color w:val="000000"/>
                <w:sz w:val="20"/>
                <w:szCs w:val="20"/>
              </w:rPr>
              <w:t>126</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3CACBFE1" w14:textId="77777777">
            <w:pPr>
              <w:suppressAutoHyphens/>
              <w:spacing w:line="240" w:lineRule="auto"/>
              <w:rPr>
                <w:color w:val="000000"/>
                <w:sz w:val="20"/>
                <w:szCs w:val="20"/>
              </w:rPr>
            </w:pPr>
            <w:r w:rsidRPr="005F055E">
              <w:rPr>
                <w:color w:val="000000"/>
                <w:sz w:val="20"/>
                <w:szCs w:val="20"/>
              </w:rPr>
              <w:t>7%</w:t>
            </w:r>
          </w:p>
        </w:tc>
      </w:tr>
      <w:tr w:rsidRPr="005F055E" w:rsidR="00390010" w:rsidTr="005E2643" w14:paraId="43B5952E"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1294B64E" w14:textId="77777777">
            <w:pPr>
              <w:suppressAutoHyphens/>
              <w:spacing w:line="240" w:lineRule="auto"/>
              <w:rPr>
                <w:b/>
                <w:bCs/>
                <w:color w:val="000000"/>
                <w:sz w:val="20"/>
                <w:szCs w:val="20"/>
              </w:rPr>
            </w:pPr>
            <w:r w:rsidRPr="005F055E">
              <w:rPr>
                <w:b/>
                <w:bCs/>
                <w:color w:val="000000"/>
                <w:sz w:val="20"/>
                <w:szCs w:val="20"/>
              </w:rPr>
              <w:t>2023</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6E228DDF" w14:textId="77777777">
            <w:pPr>
              <w:suppressAutoHyphens/>
              <w:spacing w:line="240" w:lineRule="auto"/>
              <w:rPr>
                <w:color w:val="000000"/>
                <w:sz w:val="20"/>
                <w:szCs w:val="20"/>
              </w:rPr>
            </w:pPr>
            <w:r w:rsidRPr="005F055E">
              <w:rPr>
                <w:color w:val="000000"/>
                <w:sz w:val="20"/>
                <w:szCs w:val="20"/>
              </w:rPr>
              <w:t>2089</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3EA9A56A" w14:textId="77777777">
            <w:pPr>
              <w:suppressAutoHyphens/>
              <w:spacing w:line="240" w:lineRule="auto"/>
              <w:rPr>
                <w:color w:val="000000"/>
                <w:sz w:val="20"/>
                <w:szCs w:val="20"/>
              </w:rPr>
            </w:pPr>
            <w:r w:rsidRPr="005F055E">
              <w:rPr>
                <w:color w:val="000000"/>
                <w:sz w:val="20"/>
                <w:szCs w:val="20"/>
              </w:rPr>
              <w:t>138</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0D3BA1A9" w14:textId="77777777">
            <w:pPr>
              <w:suppressAutoHyphens/>
              <w:spacing w:line="240" w:lineRule="auto"/>
              <w:rPr>
                <w:color w:val="000000"/>
                <w:sz w:val="20"/>
                <w:szCs w:val="20"/>
              </w:rPr>
            </w:pPr>
            <w:r w:rsidRPr="005F055E">
              <w:rPr>
                <w:color w:val="000000"/>
                <w:sz w:val="20"/>
                <w:szCs w:val="20"/>
              </w:rPr>
              <w:t>7%</w:t>
            </w:r>
          </w:p>
        </w:tc>
      </w:tr>
      <w:tr w:rsidRPr="005F055E" w:rsidR="00390010" w:rsidTr="005E2643" w14:paraId="6E172DD7"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2828D5D0" w14:textId="77777777">
            <w:pPr>
              <w:suppressAutoHyphens/>
              <w:spacing w:line="240" w:lineRule="auto"/>
              <w:rPr>
                <w:b/>
                <w:bCs/>
                <w:color w:val="000000"/>
                <w:sz w:val="20"/>
                <w:szCs w:val="20"/>
              </w:rPr>
            </w:pPr>
            <w:r w:rsidRPr="005F055E">
              <w:rPr>
                <w:b/>
                <w:bCs/>
                <w:color w:val="000000"/>
                <w:sz w:val="20"/>
                <w:szCs w:val="20"/>
              </w:rPr>
              <w:t>2024</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419F46B5" w14:textId="77777777">
            <w:pPr>
              <w:suppressAutoHyphens/>
              <w:spacing w:line="240" w:lineRule="auto"/>
              <w:rPr>
                <w:color w:val="000000"/>
                <w:sz w:val="20"/>
                <w:szCs w:val="20"/>
              </w:rPr>
            </w:pPr>
            <w:r w:rsidRPr="005F055E">
              <w:rPr>
                <w:color w:val="000000"/>
                <w:sz w:val="20"/>
                <w:szCs w:val="20"/>
              </w:rPr>
              <w:t>2235</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166865CC" w14:textId="77777777">
            <w:pPr>
              <w:suppressAutoHyphens/>
              <w:spacing w:line="240" w:lineRule="auto"/>
              <w:rPr>
                <w:color w:val="000000"/>
                <w:sz w:val="20"/>
                <w:szCs w:val="20"/>
              </w:rPr>
            </w:pPr>
            <w:r w:rsidRPr="005F055E">
              <w:rPr>
                <w:color w:val="000000"/>
                <w:sz w:val="20"/>
                <w:szCs w:val="20"/>
              </w:rPr>
              <w:t>146</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3E1606FF" w14:textId="77777777">
            <w:pPr>
              <w:suppressAutoHyphens/>
              <w:spacing w:line="240" w:lineRule="auto"/>
              <w:rPr>
                <w:color w:val="000000"/>
                <w:sz w:val="20"/>
                <w:szCs w:val="20"/>
              </w:rPr>
            </w:pPr>
            <w:r w:rsidRPr="005F055E">
              <w:rPr>
                <w:color w:val="000000"/>
                <w:sz w:val="20"/>
                <w:szCs w:val="20"/>
              </w:rPr>
              <w:t>7%</w:t>
            </w:r>
          </w:p>
        </w:tc>
      </w:tr>
      <w:tr w:rsidRPr="005F055E" w:rsidR="00390010" w:rsidTr="005E2643" w14:paraId="03005ECD"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0A467CB5" w14:textId="77777777">
            <w:pPr>
              <w:suppressAutoHyphens/>
              <w:spacing w:line="240" w:lineRule="auto"/>
              <w:rPr>
                <w:b/>
                <w:bCs/>
                <w:color w:val="000000"/>
                <w:sz w:val="20"/>
                <w:szCs w:val="20"/>
              </w:rPr>
            </w:pPr>
            <w:r w:rsidRPr="005F055E">
              <w:rPr>
                <w:b/>
                <w:bCs/>
                <w:color w:val="000000"/>
                <w:sz w:val="20"/>
                <w:szCs w:val="20"/>
              </w:rPr>
              <w:t>2025</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4D2AD8EF" w14:textId="77777777">
            <w:pPr>
              <w:suppressAutoHyphens/>
              <w:spacing w:line="240" w:lineRule="auto"/>
              <w:rPr>
                <w:color w:val="000000"/>
                <w:sz w:val="20"/>
                <w:szCs w:val="20"/>
              </w:rPr>
            </w:pPr>
            <w:r w:rsidRPr="005F055E">
              <w:rPr>
                <w:color w:val="000000"/>
                <w:sz w:val="20"/>
                <w:szCs w:val="20"/>
              </w:rPr>
              <w:t>2367</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7FD136F7" w14:textId="77777777">
            <w:pPr>
              <w:suppressAutoHyphens/>
              <w:spacing w:line="240" w:lineRule="auto"/>
              <w:rPr>
                <w:color w:val="000000"/>
                <w:sz w:val="20"/>
                <w:szCs w:val="20"/>
              </w:rPr>
            </w:pPr>
            <w:r w:rsidRPr="005F055E">
              <w:rPr>
                <w:color w:val="000000"/>
                <w:sz w:val="20"/>
                <w:szCs w:val="20"/>
              </w:rPr>
              <w:t>156</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1836A263" w14:textId="77777777">
            <w:pPr>
              <w:suppressAutoHyphens/>
              <w:spacing w:line="240" w:lineRule="auto"/>
              <w:rPr>
                <w:color w:val="000000"/>
                <w:sz w:val="20"/>
                <w:szCs w:val="20"/>
              </w:rPr>
            </w:pPr>
            <w:r w:rsidRPr="005F055E">
              <w:rPr>
                <w:color w:val="000000"/>
                <w:sz w:val="20"/>
                <w:szCs w:val="20"/>
              </w:rPr>
              <w:t>7%</w:t>
            </w:r>
          </w:p>
        </w:tc>
      </w:tr>
      <w:tr w:rsidRPr="005F055E" w:rsidR="00390010" w:rsidTr="005E2643" w14:paraId="6B39C8DA" w14:textId="77777777">
        <w:trPr>
          <w:trHeight w:val="300"/>
        </w:trPr>
        <w:tc>
          <w:tcPr>
            <w:tcW w:w="1095" w:type="pct"/>
            <w:tcBorders>
              <w:top w:val="nil"/>
              <w:left w:val="nil"/>
              <w:bottom w:val="nil"/>
              <w:right w:val="nil"/>
            </w:tcBorders>
            <w:shd w:val="clear" w:color="auto" w:fill="auto"/>
            <w:noWrap/>
            <w:vAlign w:val="bottom"/>
            <w:hideMark/>
          </w:tcPr>
          <w:p w:rsidRPr="005F055E" w:rsidR="00390010" w:rsidP="00180EEB" w:rsidRDefault="00390010" w14:paraId="40417FBE" w14:textId="77777777">
            <w:pPr>
              <w:suppressAutoHyphens/>
              <w:spacing w:line="240" w:lineRule="auto"/>
              <w:rPr>
                <w:b/>
                <w:bCs/>
                <w:color w:val="000000"/>
                <w:sz w:val="20"/>
                <w:szCs w:val="20"/>
              </w:rPr>
            </w:pPr>
            <w:r w:rsidRPr="005F055E">
              <w:rPr>
                <w:b/>
                <w:bCs/>
                <w:color w:val="000000"/>
                <w:sz w:val="20"/>
                <w:szCs w:val="20"/>
              </w:rPr>
              <w:t>2026</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2BCE6861" w14:textId="77777777">
            <w:pPr>
              <w:suppressAutoHyphens/>
              <w:spacing w:line="240" w:lineRule="auto"/>
              <w:rPr>
                <w:color w:val="000000"/>
                <w:sz w:val="20"/>
                <w:szCs w:val="20"/>
              </w:rPr>
            </w:pPr>
            <w:r w:rsidRPr="005F055E">
              <w:rPr>
                <w:color w:val="000000"/>
                <w:sz w:val="20"/>
                <w:szCs w:val="20"/>
              </w:rPr>
              <w:t>2478</w:t>
            </w:r>
          </w:p>
        </w:tc>
        <w:tc>
          <w:tcPr>
            <w:tcW w:w="1327" w:type="pct"/>
            <w:tcBorders>
              <w:top w:val="nil"/>
              <w:left w:val="nil"/>
              <w:bottom w:val="nil"/>
              <w:right w:val="nil"/>
            </w:tcBorders>
            <w:shd w:val="clear" w:color="auto" w:fill="auto"/>
            <w:noWrap/>
            <w:vAlign w:val="bottom"/>
            <w:hideMark/>
          </w:tcPr>
          <w:p w:rsidRPr="005F055E" w:rsidR="00390010" w:rsidP="00180EEB" w:rsidRDefault="00390010" w14:paraId="28871F3E" w14:textId="77777777">
            <w:pPr>
              <w:suppressAutoHyphens/>
              <w:spacing w:line="240" w:lineRule="auto"/>
              <w:rPr>
                <w:color w:val="000000"/>
                <w:sz w:val="20"/>
                <w:szCs w:val="20"/>
              </w:rPr>
            </w:pPr>
            <w:r w:rsidRPr="005F055E">
              <w:rPr>
                <w:color w:val="000000"/>
                <w:sz w:val="20"/>
                <w:szCs w:val="20"/>
              </w:rPr>
              <w:t>159</w:t>
            </w:r>
          </w:p>
        </w:tc>
        <w:tc>
          <w:tcPr>
            <w:tcW w:w="1250" w:type="pct"/>
            <w:tcBorders>
              <w:top w:val="nil"/>
              <w:left w:val="nil"/>
              <w:bottom w:val="nil"/>
              <w:right w:val="nil"/>
            </w:tcBorders>
            <w:shd w:val="clear" w:color="auto" w:fill="auto"/>
            <w:noWrap/>
            <w:vAlign w:val="bottom"/>
            <w:hideMark/>
          </w:tcPr>
          <w:p w:rsidRPr="005F055E" w:rsidR="00390010" w:rsidP="00180EEB" w:rsidRDefault="00390010" w14:paraId="62C6445F" w14:textId="77777777">
            <w:pPr>
              <w:suppressAutoHyphens/>
              <w:spacing w:line="240" w:lineRule="auto"/>
              <w:rPr>
                <w:color w:val="000000"/>
                <w:sz w:val="20"/>
                <w:szCs w:val="20"/>
              </w:rPr>
            </w:pPr>
            <w:r w:rsidRPr="005F055E">
              <w:rPr>
                <w:color w:val="000000"/>
                <w:sz w:val="20"/>
                <w:szCs w:val="20"/>
              </w:rPr>
              <w:t>6%</w:t>
            </w:r>
          </w:p>
        </w:tc>
      </w:tr>
    </w:tbl>
    <w:p w:rsidRPr="00F36E36" w:rsidR="00390010" w:rsidP="00180EEB" w:rsidRDefault="00390010" w14:paraId="22DB32F5" w14:textId="77777777">
      <w:pPr>
        <w:suppressAutoHyphens/>
        <w:rPr>
          <w:sz w:val="16"/>
          <w:szCs w:val="16"/>
        </w:rPr>
      </w:pPr>
      <w:r w:rsidRPr="00F36E36">
        <w:rPr>
          <w:i/>
          <w:iCs/>
          <w:color w:val="000000"/>
          <w:sz w:val="20"/>
          <w:szCs w:val="20"/>
        </w:rPr>
        <w:t>Noot: De nominale premie in de jaren 2006 en 2007 wijkt af vanwege de no-claim. Gepresenteerde premie in die jaren is inclusief no-claim premie en gemiddelde no-claim teruggave. Het jaar 2026 is gebaseerd op een raming van de premie en het inkomen.</w:t>
      </w:r>
    </w:p>
    <w:p w:rsidRPr="005F055E" w:rsidR="00912A7D" w:rsidP="00180EEB" w:rsidRDefault="00912A7D" w14:paraId="44F39D95" w14:textId="77777777">
      <w:pPr>
        <w:suppressAutoHyphens/>
      </w:pPr>
    </w:p>
    <w:p w:rsidRPr="005F055E" w:rsidR="00912A7D" w:rsidP="00180EEB" w:rsidRDefault="003E7003" w14:paraId="17030BF5" w14:textId="77777777">
      <w:pPr>
        <w:suppressAutoHyphens/>
      </w:pPr>
      <w:r w:rsidRPr="005F055E">
        <w:t>Vraag 177</w:t>
      </w:r>
      <w:r w:rsidRPr="005F055E">
        <w:tab/>
      </w:r>
    </w:p>
    <w:p w:rsidRPr="005F055E" w:rsidR="00912A7D" w:rsidP="00180EEB" w:rsidRDefault="003E7003" w14:paraId="5A22E4E5" w14:textId="77777777">
      <w:pPr>
        <w:suppressAutoHyphens/>
      </w:pPr>
      <w:r w:rsidRPr="005F055E">
        <w:t>Hoeveel zouden de maandelijkse kosten dalen voor mensen met een minimuminkomen als de nominale premie volledig inkomensafhankelijk zou worden?</w:t>
      </w:r>
      <w:r w:rsidRPr="005F055E">
        <w:tab/>
      </w:r>
    </w:p>
    <w:p w:rsidRPr="005F055E" w:rsidR="003E7003" w:rsidP="00180EEB" w:rsidRDefault="003E7003" w14:paraId="763F71D5" w14:textId="6AEE7C49">
      <w:pPr>
        <w:suppressAutoHyphens/>
      </w:pPr>
      <w:r w:rsidRPr="005F055E">
        <w:t>Antwoord</w:t>
      </w:r>
    </w:p>
    <w:p w:rsidRPr="005F055E" w:rsidR="00390010" w:rsidP="00180EEB" w:rsidRDefault="00390010" w14:paraId="4903D766" w14:textId="77777777">
      <w:pPr>
        <w:suppressAutoHyphens/>
      </w:pPr>
      <w:r w:rsidRPr="005F055E">
        <w:t xml:space="preserve">Hoe hoog de maandelijkse kosten worden voor mensen met een minimuminkomen bij een inkomensafhankelijke nominale premie is volledig afhankelijk van de keuzes die daarbij gemaakt worden in de vormgeving. Hoe inkomensafhankelijker de variant gemaakt wordt, des te lager de kosten voor de lagere inkomens zijn en hoe hoger de kosten voor de hogere inkomens zijn. Verder vraagt het invoeren van een inkomensafhankelijke nominale premie om keuzes en verdere uitwerking van de uitvoering. </w:t>
      </w:r>
    </w:p>
    <w:p w:rsidRPr="005F055E" w:rsidR="00390010" w:rsidP="00180EEB" w:rsidRDefault="00390010" w14:paraId="336B4816" w14:textId="77777777">
      <w:pPr>
        <w:suppressAutoHyphens/>
      </w:pPr>
    </w:p>
    <w:p w:rsidRPr="005F055E" w:rsidR="00390010" w:rsidP="00180EEB" w:rsidRDefault="00390010" w14:paraId="35B93A47" w14:textId="77777777">
      <w:pPr>
        <w:suppressAutoHyphens/>
        <w:rPr>
          <w:szCs w:val="18"/>
        </w:rPr>
      </w:pPr>
      <w:r w:rsidRPr="005F055E">
        <w:t>De financiering van de Zorgverzekeringswet is al deels inkomensafhankelijk, bijvoorbeeld via de inkomensafhankelijke bijdrage dat als percentage over het inkomen wordt afgedragen. Daarnaast ontvangen verzekerden met de laagste inkomens een tegemoetkoming voor de nominale premie en het gemiddelde eigen risico via de zorgtoeslag. Die zorgtoeslag is inkomensafhankelijk.</w:t>
      </w:r>
    </w:p>
    <w:p w:rsidRPr="005F055E" w:rsidR="00912A7D" w:rsidP="00180EEB" w:rsidRDefault="00912A7D" w14:paraId="1F73E5C5" w14:textId="77777777">
      <w:pPr>
        <w:suppressAutoHyphens/>
      </w:pPr>
    </w:p>
    <w:p w:rsidRPr="005F055E" w:rsidR="00912A7D" w:rsidP="00180EEB" w:rsidRDefault="003E7003" w14:paraId="0350981B" w14:textId="77777777">
      <w:pPr>
        <w:suppressAutoHyphens/>
      </w:pPr>
      <w:r w:rsidRPr="005F055E">
        <w:t>Vraag 178</w:t>
      </w:r>
      <w:r w:rsidRPr="005F055E">
        <w:tab/>
      </w:r>
    </w:p>
    <w:p w:rsidRPr="005F055E" w:rsidR="00912A7D" w:rsidP="00180EEB" w:rsidRDefault="003E7003" w14:paraId="6E4305FC" w14:textId="77777777">
      <w:pPr>
        <w:suppressAutoHyphens/>
      </w:pPr>
      <w:r w:rsidRPr="005F055E">
        <w:t>Hoeveel zouden de maandelijkse kosten dalen voor mensen met een modaal inkomen als de nominale premie volledig inkomensafhankelijk zou worden?</w:t>
      </w:r>
      <w:r w:rsidRPr="005F055E">
        <w:tab/>
      </w:r>
    </w:p>
    <w:p w:rsidRPr="005F055E" w:rsidR="00605490" w:rsidP="00180EEB" w:rsidRDefault="00605490" w14:paraId="75A3BC93" w14:textId="77777777">
      <w:pPr>
        <w:suppressAutoHyphens/>
      </w:pPr>
    </w:p>
    <w:p w:rsidRPr="005F055E" w:rsidR="003E7003" w:rsidP="00180EEB" w:rsidRDefault="003E7003" w14:paraId="7AFEF74E" w14:textId="24E1631B">
      <w:pPr>
        <w:suppressAutoHyphens/>
      </w:pPr>
      <w:r w:rsidRPr="005F055E">
        <w:t>Antwoord</w:t>
      </w:r>
    </w:p>
    <w:p w:rsidRPr="005F055E" w:rsidR="00936238" w:rsidP="00180EEB" w:rsidRDefault="00936238" w14:paraId="3736169C" w14:textId="287F5555">
      <w:pPr>
        <w:suppressAutoHyphens/>
      </w:pPr>
      <w:r w:rsidRPr="005F055E">
        <w:t xml:space="preserve">Hoe hoog de maandelijkse kosten worden voor mensen met een modaal inkomen bij een inkomensafhankelijke nominale premie is volledig afhankelijk van de keuzes die daarbij gemaakt worden in de vormgeving. Hoe inkomensafhankelijker de variant gemaakt wordt, des te lager de kosten voor de lagere inkomens zijn en hoe hoger de kosten voor de hogere inkomens zijn. Verder vraagt het invoeren van een inkomensafhankelijke nominale premie om keuzes en verdere uitwerking van de uitvoering. </w:t>
      </w:r>
    </w:p>
    <w:p w:rsidRPr="005F055E" w:rsidR="00912A7D" w:rsidP="00180EEB" w:rsidRDefault="00936238" w14:paraId="4D3E4289" w14:textId="003AFD10">
      <w:pPr>
        <w:suppressAutoHyphens/>
        <w:rPr>
          <w:szCs w:val="18"/>
        </w:rPr>
      </w:pPr>
      <w:r w:rsidRPr="005F055E">
        <w:t>De financiering van de Zorgverzekeringswet is al deels inkomensafhankelijk, bijvoorbeeld via de inkomensafhankelijke bijdrage dat als percentage over het inkomen wordt afgedragen. Daarnaast ontvangen verzekerden met de laagste inkomens een tegemoetkoming voor de nominale premie en het gemiddelde eigen risico via de zorgtoeslag. Die zorgtoeslag is inkomensafhankelijk.</w:t>
      </w:r>
    </w:p>
    <w:p w:rsidR="00936238" w:rsidP="00180EEB" w:rsidRDefault="00936238" w14:paraId="2AE8081E" w14:textId="77777777">
      <w:pPr>
        <w:suppressAutoHyphens/>
        <w:rPr>
          <w:szCs w:val="18"/>
        </w:rPr>
      </w:pPr>
    </w:p>
    <w:p w:rsidRPr="005F055E" w:rsidR="00912A7D" w:rsidP="00180EEB" w:rsidRDefault="003E7003" w14:paraId="633F4AE6" w14:textId="77777777">
      <w:pPr>
        <w:suppressAutoHyphens/>
      </w:pPr>
      <w:r w:rsidRPr="005F055E">
        <w:t>Vraag 179</w:t>
      </w:r>
      <w:r w:rsidRPr="005F055E">
        <w:tab/>
      </w:r>
    </w:p>
    <w:p w:rsidRPr="005F055E" w:rsidR="00912A7D" w:rsidP="00180EEB" w:rsidRDefault="003E7003" w14:paraId="60827A62" w14:textId="77777777">
      <w:pPr>
        <w:suppressAutoHyphens/>
      </w:pPr>
      <w:r w:rsidRPr="005F055E">
        <w:t>Hoeveel geld gaat er in totaal naar mensen toe in het kader van de zorgtoeslag?</w:t>
      </w:r>
      <w:r w:rsidRPr="005F055E">
        <w:tab/>
      </w:r>
    </w:p>
    <w:p w:rsidRPr="005F055E" w:rsidR="003E7003" w:rsidP="00180EEB" w:rsidRDefault="003E7003" w14:paraId="22626027" w14:textId="0E294681">
      <w:pPr>
        <w:suppressAutoHyphens/>
      </w:pPr>
      <w:r w:rsidRPr="005F055E">
        <w:t>Antwoord</w:t>
      </w:r>
    </w:p>
    <w:p w:rsidRPr="005F055E" w:rsidR="00936238" w:rsidP="00180EEB" w:rsidRDefault="00936238" w14:paraId="33BFF948" w14:textId="1B6052AB">
      <w:pPr>
        <w:suppressAutoHyphens/>
      </w:pPr>
      <w:r w:rsidRPr="005F055E">
        <w:t xml:space="preserve">Zoals in artikel 8 van de VWS-begroting is opgenomen verwachten we dat in 2026 </w:t>
      </w:r>
      <w:r w:rsidRPr="005F055E">
        <w:rPr>
          <w:rFonts w:cstheme="minorHAnsi"/>
        </w:rPr>
        <w:t>€</w:t>
      </w:r>
      <w:r w:rsidRPr="005F055E">
        <w:t xml:space="preserve"> 7.746.800.000 uitgegeven wordt aan zorgtoeslag. Dit betreft zowel betalingen over toeslagjaar 2026 als nabetalingen over eerdere toeslagjaren. Ook wordt er verwacht dat er in 2026 </w:t>
      </w:r>
      <w:r w:rsidRPr="005F055E">
        <w:rPr>
          <w:rFonts w:cstheme="minorHAnsi"/>
        </w:rPr>
        <w:t>€</w:t>
      </w:r>
      <w:r w:rsidRPr="005F055E">
        <w:t xml:space="preserve"> 583.800.000 ontvangen wordt vanwege terugvorderingen als gevolg van </w:t>
      </w:r>
      <w:r w:rsidRPr="005F055E" w:rsidR="00E043BF">
        <w:t>te veel</w:t>
      </w:r>
      <w:r w:rsidRPr="005F055E">
        <w:t xml:space="preserve"> vooruitbetaalde zorgtoeslag. Dit betreft zowel terugvorderingen over toeslagjaar 2026 als terugvorderingen over eerdere toeslagjaren. Per saldo gaat er in 2026 naar verwachting </w:t>
      </w:r>
      <w:r w:rsidRPr="005F055E">
        <w:rPr>
          <w:rFonts w:cstheme="minorHAnsi"/>
        </w:rPr>
        <w:t>€</w:t>
      </w:r>
      <w:r w:rsidRPr="005F055E">
        <w:t xml:space="preserve"> 7.163.000 naar mensen in het kader van de zorgtoeslag. Welk bedrag er definitief aan zorgtoeslag wordt uitgekeerd in 2026 wordt te zijner tijd vermeld in het jaarverslag.</w:t>
      </w:r>
    </w:p>
    <w:p w:rsidRPr="005F055E" w:rsidR="00912A7D" w:rsidP="00180EEB" w:rsidRDefault="00912A7D" w14:paraId="6CC15AA6" w14:textId="77777777">
      <w:pPr>
        <w:suppressAutoHyphens/>
      </w:pPr>
    </w:p>
    <w:p w:rsidRPr="005F055E" w:rsidR="00912A7D" w:rsidP="00180EEB" w:rsidRDefault="003E7003" w14:paraId="5E4DAF07" w14:textId="77777777">
      <w:pPr>
        <w:suppressAutoHyphens/>
      </w:pPr>
      <w:r w:rsidRPr="005F055E">
        <w:t>Vraag 180</w:t>
      </w:r>
      <w:r w:rsidRPr="005F055E">
        <w:tab/>
      </w:r>
    </w:p>
    <w:p w:rsidRPr="005F055E" w:rsidR="00912A7D" w:rsidP="00180EEB" w:rsidRDefault="003E7003" w14:paraId="765ACC50" w14:textId="77777777">
      <w:pPr>
        <w:suppressAutoHyphens/>
      </w:pPr>
      <w:r w:rsidRPr="005F055E">
        <w:t>Hoeveel mensen en welk percentage van de totale bevolking heeft een betalingsachterstand in het betalen van de zorgpremie?</w:t>
      </w:r>
      <w:r w:rsidRPr="005F055E">
        <w:tab/>
      </w:r>
    </w:p>
    <w:p w:rsidRPr="005F055E" w:rsidR="003E7003" w:rsidP="00180EEB" w:rsidRDefault="003E7003" w14:paraId="330F728A" w14:textId="65407F26">
      <w:pPr>
        <w:suppressAutoHyphens/>
      </w:pPr>
      <w:r w:rsidRPr="005F055E">
        <w:t>Antwoord</w:t>
      </w:r>
    </w:p>
    <w:p w:rsidRPr="005F055E" w:rsidR="00912A7D" w:rsidP="00180EEB" w:rsidRDefault="00912A7D" w14:paraId="29294066" w14:textId="77777777">
      <w:pPr>
        <w:suppressAutoHyphens/>
        <w:rPr>
          <w:szCs w:val="18"/>
          <w:lang w:eastAsia="nl-NL"/>
        </w:rPr>
      </w:pPr>
      <w:r w:rsidRPr="005F055E">
        <w:rPr>
          <w:szCs w:val="18"/>
          <w:lang w:eastAsia="nl-NL"/>
        </w:rPr>
        <w:t xml:space="preserve">In de onderstaande tabel vindt u het aantal verzekerden met een betalingsachterstand. </w:t>
      </w:r>
    </w:p>
    <w:tbl>
      <w:tblPr>
        <w:tblW w:w="5000" w:type="pct"/>
        <w:tblCellMar>
          <w:left w:w="0" w:type="dxa"/>
          <w:right w:w="0" w:type="dxa"/>
        </w:tblCellMar>
        <w:tblLook w:val="04A0" w:firstRow="1" w:lastRow="0" w:firstColumn="1" w:lastColumn="0" w:noHBand="0" w:noVBand="1"/>
      </w:tblPr>
      <w:tblGrid>
        <w:gridCol w:w="5749"/>
        <w:gridCol w:w="1630"/>
        <w:gridCol w:w="1628"/>
      </w:tblGrid>
      <w:tr w:rsidRPr="005F055E" w:rsidR="00912A7D" w:rsidTr="00912A7D" w14:paraId="1FA16302" w14:textId="77777777">
        <w:trPr>
          <w:trHeight w:val="260"/>
        </w:trPr>
        <w:tc>
          <w:tcPr>
            <w:tcW w:w="3191" w:type="pct"/>
            <w:tcBorders>
              <w:top w:val="single" w:color="FFFFFF" w:sz="8" w:space="0"/>
              <w:left w:val="single" w:color="FFFFFF" w:sz="8" w:space="0"/>
              <w:bottom w:val="single" w:color="FFFFFF" w:sz="24" w:space="0"/>
              <w:right w:val="single" w:color="FFFFFF" w:sz="8" w:space="0"/>
            </w:tcBorders>
            <w:shd w:val="clear" w:color="auto" w:fill="4F81BD"/>
            <w:tcMar>
              <w:top w:w="0" w:type="dxa"/>
              <w:left w:w="108" w:type="dxa"/>
              <w:bottom w:w="0" w:type="dxa"/>
              <w:right w:w="108" w:type="dxa"/>
            </w:tcMar>
            <w:hideMark/>
          </w:tcPr>
          <w:p w:rsidRPr="005F055E" w:rsidR="00912A7D" w:rsidP="00180EEB" w:rsidRDefault="00912A7D" w14:paraId="25BAEC83" w14:textId="77777777">
            <w:pPr>
              <w:suppressAutoHyphens/>
              <w:rPr>
                <w:b/>
                <w:bCs/>
                <w:color w:val="FFFFFF" w:themeColor="background1"/>
                <w:szCs w:val="18"/>
                <w:lang w:eastAsia="nl-NL"/>
              </w:rPr>
            </w:pPr>
            <w:bookmarkStart w:name="_Hlk175559217" w:id="35"/>
            <w:r w:rsidRPr="005F055E">
              <w:rPr>
                <w:b/>
                <w:bCs/>
                <w:color w:val="FFFFFF" w:themeColor="background1"/>
                <w:szCs w:val="18"/>
                <w:lang w:eastAsia="nl-NL"/>
              </w:rPr>
              <w:t>Verzekerden met betalingsachterstand van:</w:t>
            </w:r>
          </w:p>
        </w:tc>
        <w:tc>
          <w:tcPr>
            <w:tcW w:w="905" w:type="pct"/>
            <w:tcBorders>
              <w:top w:val="single" w:color="FFFFFF" w:sz="8" w:space="0"/>
              <w:left w:val="nil"/>
              <w:bottom w:val="single" w:color="FFFFFF" w:sz="24" w:space="0"/>
              <w:right w:val="single" w:color="FFFFFF" w:sz="8" w:space="0"/>
            </w:tcBorders>
            <w:shd w:val="clear" w:color="auto" w:fill="4F81BD"/>
            <w:tcMar>
              <w:top w:w="0" w:type="dxa"/>
              <w:left w:w="108" w:type="dxa"/>
              <w:bottom w:w="0" w:type="dxa"/>
              <w:right w:w="108" w:type="dxa"/>
            </w:tcMar>
            <w:hideMark/>
          </w:tcPr>
          <w:p w:rsidRPr="005F055E" w:rsidR="00912A7D" w:rsidP="00180EEB" w:rsidRDefault="00912A7D" w14:paraId="0F1036E8" w14:textId="77777777">
            <w:pPr>
              <w:suppressAutoHyphens/>
              <w:rPr>
                <w:b/>
                <w:bCs/>
                <w:color w:val="FFFFFF" w:themeColor="background1"/>
                <w:szCs w:val="18"/>
                <w:lang w:eastAsia="nl-NL"/>
              </w:rPr>
            </w:pPr>
            <w:r w:rsidRPr="005F055E">
              <w:rPr>
                <w:b/>
                <w:bCs/>
                <w:color w:val="FFFFFF" w:themeColor="background1"/>
                <w:szCs w:val="18"/>
                <w:lang w:eastAsia="nl-NL"/>
              </w:rPr>
              <w:t>Eind 2024</w:t>
            </w:r>
          </w:p>
        </w:tc>
        <w:tc>
          <w:tcPr>
            <w:tcW w:w="904" w:type="pct"/>
            <w:tcBorders>
              <w:top w:val="single" w:color="FFFFFF" w:sz="8" w:space="0"/>
              <w:left w:val="nil"/>
              <w:bottom w:val="single" w:color="FFFFFF" w:sz="24" w:space="0"/>
              <w:right w:val="single" w:color="FFFFFF" w:sz="8" w:space="0"/>
            </w:tcBorders>
            <w:shd w:val="clear" w:color="auto" w:fill="4F81BD"/>
            <w:tcMar>
              <w:top w:w="0" w:type="dxa"/>
              <w:left w:w="108" w:type="dxa"/>
              <w:bottom w:w="0" w:type="dxa"/>
              <w:right w:w="108" w:type="dxa"/>
            </w:tcMar>
            <w:hideMark/>
          </w:tcPr>
          <w:p w:rsidRPr="005F055E" w:rsidR="00912A7D" w:rsidP="00180EEB" w:rsidRDefault="00912A7D" w14:paraId="7C172989" w14:textId="77777777">
            <w:pPr>
              <w:suppressAutoHyphens/>
              <w:rPr>
                <w:b/>
                <w:bCs/>
                <w:color w:val="FFFFFF" w:themeColor="background1"/>
                <w:szCs w:val="18"/>
                <w:lang w:eastAsia="nl-NL"/>
              </w:rPr>
            </w:pPr>
            <w:r w:rsidRPr="005F055E">
              <w:rPr>
                <w:b/>
                <w:bCs/>
                <w:color w:val="FFFFFF" w:themeColor="background1"/>
                <w:szCs w:val="18"/>
                <w:lang w:eastAsia="nl-NL"/>
              </w:rPr>
              <w:t>Percentage van totaal</w:t>
            </w:r>
          </w:p>
        </w:tc>
      </w:tr>
      <w:tr w:rsidRPr="005F055E" w:rsidR="00912A7D" w:rsidTr="00912A7D" w14:paraId="6E9F314F" w14:textId="77777777">
        <w:trPr>
          <w:trHeight w:val="205"/>
        </w:trPr>
        <w:tc>
          <w:tcPr>
            <w:tcW w:w="3191" w:type="pct"/>
            <w:tcBorders>
              <w:top w:val="nil"/>
              <w:left w:val="single" w:color="FFFFFF" w:sz="8" w:space="0"/>
              <w:bottom w:val="nil"/>
              <w:right w:val="single" w:color="FFFFFF" w:sz="24" w:space="0"/>
            </w:tcBorders>
            <w:shd w:val="clear" w:color="auto" w:fill="4F81BD"/>
            <w:tcMar>
              <w:top w:w="0" w:type="dxa"/>
              <w:left w:w="108" w:type="dxa"/>
              <w:bottom w:w="0" w:type="dxa"/>
              <w:right w:w="108" w:type="dxa"/>
            </w:tcMar>
            <w:hideMark/>
          </w:tcPr>
          <w:p w:rsidRPr="005F055E" w:rsidR="00912A7D" w:rsidP="00180EEB" w:rsidRDefault="00912A7D" w14:paraId="0D600F7C" w14:textId="77777777">
            <w:pPr>
              <w:suppressAutoHyphens/>
              <w:rPr>
                <w:color w:val="FFFFFF" w:themeColor="background1"/>
                <w:szCs w:val="18"/>
                <w:lang w:eastAsia="nl-NL"/>
              </w:rPr>
            </w:pPr>
            <w:bookmarkStart w:name="_Toc428436625" w:id="36"/>
            <w:r w:rsidRPr="005F055E">
              <w:rPr>
                <w:color w:val="FFFFFF" w:themeColor="background1"/>
                <w:szCs w:val="18"/>
                <w:lang w:eastAsia="nl-NL"/>
              </w:rPr>
              <w:t>2-4 maandpremies</w:t>
            </w:r>
            <w:bookmarkEnd w:id="36"/>
          </w:p>
        </w:tc>
        <w:tc>
          <w:tcPr>
            <w:tcW w:w="905" w:type="pct"/>
            <w:tcBorders>
              <w:top w:val="nil"/>
              <w:left w:val="nil"/>
              <w:bottom w:val="single" w:color="FFFFFF" w:sz="8" w:space="0"/>
              <w:right w:val="single" w:color="FFFFFF" w:sz="8" w:space="0"/>
            </w:tcBorders>
            <w:shd w:val="clear" w:color="auto" w:fill="D3DFEE"/>
            <w:tcMar>
              <w:top w:w="0" w:type="dxa"/>
              <w:left w:w="108" w:type="dxa"/>
              <w:bottom w:w="0" w:type="dxa"/>
              <w:right w:w="108" w:type="dxa"/>
            </w:tcMar>
            <w:hideMark/>
          </w:tcPr>
          <w:p w:rsidRPr="005F055E" w:rsidR="00912A7D" w:rsidP="00180EEB" w:rsidRDefault="00912A7D" w14:paraId="393EADA9" w14:textId="77777777">
            <w:pPr>
              <w:suppressAutoHyphens/>
              <w:rPr>
                <w:szCs w:val="18"/>
                <w:lang w:eastAsia="nl-NL"/>
              </w:rPr>
            </w:pPr>
            <w:r w:rsidRPr="005F055E">
              <w:rPr>
                <w:szCs w:val="18"/>
                <w:lang w:eastAsia="nl-NL"/>
              </w:rPr>
              <w:t>102.963</w:t>
            </w:r>
          </w:p>
        </w:tc>
        <w:tc>
          <w:tcPr>
            <w:tcW w:w="904" w:type="pct"/>
            <w:tcBorders>
              <w:top w:val="nil"/>
              <w:left w:val="nil"/>
              <w:bottom w:val="single" w:color="FFFFFF" w:sz="8" w:space="0"/>
              <w:right w:val="single" w:color="FFFFFF" w:sz="8" w:space="0"/>
            </w:tcBorders>
            <w:shd w:val="clear" w:color="auto" w:fill="D3DFEE"/>
            <w:tcMar>
              <w:top w:w="0" w:type="dxa"/>
              <w:left w:w="108" w:type="dxa"/>
              <w:bottom w:w="0" w:type="dxa"/>
              <w:right w:w="108" w:type="dxa"/>
            </w:tcMar>
            <w:hideMark/>
          </w:tcPr>
          <w:p w:rsidRPr="005F055E" w:rsidR="00912A7D" w:rsidP="00180EEB" w:rsidRDefault="00912A7D" w14:paraId="34990D47" w14:textId="77777777">
            <w:pPr>
              <w:suppressAutoHyphens/>
              <w:rPr>
                <w:szCs w:val="18"/>
                <w:lang w:eastAsia="nl-NL"/>
              </w:rPr>
            </w:pPr>
            <w:r w:rsidRPr="005F055E">
              <w:rPr>
                <w:szCs w:val="18"/>
                <w:lang w:eastAsia="nl-NL"/>
              </w:rPr>
              <w:t>0,7%</w:t>
            </w:r>
          </w:p>
        </w:tc>
      </w:tr>
      <w:tr w:rsidRPr="005F055E" w:rsidR="00912A7D" w:rsidTr="00912A7D" w14:paraId="6C38A584" w14:textId="77777777">
        <w:trPr>
          <w:trHeight w:val="205"/>
        </w:trPr>
        <w:tc>
          <w:tcPr>
            <w:tcW w:w="3191" w:type="pct"/>
            <w:tcBorders>
              <w:top w:val="single" w:color="FFFFFF" w:sz="8" w:space="0"/>
              <w:left w:val="single" w:color="FFFFFF" w:sz="8" w:space="0"/>
              <w:bottom w:val="nil"/>
              <w:right w:val="single" w:color="FFFFFF" w:sz="24" w:space="0"/>
            </w:tcBorders>
            <w:shd w:val="clear" w:color="auto" w:fill="4F81BD"/>
            <w:tcMar>
              <w:top w:w="0" w:type="dxa"/>
              <w:left w:w="108" w:type="dxa"/>
              <w:bottom w:w="0" w:type="dxa"/>
              <w:right w:w="108" w:type="dxa"/>
            </w:tcMar>
            <w:hideMark/>
          </w:tcPr>
          <w:p w:rsidRPr="005F055E" w:rsidR="00912A7D" w:rsidP="00180EEB" w:rsidRDefault="00912A7D" w14:paraId="6C339FB4" w14:textId="77777777">
            <w:pPr>
              <w:suppressAutoHyphens/>
              <w:rPr>
                <w:color w:val="FFFFFF" w:themeColor="background1"/>
                <w:szCs w:val="18"/>
                <w:lang w:eastAsia="nl-NL"/>
              </w:rPr>
            </w:pPr>
            <w:bookmarkStart w:name="_Toc428436626" w:id="37"/>
            <w:r w:rsidRPr="005F055E">
              <w:rPr>
                <w:color w:val="FFFFFF" w:themeColor="background1"/>
                <w:szCs w:val="18"/>
                <w:lang w:eastAsia="nl-NL"/>
              </w:rPr>
              <w:t>4-6 maandpremies</w:t>
            </w:r>
            <w:bookmarkEnd w:id="37"/>
          </w:p>
        </w:tc>
        <w:tc>
          <w:tcPr>
            <w:tcW w:w="905" w:type="pct"/>
            <w:tcBorders>
              <w:top w:val="nil"/>
              <w:left w:val="nil"/>
              <w:bottom w:val="single" w:color="FFFFFF" w:sz="8" w:space="0"/>
              <w:right w:val="single" w:color="FFFFFF" w:sz="8" w:space="0"/>
            </w:tcBorders>
            <w:shd w:val="clear" w:color="auto" w:fill="D3DFEE"/>
            <w:tcMar>
              <w:top w:w="0" w:type="dxa"/>
              <w:left w:w="108" w:type="dxa"/>
              <w:bottom w:w="0" w:type="dxa"/>
              <w:right w:w="108" w:type="dxa"/>
            </w:tcMar>
            <w:hideMark/>
          </w:tcPr>
          <w:p w:rsidRPr="005F055E" w:rsidR="00912A7D" w:rsidP="00180EEB" w:rsidRDefault="00912A7D" w14:paraId="1382ADE9" w14:textId="77777777">
            <w:pPr>
              <w:suppressAutoHyphens/>
              <w:rPr>
                <w:szCs w:val="18"/>
                <w:lang w:eastAsia="nl-NL"/>
              </w:rPr>
            </w:pPr>
            <w:r w:rsidRPr="005F055E">
              <w:rPr>
                <w:szCs w:val="18"/>
                <w:lang w:eastAsia="nl-NL"/>
              </w:rPr>
              <w:t>89.860</w:t>
            </w:r>
          </w:p>
        </w:tc>
        <w:tc>
          <w:tcPr>
            <w:tcW w:w="904" w:type="pct"/>
            <w:tcBorders>
              <w:top w:val="nil"/>
              <w:left w:val="nil"/>
              <w:bottom w:val="single" w:color="FFFFFF" w:sz="8" w:space="0"/>
              <w:right w:val="single" w:color="FFFFFF" w:sz="8" w:space="0"/>
            </w:tcBorders>
            <w:shd w:val="clear" w:color="auto" w:fill="D3DFEE"/>
            <w:tcMar>
              <w:top w:w="0" w:type="dxa"/>
              <w:left w:w="108" w:type="dxa"/>
              <w:bottom w:w="0" w:type="dxa"/>
              <w:right w:w="108" w:type="dxa"/>
            </w:tcMar>
            <w:hideMark/>
          </w:tcPr>
          <w:p w:rsidRPr="005F055E" w:rsidR="00912A7D" w:rsidP="00180EEB" w:rsidRDefault="00912A7D" w14:paraId="17567E51" w14:textId="77777777">
            <w:pPr>
              <w:suppressAutoHyphens/>
              <w:rPr>
                <w:szCs w:val="18"/>
                <w:lang w:eastAsia="nl-NL"/>
              </w:rPr>
            </w:pPr>
            <w:r w:rsidRPr="005F055E">
              <w:rPr>
                <w:szCs w:val="18"/>
                <w:lang w:eastAsia="nl-NL"/>
              </w:rPr>
              <w:t>0,6%</w:t>
            </w:r>
          </w:p>
        </w:tc>
      </w:tr>
      <w:tr w:rsidRPr="005F055E" w:rsidR="00912A7D" w:rsidTr="00912A7D" w14:paraId="6294819C" w14:textId="77777777">
        <w:trPr>
          <w:trHeight w:val="205"/>
        </w:trPr>
        <w:tc>
          <w:tcPr>
            <w:tcW w:w="3191" w:type="pct"/>
            <w:tcBorders>
              <w:top w:val="single" w:color="FFFFFF" w:sz="8" w:space="0"/>
              <w:left w:val="single" w:color="FFFFFF" w:sz="8" w:space="0"/>
              <w:bottom w:val="nil"/>
              <w:right w:val="single" w:color="FFFFFF" w:sz="24" w:space="0"/>
            </w:tcBorders>
            <w:shd w:val="clear" w:color="auto" w:fill="4F81BD"/>
            <w:tcMar>
              <w:top w:w="0" w:type="dxa"/>
              <w:left w:w="108" w:type="dxa"/>
              <w:bottom w:w="0" w:type="dxa"/>
              <w:right w:w="108" w:type="dxa"/>
            </w:tcMar>
            <w:hideMark/>
          </w:tcPr>
          <w:p w:rsidRPr="005F055E" w:rsidR="00912A7D" w:rsidP="00180EEB" w:rsidRDefault="00912A7D" w14:paraId="5432ACB7" w14:textId="77777777">
            <w:pPr>
              <w:suppressAutoHyphens/>
              <w:rPr>
                <w:color w:val="FFFFFF" w:themeColor="background1"/>
                <w:szCs w:val="18"/>
                <w:lang w:eastAsia="nl-NL"/>
              </w:rPr>
            </w:pPr>
            <w:bookmarkStart w:name="_Toc428436627" w:id="38"/>
            <w:r w:rsidRPr="005F055E">
              <w:rPr>
                <w:color w:val="FFFFFF" w:themeColor="background1"/>
                <w:szCs w:val="18"/>
                <w:lang w:eastAsia="nl-NL"/>
              </w:rPr>
              <w:t>van 6 of meer maandpremies</w:t>
            </w:r>
            <w:bookmarkEnd w:id="38"/>
          </w:p>
        </w:tc>
        <w:tc>
          <w:tcPr>
            <w:tcW w:w="905" w:type="pct"/>
            <w:tcBorders>
              <w:top w:val="nil"/>
              <w:left w:val="nil"/>
              <w:bottom w:val="single" w:color="FFFFFF" w:sz="8" w:space="0"/>
              <w:right w:val="single" w:color="FFFFFF" w:sz="8" w:space="0"/>
            </w:tcBorders>
            <w:shd w:val="clear" w:color="auto" w:fill="D3DFEE"/>
            <w:tcMar>
              <w:top w:w="0" w:type="dxa"/>
              <w:left w:w="108" w:type="dxa"/>
              <w:bottom w:w="0" w:type="dxa"/>
              <w:right w:w="108" w:type="dxa"/>
            </w:tcMar>
            <w:hideMark/>
          </w:tcPr>
          <w:p w:rsidRPr="005F055E" w:rsidR="00912A7D" w:rsidP="00180EEB" w:rsidRDefault="00912A7D" w14:paraId="3718DABF" w14:textId="77777777">
            <w:pPr>
              <w:suppressAutoHyphens/>
              <w:rPr>
                <w:szCs w:val="18"/>
                <w:lang w:eastAsia="nl-NL"/>
              </w:rPr>
            </w:pPr>
            <w:r w:rsidRPr="005F055E">
              <w:rPr>
                <w:szCs w:val="18"/>
                <w:lang w:eastAsia="nl-NL"/>
              </w:rPr>
              <w:t>231.627</w:t>
            </w:r>
          </w:p>
        </w:tc>
        <w:tc>
          <w:tcPr>
            <w:tcW w:w="904" w:type="pct"/>
            <w:tcBorders>
              <w:top w:val="nil"/>
              <w:left w:val="nil"/>
              <w:bottom w:val="single" w:color="FFFFFF" w:sz="8" w:space="0"/>
              <w:right w:val="single" w:color="FFFFFF" w:sz="8" w:space="0"/>
            </w:tcBorders>
            <w:shd w:val="clear" w:color="auto" w:fill="D3DFEE"/>
            <w:tcMar>
              <w:top w:w="0" w:type="dxa"/>
              <w:left w:w="108" w:type="dxa"/>
              <w:bottom w:w="0" w:type="dxa"/>
              <w:right w:w="108" w:type="dxa"/>
            </w:tcMar>
            <w:hideMark/>
          </w:tcPr>
          <w:p w:rsidRPr="005F055E" w:rsidR="00912A7D" w:rsidP="00180EEB" w:rsidRDefault="00912A7D" w14:paraId="4F8CAB4D" w14:textId="77777777">
            <w:pPr>
              <w:suppressAutoHyphens/>
              <w:rPr>
                <w:szCs w:val="18"/>
                <w:lang w:eastAsia="nl-NL"/>
              </w:rPr>
            </w:pPr>
            <w:r w:rsidRPr="005F055E">
              <w:rPr>
                <w:szCs w:val="18"/>
                <w:lang w:eastAsia="nl-NL"/>
              </w:rPr>
              <w:t>1,6%</w:t>
            </w:r>
          </w:p>
        </w:tc>
      </w:tr>
      <w:tr w:rsidRPr="005F055E" w:rsidR="00912A7D" w:rsidTr="00912A7D" w14:paraId="342A347A" w14:textId="77777777">
        <w:trPr>
          <w:trHeight w:val="157"/>
        </w:trPr>
        <w:tc>
          <w:tcPr>
            <w:tcW w:w="3191" w:type="pct"/>
            <w:tcBorders>
              <w:top w:val="single" w:color="FFFFFF" w:sz="8" w:space="0"/>
              <w:left w:val="single" w:color="FFFFFF" w:sz="8" w:space="0"/>
              <w:bottom w:val="single" w:color="FFFFFF" w:sz="8" w:space="0"/>
              <w:right w:val="single" w:color="FFFFFF" w:sz="24" w:space="0"/>
            </w:tcBorders>
            <w:shd w:val="clear" w:color="auto" w:fill="4F81BD"/>
            <w:tcMar>
              <w:top w:w="0" w:type="dxa"/>
              <w:left w:w="108" w:type="dxa"/>
              <w:bottom w:w="0" w:type="dxa"/>
              <w:right w:w="108" w:type="dxa"/>
            </w:tcMar>
            <w:hideMark/>
          </w:tcPr>
          <w:p w:rsidRPr="005F055E" w:rsidR="00912A7D" w:rsidP="00180EEB" w:rsidRDefault="00912A7D" w14:paraId="763D394D" w14:textId="77777777">
            <w:pPr>
              <w:suppressAutoHyphens/>
              <w:rPr>
                <w:color w:val="FFFFFF" w:themeColor="background1"/>
                <w:szCs w:val="18"/>
                <w:lang w:eastAsia="nl-NL"/>
              </w:rPr>
            </w:pPr>
            <w:bookmarkStart w:name="_Toc428436628" w:id="39"/>
            <w:r w:rsidRPr="005F055E">
              <w:rPr>
                <w:color w:val="FFFFFF" w:themeColor="background1"/>
                <w:szCs w:val="18"/>
                <w:lang w:eastAsia="nl-NL"/>
              </w:rPr>
              <w:t>Totaal aantal betalingsachterstanden</w:t>
            </w:r>
            <w:bookmarkEnd w:id="39"/>
          </w:p>
        </w:tc>
        <w:tc>
          <w:tcPr>
            <w:tcW w:w="905" w:type="pct"/>
            <w:tcBorders>
              <w:top w:val="nil"/>
              <w:left w:val="nil"/>
              <w:bottom w:val="single" w:color="FFFFFF" w:sz="8" w:space="0"/>
              <w:right w:val="single" w:color="FFFFFF" w:sz="8" w:space="0"/>
            </w:tcBorders>
            <w:shd w:val="clear" w:color="auto" w:fill="D3DFEE"/>
            <w:tcMar>
              <w:top w:w="0" w:type="dxa"/>
              <w:left w:w="108" w:type="dxa"/>
              <w:bottom w:w="0" w:type="dxa"/>
              <w:right w:w="108" w:type="dxa"/>
            </w:tcMar>
            <w:hideMark/>
          </w:tcPr>
          <w:p w:rsidRPr="005F055E" w:rsidR="00912A7D" w:rsidP="00180EEB" w:rsidRDefault="00912A7D" w14:paraId="25CC33F0" w14:textId="77777777">
            <w:pPr>
              <w:suppressAutoHyphens/>
              <w:rPr>
                <w:b/>
                <w:bCs/>
                <w:szCs w:val="18"/>
                <w:lang w:eastAsia="nl-NL"/>
              </w:rPr>
            </w:pPr>
            <w:r w:rsidRPr="005F055E">
              <w:rPr>
                <w:b/>
                <w:bCs/>
                <w:szCs w:val="18"/>
                <w:lang w:eastAsia="nl-NL"/>
              </w:rPr>
              <w:t>424.450</w:t>
            </w:r>
          </w:p>
        </w:tc>
        <w:tc>
          <w:tcPr>
            <w:tcW w:w="904" w:type="pct"/>
            <w:tcBorders>
              <w:top w:val="nil"/>
              <w:left w:val="nil"/>
              <w:bottom w:val="single" w:color="FFFFFF" w:sz="8" w:space="0"/>
              <w:right w:val="single" w:color="FFFFFF" w:sz="8" w:space="0"/>
            </w:tcBorders>
            <w:shd w:val="clear" w:color="auto" w:fill="D3DFEE"/>
            <w:tcMar>
              <w:top w:w="0" w:type="dxa"/>
              <w:left w:w="108" w:type="dxa"/>
              <w:bottom w:w="0" w:type="dxa"/>
              <w:right w:w="108" w:type="dxa"/>
            </w:tcMar>
            <w:hideMark/>
          </w:tcPr>
          <w:p w:rsidRPr="005F055E" w:rsidR="00912A7D" w:rsidP="00180EEB" w:rsidRDefault="00912A7D" w14:paraId="25F1467F" w14:textId="77777777">
            <w:pPr>
              <w:suppressAutoHyphens/>
              <w:rPr>
                <w:b/>
                <w:bCs/>
                <w:szCs w:val="18"/>
                <w:lang w:eastAsia="nl-NL"/>
              </w:rPr>
            </w:pPr>
            <w:r w:rsidRPr="005F055E">
              <w:rPr>
                <w:b/>
                <w:bCs/>
                <w:szCs w:val="18"/>
                <w:lang w:eastAsia="nl-NL"/>
              </w:rPr>
              <w:t>2,9%</w:t>
            </w:r>
          </w:p>
        </w:tc>
        <w:bookmarkEnd w:id="35"/>
      </w:tr>
    </w:tbl>
    <w:p w:rsidRPr="005F055E" w:rsidR="00912A7D" w:rsidP="00180EEB" w:rsidRDefault="00912A7D" w14:paraId="522C0AF4" w14:textId="77777777">
      <w:pPr>
        <w:suppressAutoHyphens/>
        <w:rPr>
          <w:szCs w:val="18"/>
          <w:lang w:eastAsia="nl-NL"/>
        </w:rPr>
      </w:pPr>
    </w:p>
    <w:p w:rsidRPr="005F055E" w:rsidR="00912A7D" w:rsidP="00180EEB" w:rsidRDefault="00912A7D" w14:paraId="52232111" w14:textId="09E8C748">
      <w:pPr>
        <w:suppressAutoHyphens/>
        <w:rPr>
          <w:szCs w:val="18"/>
          <w:lang w:eastAsia="nl-NL"/>
        </w:rPr>
      </w:pPr>
      <w:r w:rsidRPr="005F055E">
        <w:rPr>
          <w:szCs w:val="18"/>
          <w:lang w:eastAsia="nl-NL"/>
        </w:rPr>
        <w:t xml:space="preserve">Bij het berekenen van het percentage van de totale bevolking wordt uitgegaan van 14,5 miljoen verzekerden boven de 18 jaar. </w:t>
      </w:r>
    </w:p>
    <w:p w:rsidRPr="005F055E" w:rsidR="00912A7D" w:rsidP="00180EEB" w:rsidRDefault="00912A7D" w14:paraId="46988CA8" w14:textId="4231D525">
      <w:pPr>
        <w:suppressAutoHyphens/>
        <w:rPr>
          <w:szCs w:val="18"/>
          <w:lang w:eastAsia="nl-NL"/>
        </w:rPr>
      </w:pPr>
      <w:r w:rsidRPr="005F055E">
        <w:rPr>
          <w:szCs w:val="18"/>
          <w:lang w:eastAsia="nl-NL"/>
        </w:rPr>
        <w:t xml:space="preserve">Op 1 oktober 2025 waren er 197.320 verzekerden met een betalingsachterstand aan wie een bestuursrechtelijke premie werd opgelegd door het CAK (Regeling Betalingsachterstand Zorgpremie). Dit is 1,4% van het totaal aantal verzekerden boven de 18 jaar. </w:t>
      </w:r>
    </w:p>
    <w:p w:rsidRPr="005F055E" w:rsidR="00936238" w:rsidP="00180EEB" w:rsidRDefault="00912A7D" w14:paraId="3048C570" w14:textId="25865554">
      <w:pPr>
        <w:suppressAutoHyphens/>
      </w:pPr>
      <w:r w:rsidRPr="005F055E">
        <w:rPr>
          <w:szCs w:val="18"/>
          <w:lang w:eastAsia="nl-NL"/>
        </w:rPr>
        <w:t>Een deel van de 231.627 verzekerden met een betalingsachterstand van 6 of meer maandpremies heeft een betalingsregeling getroffen met de zorgverzekeraar. De regeling betalingsachterstand zorgpremie wordt in dat geval opgeschort.</w:t>
      </w:r>
    </w:p>
    <w:p w:rsidRPr="005F055E" w:rsidR="00CF1801" w:rsidP="00180EEB" w:rsidRDefault="00CF1801" w14:paraId="4F16BB45" w14:textId="77777777">
      <w:pPr>
        <w:suppressAutoHyphens/>
      </w:pPr>
    </w:p>
    <w:p w:rsidRPr="005F055E" w:rsidR="00912A7D" w:rsidP="00180EEB" w:rsidRDefault="003E7003" w14:paraId="08CD569A" w14:textId="0FD73B9D">
      <w:pPr>
        <w:suppressAutoHyphens/>
      </w:pPr>
      <w:r w:rsidRPr="005F055E">
        <w:t>Vraag 181</w:t>
      </w:r>
      <w:r w:rsidRPr="005F055E">
        <w:tab/>
      </w:r>
    </w:p>
    <w:p w:rsidRPr="005F055E" w:rsidR="00912A7D" w:rsidP="00180EEB" w:rsidRDefault="003E7003" w14:paraId="751A3259" w14:textId="77777777">
      <w:pPr>
        <w:suppressAutoHyphens/>
      </w:pPr>
      <w:r w:rsidRPr="005F055E">
        <w:t>Kunt u in een tabel overzichtelijk maken per inkomensgroep hoeveel euro en procent zij erop vooruit dan wel achteruit zouden gaan als de zorgpremie volledig inkomensafhankelijk zou worden en het eigen risico voor iedereen zou worden afgeschaft?</w:t>
      </w:r>
      <w:r w:rsidRPr="005F055E">
        <w:tab/>
      </w:r>
    </w:p>
    <w:p w:rsidRPr="005F055E" w:rsidR="003E7003" w:rsidP="00180EEB" w:rsidRDefault="003E7003" w14:paraId="72A9DEB6" w14:textId="488017B4">
      <w:pPr>
        <w:suppressAutoHyphens/>
      </w:pPr>
      <w:r w:rsidRPr="005F055E">
        <w:t>Antwoord</w:t>
      </w:r>
    </w:p>
    <w:p w:rsidRPr="005F055E" w:rsidR="00936238" w:rsidP="00180EEB" w:rsidRDefault="00936238" w14:paraId="4E9C2209" w14:textId="50038202">
      <w:pPr>
        <w:suppressAutoHyphens/>
      </w:pPr>
      <w:r w:rsidRPr="005F055E">
        <w:t xml:space="preserve">Hoe hoog de maandelijkse kosten worden voor verschillende inkomensgroepen bij een inkomensafhankelijke nominale premie in combinatie met het afschaffen van het eigen risico is volledig afhankelijk van de keuzes die daarbij gemaakt worden in de vormgeving. </w:t>
      </w:r>
      <w:r w:rsidR="00E33183">
        <w:t>Het kost naar verwachting € 2,7 m</w:t>
      </w:r>
      <w:r w:rsidR="00D5323A">
        <w:t>iljard</w:t>
      </w:r>
      <w:r w:rsidR="00E33183">
        <w:t xml:space="preserve"> extra, bovenop de verlaging van het eigen risico naar € 165, om het eigen risico af te schaffen. Dit zorgt ervoor dat de gemiddelde premie met ongeveer € 150 op jaarbasis moet stijgen. Dit komt bovenop het premie-effect van het verlagen van het eigen risico. </w:t>
      </w:r>
      <w:r w:rsidRPr="005F055E">
        <w:t xml:space="preserve">Hoe inkomensafhankelijker de variant gemaakt wordt, des te lager de kosten voor de lagere inkomens zijn en hoe hoger de kosten voor de hogere inkomens zijn. Verder vraagt het invoeren van een inkomensafhankelijke nominale premie om keuzes en verdere uitwerking van de uitvoering. </w:t>
      </w:r>
    </w:p>
    <w:p w:rsidRPr="005F055E" w:rsidR="00936238" w:rsidP="00180EEB" w:rsidRDefault="00936238" w14:paraId="56D2A2E9" w14:textId="77777777">
      <w:pPr>
        <w:suppressAutoHyphens/>
        <w:rPr>
          <w:szCs w:val="18"/>
        </w:rPr>
      </w:pPr>
      <w:r w:rsidRPr="005F055E">
        <w:t>De financiering van de Zorgverzekeringswet is al deels inkomensafhankelijk. De helft van alle uitgaven wordt betaald via de inkomensafhankelijke bijdrage dat als percentage over het inkomen wordt afgedragen. Daarnaast ontvangen verzekerden met de laagste inkomens een tegemoetkoming voor de nominale premie en het gemiddelde eigen risico via de zorgtoeslag. Die zorgtoeslag is inkomensafhankelijk.</w:t>
      </w:r>
    </w:p>
    <w:p w:rsidRPr="005F055E" w:rsidR="00912A7D" w:rsidP="00180EEB" w:rsidRDefault="00912A7D" w14:paraId="0B02790E" w14:textId="77777777">
      <w:pPr>
        <w:suppressAutoHyphens/>
      </w:pPr>
    </w:p>
    <w:p w:rsidRPr="005F055E" w:rsidR="00912A7D" w:rsidP="00180EEB" w:rsidRDefault="003E7003" w14:paraId="61AE9BDF" w14:textId="77777777">
      <w:pPr>
        <w:suppressAutoHyphens/>
      </w:pPr>
      <w:r w:rsidRPr="005F055E">
        <w:t>Vraag 182</w:t>
      </w:r>
      <w:r w:rsidRPr="005F055E">
        <w:tab/>
      </w:r>
    </w:p>
    <w:p w:rsidRPr="005F055E" w:rsidR="00912A7D" w:rsidP="00180EEB" w:rsidRDefault="003E7003" w14:paraId="19139E70" w14:textId="77777777">
      <w:pPr>
        <w:suppressAutoHyphens/>
      </w:pPr>
      <w:r w:rsidRPr="005F055E">
        <w:t>Hoeveel geeft elke zorgverzekeraar uit aan bedrijfskosten? Kunt u dit per zorgverzekeraar aangeven?</w:t>
      </w:r>
      <w:r w:rsidRPr="005F055E">
        <w:tab/>
      </w:r>
    </w:p>
    <w:p w:rsidRPr="005F055E" w:rsidR="003E7003" w:rsidP="00180EEB" w:rsidRDefault="003E7003" w14:paraId="79D1F05D" w14:textId="029E9700">
      <w:pPr>
        <w:suppressAutoHyphens/>
      </w:pPr>
      <w:r w:rsidRPr="005F055E">
        <w:t>Antwoord</w:t>
      </w:r>
    </w:p>
    <w:p w:rsidRPr="005F055E" w:rsidR="00632BAA" w:rsidP="00180EEB" w:rsidRDefault="00632BAA" w14:paraId="2B2D5984" w14:textId="77777777">
      <w:pPr>
        <w:suppressAutoHyphens/>
        <w:spacing w:line="240" w:lineRule="atLeast"/>
        <w:rPr>
          <w:szCs w:val="18"/>
          <w:lang w:eastAsia="nl-NL"/>
        </w:rPr>
      </w:pPr>
      <w:r w:rsidRPr="005F055E">
        <w:rPr>
          <w:szCs w:val="18"/>
          <w:lang w:eastAsia="nl-NL"/>
        </w:rPr>
        <w:t xml:space="preserve">Onderstaande tabel geeft de door zorgverzekeraars gerapporteerde bedrijfskosten voor 2024 weer. 2024 is het jaar waarvoor de meest recente cijfers beschikbaar zijn. De tabel geeft zowel de totale bedrijfskosten per concern weer als de bedrijfskosten als percentage van de totale zorgkosten (van een basisverzekering) per concern. </w:t>
      </w:r>
    </w:p>
    <w:tbl>
      <w:tblPr>
        <w:tblStyle w:val="TableGrid10"/>
        <w:tblW w:w="0" w:type="auto"/>
        <w:tblLook w:val="04A0" w:firstRow="1" w:lastRow="0" w:firstColumn="1" w:lastColumn="0" w:noHBand="0" w:noVBand="1"/>
      </w:tblPr>
      <w:tblGrid>
        <w:gridCol w:w="3007"/>
        <w:gridCol w:w="3005"/>
        <w:gridCol w:w="3005"/>
      </w:tblGrid>
      <w:tr w:rsidRPr="005F055E" w:rsidR="00632BAA" w:rsidTr="005E2643" w14:paraId="185D0ABF" w14:textId="77777777">
        <w:tc>
          <w:tcPr>
            <w:tcW w:w="3020" w:type="dxa"/>
          </w:tcPr>
          <w:p w:rsidRPr="005F055E" w:rsidR="00632BAA" w:rsidP="00180EEB" w:rsidRDefault="00632BAA" w14:paraId="05CFDB26" w14:textId="77777777">
            <w:pPr>
              <w:suppressAutoHyphens/>
              <w:spacing w:line="276" w:lineRule="auto"/>
              <w:rPr>
                <w:rFonts w:ascii="Verdana" w:hAnsi="Verdana" w:cstheme="minorHAnsi"/>
                <w:b/>
                <w:bCs/>
                <w:sz w:val="16"/>
                <w:szCs w:val="16"/>
              </w:rPr>
            </w:pPr>
            <w:r w:rsidRPr="005F055E">
              <w:rPr>
                <w:rFonts w:ascii="Verdana" w:hAnsi="Verdana" w:cstheme="minorHAnsi"/>
                <w:b/>
                <w:bCs/>
                <w:sz w:val="16"/>
                <w:szCs w:val="16"/>
              </w:rPr>
              <w:t>Zorgverzekeraar (concern)</w:t>
            </w:r>
          </w:p>
        </w:tc>
        <w:tc>
          <w:tcPr>
            <w:tcW w:w="3021" w:type="dxa"/>
          </w:tcPr>
          <w:p w:rsidRPr="005F055E" w:rsidR="00632BAA" w:rsidP="00180EEB" w:rsidRDefault="00632BAA" w14:paraId="1216EB24" w14:textId="77777777">
            <w:pPr>
              <w:suppressAutoHyphens/>
              <w:spacing w:line="276" w:lineRule="auto"/>
              <w:rPr>
                <w:rFonts w:ascii="Verdana" w:hAnsi="Verdana" w:cstheme="minorHAnsi"/>
                <w:b/>
                <w:bCs/>
                <w:sz w:val="16"/>
                <w:szCs w:val="16"/>
              </w:rPr>
            </w:pPr>
            <w:r w:rsidRPr="005F055E">
              <w:rPr>
                <w:rFonts w:ascii="Verdana" w:hAnsi="Verdana" w:cstheme="minorHAnsi"/>
                <w:b/>
                <w:bCs/>
                <w:sz w:val="16"/>
                <w:szCs w:val="16"/>
              </w:rPr>
              <w:t>Totale bedrijfskosten in 2024 (x €1 miljoen)</w:t>
            </w:r>
          </w:p>
        </w:tc>
        <w:tc>
          <w:tcPr>
            <w:tcW w:w="3021" w:type="dxa"/>
          </w:tcPr>
          <w:p w:rsidRPr="005F055E" w:rsidR="00632BAA" w:rsidP="00180EEB" w:rsidRDefault="00632BAA" w14:paraId="14478F9C" w14:textId="77777777">
            <w:pPr>
              <w:suppressAutoHyphens/>
              <w:spacing w:line="276" w:lineRule="auto"/>
              <w:rPr>
                <w:rFonts w:ascii="Verdana" w:hAnsi="Verdana" w:cstheme="minorHAnsi"/>
                <w:b/>
                <w:bCs/>
                <w:sz w:val="16"/>
                <w:szCs w:val="16"/>
              </w:rPr>
            </w:pPr>
            <w:r w:rsidRPr="005F055E">
              <w:rPr>
                <w:rFonts w:ascii="Verdana" w:hAnsi="Verdana" w:cstheme="minorHAnsi"/>
                <w:b/>
                <w:bCs/>
                <w:sz w:val="16"/>
                <w:szCs w:val="16"/>
              </w:rPr>
              <w:t>Bedrijfskosten als percentage van zorgkosten (%)</w:t>
            </w:r>
          </w:p>
        </w:tc>
      </w:tr>
      <w:tr w:rsidRPr="005F055E" w:rsidR="00632BAA" w:rsidTr="005E2643" w14:paraId="380FD06F" w14:textId="77777777">
        <w:tc>
          <w:tcPr>
            <w:tcW w:w="3020" w:type="dxa"/>
          </w:tcPr>
          <w:p w:rsidRPr="005F055E" w:rsidR="00632BAA" w:rsidP="00180EEB" w:rsidRDefault="00632BAA" w14:paraId="44720845" w14:textId="77777777">
            <w:pPr>
              <w:suppressAutoHyphens/>
              <w:spacing w:line="276" w:lineRule="auto"/>
              <w:rPr>
                <w:rFonts w:ascii="Verdana" w:hAnsi="Verdana" w:cstheme="minorHAnsi"/>
                <w:sz w:val="16"/>
                <w:szCs w:val="16"/>
              </w:rPr>
            </w:pPr>
            <w:r w:rsidRPr="005F055E">
              <w:rPr>
                <w:rFonts w:ascii="Verdana" w:hAnsi="Verdana" w:cstheme="minorHAnsi"/>
                <w:sz w:val="16"/>
                <w:szCs w:val="16"/>
              </w:rPr>
              <w:t>ASR</w:t>
            </w:r>
          </w:p>
        </w:tc>
        <w:tc>
          <w:tcPr>
            <w:tcW w:w="3021" w:type="dxa"/>
            <w:vAlign w:val="bottom"/>
          </w:tcPr>
          <w:p w:rsidRPr="005F055E" w:rsidR="00632BAA" w:rsidP="00180EEB" w:rsidRDefault="00632BAA" w14:paraId="65B41276" w14:textId="77777777">
            <w:pPr>
              <w:suppressAutoHyphens/>
              <w:spacing w:line="276" w:lineRule="auto"/>
              <w:rPr>
                <w:rFonts w:ascii="Verdana" w:hAnsi="Verdana" w:cstheme="minorHAnsi"/>
                <w:sz w:val="16"/>
                <w:szCs w:val="16"/>
              </w:rPr>
            </w:pPr>
            <w:r w:rsidRPr="005F055E">
              <w:rPr>
                <w:rFonts w:ascii="Verdana" w:hAnsi="Verdana" w:cstheme="minorHAnsi"/>
                <w:sz w:val="16"/>
                <w:szCs w:val="16"/>
              </w:rPr>
              <w:t>53</w:t>
            </w:r>
          </w:p>
        </w:tc>
        <w:tc>
          <w:tcPr>
            <w:tcW w:w="3021" w:type="dxa"/>
            <w:vAlign w:val="bottom"/>
          </w:tcPr>
          <w:p w:rsidRPr="005F055E" w:rsidR="00632BAA" w:rsidP="00180EEB" w:rsidRDefault="00632BAA" w14:paraId="48351913" w14:textId="77777777">
            <w:pPr>
              <w:suppressAutoHyphens/>
              <w:spacing w:line="276" w:lineRule="auto"/>
              <w:rPr>
                <w:rFonts w:ascii="Verdana" w:hAnsi="Verdana" w:cstheme="minorHAnsi"/>
                <w:sz w:val="16"/>
                <w:szCs w:val="16"/>
              </w:rPr>
            </w:pPr>
            <w:r w:rsidRPr="005F055E">
              <w:rPr>
                <w:rFonts w:ascii="Verdana" w:hAnsi="Verdana" w:cs="Calibri"/>
                <w:sz w:val="16"/>
                <w:szCs w:val="16"/>
              </w:rPr>
              <w:t>3,9%</w:t>
            </w:r>
          </w:p>
        </w:tc>
      </w:tr>
      <w:tr w:rsidRPr="005F055E" w:rsidR="00632BAA" w:rsidTr="005E2643" w14:paraId="6635699E" w14:textId="77777777">
        <w:tc>
          <w:tcPr>
            <w:tcW w:w="3020" w:type="dxa"/>
          </w:tcPr>
          <w:p w:rsidRPr="005F055E" w:rsidR="00632BAA" w:rsidP="00180EEB" w:rsidRDefault="00632BAA" w14:paraId="51BC06B1" w14:textId="77777777">
            <w:pPr>
              <w:suppressAutoHyphens/>
              <w:spacing w:line="276" w:lineRule="auto"/>
              <w:rPr>
                <w:rFonts w:ascii="Verdana" w:hAnsi="Verdana" w:cstheme="minorHAnsi"/>
                <w:sz w:val="16"/>
                <w:szCs w:val="16"/>
              </w:rPr>
            </w:pPr>
            <w:r w:rsidRPr="005F055E">
              <w:rPr>
                <w:rFonts w:ascii="Verdana" w:hAnsi="Verdana" w:cstheme="minorHAnsi"/>
                <w:sz w:val="16"/>
                <w:szCs w:val="16"/>
              </w:rPr>
              <w:t>CZ</w:t>
            </w:r>
          </w:p>
        </w:tc>
        <w:tc>
          <w:tcPr>
            <w:tcW w:w="3021" w:type="dxa"/>
            <w:vAlign w:val="bottom"/>
          </w:tcPr>
          <w:p w:rsidRPr="005F055E" w:rsidR="00632BAA" w:rsidP="00180EEB" w:rsidRDefault="00632BAA" w14:paraId="3559A25F" w14:textId="77777777">
            <w:pPr>
              <w:suppressAutoHyphens/>
              <w:spacing w:line="276" w:lineRule="auto"/>
              <w:rPr>
                <w:rFonts w:ascii="Verdana" w:hAnsi="Verdana" w:cstheme="minorHAnsi"/>
                <w:sz w:val="16"/>
                <w:szCs w:val="16"/>
              </w:rPr>
            </w:pPr>
            <w:r w:rsidRPr="005F055E">
              <w:rPr>
                <w:rFonts w:ascii="Verdana" w:hAnsi="Verdana" w:cstheme="minorHAnsi"/>
                <w:sz w:val="16"/>
                <w:szCs w:val="16"/>
              </w:rPr>
              <w:t>330</w:t>
            </w:r>
          </w:p>
        </w:tc>
        <w:tc>
          <w:tcPr>
            <w:tcW w:w="3021" w:type="dxa"/>
            <w:vAlign w:val="bottom"/>
          </w:tcPr>
          <w:p w:rsidRPr="005F055E" w:rsidR="00632BAA" w:rsidP="00180EEB" w:rsidRDefault="00632BAA" w14:paraId="4AB6E9D5" w14:textId="77777777">
            <w:pPr>
              <w:suppressAutoHyphens/>
              <w:spacing w:line="276" w:lineRule="auto"/>
              <w:rPr>
                <w:rFonts w:ascii="Verdana" w:hAnsi="Verdana" w:cstheme="minorHAnsi"/>
                <w:sz w:val="16"/>
                <w:szCs w:val="16"/>
              </w:rPr>
            </w:pPr>
            <w:r w:rsidRPr="005F055E">
              <w:rPr>
                <w:rFonts w:ascii="Verdana" w:hAnsi="Verdana" w:cs="Calibri"/>
                <w:sz w:val="16"/>
                <w:szCs w:val="16"/>
              </w:rPr>
              <w:t>2,7%</w:t>
            </w:r>
          </w:p>
        </w:tc>
      </w:tr>
      <w:tr w:rsidRPr="005F055E" w:rsidR="00632BAA" w:rsidTr="005E2643" w14:paraId="7DA5D376" w14:textId="77777777">
        <w:tc>
          <w:tcPr>
            <w:tcW w:w="3020" w:type="dxa"/>
          </w:tcPr>
          <w:p w:rsidRPr="005F055E" w:rsidR="00632BAA" w:rsidP="00180EEB" w:rsidRDefault="00632BAA" w14:paraId="2A21B90D" w14:textId="77777777">
            <w:pPr>
              <w:suppressAutoHyphens/>
              <w:spacing w:line="276" w:lineRule="auto"/>
              <w:rPr>
                <w:rFonts w:ascii="Verdana" w:hAnsi="Verdana" w:cstheme="minorHAnsi"/>
                <w:sz w:val="16"/>
                <w:szCs w:val="16"/>
              </w:rPr>
            </w:pPr>
            <w:r w:rsidRPr="005F055E">
              <w:rPr>
                <w:rFonts w:ascii="Verdana" w:hAnsi="Verdana" w:cstheme="minorHAnsi"/>
                <w:sz w:val="16"/>
                <w:szCs w:val="16"/>
              </w:rPr>
              <w:t>DSW + Stad Holland</w:t>
            </w:r>
          </w:p>
        </w:tc>
        <w:tc>
          <w:tcPr>
            <w:tcW w:w="3021" w:type="dxa"/>
            <w:vAlign w:val="bottom"/>
          </w:tcPr>
          <w:p w:rsidRPr="005F055E" w:rsidR="00632BAA" w:rsidP="00180EEB" w:rsidRDefault="00632BAA" w14:paraId="6AC4FBB7" w14:textId="77777777">
            <w:pPr>
              <w:suppressAutoHyphens/>
              <w:spacing w:line="276" w:lineRule="auto"/>
              <w:rPr>
                <w:rFonts w:ascii="Verdana" w:hAnsi="Verdana" w:cstheme="minorHAnsi"/>
                <w:sz w:val="16"/>
                <w:szCs w:val="16"/>
              </w:rPr>
            </w:pPr>
            <w:r w:rsidRPr="005F055E">
              <w:rPr>
                <w:rFonts w:ascii="Verdana" w:hAnsi="Verdana" w:cstheme="minorHAnsi"/>
                <w:sz w:val="16"/>
                <w:szCs w:val="16"/>
              </w:rPr>
              <w:t>62</w:t>
            </w:r>
          </w:p>
        </w:tc>
        <w:tc>
          <w:tcPr>
            <w:tcW w:w="3021" w:type="dxa"/>
            <w:vAlign w:val="bottom"/>
          </w:tcPr>
          <w:p w:rsidRPr="005F055E" w:rsidR="00632BAA" w:rsidP="00180EEB" w:rsidRDefault="00632BAA" w14:paraId="21F98D13" w14:textId="77777777">
            <w:pPr>
              <w:suppressAutoHyphens/>
              <w:spacing w:line="276" w:lineRule="auto"/>
              <w:rPr>
                <w:rFonts w:ascii="Verdana" w:hAnsi="Verdana" w:cstheme="minorHAnsi"/>
                <w:sz w:val="16"/>
                <w:szCs w:val="16"/>
              </w:rPr>
            </w:pPr>
            <w:r w:rsidRPr="005F055E">
              <w:rPr>
                <w:rFonts w:ascii="Verdana" w:hAnsi="Verdana" w:cs="Calibri"/>
                <w:sz w:val="16"/>
                <w:szCs w:val="16"/>
              </w:rPr>
              <w:t>2,4%</w:t>
            </w:r>
          </w:p>
        </w:tc>
      </w:tr>
      <w:tr w:rsidRPr="005F055E" w:rsidR="00632BAA" w:rsidTr="005E2643" w14:paraId="165F770B" w14:textId="77777777">
        <w:tc>
          <w:tcPr>
            <w:tcW w:w="3020" w:type="dxa"/>
          </w:tcPr>
          <w:p w:rsidRPr="005F055E" w:rsidR="00632BAA" w:rsidP="00180EEB" w:rsidRDefault="00632BAA" w14:paraId="5DAE5398" w14:textId="77777777">
            <w:pPr>
              <w:suppressAutoHyphens/>
              <w:spacing w:line="276" w:lineRule="auto"/>
              <w:rPr>
                <w:rFonts w:ascii="Verdana" w:hAnsi="Verdana" w:cstheme="minorHAnsi"/>
                <w:sz w:val="16"/>
                <w:szCs w:val="16"/>
              </w:rPr>
            </w:pPr>
            <w:r w:rsidRPr="005F055E">
              <w:rPr>
                <w:rFonts w:ascii="Verdana" w:hAnsi="Verdana" w:cstheme="minorHAnsi"/>
                <w:sz w:val="16"/>
                <w:szCs w:val="16"/>
              </w:rPr>
              <w:t>EUCARE</w:t>
            </w:r>
          </w:p>
        </w:tc>
        <w:tc>
          <w:tcPr>
            <w:tcW w:w="3021" w:type="dxa"/>
            <w:vAlign w:val="bottom"/>
          </w:tcPr>
          <w:p w:rsidRPr="005F055E" w:rsidR="00632BAA" w:rsidP="00180EEB" w:rsidRDefault="00632BAA" w14:paraId="03C9E6A2" w14:textId="77777777">
            <w:pPr>
              <w:suppressAutoHyphens/>
              <w:spacing w:line="276" w:lineRule="auto"/>
              <w:rPr>
                <w:rFonts w:ascii="Verdana" w:hAnsi="Verdana" w:cstheme="minorHAnsi"/>
                <w:sz w:val="16"/>
                <w:szCs w:val="16"/>
              </w:rPr>
            </w:pPr>
            <w:r w:rsidRPr="005F055E">
              <w:rPr>
                <w:rFonts w:ascii="Verdana" w:hAnsi="Verdana" w:cstheme="minorHAnsi"/>
                <w:sz w:val="16"/>
                <w:szCs w:val="16"/>
              </w:rPr>
              <w:t>21</w:t>
            </w:r>
          </w:p>
        </w:tc>
        <w:tc>
          <w:tcPr>
            <w:tcW w:w="3021" w:type="dxa"/>
            <w:vAlign w:val="bottom"/>
          </w:tcPr>
          <w:p w:rsidRPr="005F055E" w:rsidR="00632BAA" w:rsidP="00180EEB" w:rsidRDefault="00632BAA" w14:paraId="73A1845A" w14:textId="77777777">
            <w:pPr>
              <w:suppressAutoHyphens/>
              <w:spacing w:line="276" w:lineRule="auto"/>
              <w:rPr>
                <w:rFonts w:ascii="Verdana" w:hAnsi="Verdana" w:cs="Calibri"/>
                <w:sz w:val="16"/>
                <w:szCs w:val="16"/>
              </w:rPr>
            </w:pPr>
            <w:r w:rsidRPr="005F055E">
              <w:rPr>
                <w:rFonts w:ascii="Verdana" w:hAnsi="Verdana" w:cs="Calibri"/>
                <w:sz w:val="16"/>
                <w:szCs w:val="16"/>
              </w:rPr>
              <w:t>3,7%</w:t>
            </w:r>
          </w:p>
        </w:tc>
      </w:tr>
      <w:tr w:rsidRPr="005F055E" w:rsidR="00632BAA" w:rsidTr="005E2643" w14:paraId="0D3D50EF" w14:textId="77777777">
        <w:tc>
          <w:tcPr>
            <w:tcW w:w="3020" w:type="dxa"/>
          </w:tcPr>
          <w:p w:rsidRPr="005F055E" w:rsidR="00632BAA" w:rsidP="00180EEB" w:rsidRDefault="00632BAA" w14:paraId="6766AEB2" w14:textId="77777777">
            <w:pPr>
              <w:suppressAutoHyphens/>
              <w:spacing w:line="276" w:lineRule="auto"/>
              <w:rPr>
                <w:rFonts w:ascii="Verdana" w:hAnsi="Verdana" w:cstheme="minorHAnsi"/>
                <w:sz w:val="16"/>
                <w:szCs w:val="16"/>
              </w:rPr>
            </w:pPr>
            <w:r w:rsidRPr="005F055E">
              <w:rPr>
                <w:rFonts w:ascii="Verdana" w:hAnsi="Verdana" w:cstheme="minorHAnsi"/>
                <w:sz w:val="16"/>
                <w:szCs w:val="16"/>
              </w:rPr>
              <w:t>Salland</w:t>
            </w:r>
          </w:p>
        </w:tc>
        <w:tc>
          <w:tcPr>
            <w:tcW w:w="3021" w:type="dxa"/>
            <w:vAlign w:val="bottom"/>
          </w:tcPr>
          <w:p w:rsidRPr="005F055E" w:rsidR="00632BAA" w:rsidP="00180EEB" w:rsidRDefault="00632BAA" w14:paraId="6948CA5D" w14:textId="77777777">
            <w:pPr>
              <w:suppressAutoHyphens/>
              <w:spacing w:line="276" w:lineRule="auto"/>
              <w:rPr>
                <w:rFonts w:ascii="Verdana" w:hAnsi="Verdana" w:cstheme="minorHAnsi"/>
                <w:sz w:val="16"/>
                <w:szCs w:val="16"/>
              </w:rPr>
            </w:pPr>
            <w:r w:rsidRPr="005F055E">
              <w:rPr>
                <w:rFonts w:ascii="Verdana" w:hAnsi="Verdana" w:cs="Calibri"/>
                <w:sz w:val="16"/>
                <w:szCs w:val="16"/>
              </w:rPr>
              <w:t>31</w:t>
            </w:r>
          </w:p>
        </w:tc>
        <w:tc>
          <w:tcPr>
            <w:tcW w:w="3021" w:type="dxa"/>
            <w:vAlign w:val="bottom"/>
          </w:tcPr>
          <w:p w:rsidRPr="005F055E" w:rsidR="00632BAA" w:rsidP="00180EEB" w:rsidRDefault="00632BAA" w14:paraId="28883A9D" w14:textId="77777777">
            <w:pPr>
              <w:suppressAutoHyphens/>
              <w:spacing w:line="276" w:lineRule="auto"/>
              <w:rPr>
                <w:rFonts w:ascii="Verdana" w:hAnsi="Verdana" w:cstheme="minorHAnsi"/>
                <w:sz w:val="16"/>
                <w:szCs w:val="16"/>
              </w:rPr>
            </w:pPr>
            <w:r w:rsidRPr="005F055E">
              <w:rPr>
                <w:rFonts w:ascii="Verdana" w:hAnsi="Verdana" w:cstheme="minorHAnsi"/>
                <w:sz w:val="16"/>
                <w:szCs w:val="16"/>
              </w:rPr>
              <w:t>7,7%</w:t>
            </w:r>
          </w:p>
        </w:tc>
      </w:tr>
      <w:tr w:rsidRPr="005F055E" w:rsidR="00632BAA" w:rsidTr="005E2643" w14:paraId="3A1A1D6B" w14:textId="77777777">
        <w:tc>
          <w:tcPr>
            <w:tcW w:w="3020" w:type="dxa"/>
          </w:tcPr>
          <w:p w:rsidRPr="005F055E" w:rsidR="00632BAA" w:rsidP="00180EEB" w:rsidRDefault="00632BAA" w14:paraId="0456A7A3" w14:textId="77777777">
            <w:pPr>
              <w:suppressAutoHyphens/>
              <w:spacing w:line="276" w:lineRule="auto"/>
              <w:rPr>
                <w:rFonts w:ascii="Verdana" w:hAnsi="Verdana" w:cstheme="minorHAnsi"/>
                <w:sz w:val="16"/>
                <w:szCs w:val="16"/>
              </w:rPr>
            </w:pPr>
            <w:proofErr w:type="spellStart"/>
            <w:r w:rsidRPr="005F055E">
              <w:rPr>
                <w:rFonts w:ascii="Verdana" w:hAnsi="Verdana" w:cstheme="minorHAnsi"/>
                <w:sz w:val="16"/>
                <w:szCs w:val="16"/>
              </w:rPr>
              <w:t>Menzis</w:t>
            </w:r>
            <w:proofErr w:type="spellEnd"/>
          </w:p>
        </w:tc>
        <w:tc>
          <w:tcPr>
            <w:tcW w:w="3021" w:type="dxa"/>
            <w:vAlign w:val="bottom"/>
          </w:tcPr>
          <w:p w:rsidRPr="005F055E" w:rsidR="00632BAA" w:rsidP="00180EEB" w:rsidRDefault="00632BAA" w14:paraId="0B69BE48" w14:textId="77777777">
            <w:pPr>
              <w:suppressAutoHyphens/>
              <w:spacing w:line="276" w:lineRule="auto"/>
              <w:rPr>
                <w:rFonts w:ascii="Verdana" w:hAnsi="Verdana" w:cstheme="minorHAnsi"/>
                <w:sz w:val="16"/>
                <w:szCs w:val="16"/>
              </w:rPr>
            </w:pPr>
            <w:r w:rsidRPr="005F055E">
              <w:rPr>
                <w:rFonts w:ascii="Verdana" w:hAnsi="Verdana" w:cs="Calibri"/>
                <w:sz w:val="16"/>
                <w:szCs w:val="16"/>
              </w:rPr>
              <w:t>142</w:t>
            </w:r>
          </w:p>
        </w:tc>
        <w:tc>
          <w:tcPr>
            <w:tcW w:w="3021" w:type="dxa"/>
            <w:vAlign w:val="bottom"/>
          </w:tcPr>
          <w:p w:rsidRPr="005F055E" w:rsidR="00632BAA" w:rsidP="00180EEB" w:rsidRDefault="00632BAA" w14:paraId="72B58E1F" w14:textId="77777777">
            <w:pPr>
              <w:suppressAutoHyphens/>
              <w:spacing w:line="276" w:lineRule="auto"/>
              <w:rPr>
                <w:rFonts w:ascii="Verdana" w:hAnsi="Verdana" w:cstheme="minorHAnsi"/>
                <w:sz w:val="16"/>
                <w:szCs w:val="16"/>
              </w:rPr>
            </w:pPr>
            <w:r w:rsidRPr="005F055E">
              <w:rPr>
                <w:rFonts w:ascii="Verdana" w:hAnsi="Verdana" w:cs="Calibri"/>
                <w:sz w:val="16"/>
                <w:szCs w:val="16"/>
              </w:rPr>
              <w:t>2,2%</w:t>
            </w:r>
          </w:p>
        </w:tc>
      </w:tr>
      <w:tr w:rsidRPr="005F055E" w:rsidR="00632BAA" w:rsidTr="005E2643" w14:paraId="14B3014B" w14:textId="77777777">
        <w:tc>
          <w:tcPr>
            <w:tcW w:w="3020" w:type="dxa"/>
          </w:tcPr>
          <w:p w:rsidRPr="005F055E" w:rsidR="00632BAA" w:rsidP="00180EEB" w:rsidRDefault="00632BAA" w14:paraId="16E769EA" w14:textId="77777777">
            <w:pPr>
              <w:suppressAutoHyphens/>
              <w:spacing w:line="276" w:lineRule="auto"/>
              <w:rPr>
                <w:rFonts w:ascii="Verdana" w:hAnsi="Verdana" w:cstheme="minorHAnsi"/>
                <w:sz w:val="16"/>
                <w:szCs w:val="16"/>
              </w:rPr>
            </w:pPr>
            <w:r w:rsidRPr="005F055E">
              <w:rPr>
                <w:rFonts w:ascii="Verdana" w:hAnsi="Verdana" w:cstheme="minorHAnsi"/>
                <w:sz w:val="16"/>
                <w:szCs w:val="16"/>
              </w:rPr>
              <w:t>ONVZ</w:t>
            </w:r>
          </w:p>
        </w:tc>
        <w:tc>
          <w:tcPr>
            <w:tcW w:w="3021" w:type="dxa"/>
            <w:vAlign w:val="bottom"/>
          </w:tcPr>
          <w:p w:rsidRPr="005F055E" w:rsidR="00632BAA" w:rsidP="00180EEB" w:rsidRDefault="00632BAA" w14:paraId="46D6F9E5" w14:textId="77777777">
            <w:pPr>
              <w:suppressAutoHyphens/>
              <w:spacing w:line="276" w:lineRule="auto"/>
              <w:rPr>
                <w:rFonts w:ascii="Verdana" w:hAnsi="Verdana" w:cstheme="minorHAnsi"/>
                <w:sz w:val="16"/>
                <w:szCs w:val="16"/>
              </w:rPr>
            </w:pPr>
            <w:r w:rsidRPr="005F055E">
              <w:rPr>
                <w:rFonts w:ascii="Verdana" w:hAnsi="Verdana" w:cstheme="minorHAnsi"/>
                <w:sz w:val="16"/>
                <w:szCs w:val="16"/>
              </w:rPr>
              <w:t>42</w:t>
            </w:r>
          </w:p>
        </w:tc>
        <w:tc>
          <w:tcPr>
            <w:tcW w:w="3021" w:type="dxa"/>
            <w:vAlign w:val="bottom"/>
          </w:tcPr>
          <w:p w:rsidRPr="005F055E" w:rsidR="00632BAA" w:rsidP="00180EEB" w:rsidRDefault="00632BAA" w14:paraId="403D8F66" w14:textId="77777777">
            <w:pPr>
              <w:suppressAutoHyphens/>
              <w:spacing w:line="276" w:lineRule="auto"/>
              <w:rPr>
                <w:rFonts w:ascii="Verdana" w:hAnsi="Verdana" w:cstheme="minorHAnsi"/>
                <w:sz w:val="16"/>
                <w:szCs w:val="16"/>
              </w:rPr>
            </w:pPr>
            <w:r w:rsidRPr="005F055E">
              <w:rPr>
                <w:rFonts w:ascii="Verdana" w:hAnsi="Verdana" w:cs="Calibri"/>
                <w:sz w:val="16"/>
                <w:szCs w:val="16"/>
              </w:rPr>
              <w:t>3,2%</w:t>
            </w:r>
          </w:p>
        </w:tc>
      </w:tr>
      <w:tr w:rsidRPr="005F055E" w:rsidR="00632BAA" w:rsidTr="005E2643" w14:paraId="1CB0F72F" w14:textId="77777777">
        <w:tc>
          <w:tcPr>
            <w:tcW w:w="3020" w:type="dxa"/>
          </w:tcPr>
          <w:p w:rsidRPr="005F055E" w:rsidR="00632BAA" w:rsidP="00180EEB" w:rsidRDefault="00632BAA" w14:paraId="3245476E" w14:textId="77777777">
            <w:pPr>
              <w:suppressAutoHyphens/>
              <w:spacing w:line="276" w:lineRule="auto"/>
              <w:rPr>
                <w:rFonts w:ascii="Verdana" w:hAnsi="Verdana" w:cstheme="minorHAnsi"/>
                <w:sz w:val="16"/>
                <w:szCs w:val="16"/>
              </w:rPr>
            </w:pPr>
            <w:r w:rsidRPr="005F055E">
              <w:rPr>
                <w:rFonts w:ascii="Verdana" w:hAnsi="Verdana" w:cstheme="minorHAnsi"/>
                <w:sz w:val="16"/>
                <w:szCs w:val="16"/>
              </w:rPr>
              <w:t>VGZ</w:t>
            </w:r>
          </w:p>
        </w:tc>
        <w:tc>
          <w:tcPr>
            <w:tcW w:w="3021" w:type="dxa"/>
            <w:vAlign w:val="bottom"/>
          </w:tcPr>
          <w:p w:rsidRPr="005F055E" w:rsidR="00632BAA" w:rsidP="00180EEB" w:rsidRDefault="00632BAA" w14:paraId="26D20EBE" w14:textId="77777777">
            <w:pPr>
              <w:suppressAutoHyphens/>
              <w:spacing w:line="276" w:lineRule="auto"/>
              <w:rPr>
                <w:rFonts w:ascii="Verdana" w:hAnsi="Verdana" w:cstheme="minorHAnsi"/>
                <w:sz w:val="16"/>
                <w:szCs w:val="16"/>
              </w:rPr>
            </w:pPr>
            <w:r w:rsidRPr="005F055E">
              <w:rPr>
                <w:rFonts w:ascii="Verdana" w:hAnsi="Verdana" w:cs="Calibri"/>
                <w:sz w:val="16"/>
                <w:szCs w:val="16"/>
              </w:rPr>
              <w:t>330</w:t>
            </w:r>
          </w:p>
        </w:tc>
        <w:tc>
          <w:tcPr>
            <w:tcW w:w="3021" w:type="dxa"/>
            <w:vAlign w:val="bottom"/>
          </w:tcPr>
          <w:p w:rsidRPr="005F055E" w:rsidR="00632BAA" w:rsidP="00180EEB" w:rsidRDefault="00632BAA" w14:paraId="638C694F" w14:textId="77777777">
            <w:pPr>
              <w:suppressAutoHyphens/>
              <w:spacing w:line="276" w:lineRule="auto"/>
              <w:rPr>
                <w:rFonts w:ascii="Verdana" w:hAnsi="Verdana" w:cstheme="minorHAnsi"/>
                <w:sz w:val="16"/>
                <w:szCs w:val="16"/>
              </w:rPr>
            </w:pPr>
            <w:r w:rsidRPr="005F055E">
              <w:rPr>
                <w:rFonts w:ascii="Verdana" w:hAnsi="Verdana" w:cs="Calibri"/>
                <w:sz w:val="16"/>
                <w:szCs w:val="16"/>
              </w:rPr>
              <w:t>2,6%</w:t>
            </w:r>
          </w:p>
        </w:tc>
      </w:tr>
      <w:tr w:rsidRPr="005F055E" w:rsidR="00632BAA" w:rsidTr="005E2643" w14:paraId="38F6E70B" w14:textId="77777777">
        <w:tc>
          <w:tcPr>
            <w:tcW w:w="3020" w:type="dxa"/>
          </w:tcPr>
          <w:p w:rsidRPr="005F055E" w:rsidR="00632BAA" w:rsidP="00180EEB" w:rsidRDefault="00632BAA" w14:paraId="4C0786BD" w14:textId="77777777">
            <w:pPr>
              <w:suppressAutoHyphens/>
              <w:spacing w:line="276" w:lineRule="auto"/>
              <w:rPr>
                <w:rFonts w:ascii="Verdana" w:hAnsi="Verdana" w:cstheme="minorHAnsi"/>
                <w:sz w:val="16"/>
                <w:szCs w:val="16"/>
              </w:rPr>
            </w:pPr>
            <w:r w:rsidRPr="005F055E">
              <w:rPr>
                <w:rFonts w:ascii="Verdana" w:hAnsi="Verdana" w:cstheme="minorHAnsi"/>
                <w:sz w:val="16"/>
                <w:szCs w:val="16"/>
              </w:rPr>
              <w:t>Zorg en Zekerheid</w:t>
            </w:r>
          </w:p>
        </w:tc>
        <w:tc>
          <w:tcPr>
            <w:tcW w:w="3021" w:type="dxa"/>
            <w:vAlign w:val="bottom"/>
          </w:tcPr>
          <w:p w:rsidRPr="005F055E" w:rsidR="00632BAA" w:rsidP="00180EEB" w:rsidRDefault="00632BAA" w14:paraId="57C8D122" w14:textId="77777777">
            <w:pPr>
              <w:suppressAutoHyphens/>
              <w:spacing w:line="276" w:lineRule="auto"/>
              <w:rPr>
                <w:rFonts w:ascii="Verdana" w:hAnsi="Verdana" w:cstheme="minorHAnsi"/>
                <w:sz w:val="16"/>
                <w:szCs w:val="16"/>
              </w:rPr>
            </w:pPr>
            <w:r w:rsidRPr="005F055E">
              <w:rPr>
                <w:rFonts w:ascii="Verdana" w:hAnsi="Verdana" w:cs="Calibri"/>
                <w:sz w:val="16"/>
                <w:szCs w:val="16"/>
              </w:rPr>
              <w:t>54</w:t>
            </w:r>
          </w:p>
        </w:tc>
        <w:tc>
          <w:tcPr>
            <w:tcW w:w="3021" w:type="dxa"/>
            <w:vAlign w:val="bottom"/>
          </w:tcPr>
          <w:p w:rsidRPr="005F055E" w:rsidR="00632BAA" w:rsidP="00180EEB" w:rsidRDefault="00632BAA" w14:paraId="4E0BE256" w14:textId="77777777">
            <w:pPr>
              <w:suppressAutoHyphens/>
              <w:spacing w:line="276" w:lineRule="auto"/>
              <w:rPr>
                <w:rFonts w:ascii="Verdana" w:hAnsi="Verdana" w:cstheme="minorHAnsi"/>
                <w:sz w:val="16"/>
                <w:szCs w:val="16"/>
              </w:rPr>
            </w:pPr>
            <w:r w:rsidRPr="005F055E">
              <w:rPr>
                <w:rFonts w:ascii="Verdana" w:hAnsi="Verdana" w:cs="Calibri"/>
                <w:sz w:val="16"/>
                <w:szCs w:val="16"/>
              </w:rPr>
              <w:t>3,4%</w:t>
            </w:r>
          </w:p>
        </w:tc>
      </w:tr>
      <w:tr w:rsidRPr="005F055E" w:rsidR="00632BAA" w:rsidTr="005E2643" w14:paraId="5B5C4B41" w14:textId="77777777">
        <w:tc>
          <w:tcPr>
            <w:tcW w:w="3020" w:type="dxa"/>
          </w:tcPr>
          <w:p w:rsidRPr="005F055E" w:rsidR="00632BAA" w:rsidP="00180EEB" w:rsidRDefault="00632BAA" w14:paraId="730A56C0" w14:textId="77777777">
            <w:pPr>
              <w:suppressAutoHyphens/>
              <w:spacing w:line="276" w:lineRule="auto"/>
              <w:rPr>
                <w:rFonts w:ascii="Verdana" w:hAnsi="Verdana" w:cstheme="minorHAnsi"/>
                <w:sz w:val="16"/>
                <w:szCs w:val="16"/>
              </w:rPr>
            </w:pPr>
            <w:r w:rsidRPr="005F055E">
              <w:rPr>
                <w:rFonts w:ascii="Verdana" w:hAnsi="Verdana" w:cstheme="minorHAnsi"/>
                <w:sz w:val="16"/>
                <w:szCs w:val="16"/>
              </w:rPr>
              <w:t>Zilveren Kruis</w:t>
            </w:r>
          </w:p>
        </w:tc>
        <w:tc>
          <w:tcPr>
            <w:tcW w:w="3021" w:type="dxa"/>
            <w:vAlign w:val="bottom"/>
          </w:tcPr>
          <w:p w:rsidRPr="005F055E" w:rsidR="00632BAA" w:rsidP="00180EEB" w:rsidRDefault="00632BAA" w14:paraId="6EAF0812" w14:textId="77777777">
            <w:pPr>
              <w:suppressAutoHyphens/>
              <w:spacing w:line="276" w:lineRule="auto"/>
              <w:rPr>
                <w:rFonts w:ascii="Verdana" w:hAnsi="Verdana" w:cstheme="minorHAnsi"/>
                <w:sz w:val="16"/>
                <w:szCs w:val="16"/>
              </w:rPr>
            </w:pPr>
            <w:r w:rsidRPr="005F055E">
              <w:rPr>
                <w:rFonts w:ascii="Verdana" w:hAnsi="Verdana" w:cs="Calibri"/>
                <w:sz w:val="16"/>
                <w:szCs w:val="16"/>
              </w:rPr>
              <w:t>363</w:t>
            </w:r>
          </w:p>
        </w:tc>
        <w:tc>
          <w:tcPr>
            <w:tcW w:w="3021" w:type="dxa"/>
            <w:vAlign w:val="bottom"/>
          </w:tcPr>
          <w:p w:rsidRPr="005F055E" w:rsidR="00632BAA" w:rsidP="00180EEB" w:rsidRDefault="00632BAA" w14:paraId="4BD59259" w14:textId="77777777">
            <w:pPr>
              <w:suppressAutoHyphens/>
              <w:spacing w:line="276" w:lineRule="auto"/>
              <w:rPr>
                <w:rFonts w:ascii="Verdana" w:hAnsi="Verdana" w:cstheme="minorHAnsi"/>
                <w:sz w:val="16"/>
                <w:szCs w:val="16"/>
              </w:rPr>
            </w:pPr>
            <w:r w:rsidRPr="005F055E">
              <w:rPr>
                <w:rFonts w:ascii="Verdana" w:hAnsi="Verdana" w:cs="Calibri"/>
                <w:sz w:val="16"/>
                <w:szCs w:val="16"/>
              </w:rPr>
              <w:t>2,3%</w:t>
            </w:r>
          </w:p>
        </w:tc>
      </w:tr>
    </w:tbl>
    <w:p w:rsidRPr="005F055E" w:rsidR="00632BAA" w:rsidP="00180EEB" w:rsidRDefault="00632BAA" w14:paraId="7EBFDE2B" w14:textId="77777777">
      <w:pPr>
        <w:suppressAutoHyphens/>
        <w:spacing w:line="276" w:lineRule="auto"/>
        <w:rPr>
          <w:rFonts w:eastAsia="Verdana" w:cstheme="minorHAnsi"/>
          <w:i/>
          <w:sz w:val="16"/>
          <w:szCs w:val="16"/>
        </w:rPr>
      </w:pPr>
      <w:r w:rsidRPr="005F055E">
        <w:rPr>
          <w:rFonts w:eastAsia="Verdana" w:cstheme="minorHAnsi"/>
          <w:i/>
          <w:sz w:val="16"/>
          <w:szCs w:val="16"/>
        </w:rPr>
        <w:t>Bron: transparantieoverzichten van de jaarcijfers basisverzekering, zoals door individuele zorgverzekeraars gepresenteerd op hun website.</w:t>
      </w:r>
    </w:p>
    <w:p w:rsidRPr="005F055E" w:rsidR="00912A7D" w:rsidP="00180EEB" w:rsidRDefault="00912A7D" w14:paraId="3622E454" w14:textId="77777777">
      <w:pPr>
        <w:suppressAutoHyphens/>
      </w:pPr>
    </w:p>
    <w:p w:rsidRPr="005F055E" w:rsidR="00912A7D" w:rsidP="00180EEB" w:rsidRDefault="003E7003" w14:paraId="1B073958" w14:textId="77777777">
      <w:pPr>
        <w:suppressAutoHyphens/>
      </w:pPr>
      <w:r w:rsidRPr="005F055E">
        <w:t>Vraag 183</w:t>
      </w:r>
      <w:r w:rsidRPr="005F055E">
        <w:tab/>
      </w:r>
    </w:p>
    <w:p w:rsidRPr="005F055E" w:rsidR="00912A7D" w:rsidP="00180EEB" w:rsidRDefault="003E7003" w14:paraId="6128D160" w14:textId="77777777">
      <w:pPr>
        <w:suppressAutoHyphens/>
      </w:pPr>
      <w:r w:rsidRPr="005F055E">
        <w:t>Hoeveel geven zorgverzekeraars jaarlijks uit aan reclame-uitgaven?</w:t>
      </w:r>
      <w:r w:rsidRPr="005F055E">
        <w:tab/>
      </w:r>
    </w:p>
    <w:p w:rsidRPr="005F055E" w:rsidR="003E7003" w:rsidP="00180EEB" w:rsidRDefault="003E7003" w14:paraId="05FF108E" w14:textId="7F2FA062">
      <w:pPr>
        <w:suppressAutoHyphens/>
      </w:pPr>
      <w:r w:rsidRPr="005F055E">
        <w:t>Antwoord</w:t>
      </w:r>
    </w:p>
    <w:p w:rsidRPr="005F055E" w:rsidR="00632BAA" w:rsidP="00180EEB" w:rsidRDefault="00632BAA" w14:paraId="16ABDE57" w14:textId="77777777">
      <w:pPr>
        <w:suppressAutoHyphens/>
        <w:spacing w:line="276" w:lineRule="auto"/>
        <w:rPr>
          <w:rFonts w:eastAsia="Verdana" w:cstheme="minorHAnsi"/>
          <w:szCs w:val="18"/>
          <w:lang w:eastAsia="nl-NL"/>
        </w:rPr>
      </w:pPr>
      <w:r w:rsidRPr="005F055E">
        <w:rPr>
          <w:rFonts w:eastAsia="Verdana" w:cstheme="minorHAnsi"/>
          <w:szCs w:val="18"/>
          <w:lang w:eastAsia="nl-NL"/>
        </w:rPr>
        <w:t>In de transparantieoverzichten van de jaarcijfers basisverzekering, die sinds de jaarcijfers 2014 door individuele zorgverzekeraars worden gepubliceerd, worden de uitgaven aan reclame vermeld. Op basis daarvan is onderstaande tabel opgesteld. Voor de jaren daarvoor zijn geen cijfers beschikbaar.</w:t>
      </w:r>
    </w:p>
    <w:p w:rsidRPr="005F055E" w:rsidR="00632BAA" w:rsidP="00180EEB" w:rsidRDefault="00632BAA" w14:paraId="5A7D8060" w14:textId="77777777">
      <w:pPr>
        <w:suppressAutoHyphens/>
        <w:spacing w:line="276" w:lineRule="auto"/>
        <w:rPr>
          <w:rFonts w:cstheme="minorHAnsi"/>
          <w:i/>
          <w:iCs/>
          <w:szCs w:val="18"/>
        </w:rPr>
      </w:pPr>
    </w:p>
    <w:tbl>
      <w:tblPr>
        <w:tblStyle w:val="TableGrid1"/>
        <w:tblpPr w:leftFromText="141" w:rightFromText="141" w:vertAnchor="page" w:horzAnchor="margin" w:tblpY="6121"/>
        <w:tblW w:w="8357" w:type="dxa"/>
        <w:tblLayout w:type="fixed"/>
        <w:tblLook w:val="04A0" w:firstRow="1" w:lastRow="0" w:firstColumn="1" w:lastColumn="0" w:noHBand="0" w:noVBand="1"/>
      </w:tblPr>
      <w:tblGrid>
        <w:gridCol w:w="1555"/>
        <w:gridCol w:w="1182"/>
        <w:gridCol w:w="1369"/>
        <w:gridCol w:w="1369"/>
        <w:gridCol w:w="1512"/>
        <w:gridCol w:w="1370"/>
      </w:tblGrid>
      <w:tr w:rsidRPr="005F055E" w:rsidR="00632BAA" w:rsidTr="00632BAA" w14:paraId="3A5E81CD" w14:textId="77777777">
        <w:trPr>
          <w:trHeight w:val="301"/>
        </w:trPr>
        <w:tc>
          <w:tcPr>
            <w:tcW w:w="1555" w:type="dxa"/>
            <w:noWrap/>
            <w:hideMark/>
          </w:tcPr>
          <w:p w:rsidRPr="005F055E" w:rsidR="00632BAA" w:rsidP="00180EEB" w:rsidRDefault="00632BAA" w14:paraId="67B37FDC" w14:textId="3BA7A2D0">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Concern / Jaar</w:t>
            </w:r>
          </w:p>
        </w:tc>
        <w:tc>
          <w:tcPr>
            <w:tcW w:w="1182" w:type="dxa"/>
            <w:noWrap/>
            <w:hideMark/>
          </w:tcPr>
          <w:p w:rsidRPr="005F055E" w:rsidR="00632BAA" w:rsidP="00180EEB" w:rsidRDefault="00632BAA" w14:paraId="6C3D0E16"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ASR</w:t>
            </w:r>
          </w:p>
        </w:tc>
        <w:tc>
          <w:tcPr>
            <w:tcW w:w="1369" w:type="dxa"/>
            <w:noWrap/>
            <w:hideMark/>
          </w:tcPr>
          <w:p w:rsidRPr="005F055E" w:rsidR="00632BAA" w:rsidP="00180EEB" w:rsidRDefault="00632BAA" w14:paraId="7D5242CC"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CZ</w:t>
            </w:r>
          </w:p>
        </w:tc>
        <w:tc>
          <w:tcPr>
            <w:tcW w:w="1369" w:type="dxa"/>
            <w:noWrap/>
            <w:hideMark/>
          </w:tcPr>
          <w:p w:rsidRPr="005F055E" w:rsidR="00632BAA" w:rsidP="00180EEB" w:rsidRDefault="00632BAA" w14:paraId="57D98006"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 xml:space="preserve">DSW </w:t>
            </w:r>
            <w:r w:rsidRPr="005F055E">
              <w:rPr>
                <w:rFonts w:ascii="Verdana" w:hAnsi="Verdana" w:cs="Calibri"/>
                <w:b/>
                <w:bCs/>
                <w:color w:val="000000"/>
                <w:sz w:val="16"/>
                <w:szCs w:val="16"/>
                <w:lang w:eastAsia="nl-NL"/>
              </w:rPr>
              <w:br/>
              <w:t>+ Stad Holland</w:t>
            </w:r>
          </w:p>
        </w:tc>
        <w:tc>
          <w:tcPr>
            <w:tcW w:w="1512" w:type="dxa"/>
            <w:noWrap/>
            <w:hideMark/>
          </w:tcPr>
          <w:p w:rsidRPr="005F055E" w:rsidR="00632BAA" w:rsidP="00180EEB" w:rsidRDefault="00632BAA" w14:paraId="4E114005"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EUCARE</w:t>
            </w:r>
          </w:p>
        </w:tc>
        <w:tc>
          <w:tcPr>
            <w:tcW w:w="1370" w:type="dxa"/>
            <w:noWrap/>
            <w:hideMark/>
          </w:tcPr>
          <w:p w:rsidRPr="005F055E" w:rsidR="00632BAA" w:rsidP="00180EEB" w:rsidRDefault="00632BAA" w14:paraId="06D1D17E"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Salland</w:t>
            </w:r>
          </w:p>
        </w:tc>
      </w:tr>
      <w:tr w:rsidRPr="005F055E" w:rsidR="00632BAA" w:rsidTr="00632BAA" w14:paraId="6B848F1D" w14:textId="77777777">
        <w:trPr>
          <w:trHeight w:val="301"/>
        </w:trPr>
        <w:tc>
          <w:tcPr>
            <w:tcW w:w="1555" w:type="dxa"/>
            <w:noWrap/>
            <w:hideMark/>
          </w:tcPr>
          <w:p w:rsidRPr="005F055E" w:rsidR="00632BAA" w:rsidP="00180EEB" w:rsidRDefault="00632BAA" w14:paraId="56A663B2"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2014</w:t>
            </w:r>
          </w:p>
        </w:tc>
        <w:tc>
          <w:tcPr>
            <w:tcW w:w="1182" w:type="dxa"/>
            <w:noWrap/>
            <w:hideMark/>
          </w:tcPr>
          <w:p w:rsidRPr="005F055E" w:rsidR="00632BAA" w:rsidP="00180EEB" w:rsidRDefault="00632BAA" w14:paraId="484B95C8"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90</w:t>
            </w:r>
          </w:p>
        </w:tc>
        <w:tc>
          <w:tcPr>
            <w:tcW w:w="1369" w:type="dxa"/>
            <w:noWrap/>
            <w:hideMark/>
          </w:tcPr>
          <w:p w:rsidRPr="005F055E" w:rsidR="00632BAA" w:rsidP="00180EEB" w:rsidRDefault="00632BAA" w14:paraId="16BDE5A3"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5.751</w:t>
            </w:r>
          </w:p>
        </w:tc>
        <w:tc>
          <w:tcPr>
            <w:tcW w:w="1369" w:type="dxa"/>
            <w:noWrap/>
            <w:hideMark/>
          </w:tcPr>
          <w:p w:rsidRPr="005F055E" w:rsidR="00632BAA" w:rsidP="00180EEB" w:rsidRDefault="00632BAA" w14:paraId="0E1F58BD"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669</w:t>
            </w:r>
          </w:p>
        </w:tc>
        <w:tc>
          <w:tcPr>
            <w:tcW w:w="1512" w:type="dxa"/>
            <w:noWrap/>
            <w:hideMark/>
          </w:tcPr>
          <w:p w:rsidRPr="005F055E" w:rsidR="00632BAA" w:rsidP="00180EEB" w:rsidRDefault="00632BAA" w14:paraId="639BF8D0" w14:textId="77777777">
            <w:pPr>
              <w:suppressAutoHyphens/>
              <w:rPr>
                <w:rFonts w:ascii="Verdana" w:hAnsi="Verdana" w:cs="Calibri"/>
                <w:color w:val="000000"/>
                <w:sz w:val="16"/>
                <w:szCs w:val="16"/>
                <w:lang w:eastAsia="nl-NL"/>
              </w:rPr>
            </w:pPr>
          </w:p>
        </w:tc>
        <w:tc>
          <w:tcPr>
            <w:tcW w:w="1370" w:type="dxa"/>
            <w:noWrap/>
            <w:hideMark/>
          </w:tcPr>
          <w:p w:rsidRPr="005F055E" w:rsidR="00632BAA" w:rsidP="00180EEB" w:rsidRDefault="00632BAA" w14:paraId="71A53F91"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1.031</w:t>
            </w:r>
          </w:p>
        </w:tc>
      </w:tr>
      <w:tr w:rsidRPr="005F055E" w:rsidR="00632BAA" w:rsidTr="00632BAA" w14:paraId="1421E1A3" w14:textId="77777777">
        <w:trPr>
          <w:trHeight w:val="301"/>
        </w:trPr>
        <w:tc>
          <w:tcPr>
            <w:tcW w:w="1555" w:type="dxa"/>
            <w:noWrap/>
            <w:hideMark/>
          </w:tcPr>
          <w:p w:rsidRPr="005F055E" w:rsidR="00632BAA" w:rsidP="00180EEB" w:rsidRDefault="00632BAA" w14:paraId="57734C09"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2015</w:t>
            </w:r>
          </w:p>
        </w:tc>
        <w:tc>
          <w:tcPr>
            <w:tcW w:w="1182" w:type="dxa"/>
            <w:noWrap/>
            <w:hideMark/>
          </w:tcPr>
          <w:p w:rsidRPr="005F055E" w:rsidR="00632BAA" w:rsidP="00180EEB" w:rsidRDefault="00632BAA" w14:paraId="7D38E2E3"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878</w:t>
            </w:r>
          </w:p>
        </w:tc>
        <w:tc>
          <w:tcPr>
            <w:tcW w:w="1369" w:type="dxa"/>
            <w:noWrap/>
            <w:hideMark/>
          </w:tcPr>
          <w:p w:rsidRPr="005F055E" w:rsidR="00632BAA" w:rsidP="00180EEB" w:rsidRDefault="00632BAA" w14:paraId="0A6514B5"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6.589</w:t>
            </w:r>
          </w:p>
        </w:tc>
        <w:tc>
          <w:tcPr>
            <w:tcW w:w="1369" w:type="dxa"/>
            <w:noWrap/>
            <w:hideMark/>
          </w:tcPr>
          <w:p w:rsidRPr="005F055E" w:rsidR="00632BAA" w:rsidP="00180EEB" w:rsidRDefault="00632BAA" w14:paraId="62D80924"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484</w:t>
            </w:r>
          </w:p>
        </w:tc>
        <w:tc>
          <w:tcPr>
            <w:tcW w:w="1512" w:type="dxa"/>
            <w:noWrap/>
            <w:hideMark/>
          </w:tcPr>
          <w:p w:rsidRPr="005F055E" w:rsidR="00632BAA" w:rsidP="00180EEB" w:rsidRDefault="00632BAA" w14:paraId="14E39C6C" w14:textId="77777777">
            <w:pPr>
              <w:suppressAutoHyphens/>
              <w:rPr>
                <w:rFonts w:ascii="Verdana" w:hAnsi="Verdana" w:cs="Calibri"/>
                <w:color w:val="000000"/>
                <w:sz w:val="16"/>
                <w:szCs w:val="16"/>
                <w:lang w:eastAsia="nl-NL"/>
              </w:rPr>
            </w:pPr>
          </w:p>
        </w:tc>
        <w:tc>
          <w:tcPr>
            <w:tcW w:w="1370" w:type="dxa"/>
            <w:noWrap/>
            <w:hideMark/>
          </w:tcPr>
          <w:p w:rsidRPr="005F055E" w:rsidR="00632BAA" w:rsidP="00180EEB" w:rsidRDefault="00632BAA" w14:paraId="7AF495C0"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686</w:t>
            </w:r>
          </w:p>
        </w:tc>
      </w:tr>
      <w:tr w:rsidRPr="005F055E" w:rsidR="00632BAA" w:rsidTr="00632BAA" w14:paraId="40E6249F" w14:textId="77777777">
        <w:trPr>
          <w:trHeight w:val="301"/>
        </w:trPr>
        <w:tc>
          <w:tcPr>
            <w:tcW w:w="1555" w:type="dxa"/>
            <w:noWrap/>
            <w:hideMark/>
          </w:tcPr>
          <w:p w:rsidRPr="005F055E" w:rsidR="00632BAA" w:rsidP="00180EEB" w:rsidRDefault="00632BAA" w14:paraId="72D9D97E"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2016</w:t>
            </w:r>
          </w:p>
        </w:tc>
        <w:tc>
          <w:tcPr>
            <w:tcW w:w="1182" w:type="dxa"/>
            <w:noWrap/>
            <w:hideMark/>
          </w:tcPr>
          <w:p w:rsidRPr="005F055E" w:rsidR="00632BAA" w:rsidP="00180EEB" w:rsidRDefault="00632BAA" w14:paraId="2A79A837"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150</w:t>
            </w:r>
          </w:p>
        </w:tc>
        <w:tc>
          <w:tcPr>
            <w:tcW w:w="1369" w:type="dxa"/>
            <w:noWrap/>
            <w:hideMark/>
          </w:tcPr>
          <w:p w:rsidRPr="005F055E" w:rsidR="00632BAA" w:rsidP="00180EEB" w:rsidRDefault="00632BAA" w14:paraId="1837201F"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4.449</w:t>
            </w:r>
          </w:p>
        </w:tc>
        <w:tc>
          <w:tcPr>
            <w:tcW w:w="1369" w:type="dxa"/>
            <w:noWrap/>
            <w:hideMark/>
          </w:tcPr>
          <w:p w:rsidRPr="005F055E" w:rsidR="00632BAA" w:rsidP="00180EEB" w:rsidRDefault="00632BAA" w14:paraId="15D80C72"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792</w:t>
            </w:r>
          </w:p>
        </w:tc>
        <w:tc>
          <w:tcPr>
            <w:tcW w:w="1512" w:type="dxa"/>
            <w:noWrap/>
            <w:hideMark/>
          </w:tcPr>
          <w:p w:rsidRPr="005F055E" w:rsidR="00632BAA" w:rsidP="00180EEB" w:rsidRDefault="00632BAA" w14:paraId="1C623A52" w14:textId="77777777">
            <w:pPr>
              <w:suppressAutoHyphens/>
              <w:rPr>
                <w:rFonts w:ascii="Verdana" w:hAnsi="Verdana" w:cs="Calibri"/>
                <w:color w:val="000000"/>
                <w:sz w:val="16"/>
                <w:szCs w:val="16"/>
                <w:lang w:eastAsia="nl-NL"/>
              </w:rPr>
            </w:pPr>
          </w:p>
        </w:tc>
        <w:tc>
          <w:tcPr>
            <w:tcW w:w="1370" w:type="dxa"/>
            <w:noWrap/>
            <w:hideMark/>
          </w:tcPr>
          <w:p w:rsidRPr="005F055E" w:rsidR="00632BAA" w:rsidP="00180EEB" w:rsidRDefault="00632BAA" w14:paraId="7F642B82"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767</w:t>
            </w:r>
          </w:p>
        </w:tc>
      </w:tr>
      <w:tr w:rsidRPr="005F055E" w:rsidR="00632BAA" w:rsidTr="00632BAA" w14:paraId="5F60E820" w14:textId="77777777">
        <w:trPr>
          <w:trHeight w:val="301"/>
        </w:trPr>
        <w:tc>
          <w:tcPr>
            <w:tcW w:w="1555" w:type="dxa"/>
            <w:noWrap/>
            <w:hideMark/>
          </w:tcPr>
          <w:p w:rsidRPr="005F055E" w:rsidR="00632BAA" w:rsidP="00180EEB" w:rsidRDefault="00632BAA" w14:paraId="5817AE1E"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2017</w:t>
            </w:r>
          </w:p>
        </w:tc>
        <w:tc>
          <w:tcPr>
            <w:tcW w:w="1182" w:type="dxa"/>
            <w:noWrap/>
            <w:hideMark/>
          </w:tcPr>
          <w:p w:rsidRPr="005F055E" w:rsidR="00632BAA" w:rsidP="00180EEB" w:rsidRDefault="00632BAA" w14:paraId="1F7FA43F"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74</w:t>
            </w:r>
          </w:p>
        </w:tc>
        <w:tc>
          <w:tcPr>
            <w:tcW w:w="1369" w:type="dxa"/>
            <w:noWrap/>
            <w:hideMark/>
          </w:tcPr>
          <w:p w:rsidRPr="005F055E" w:rsidR="00632BAA" w:rsidP="00180EEB" w:rsidRDefault="00632BAA" w14:paraId="7ECCB536"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4.975</w:t>
            </w:r>
          </w:p>
        </w:tc>
        <w:tc>
          <w:tcPr>
            <w:tcW w:w="1369" w:type="dxa"/>
            <w:noWrap/>
            <w:hideMark/>
          </w:tcPr>
          <w:p w:rsidRPr="005F055E" w:rsidR="00632BAA" w:rsidP="00180EEB" w:rsidRDefault="00632BAA" w14:paraId="0E50DEE4"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836</w:t>
            </w:r>
          </w:p>
        </w:tc>
        <w:tc>
          <w:tcPr>
            <w:tcW w:w="1512" w:type="dxa"/>
            <w:noWrap/>
            <w:hideMark/>
          </w:tcPr>
          <w:p w:rsidRPr="005F055E" w:rsidR="00632BAA" w:rsidP="00180EEB" w:rsidRDefault="00632BAA" w14:paraId="4F83977C" w14:textId="77777777">
            <w:pPr>
              <w:suppressAutoHyphens/>
              <w:rPr>
                <w:rFonts w:ascii="Verdana" w:hAnsi="Verdana" w:cs="Calibri"/>
                <w:color w:val="000000"/>
                <w:sz w:val="16"/>
                <w:szCs w:val="16"/>
                <w:lang w:eastAsia="nl-NL"/>
              </w:rPr>
            </w:pPr>
          </w:p>
        </w:tc>
        <w:tc>
          <w:tcPr>
            <w:tcW w:w="1370" w:type="dxa"/>
            <w:noWrap/>
            <w:hideMark/>
          </w:tcPr>
          <w:p w:rsidRPr="005F055E" w:rsidR="00632BAA" w:rsidP="00180EEB" w:rsidRDefault="00632BAA" w14:paraId="065754E7"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918</w:t>
            </w:r>
          </w:p>
        </w:tc>
      </w:tr>
      <w:tr w:rsidRPr="005F055E" w:rsidR="00632BAA" w:rsidTr="00632BAA" w14:paraId="3B8AB878" w14:textId="77777777">
        <w:trPr>
          <w:trHeight w:val="301"/>
        </w:trPr>
        <w:tc>
          <w:tcPr>
            <w:tcW w:w="1555" w:type="dxa"/>
            <w:noWrap/>
            <w:hideMark/>
          </w:tcPr>
          <w:p w:rsidRPr="005F055E" w:rsidR="00632BAA" w:rsidP="00180EEB" w:rsidRDefault="00632BAA" w14:paraId="23B5F509"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2018</w:t>
            </w:r>
          </w:p>
        </w:tc>
        <w:tc>
          <w:tcPr>
            <w:tcW w:w="1182" w:type="dxa"/>
            <w:noWrap/>
            <w:hideMark/>
          </w:tcPr>
          <w:p w:rsidRPr="005F055E" w:rsidR="00632BAA" w:rsidP="00180EEB" w:rsidRDefault="00632BAA" w14:paraId="168612D8"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162</w:t>
            </w:r>
          </w:p>
        </w:tc>
        <w:tc>
          <w:tcPr>
            <w:tcW w:w="1369" w:type="dxa"/>
            <w:noWrap/>
            <w:hideMark/>
          </w:tcPr>
          <w:p w:rsidRPr="005F055E" w:rsidR="00632BAA" w:rsidP="00180EEB" w:rsidRDefault="00632BAA" w14:paraId="308DA144"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4.464</w:t>
            </w:r>
          </w:p>
        </w:tc>
        <w:tc>
          <w:tcPr>
            <w:tcW w:w="1369" w:type="dxa"/>
            <w:noWrap/>
            <w:hideMark/>
          </w:tcPr>
          <w:p w:rsidRPr="005F055E" w:rsidR="00632BAA" w:rsidP="00180EEB" w:rsidRDefault="00632BAA" w14:paraId="44707B67"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853</w:t>
            </w:r>
          </w:p>
        </w:tc>
        <w:tc>
          <w:tcPr>
            <w:tcW w:w="1512" w:type="dxa"/>
            <w:noWrap/>
            <w:hideMark/>
          </w:tcPr>
          <w:p w:rsidRPr="005F055E" w:rsidR="00632BAA" w:rsidP="00180EEB" w:rsidRDefault="00632BAA" w14:paraId="2A3B061F" w14:textId="77777777">
            <w:pPr>
              <w:suppressAutoHyphens/>
              <w:rPr>
                <w:rFonts w:ascii="Verdana" w:hAnsi="Verdana" w:cs="Calibri"/>
                <w:color w:val="000000"/>
                <w:sz w:val="16"/>
                <w:szCs w:val="16"/>
                <w:lang w:eastAsia="nl-NL"/>
              </w:rPr>
            </w:pPr>
          </w:p>
        </w:tc>
        <w:tc>
          <w:tcPr>
            <w:tcW w:w="1370" w:type="dxa"/>
            <w:noWrap/>
            <w:hideMark/>
          </w:tcPr>
          <w:p w:rsidRPr="005F055E" w:rsidR="00632BAA" w:rsidP="00180EEB" w:rsidRDefault="00632BAA" w14:paraId="356695B9"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900</w:t>
            </w:r>
          </w:p>
        </w:tc>
      </w:tr>
      <w:tr w:rsidRPr="005F055E" w:rsidR="00632BAA" w:rsidTr="00632BAA" w14:paraId="4BC9D121" w14:textId="77777777">
        <w:trPr>
          <w:trHeight w:val="301"/>
        </w:trPr>
        <w:tc>
          <w:tcPr>
            <w:tcW w:w="1555" w:type="dxa"/>
            <w:noWrap/>
            <w:hideMark/>
          </w:tcPr>
          <w:p w:rsidRPr="005F055E" w:rsidR="00632BAA" w:rsidP="00180EEB" w:rsidRDefault="00632BAA" w14:paraId="53D39A66"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2019</w:t>
            </w:r>
          </w:p>
        </w:tc>
        <w:tc>
          <w:tcPr>
            <w:tcW w:w="1182" w:type="dxa"/>
            <w:noWrap/>
            <w:hideMark/>
          </w:tcPr>
          <w:p w:rsidRPr="005F055E" w:rsidR="00632BAA" w:rsidP="00180EEB" w:rsidRDefault="00632BAA" w14:paraId="77D72DD7"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321</w:t>
            </w:r>
          </w:p>
        </w:tc>
        <w:tc>
          <w:tcPr>
            <w:tcW w:w="1369" w:type="dxa"/>
            <w:noWrap/>
            <w:hideMark/>
          </w:tcPr>
          <w:p w:rsidRPr="005F055E" w:rsidR="00632BAA" w:rsidP="00180EEB" w:rsidRDefault="00632BAA" w14:paraId="15069BCD"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2.984</w:t>
            </w:r>
          </w:p>
        </w:tc>
        <w:tc>
          <w:tcPr>
            <w:tcW w:w="1369" w:type="dxa"/>
            <w:noWrap/>
            <w:hideMark/>
          </w:tcPr>
          <w:p w:rsidRPr="005F055E" w:rsidR="00632BAA" w:rsidP="00180EEB" w:rsidRDefault="00632BAA" w14:paraId="3993C357"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807</w:t>
            </w:r>
          </w:p>
        </w:tc>
        <w:tc>
          <w:tcPr>
            <w:tcW w:w="1512" w:type="dxa"/>
            <w:noWrap/>
            <w:hideMark/>
          </w:tcPr>
          <w:p w:rsidRPr="005F055E" w:rsidR="00632BAA" w:rsidP="00180EEB" w:rsidRDefault="00632BAA" w14:paraId="74B9BF76" w14:textId="77777777">
            <w:pPr>
              <w:suppressAutoHyphens/>
              <w:rPr>
                <w:rFonts w:ascii="Verdana" w:hAnsi="Verdana" w:cs="Calibri"/>
                <w:color w:val="000000"/>
                <w:sz w:val="16"/>
                <w:szCs w:val="16"/>
                <w:lang w:eastAsia="nl-NL"/>
              </w:rPr>
            </w:pPr>
          </w:p>
        </w:tc>
        <w:tc>
          <w:tcPr>
            <w:tcW w:w="1370" w:type="dxa"/>
            <w:noWrap/>
            <w:hideMark/>
          </w:tcPr>
          <w:p w:rsidRPr="005F055E" w:rsidR="00632BAA" w:rsidP="00180EEB" w:rsidRDefault="00632BAA" w14:paraId="14F3106D"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883</w:t>
            </w:r>
          </w:p>
        </w:tc>
      </w:tr>
      <w:tr w:rsidRPr="005F055E" w:rsidR="00632BAA" w:rsidTr="00632BAA" w14:paraId="49C788E0" w14:textId="77777777">
        <w:trPr>
          <w:trHeight w:val="301"/>
        </w:trPr>
        <w:tc>
          <w:tcPr>
            <w:tcW w:w="1555" w:type="dxa"/>
            <w:noWrap/>
            <w:hideMark/>
          </w:tcPr>
          <w:p w:rsidRPr="005F055E" w:rsidR="00632BAA" w:rsidP="00180EEB" w:rsidRDefault="00632BAA" w14:paraId="1868CD49"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2020</w:t>
            </w:r>
          </w:p>
        </w:tc>
        <w:tc>
          <w:tcPr>
            <w:tcW w:w="1182" w:type="dxa"/>
            <w:noWrap/>
            <w:hideMark/>
          </w:tcPr>
          <w:p w:rsidRPr="005F055E" w:rsidR="00632BAA" w:rsidP="00180EEB" w:rsidRDefault="00632BAA" w14:paraId="07982B63"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235</w:t>
            </w:r>
          </w:p>
        </w:tc>
        <w:tc>
          <w:tcPr>
            <w:tcW w:w="1369" w:type="dxa"/>
            <w:noWrap/>
            <w:hideMark/>
          </w:tcPr>
          <w:p w:rsidRPr="005F055E" w:rsidR="00632BAA" w:rsidP="00180EEB" w:rsidRDefault="00632BAA" w14:paraId="73C51B7A"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3.048</w:t>
            </w:r>
          </w:p>
        </w:tc>
        <w:tc>
          <w:tcPr>
            <w:tcW w:w="1369" w:type="dxa"/>
            <w:noWrap/>
            <w:hideMark/>
          </w:tcPr>
          <w:p w:rsidRPr="005F055E" w:rsidR="00632BAA" w:rsidP="00180EEB" w:rsidRDefault="00632BAA" w14:paraId="6BBBFF18"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851</w:t>
            </w:r>
          </w:p>
        </w:tc>
        <w:tc>
          <w:tcPr>
            <w:tcW w:w="1512" w:type="dxa"/>
            <w:noWrap/>
            <w:hideMark/>
          </w:tcPr>
          <w:p w:rsidRPr="005F055E" w:rsidR="00632BAA" w:rsidP="00180EEB" w:rsidRDefault="00632BAA" w14:paraId="26362B97" w14:textId="77777777">
            <w:pPr>
              <w:suppressAutoHyphens/>
              <w:rPr>
                <w:rFonts w:ascii="Verdana" w:hAnsi="Verdana" w:cs="Calibri"/>
                <w:color w:val="000000"/>
                <w:sz w:val="16"/>
                <w:szCs w:val="16"/>
                <w:lang w:eastAsia="nl-NL"/>
              </w:rPr>
            </w:pPr>
          </w:p>
        </w:tc>
        <w:tc>
          <w:tcPr>
            <w:tcW w:w="1370" w:type="dxa"/>
            <w:noWrap/>
            <w:hideMark/>
          </w:tcPr>
          <w:p w:rsidRPr="005F055E" w:rsidR="00632BAA" w:rsidP="00180EEB" w:rsidRDefault="00632BAA" w14:paraId="0732FAAE"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636</w:t>
            </w:r>
          </w:p>
        </w:tc>
      </w:tr>
      <w:tr w:rsidRPr="005F055E" w:rsidR="00632BAA" w:rsidTr="00632BAA" w14:paraId="29827D12" w14:textId="77777777">
        <w:trPr>
          <w:trHeight w:val="301"/>
        </w:trPr>
        <w:tc>
          <w:tcPr>
            <w:tcW w:w="1555" w:type="dxa"/>
            <w:noWrap/>
            <w:hideMark/>
          </w:tcPr>
          <w:p w:rsidRPr="005F055E" w:rsidR="00632BAA" w:rsidP="00180EEB" w:rsidRDefault="00632BAA" w14:paraId="06DAE4E7"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2021</w:t>
            </w:r>
          </w:p>
        </w:tc>
        <w:tc>
          <w:tcPr>
            <w:tcW w:w="1182" w:type="dxa"/>
            <w:noWrap/>
            <w:hideMark/>
          </w:tcPr>
          <w:p w:rsidRPr="005F055E" w:rsidR="00632BAA" w:rsidP="00180EEB" w:rsidRDefault="00632BAA" w14:paraId="168C1822"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493</w:t>
            </w:r>
          </w:p>
        </w:tc>
        <w:tc>
          <w:tcPr>
            <w:tcW w:w="1369" w:type="dxa"/>
            <w:noWrap/>
            <w:hideMark/>
          </w:tcPr>
          <w:p w:rsidRPr="005F055E" w:rsidR="00632BAA" w:rsidP="00180EEB" w:rsidRDefault="00632BAA" w14:paraId="17869C42"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2.815</w:t>
            </w:r>
          </w:p>
        </w:tc>
        <w:tc>
          <w:tcPr>
            <w:tcW w:w="1369" w:type="dxa"/>
            <w:noWrap/>
            <w:hideMark/>
          </w:tcPr>
          <w:p w:rsidRPr="005F055E" w:rsidR="00632BAA" w:rsidP="00180EEB" w:rsidRDefault="00632BAA" w14:paraId="22254388"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943</w:t>
            </w:r>
          </w:p>
        </w:tc>
        <w:tc>
          <w:tcPr>
            <w:tcW w:w="1512" w:type="dxa"/>
            <w:noWrap/>
            <w:hideMark/>
          </w:tcPr>
          <w:p w:rsidRPr="005F055E" w:rsidR="00632BAA" w:rsidP="00180EEB" w:rsidRDefault="00632BAA" w14:paraId="0A9C6AB0" w14:textId="77777777">
            <w:pPr>
              <w:suppressAutoHyphens/>
              <w:rPr>
                <w:rFonts w:ascii="Verdana" w:hAnsi="Verdana" w:cs="Calibri"/>
                <w:color w:val="000000"/>
                <w:sz w:val="16"/>
                <w:szCs w:val="16"/>
                <w:lang w:eastAsia="nl-NL"/>
              </w:rPr>
            </w:pPr>
          </w:p>
        </w:tc>
        <w:tc>
          <w:tcPr>
            <w:tcW w:w="1370" w:type="dxa"/>
            <w:noWrap/>
            <w:hideMark/>
          </w:tcPr>
          <w:p w:rsidRPr="005F055E" w:rsidR="00632BAA" w:rsidP="00180EEB" w:rsidRDefault="00632BAA" w14:paraId="2DB590D8"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444</w:t>
            </w:r>
          </w:p>
        </w:tc>
      </w:tr>
      <w:tr w:rsidRPr="005F055E" w:rsidR="00632BAA" w:rsidTr="00632BAA" w14:paraId="639F0AE6" w14:textId="77777777">
        <w:trPr>
          <w:trHeight w:val="301"/>
        </w:trPr>
        <w:tc>
          <w:tcPr>
            <w:tcW w:w="1555" w:type="dxa"/>
            <w:noWrap/>
            <w:hideMark/>
          </w:tcPr>
          <w:p w:rsidRPr="005F055E" w:rsidR="00632BAA" w:rsidP="00180EEB" w:rsidRDefault="00632BAA" w14:paraId="0E04E3C6"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2022</w:t>
            </w:r>
          </w:p>
        </w:tc>
        <w:tc>
          <w:tcPr>
            <w:tcW w:w="1182" w:type="dxa"/>
            <w:noWrap/>
            <w:hideMark/>
          </w:tcPr>
          <w:p w:rsidRPr="005F055E" w:rsidR="00632BAA" w:rsidP="00180EEB" w:rsidRDefault="00632BAA" w14:paraId="6CA2DA4D"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573</w:t>
            </w:r>
          </w:p>
        </w:tc>
        <w:tc>
          <w:tcPr>
            <w:tcW w:w="1369" w:type="dxa"/>
            <w:noWrap/>
            <w:hideMark/>
          </w:tcPr>
          <w:p w:rsidRPr="005F055E" w:rsidR="00632BAA" w:rsidP="00180EEB" w:rsidRDefault="00632BAA" w14:paraId="3E9D9EBB"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2.792</w:t>
            </w:r>
          </w:p>
        </w:tc>
        <w:tc>
          <w:tcPr>
            <w:tcW w:w="1369" w:type="dxa"/>
            <w:noWrap/>
            <w:hideMark/>
          </w:tcPr>
          <w:p w:rsidRPr="005F055E" w:rsidR="00632BAA" w:rsidP="00180EEB" w:rsidRDefault="00632BAA" w14:paraId="3FDF2EFF"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1.023</w:t>
            </w:r>
          </w:p>
        </w:tc>
        <w:tc>
          <w:tcPr>
            <w:tcW w:w="1512" w:type="dxa"/>
            <w:noWrap/>
            <w:hideMark/>
          </w:tcPr>
          <w:p w:rsidRPr="005F055E" w:rsidR="00632BAA" w:rsidP="00180EEB" w:rsidRDefault="00632BAA" w14:paraId="701AB5EA" w14:textId="77777777">
            <w:pPr>
              <w:suppressAutoHyphens/>
              <w:rPr>
                <w:rFonts w:ascii="Verdana" w:hAnsi="Verdana" w:cs="Calibri"/>
                <w:color w:val="000000"/>
                <w:sz w:val="16"/>
                <w:szCs w:val="16"/>
                <w:lang w:eastAsia="nl-NL"/>
              </w:rPr>
            </w:pPr>
          </w:p>
        </w:tc>
        <w:tc>
          <w:tcPr>
            <w:tcW w:w="1370" w:type="dxa"/>
            <w:noWrap/>
            <w:hideMark/>
          </w:tcPr>
          <w:p w:rsidRPr="005F055E" w:rsidR="00632BAA" w:rsidP="00180EEB" w:rsidRDefault="00632BAA" w14:paraId="4BC1C493"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830</w:t>
            </w:r>
          </w:p>
        </w:tc>
      </w:tr>
      <w:tr w:rsidRPr="005F055E" w:rsidR="00632BAA" w:rsidTr="00632BAA" w14:paraId="3417D61B" w14:textId="77777777">
        <w:trPr>
          <w:trHeight w:val="301"/>
        </w:trPr>
        <w:tc>
          <w:tcPr>
            <w:tcW w:w="1555" w:type="dxa"/>
            <w:noWrap/>
            <w:hideMark/>
          </w:tcPr>
          <w:p w:rsidRPr="005F055E" w:rsidR="00632BAA" w:rsidP="00180EEB" w:rsidRDefault="00632BAA" w14:paraId="67720F0A"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2023</w:t>
            </w:r>
          </w:p>
        </w:tc>
        <w:tc>
          <w:tcPr>
            <w:tcW w:w="1182" w:type="dxa"/>
            <w:noWrap/>
            <w:hideMark/>
          </w:tcPr>
          <w:p w:rsidRPr="005F055E" w:rsidR="00632BAA" w:rsidP="00180EEB" w:rsidRDefault="00632BAA" w14:paraId="1DB7EBA5"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181</w:t>
            </w:r>
          </w:p>
        </w:tc>
        <w:tc>
          <w:tcPr>
            <w:tcW w:w="1369" w:type="dxa"/>
            <w:noWrap/>
            <w:hideMark/>
          </w:tcPr>
          <w:p w:rsidRPr="005F055E" w:rsidR="00632BAA" w:rsidP="00180EEB" w:rsidRDefault="00632BAA" w14:paraId="33D7D9D5"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2.598</w:t>
            </w:r>
          </w:p>
        </w:tc>
        <w:tc>
          <w:tcPr>
            <w:tcW w:w="1369" w:type="dxa"/>
            <w:noWrap/>
            <w:hideMark/>
          </w:tcPr>
          <w:p w:rsidRPr="005F055E" w:rsidR="00632BAA" w:rsidP="00180EEB" w:rsidRDefault="00632BAA" w14:paraId="7ACC7F64"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859</w:t>
            </w:r>
          </w:p>
        </w:tc>
        <w:tc>
          <w:tcPr>
            <w:tcW w:w="1512" w:type="dxa"/>
            <w:noWrap/>
            <w:hideMark/>
          </w:tcPr>
          <w:p w:rsidRPr="005F055E" w:rsidR="00632BAA" w:rsidP="00180EEB" w:rsidRDefault="00632BAA" w14:paraId="12401651"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331</w:t>
            </w:r>
          </w:p>
        </w:tc>
        <w:tc>
          <w:tcPr>
            <w:tcW w:w="1370" w:type="dxa"/>
            <w:noWrap/>
            <w:hideMark/>
          </w:tcPr>
          <w:p w:rsidRPr="005F055E" w:rsidR="00632BAA" w:rsidP="00180EEB" w:rsidRDefault="00632BAA" w14:paraId="3FA4E5FC"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579</w:t>
            </w:r>
          </w:p>
        </w:tc>
      </w:tr>
      <w:tr w:rsidRPr="005F055E" w:rsidR="00632BAA" w:rsidTr="00632BAA" w14:paraId="38633B9B" w14:textId="77777777">
        <w:trPr>
          <w:trHeight w:val="301"/>
        </w:trPr>
        <w:tc>
          <w:tcPr>
            <w:tcW w:w="1555" w:type="dxa"/>
            <w:noWrap/>
            <w:hideMark/>
          </w:tcPr>
          <w:p w:rsidRPr="005F055E" w:rsidR="00632BAA" w:rsidP="00180EEB" w:rsidRDefault="00632BAA" w14:paraId="117D9052"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2024</w:t>
            </w:r>
          </w:p>
        </w:tc>
        <w:tc>
          <w:tcPr>
            <w:tcW w:w="1182" w:type="dxa"/>
            <w:noWrap/>
            <w:hideMark/>
          </w:tcPr>
          <w:p w:rsidRPr="005F055E" w:rsidR="00632BAA" w:rsidP="00180EEB" w:rsidRDefault="00632BAA" w14:paraId="19164A58"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181</w:t>
            </w:r>
          </w:p>
        </w:tc>
        <w:tc>
          <w:tcPr>
            <w:tcW w:w="1369" w:type="dxa"/>
            <w:noWrap/>
            <w:hideMark/>
          </w:tcPr>
          <w:p w:rsidRPr="005F055E" w:rsidR="00632BAA" w:rsidP="00180EEB" w:rsidRDefault="00632BAA" w14:paraId="072EE06C"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2.636</w:t>
            </w:r>
          </w:p>
        </w:tc>
        <w:tc>
          <w:tcPr>
            <w:tcW w:w="1369" w:type="dxa"/>
            <w:noWrap/>
            <w:hideMark/>
          </w:tcPr>
          <w:p w:rsidRPr="005F055E" w:rsidR="00632BAA" w:rsidP="00180EEB" w:rsidRDefault="00632BAA" w14:paraId="2C644988"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964</w:t>
            </w:r>
          </w:p>
        </w:tc>
        <w:tc>
          <w:tcPr>
            <w:tcW w:w="1512" w:type="dxa"/>
            <w:noWrap/>
            <w:hideMark/>
          </w:tcPr>
          <w:p w:rsidRPr="005F055E" w:rsidR="00632BAA" w:rsidP="00180EEB" w:rsidRDefault="00632BAA" w14:paraId="1E65A606"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362</w:t>
            </w:r>
          </w:p>
        </w:tc>
        <w:tc>
          <w:tcPr>
            <w:tcW w:w="1370" w:type="dxa"/>
            <w:noWrap/>
            <w:hideMark/>
          </w:tcPr>
          <w:p w:rsidRPr="005F055E" w:rsidR="00632BAA" w:rsidP="00180EEB" w:rsidRDefault="00632BAA" w14:paraId="3C9EEFD3"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898</w:t>
            </w:r>
          </w:p>
        </w:tc>
      </w:tr>
    </w:tbl>
    <w:p w:rsidRPr="005F055E" w:rsidR="00632BAA" w:rsidP="00180EEB" w:rsidRDefault="00632BAA" w14:paraId="1BB2DBBD" w14:textId="77777777">
      <w:pPr>
        <w:suppressAutoHyphens/>
        <w:spacing w:line="276" w:lineRule="auto"/>
        <w:rPr>
          <w:rFonts w:cstheme="minorHAnsi"/>
          <w:szCs w:val="18"/>
          <w:u w:val="single"/>
        </w:rPr>
      </w:pPr>
      <w:r w:rsidRPr="005F055E">
        <w:rPr>
          <w:rFonts w:cstheme="minorHAnsi"/>
          <w:szCs w:val="18"/>
          <w:u w:val="single"/>
        </w:rPr>
        <w:t>Ontwikkeling reclamekosten 2014-2024 op concernniveau (x € 1.000), basisverzekering</w:t>
      </w:r>
    </w:p>
    <w:tbl>
      <w:tblPr>
        <w:tblStyle w:val="TableGrid10"/>
        <w:tblpPr w:leftFromText="141" w:rightFromText="141" w:vertAnchor="page" w:horzAnchor="margin" w:tblpY="1726"/>
        <w:tblW w:w="8427" w:type="dxa"/>
        <w:tblLook w:val="04A0" w:firstRow="1" w:lastRow="0" w:firstColumn="1" w:lastColumn="0" w:noHBand="0" w:noVBand="1"/>
      </w:tblPr>
      <w:tblGrid>
        <w:gridCol w:w="1555"/>
        <w:gridCol w:w="833"/>
        <w:gridCol w:w="877"/>
        <w:gridCol w:w="1125"/>
        <w:gridCol w:w="1860"/>
        <w:gridCol w:w="1152"/>
        <w:gridCol w:w="1025"/>
      </w:tblGrid>
      <w:tr w:rsidRPr="005F055E" w:rsidR="00605490" w:rsidTr="00605490" w14:paraId="16820773" w14:textId="77777777">
        <w:trPr>
          <w:trHeight w:val="301"/>
        </w:trPr>
        <w:tc>
          <w:tcPr>
            <w:tcW w:w="1555" w:type="dxa"/>
          </w:tcPr>
          <w:p w:rsidRPr="005F055E" w:rsidR="00605490" w:rsidP="00180EEB" w:rsidRDefault="00605490" w14:paraId="519ECF73"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Concern /Jaar</w:t>
            </w:r>
          </w:p>
        </w:tc>
        <w:tc>
          <w:tcPr>
            <w:tcW w:w="833" w:type="dxa"/>
            <w:noWrap/>
            <w:hideMark/>
          </w:tcPr>
          <w:p w:rsidRPr="005F055E" w:rsidR="00605490" w:rsidP="00180EEB" w:rsidRDefault="00605490" w14:paraId="54895248" w14:textId="77777777">
            <w:pPr>
              <w:suppressAutoHyphens/>
              <w:rPr>
                <w:rFonts w:ascii="Verdana" w:hAnsi="Verdana" w:cs="Calibri"/>
                <w:b/>
                <w:bCs/>
                <w:color w:val="000000"/>
                <w:sz w:val="16"/>
                <w:szCs w:val="16"/>
                <w:lang w:eastAsia="nl-NL"/>
              </w:rPr>
            </w:pPr>
            <w:proofErr w:type="spellStart"/>
            <w:r w:rsidRPr="005F055E">
              <w:rPr>
                <w:rFonts w:ascii="Verdana" w:hAnsi="Verdana" w:cs="Calibri"/>
                <w:b/>
                <w:bCs/>
                <w:color w:val="000000"/>
                <w:sz w:val="16"/>
                <w:szCs w:val="16"/>
                <w:lang w:eastAsia="nl-NL"/>
              </w:rPr>
              <w:t>Menzis</w:t>
            </w:r>
            <w:proofErr w:type="spellEnd"/>
          </w:p>
        </w:tc>
        <w:tc>
          <w:tcPr>
            <w:tcW w:w="0" w:type="auto"/>
            <w:noWrap/>
            <w:hideMark/>
          </w:tcPr>
          <w:p w:rsidRPr="005F055E" w:rsidR="00605490" w:rsidP="00180EEB" w:rsidRDefault="00605490" w14:paraId="33267663"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ONVZ</w:t>
            </w:r>
          </w:p>
        </w:tc>
        <w:tc>
          <w:tcPr>
            <w:tcW w:w="1125" w:type="dxa"/>
            <w:noWrap/>
            <w:hideMark/>
          </w:tcPr>
          <w:p w:rsidRPr="005F055E" w:rsidR="00605490" w:rsidP="00180EEB" w:rsidRDefault="00605490" w14:paraId="659892D2"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VGZ</w:t>
            </w:r>
          </w:p>
        </w:tc>
        <w:tc>
          <w:tcPr>
            <w:tcW w:w="1860" w:type="dxa"/>
            <w:noWrap/>
            <w:hideMark/>
          </w:tcPr>
          <w:p w:rsidRPr="005F055E" w:rsidR="00605490" w:rsidP="00180EEB" w:rsidRDefault="00605490" w14:paraId="294580D8"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Zorg &amp; Zekerheid</w:t>
            </w:r>
          </w:p>
        </w:tc>
        <w:tc>
          <w:tcPr>
            <w:tcW w:w="0" w:type="auto"/>
            <w:noWrap/>
            <w:hideMark/>
          </w:tcPr>
          <w:p w:rsidRPr="005F055E" w:rsidR="00605490" w:rsidP="00180EEB" w:rsidRDefault="00605490" w14:paraId="6A6CB04A"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 xml:space="preserve">Zilveren </w:t>
            </w:r>
          </w:p>
          <w:p w:rsidRPr="005F055E" w:rsidR="00605490" w:rsidP="00180EEB" w:rsidRDefault="00605490" w14:paraId="66B3EE35"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Kruis</w:t>
            </w:r>
          </w:p>
        </w:tc>
        <w:tc>
          <w:tcPr>
            <w:tcW w:w="0" w:type="auto"/>
            <w:noWrap/>
            <w:hideMark/>
          </w:tcPr>
          <w:p w:rsidRPr="005F055E" w:rsidR="00605490" w:rsidP="00180EEB" w:rsidRDefault="00605490" w14:paraId="1FC6539A"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Totaal</w:t>
            </w:r>
          </w:p>
        </w:tc>
      </w:tr>
      <w:tr w:rsidRPr="005F055E" w:rsidR="00605490" w:rsidTr="00605490" w14:paraId="77ACA6F8" w14:textId="77777777">
        <w:trPr>
          <w:trHeight w:val="301"/>
        </w:trPr>
        <w:tc>
          <w:tcPr>
            <w:tcW w:w="1555" w:type="dxa"/>
          </w:tcPr>
          <w:p w:rsidRPr="005F055E" w:rsidR="00605490" w:rsidP="00180EEB" w:rsidRDefault="00605490" w14:paraId="15648BB7"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2014</w:t>
            </w:r>
          </w:p>
        </w:tc>
        <w:tc>
          <w:tcPr>
            <w:tcW w:w="833" w:type="dxa"/>
            <w:noWrap/>
            <w:hideMark/>
          </w:tcPr>
          <w:p w:rsidRPr="005F055E" w:rsidR="00605490" w:rsidP="00180EEB" w:rsidRDefault="00605490" w14:paraId="4D50A327"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5.132</w:t>
            </w:r>
          </w:p>
        </w:tc>
        <w:tc>
          <w:tcPr>
            <w:tcW w:w="0" w:type="auto"/>
            <w:noWrap/>
            <w:hideMark/>
          </w:tcPr>
          <w:p w:rsidRPr="005F055E" w:rsidR="00605490" w:rsidP="00180EEB" w:rsidRDefault="00605490" w14:paraId="298FE76F"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886</w:t>
            </w:r>
          </w:p>
        </w:tc>
        <w:tc>
          <w:tcPr>
            <w:tcW w:w="1125" w:type="dxa"/>
            <w:noWrap/>
            <w:hideMark/>
          </w:tcPr>
          <w:p w:rsidRPr="005F055E" w:rsidR="00605490" w:rsidP="00180EEB" w:rsidRDefault="00605490" w14:paraId="10AE661E"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6.802</w:t>
            </w:r>
          </w:p>
        </w:tc>
        <w:tc>
          <w:tcPr>
            <w:tcW w:w="1860" w:type="dxa"/>
            <w:noWrap/>
            <w:hideMark/>
          </w:tcPr>
          <w:p w:rsidRPr="005F055E" w:rsidR="00605490" w:rsidP="00180EEB" w:rsidRDefault="00605490" w14:paraId="0D9049BE"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1.269</w:t>
            </w:r>
          </w:p>
        </w:tc>
        <w:tc>
          <w:tcPr>
            <w:tcW w:w="0" w:type="auto"/>
            <w:noWrap/>
            <w:hideMark/>
          </w:tcPr>
          <w:p w:rsidRPr="005F055E" w:rsidR="00605490" w:rsidP="00180EEB" w:rsidRDefault="00605490" w14:paraId="7369C461"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18.106</w:t>
            </w:r>
          </w:p>
        </w:tc>
        <w:tc>
          <w:tcPr>
            <w:tcW w:w="0" w:type="auto"/>
            <w:noWrap/>
            <w:hideMark/>
          </w:tcPr>
          <w:p w:rsidRPr="005F055E" w:rsidR="00605490" w:rsidP="00180EEB" w:rsidRDefault="00605490" w14:paraId="3B9FAC95"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39.736</w:t>
            </w:r>
          </w:p>
        </w:tc>
      </w:tr>
      <w:tr w:rsidRPr="005F055E" w:rsidR="00605490" w:rsidTr="00605490" w14:paraId="27E881CA" w14:textId="77777777">
        <w:trPr>
          <w:trHeight w:val="301"/>
        </w:trPr>
        <w:tc>
          <w:tcPr>
            <w:tcW w:w="1555" w:type="dxa"/>
          </w:tcPr>
          <w:p w:rsidRPr="005F055E" w:rsidR="00605490" w:rsidP="00180EEB" w:rsidRDefault="00605490" w14:paraId="358E65F1"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2015</w:t>
            </w:r>
          </w:p>
        </w:tc>
        <w:tc>
          <w:tcPr>
            <w:tcW w:w="833" w:type="dxa"/>
            <w:noWrap/>
            <w:hideMark/>
          </w:tcPr>
          <w:p w:rsidRPr="005F055E" w:rsidR="00605490" w:rsidP="00180EEB" w:rsidRDefault="00605490" w14:paraId="32E98D1E"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4.835</w:t>
            </w:r>
          </w:p>
        </w:tc>
        <w:tc>
          <w:tcPr>
            <w:tcW w:w="0" w:type="auto"/>
            <w:noWrap/>
            <w:hideMark/>
          </w:tcPr>
          <w:p w:rsidRPr="005F055E" w:rsidR="00605490" w:rsidP="00180EEB" w:rsidRDefault="00605490" w14:paraId="44D78513"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977</w:t>
            </w:r>
          </w:p>
        </w:tc>
        <w:tc>
          <w:tcPr>
            <w:tcW w:w="1125" w:type="dxa"/>
            <w:noWrap/>
            <w:hideMark/>
          </w:tcPr>
          <w:p w:rsidRPr="005F055E" w:rsidR="00605490" w:rsidP="00180EEB" w:rsidRDefault="00605490" w14:paraId="1B190731"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6.286</w:t>
            </w:r>
          </w:p>
        </w:tc>
        <w:tc>
          <w:tcPr>
            <w:tcW w:w="1860" w:type="dxa"/>
            <w:noWrap/>
            <w:hideMark/>
          </w:tcPr>
          <w:p w:rsidRPr="005F055E" w:rsidR="00605490" w:rsidP="00180EEB" w:rsidRDefault="00605490" w14:paraId="2A359BBF"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1.277</w:t>
            </w:r>
          </w:p>
        </w:tc>
        <w:tc>
          <w:tcPr>
            <w:tcW w:w="0" w:type="auto"/>
            <w:noWrap/>
            <w:hideMark/>
          </w:tcPr>
          <w:p w:rsidRPr="005F055E" w:rsidR="00605490" w:rsidP="00180EEB" w:rsidRDefault="00605490" w14:paraId="65A4CA06"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13.457</w:t>
            </w:r>
          </w:p>
        </w:tc>
        <w:tc>
          <w:tcPr>
            <w:tcW w:w="0" w:type="auto"/>
            <w:noWrap/>
            <w:hideMark/>
          </w:tcPr>
          <w:p w:rsidRPr="005F055E" w:rsidR="00605490" w:rsidP="00180EEB" w:rsidRDefault="00605490" w14:paraId="7DE727A3"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35.469</w:t>
            </w:r>
          </w:p>
        </w:tc>
      </w:tr>
      <w:tr w:rsidRPr="005F055E" w:rsidR="00605490" w:rsidTr="00605490" w14:paraId="060985A3" w14:textId="77777777">
        <w:trPr>
          <w:trHeight w:val="301"/>
        </w:trPr>
        <w:tc>
          <w:tcPr>
            <w:tcW w:w="1555" w:type="dxa"/>
          </w:tcPr>
          <w:p w:rsidRPr="005F055E" w:rsidR="00605490" w:rsidP="00180EEB" w:rsidRDefault="00605490" w14:paraId="1DC7F9AD"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2016</w:t>
            </w:r>
          </w:p>
        </w:tc>
        <w:tc>
          <w:tcPr>
            <w:tcW w:w="833" w:type="dxa"/>
            <w:noWrap/>
            <w:hideMark/>
          </w:tcPr>
          <w:p w:rsidRPr="005F055E" w:rsidR="00605490" w:rsidP="00180EEB" w:rsidRDefault="00605490" w14:paraId="1BC22CC7"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4.408</w:t>
            </w:r>
          </w:p>
        </w:tc>
        <w:tc>
          <w:tcPr>
            <w:tcW w:w="0" w:type="auto"/>
            <w:noWrap/>
            <w:hideMark/>
          </w:tcPr>
          <w:p w:rsidRPr="005F055E" w:rsidR="00605490" w:rsidP="00180EEB" w:rsidRDefault="00605490" w14:paraId="033C9A59"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1.404</w:t>
            </w:r>
          </w:p>
        </w:tc>
        <w:tc>
          <w:tcPr>
            <w:tcW w:w="1125" w:type="dxa"/>
            <w:noWrap/>
            <w:hideMark/>
          </w:tcPr>
          <w:p w:rsidRPr="005F055E" w:rsidR="00605490" w:rsidP="00180EEB" w:rsidRDefault="00605490" w14:paraId="46FA09D2"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4.581</w:t>
            </w:r>
          </w:p>
        </w:tc>
        <w:tc>
          <w:tcPr>
            <w:tcW w:w="1860" w:type="dxa"/>
            <w:noWrap/>
            <w:hideMark/>
          </w:tcPr>
          <w:p w:rsidRPr="005F055E" w:rsidR="00605490" w:rsidP="00180EEB" w:rsidRDefault="00605490" w14:paraId="01578DB2"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1.288</w:t>
            </w:r>
          </w:p>
        </w:tc>
        <w:tc>
          <w:tcPr>
            <w:tcW w:w="0" w:type="auto"/>
            <w:noWrap/>
            <w:hideMark/>
          </w:tcPr>
          <w:p w:rsidRPr="005F055E" w:rsidR="00605490" w:rsidP="00180EEB" w:rsidRDefault="00605490" w14:paraId="16E385F6"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16.153</w:t>
            </w:r>
          </w:p>
        </w:tc>
        <w:tc>
          <w:tcPr>
            <w:tcW w:w="0" w:type="auto"/>
            <w:noWrap/>
            <w:hideMark/>
          </w:tcPr>
          <w:p w:rsidRPr="005F055E" w:rsidR="00605490" w:rsidP="00180EEB" w:rsidRDefault="00605490" w14:paraId="3196ECDC"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33.992</w:t>
            </w:r>
          </w:p>
        </w:tc>
      </w:tr>
      <w:tr w:rsidRPr="005F055E" w:rsidR="00605490" w:rsidTr="00605490" w14:paraId="6A16B2F8" w14:textId="77777777">
        <w:trPr>
          <w:trHeight w:val="301"/>
        </w:trPr>
        <w:tc>
          <w:tcPr>
            <w:tcW w:w="1555" w:type="dxa"/>
          </w:tcPr>
          <w:p w:rsidRPr="005F055E" w:rsidR="00605490" w:rsidP="00180EEB" w:rsidRDefault="00605490" w14:paraId="3658618B"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2017</w:t>
            </w:r>
          </w:p>
        </w:tc>
        <w:tc>
          <w:tcPr>
            <w:tcW w:w="833" w:type="dxa"/>
            <w:noWrap/>
            <w:hideMark/>
          </w:tcPr>
          <w:p w:rsidRPr="005F055E" w:rsidR="00605490" w:rsidP="00180EEB" w:rsidRDefault="00605490" w14:paraId="77A2F0D7"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3.900</w:t>
            </w:r>
          </w:p>
        </w:tc>
        <w:tc>
          <w:tcPr>
            <w:tcW w:w="0" w:type="auto"/>
            <w:noWrap/>
            <w:hideMark/>
          </w:tcPr>
          <w:p w:rsidRPr="005F055E" w:rsidR="00605490" w:rsidP="00180EEB" w:rsidRDefault="00605490" w14:paraId="40FE5A72"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869</w:t>
            </w:r>
          </w:p>
        </w:tc>
        <w:tc>
          <w:tcPr>
            <w:tcW w:w="1125" w:type="dxa"/>
            <w:noWrap/>
            <w:hideMark/>
          </w:tcPr>
          <w:p w:rsidRPr="005F055E" w:rsidR="00605490" w:rsidP="00180EEB" w:rsidRDefault="00605490" w14:paraId="78E0A871"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5.962</w:t>
            </w:r>
          </w:p>
        </w:tc>
        <w:tc>
          <w:tcPr>
            <w:tcW w:w="1860" w:type="dxa"/>
            <w:noWrap/>
            <w:hideMark/>
          </w:tcPr>
          <w:p w:rsidRPr="005F055E" w:rsidR="00605490" w:rsidP="00180EEB" w:rsidRDefault="00605490" w14:paraId="5DAAFFDE"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1.455</w:t>
            </w:r>
          </w:p>
        </w:tc>
        <w:tc>
          <w:tcPr>
            <w:tcW w:w="0" w:type="auto"/>
            <w:noWrap/>
            <w:hideMark/>
          </w:tcPr>
          <w:p w:rsidRPr="005F055E" w:rsidR="00605490" w:rsidP="00180EEB" w:rsidRDefault="00605490" w14:paraId="0426DB91"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11.093</w:t>
            </w:r>
          </w:p>
        </w:tc>
        <w:tc>
          <w:tcPr>
            <w:tcW w:w="0" w:type="auto"/>
            <w:noWrap/>
            <w:hideMark/>
          </w:tcPr>
          <w:p w:rsidRPr="005F055E" w:rsidR="00605490" w:rsidP="00180EEB" w:rsidRDefault="00605490" w14:paraId="61C1FD13"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30.082</w:t>
            </w:r>
          </w:p>
        </w:tc>
      </w:tr>
      <w:tr w:rsidRPr="005F055E" w:rsidR="00605490" w:rsidTr="00605490" w14:paraId="64A9C48A" w14:textId="77777777">
        <w:trPr>
          <w:trHeight w:val="301"/>
        </w:trPr>
        <w:tc>
          <w:tcPr>
            <w:tcW w:w="1555" w:type="dxa"/>
          </w:tcPr>
          <w:p w:rsidRPr="005F055E" w:rsidR="00605490" w:rsidP="00180EEB" w:rsidRDefault="00605490" w14:paraId="03DCB19C"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2018</w:t>
            </w:r>
          </w:p>
        </w:tc>
        <w:tc>
          <w:tcPr>
            <w:tcW w:w="833" w:type="dxa"/>
            <w:noWrap/>
            <w:hideMark/>
          </w:tcPr>
          <w:p w:rsidRPr="005F055E" w:rsidR="00605490" w:rsidP="00180EEB" w:rsidRDefault="00605490" w14:paraId="44965529"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3.710</w:t>
            </w:r>
          </w:p>
        </w:tc>
        <w:tc>
          <w:tcPr>
            <w:tcW w:w="0" w:type="auto"/>
            <w:noWrap/>
            <w:hideMark/>
          </w:tcPr>
          <w:p w:rsidRPr="005F055E" w:rsidR="00605490" w:rsidP="00180EEB" w:rsidRDefault="00605490" w14:paraId="564DD52B"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882</w:t>
            </w:r>
          </w:p>
        </w:tc>
        <w:tc>
          <w:tcPr>
            <w:tcW w:w="1125" w:type="dxa"/>
            <w:noWrap/>
            <w:hideMark/>
          </w:tcPr>
          <w:p w:rsidRPr="005F055E" w:rsidR="00605490" w:rsidP="00180EEB" w:rsidRDefault="00605490" w14:paraId="02F7B335"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4.877</w:t>
            </w:r>
          </w:p>
        </w:tc>
        <w:tc>
          <w:tcPr>
            <w:tcW w:w="1860" w:type="dxa"/>
            <w:noWrap/>
            <w:hideMark/>
          </w:tcPr>
          <w:p w:rsidRPr="005F055E" w:rsidR="00605490" w:rsidP="00180EEB" w:rsidRDefault="00605490" w14:paraId="73A2B0E6"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1.511</w:t>
            </w:r>
          </w:p>
        </w:tc>
        <w:tc>
          <w:tcPr>
            <w:tcW w:w="0" w:type="auto"/>
            <w:noWrap/>
            <w:hideMark/>
          </w:tcPr>
          <w:p w:rsidRPr="005F055E" w:rsidR="00605490" w:rsidP="00180EEB" w:rsidRDefault="00605490" w14:paraId="43694DAF"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12.326</w:t>
            </w:r>
          </w:p>
        </w:tc>
        <w:tc>
          <w:tcPr>
            <w:tcW w:w="0" w:type="auto"/>
            <w:noWrap/>
            <w:hideMark/>
          </w:tcPr>
          <w:p w:rsidRPr="005F055E" w:rsidR="00605490" w:rsidP="00180EEB" w:rsidRDefault="00605490" w14:paraId="39D61328"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29.685</w:t>
            </w:r>
          </w:p>
        </w:tc>
      </w:tr>
      <w:tr w:rsidRPr="005F055E" w:rsidR="00605490" w:rsidTr="00605490" w14:paraId="105AF6F7" w14:textId="77777777">
        <w:trPr>
          <w:trHeight w:val="301"/>
        </w:trPr>
        <w:tc>
          <w:tcPr>
            <w:tcW w:w="1555" w:type="dxa"/>
          </w:tcPr>
          <w:p w:rsidRPr="005F055E" w:rsidR="00605490" w:rsidP="00180EEB" w:rsidRDefault="00605490" w14:paraId="5FE5C842"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2019</w:t>
            </w:r>
          </w:p>
        </w:tc>
        <w:tc>
          <w:tcPr>
            <w:tcW w:w="833" w:type="dxa"/>
            <w:noWrap/>
            <w:hideMark/>
          </w:tcPr>
          <w:p w:rsidRPr="005F055E" w:rsidR="00605490" w:rsidP="00180EEB" w:rsidRDefault="00605490" w14:paraId="0D407BEC"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3.545</w:t>
            </w:r>
          </w:p>
        </w:tc>
        <w:tc>
          <w:tcPr>
            <w:tcW w:w="0" w:type="auto"/>
            <w:noWrap/>
            <w:hideMark/>
          </w:tcPr>
          <w:p w:rsidRPr="005F055E" w:rsidR="00605490" w:rsidP="00180EEB" w:rsidRDefault="00605490" w14:paraId="7DDECE71"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693</w:t>
            </w:r>
          </w:p>
        </w:tc>
        <w:tc>
          <w:tcPr>
            <w:tcW w:w="1125" w:type="dxa"/>
            <w:noWrap/>
            <w:hideMark/>
          </w:tcPr>
          <w:p w:rsidRPr="005F055E" w:rsidR="00605490" w:rsidP="00180EEB" w:rsidRDefault="00605490" w14:paraId="67A2D0B7"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4.950</w:t>
            </w:r>
          </w:p>
        </w:tc>
        <w:tc>
          <w:tcPr>
            <w:tcW w:w="1860" w:type="dxa"/>
            <w:noWrap/>
            <w:hideMark/>
          </w:tcPr>
          <w:p w:rsidRPr="005F055E" w:rsidR="00605490" w:rsidP="00180EEB" w:rsidRDefault="00605490" w14:paraId="6C2DEC7F"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1.254</w:t>
            </w:r>
          </w:p>
        </w:tc>
        <w:tc>
          <w:tcPr>
            <w:tcW w:w="0" w:type="auto"/>
            <w:noWrap/>
            <w:hideMark/>
          </w:tcPr>
          <w:p w:rsidRPr="005F055E" w:rsidR="00605490" w:rsidP="00180EEB" w:rsidRDefault="00605490" w14:paraId="38D6B32E"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8.307</w:t>
            </w:r>
          </w:p>
        </w:tc>
        <w:tc>
          <w:tcPr>
            <w:tcW w:w="0" w:type="auto"/>
            <w:noWrap/>
            <w:hideMark/>
          </w:tcPr>
          <w:p w:rsidRPr="005F055E" w:rsidR="00605490" w:rsidP="00180EEB" w:rsidRDefault="00605490" w14:paraId="1FA4CD0C"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23.744</w:t>
            </w:r>
          </w:p>
        </w:tc>
      </w:tr>
      <w:tr w:rsidRPr="005F055E" w:rsidR="00605490" w:rsidTr="00605490" w14:paraId="04896225" w14:textId="77777777">
        <w:trPr>
          <w:trHeight w:val="301"/>
        </w:trPr>
        <w:tc>
          <w:tcPr>
            <w:tcW w:w="1555" w:type="dxa"/>
          </w:tcPr>
          <w:p w:rsidRPr="005F055E" w:rsidR="00605490" w:rsidP="00180EEB" w:rsidRDefault="00605490" w14:paraId="0CC11EA7"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2020</w:t>
            </w:r>
          </w:p>
        </w:tc>
        <w:tc>
          <w:tcPr>
            <w:tcW w:w="833" w:type="dxa"/>
            <w:noWrap/>
            <w:hideMark/>
          </w:tcPr>
          <w:p w:rsidRPr="005F055E" w:rsidR="00605490" w:rsidP="00180EEB" w:rsidRDefault="00605490" w14:paraId="67C193A1"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2.881</w:t>
            </w:r>
          </w:p>
        </w:tc>
        <w:tc>
          <w:tcPr>
            <w:tcW w:w="0" w:type="auto"/>
            <w:noWrap/>
            <w:hideMark/>
          </w:tcPr>
          <w:p w:rsidRPr="005F055E" w:rsidR="00605490" w:rsidP="00180EEB" w:rsidRDefault="00605490" w14:paraId="084972B7"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1.657</w:t>
            </w:r>
          </w:p>
        </w:tc>
        <w:tc>
          <w:tcPr>
            <w:tcW w:w="1125" w:type="dxa"/>
            <w:noWrap/>
            <w:hideMark/>
          </w:tcPr>
          <w:p w:rsidRPr="005F055E" w:rsidR="00605490" w:rsidP="00180EEB" w:rsidRDefault="00605490" w14:paraId="04C28730"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4.667</w:t>
            </w:r>
          </w:p>
        </w:tc>
        <w:tc>
          <w:tcPr>
            <w:tcW w:w="1860" w:type="dxa"/>
            <w:noWrap/>
            <w:hideMark/>
          </w:tcPr>
          <w:p w:rsidRPr="005F055E" w:rsidR="00605490" w:rsidP="00180EEB" w:rsidRDefault="00605490" w14:paraId="35C8F276"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1.117</w:t>
            </w:r>
          </w:p>
        </w:tc>
        <w:tc>
          <w:tcPr>
            <w:tcW w:w="0" w:type="auto"/>
            <w:noWrap/>
            <w:hideMark/>
          </w:tcPr>
          <w:p w:rsidRPr="005F055E" w:rsidR="00605490" w:rsidP="00180EEB" w:rsidRDefault="00605490" w14:paraId="790A7148"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5.922</w:t>
            </w:r>
          </w:p>
        </w:tc>
        <w:tc>
          <w:tcPr>
            <w:tcW w:w="0" w:type="auto"/>
            <w:noWrap/>
            <w:hideMark/>
          </w:tcPr>
          <w:p w:rsidRPr="005F055E" w:rsidR="00605490" w:rsidP="00180EEB" w:rsidRDefault="00605490" w14:paraId="20A8BDE3"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21.014</w:t>
            </w:r>
          </w:p>
        </w:tc>
      </w:tr>
      <w:tr w:rsidRPr="005F055E" w:rsidR="00605490" w:rsidTr="00605490" w14:paraId="1AD370C2" w14:textId="77777777">
        <w:trPr>
          <w:trHeight w:val="301"/>
        </w:trPr>
        <w:tc>
          <w:tcPr>
            <w:tcW w:w="1555" w:type="dxa"/>
          </w:tcPr>
          <w:p w:rsidRPr="005F055E" w:rsidR="00605490" w:rsidP="00180EEB" w:rsidRDefault="00605490" w14:paraId="2586CD28"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2021</w:t>
            </w:r>
          </w:p>
        </w:tc>
        <w:tc>
          <w:tcPr>
            <w:tcW w:w="833" w:type="dxa"/>
            <w:noWrap/>
            <w:hideMark/>
          </w:tcPr>
          <w:p w:rsidRPr="005F055E" w:rsidR="00605490" w:rsidP="00180EEB" w:rsidRDefault="00605490" w14:paraId="3F793559"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3.535</w:t>
            </w:r>
          </w:p>
        </w:tc>
        <w:tc>
          <w:tcPr>
            <w:tcW w:w="0" w:type="auto"/>
            <w:noWrap/>
            <w:hideMark/>
          </w:tcPr>
          <w:p w:rsidRPr="005F055E" w:rsidR="00605490" w:rsidP="00180EEB" w:rsidRDefault="00605490" w14:paraId="28006B8E"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1.192</w:t>
            </w:r>
          </w:p>
        </w:tc>
        <w:tc>
          <w:tcPr>
            <w:tcW w:w="1125" w:type="dxa"/>
            <w:noWrap/>
            <w:hideMark/>
          </w:tcPr>
          <w:p w:rsidRPr="005F055E" w:rsidR="00605490" w:rsidP="00180EEB" w:rsidRDefault="00605490" w14:paraId="332AE05B"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5.170</w:t>
            </w:r>
          </w:p>
        </w:tc>
        <w:tc>
          <w:tcPr>
            <w:tcW w:w="1860" w:type="dxa"/>
            <w:noWrap/>
            <w:hideMark/>
          </w:tcPr>
          <w:p w:rsidRPr="005F055E" w:rsidR="00605490" w:rsidP="00180EEB" w:rsidRDefault="00605490" w14:paraId="0EEDDEA0"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1.332</w:t>
            </w:r>
          </w:p>
        </w:tc>
        <w:tc>
          <w:tcPr>
            <w:tcW w:w="0" w:type="auto"/>
            <w:noWrap/>
            <w:hideMark/>
          </w:tcPr>
          <w:p w:rsidRPr="005F055E" w:rsidR="00605490" w:rsidP="00180EEB" w:rsidRDefault="00605490" w14:paraId="56825240"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7.352</w:t>
            </w:r>
          </w:p>
        </w:tc>
        <w:tc>
          <w:tcPr>
            <w:tcW w:w="0" w:type="auto"/>
            <w:noWrap/>
            <w:hideMark/>
          </w:tcPr>
          <w:p w:rsidRPr="005F055E" w:rsidR="00605490" w:rsidP="00180EEB" w:rsidRDefault="00605490" w14:paraId="609A4EF1"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23.276</w:t>
            </w:r>
          </w:p>
        </w:tc>
      </w:tr>
      <w:tr w:rsidRPr="005F055E" w:rsidR="00605490" w:rsidTr="00605490" w14:paraId="0C054965" w14:textId="77777777">
        <w:trPr>
          <w:trHeight w:val="301"/>
        </w:trPr>
        <w:tc>
          <w:tcPr>
            <w:tcW w:w="1555" w:type="dxa"/>
          </w:tcPr>
          <w:p w:rsidRPr="005F055E" w:rsidR="00605490" w:rsidP="00180EEB" w:rsidRDefault="00605490" w14:paraId="3C9989F5"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2022</w:t>
            </w:r>
          </w:p>
        </w:tc>
        <w:tc>
          <w:tcPr>
            <w:tcW w:w="833" w:type="dxa"/>
            <w:noWrap/>
            <w:hideMark/>
          </w:tcPr>
          <w:p w:rsidRPr="005F055E" w:rsidR="00605490" w:rsidP="00180EEB" w:rsidRDefault="00605490" w14:paraId="694E60C8"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3.339</w:t>
            </w:r>
          </w:p>
        </w:tc>
        <w:tc>
          <w:tcPr>
            <w:tcW w:w="0" w:type="auto"/>
            <w:noWrap/>
            <w:hideMark/>
          </w:tcPr>
          <w:p w:rsidRPr="005F055E" w:rsidR="00605490" w:rsidP="00180EEB" w:rsidRDefault="00605490" w14:paraId="7EE3BE41"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1.390</w:t>
            </w:r>
          </w:p>
        </w:tc>
        <w:tc>
          <w:tcPr>
            <w:tcW w:w="1125" w:type="dxa"/>
            <w:noWrap/>
            <w:hideMark/>
          </w:tcPr>
          <w:p w:rsidRPr="005F055E" w:rsidR="00605490" w:rsidP="00180EEB" w:rsidRDefault="00605490" w14:paraId="0206CF82"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4.970</w:t>
            </w:r>
          </w:p>
        </w:tc>
        <w:tc>
          <w:tcPr>
            <w:tcW w:w="1860" w:type="dxa"/>
            <w:noWrap/>
            <w:hideMark/>
          </w:tcPr>
          <w:p w:rsidRPr="005F055E" w:rsidR="00605490" w:rsidP="00180EEB" w:rsidRDefault="00605490" w14:paraId="5A53667F"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1.170</w:t>
            </w:r>
          </w:p>
        </w:tc>
        <w:tc>
          <w:tcPr>
            <w:tcW w:w="0" w:type="auto"/>
            <w:noWrap/>
            <w:hideMark/>
          </w:tcPr>
          <w:p w:rsidRPr="005F055E" w:rsidR="00605490" w:rsidP="00180EEB" w:rsidRDefault="00605490" w14:paraId="4C8FFFCA"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4.622</w:t>
            </w:r>
          </w:p>
        </w:tc>
        <w:tc>
          <w:tcPr>
            <w:tcW w:w="0" w:type="auto"/>
            <w:noWrap/>
            <w:hideMark/>
          </w:tcPr>
          <w:p w:rsidRPr="005F055E" w:rsidR="00605490" w:rsidP="00180EEB" w:rsidRDefault="00605490" w14:paraId="4B54B735"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20.709</w:t>
            </w:r>
          </w:p>
        </w:tc>
      </w:tr>
      <w:tr w:rsidRPr="005F055E" w:rsidR="00605490" w:rsidTr="00605490" w14:paraId="66CF989F" w14:textId="77777777">
        <w:trPr>
          <w:trHeight w:val="301"/>
        </w:trPr>
        <w:tc>
          <w:tcPr>
            <w:tcW w:w="1555" w:type="dxa"/>
          </w:tcPr>
          <w:p w:rsidRPr="005F055E" w:rsidR="00605490" w:rsidP="00180EEB" w:rsidRDefault="00605490" w14:paraId="41DD52B3"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2023</w:t>
            </w:r>
          </w:p>
        </w:tc>
        <w:tc>
          <w:tcPr>
            <w:tcW w:w="833" w:type="dxa"/>
            <w:noWrap/>
            <w:hideMark/>
          </w:tcPr>
          <w:p w:rsidRPr="005F055E" w:rsidR="00605490" w:rsidP="00180EEB" w:rsidRDefault="00605490" w14:paraId="62BA80E8"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3.014</w:t>
            </w:r>
          </w:p>
        </w:tc>
        <w:tc>
          <w:tcPr>
            <w:tcW w:w="0" w:type="auto"/>
            <w:noWrap/>
            <w:hideMark/>
          </w:tcPr>
          <w:p w:rsidRPr="005F055E" w:rsidR="00605490" w:rsidP="00180EEB" w:rsidRDefault="00605490" w14:paraId="27F022FE"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1.518</w:t>
            </w:r>
          </w:p>
        </w:tc>
        <w:tc>
          <w:tcPr>
            <w:tcW w:w="1125" w:type="dxa"/>
            <w:noWrap/>
            <w:hideMark/>
          </w:tcPr>
          <w:p w:rsidRPr="005F055E" w:rsidR="00605490" w:rsidP="00180EEB" w:rsidRDefault="00605490" w14:paraId="427B3487"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4.766</w:t>
            </w:r>
          </w:p>
        </w:tc>
        <w:tc>
          <w:tcPr>
            <w:tcW w:w="1860" w:type="dxa"/>
            <w:noWrap/>
            <w:hideMark/>
          </w:tcPr>
          <w:p w:rsidRPr="005F055E" w:rsidR="00605490" w:rsidP="00180EEB" w:rsidRDefault="00605490" w14:paraId="0B9AF91C"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1.615</w:t>
            </w:r>
          </w:p>
        </w:tc>
        <w:tc>
          <w:tcPr>
            <w:tcW w:w="0" w:type="auto"/>
            <w:noWrap/>
            <w:hideMark/>
          </w:tcPr>
          <w:p w:rsidRPr="005F055E" w:rsidR="00605490" w:rsidP="00180EEB" w:rsidRDefault="00605490" w14:paraId="53536762"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8.538</w:t>
            </w:r>
          </w:p>
        </w:tc>
        <w:tc>
          <w:tcPr>
            <w:tcW w:w="0" w:type="auto"/>
            <w:noWrap/>
            <w:hideMark/>
          </w:tcPr>
          <w:p w:rsidRPr="005F055E" w:rsidR="00605490" w:rsidP="00180EEB" w:rsidRDefault="00605490" w14:paraId="41B20DFE"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23.998</w:t>
            </w:r>
          </w:p>
        </w:tc>
      </w:tr>
      <w:tr w:rsidRPr="005F055E" w:rsidR="00605490" w:rsidTr="00605490" w14:paraId="2D8825F8" w14:textId="77777777">
        <w:trPr>
          <w:trHeight w:val="301"/>
        </w:trPr>
        <w:tc>
          <w:tcPr>
            <w:tcW w:w="1555" w:type="dxa"/>
          </w:tcPr>
          <w:p w:rsidRPr="005F055E" w:rsidR="00605490" w:rsidP="00180EEB" w:rsidRDefault="00605490" w14:paraId="451EF350"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2024</w:t>
            </w:r>
          </w:p>
        </w:tc>
        <w:tc>
          <w:tcPr>
            <w:tcW w:w="833" w:type="dxa"/>
            <w:noWrap/>
            <w:hideMark/>
          </w:tcPr>
          <w:p w:rsidRPr="005F055E" w:rsidR="00605490" w:rsidP="00180EEB" w:rsidRDefault="00605490" w14:paraId="4F691EF3"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4.106</w:t>
            </w:r>
          </w:p>
        </w:tc>
        <w:tc>
          <w:tcPr>
            <w:tcW w:w="0" w:type="auto"/>
            <w:noWrap/>
            <w:hideMark/>
          </w:tcPr>
          <w:p w:rsidRPr="005F055E" w:rsidR="00605490" w:rsidP="00180EEB" w:rsidRDefault="00605490" w14:paraId="0ED536C8"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1.069</w:t>
            </w:r>
          </w:p>
        </w:tc>
        <w:tc>
          <w:tcPr>
            <w:tcW w:w="1125" w:type="dxa"/>
            <w:noWrap/>
            <w:hideMark/>
          </w:tcPr>
          <w:p w:rsidRPr="005F055E" w:rsidR="00605490" w:rsidP="00180EEB" w:rsidRDefault="00605490" w14:paraId="24A35CB7"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5.160</w:t>
            </w:r>
          </w:p>
        </w:tc>
        <w:tc>
          <w:tcPr>
            <w:tcW w:w="1860" w:type="dxa"/>
            <w:noWrap/>
            <w:hideMark/>
          </w:tcPr>
          <w:p w:rsidRPr="005F055E" w:rsidR="00605490" w:rsidP="00180EEB" w:rsidRDefault="00605490" w14:paraId="2A28ABF4"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1.095</w:t>
            </w:r>
          </w:p>
        </w:tc>
        <w:tc>
          <w:tcPr>
            <w:tcW w:w="0" w:type="auto"/>
            <w:noWrap/>
            <w:hideMark/>
          </w:tcPr>
          <w:p w:rsidRPr="005F055E" w:rsidR="00605490" w:rsidP="00180EEB" w:rsidRDefault="00605490" w14:paraId="75597073" w14:textId="77777777">
            <w:pPr>
              <w:suppressAutoHyphens/>
              <w:rPr>
                <w:rFonts w:ascii="Verdana" w:hAnsi="Verdana" w:cs="Calibri"/>
                <w:color w:val="000000"/>
                <w:sz w:val="16"/>
                <w:szCs w:val="16"/>
                <w:lang w:eastAsia="nl-NL"/>
              </w:rPr>
            </w:pPr>
            <w:r w:rsidRPr="005F055E">
              <w:rPr>
                <w:rFonts w:ascii="Verdana" w:hAnsi="Verdana" w:cs="Calibri"/>
                <w:color w:val="000000"/>
                <w:sz w:val="16"/>
                <w:szCs w:val="16"/>
                <w:lang w:eastAsia="nl-NL"/>
              </w:rPr>
              <w:t>9.358</w:t>
            </w:r>
          </w:p>
        </w:tc>
        <w:tc>
          <w:tcPr>
            <w:tcW w:w="0" w:type="auto"/>
            <w:noWrap/>
            <w:hideMark/>
          </w:tcPr>
          <w:p w:rsidRPr="005F055E" w:rsidR="00605490" w:rsidP="00180EEB" w:rsidRDefault="00605490" w14:paraId="033BF08E" w14:textId="77777777">
            <w:pPr>
              <w:suppressAutoHyphens/>
              <w:rPr>
                <w:rFonts w:ascii="Verdana" w:hAnsi="Verdana" w:cs="Calibri"/>
                <w:b/>
                <w:bCs/>
                <w:color w:val="000000"/>
                <w:sz w:val="16"/>
                <w:szCs w:val="16"/>
                <w:lang w:eastAsia="nl-NL"/>
              </w:rPr>
            </w:pPr>
            <w:r w:rsidRPr="005F055E">
              <w:rPr>
                <w:rFonts w:ascii="Verdana" w:hAnsi="Verdana" w:cs="Calibri"/>
                <w:b/>
                <w:bCs/>
                <w:color w:val="000000"/>
                <w:sz w:val="16"/>
                <w:szCs w:val="16"/>
                <w:lang w:eastAsia="nl-NL"/>
              </w:rPr>
              <w:t>25.831</w:t>
            </w:r>
          </w:p>
        </w:tc>
      </w:tr>
    </w:tbl>
    <w:p w:rsidRPr="005F055E" w:rsidR="00632BAA" w:rsidP="00180EEB" w:rsidRDefault="00632BAA" w14:paraId="634D77B6" w14:textId="77777777">
      <w:pPr>
        <w:suppressAutoHyphens/>
        <w:spacing w:line="276" w:lineRule="auto"/>
        <w:rPr>
          <w:rFonts w:eastAsia="Verdana" w:cstheme="minorHAnsi"/>
          <w:i/>
          <w:sz w:val="16"/>
          <w:szCs w:val="16"/>
        </w:rPr>
      </w:pPr>
    </w:p>
    <w:p w:rsidRPr="005F055E" w:rsidR="00632BAA" w:rsidP="00180EEB" w:rsidRDefault="00632BAA" w14:paraId="09180E8A" w14:textId="77777777">
      <w:pPr>
        <w:suppressAutoHyphens/>
        <w:spacing w:line="276" w:lineRule="auto"/>
        <w:rPr>
          <w:rFonts w:eastAsia="Verdana" w:cstheme="minorHAnsi"/>
          <w:i/>
          <w:sz w:val="14"/>
          <w:szCs w:val="14"/>
        </w:rPr>
      </w:pPr>
      <w:r w:rsidRPr="005F055E">
        <w:rPr>
          <w:rFonts w:eastAsia="Verdana" w:cstheme="minorHAnsi"/>
          <w:i/>
          <w:sz w:val="14"/>
          <w:szCs w:val="14"/>
        </w:rPr>
        <w:t>Bron: transparantieoverzichten van de jaarcijfers basisverzekering, zoals door individuele zorgverzekeraars gepresenteerd op hun website. EUCARE publiceert deze gegevens sinds 2023.</w:t>
      </w:r>
    </w:p>
    <w:p w:rsidRPr="005F055E" w:rsidR="00912A7D" w:rsidP="00180EEB" w:rsidRDefault="00912A7D" w14:paraId="5CC37B52" w14:textId="77777777">
      <w:pPr>
        <w:suppressAutoHyphens/>
      </w:pPr>
    </w:p>
    <w:p w:rsidR="004916E9" w:rsidP="00180EEB" w:rsidRDefault="004916E9" w14:paraId="72AE60C5" w14:textId="77777777">
      <w:pPr>
        <w:suppressAutoHyphens/>
      </w:pPr>
    </w:p>
    <w:p w:rsidR="004916E9" w:rsidP="00180EEB" w:rsidRDefault="004916E9" w14:paraId="2D7DD26C" w14:textId="77777777">
      <w:pPr>
        <w:suppressAutoHyphens/>
      </w:pPr>
    </w:p>
    <w:p w:rsidR="004916E9" w:rsidP="00180EEB" w:rsidRDefault="004916E9" w14:paraId="098A2255" w14:textId="77777777">
      <w:pPr>
        <w:suppressAutoHyphens/>
      </w:pPr>
    </w:p>
    <w:p w:rsidR="004916E9" w:rsidP="00180EEB" w:rsidRDefault="004916E9" w14:paraId="13529688" w14:textId="77777777">
      <w:pPr>
        <w:suppressAutoHyphens/>
      </w:pPr>
    </w:p>
    <w:p w:rsidR="004916E9" w:rsidP="00180EEB" w:rsidRDefault="004916E9" w14:paraId="6F2249DD" w14:textId="77777777">
      <w:pPr>
        <w:suppressAutoHyphens/>
      </w:pPr>
    </w:p>
    <w:p w:rsidR="004916E9" w:rsidP="00180EEB" w:rsidRDefault="004916E9" w14:paraId="5ADA32F4" w14:textId="77777777">
      <w:pPr>
        <w:suppressAutoHyphens/>
      </w:pPr>
    </w:p>
    <w:p w:rsidR="004916E9" w:rsidP="00180EEB" w:rsidRDefault="004916E9" w14:paraId="0E010DBA" w14:textId="77777777">
      <w:pPr>
        <w:suppressAutoHyphens/>
      </w:pPr>
    </w:p>
    <w:p w:rsidR="004916E9" w:rsidP="00180EEB" w:rsidRDefault="004916E9" w14:paraId="7823ED5B" w14:textId="77777777">
      <w:pPr>
        <w:suppressAutoHyphens/>
      </w:pPr>
    </w:p>
    <w:p w:rsidR="004916E9" w:rsidP="00180EEB" w:rsidRDefault="004916E9" w14:paraId="120ACBC9" w14:textId="77777777">
      <w:pPr>
        <w:suppressAutoHyphens/>
      </w:pPr>
    </w:p>
    <w:p w:rsidR="004916E9" w:rsidP="00180EEB" w:rsidRDefault="004916E9" w14:paraId="6B2732D5" w14:textId="77777777">
      <w:pPr>
        <w:suppressAutoHyphens/>
      </w:pPr>
    </w:p>
    <w:p w:rsidRPr="005F055E" w:rsidR="00912A7D" w:rsidP="00180EEB" w:rsidRDefault="003E7003" w14:paraId="0EF91704" w14:textId="32FEF311">
      <w:pPr>
        <w:suppressAutoHyphens/>
      </w:pPr>
      <w:r w:rsidRPr="005F055E">
        <w:t>Vraag 184</w:t>
      </w:r>
      <w:r w:rsidRPr="005F055E">
        <w:tab/>
      </w:r>
    </w:p>
    <w:p w:rsidRPr="005F055E" w:rsidR="00912A7D" w:rsidP="00180EEB" w:rsidRDefault="003E7003" w14:paraId="3914A48C" w14:textId="77777777">
      <w:pPr>
        <w:suppressAutoHyphens/>
      </w:pPr>
      <w:r w:rsidRPr="005F055E">
        <w:t>Hoeveel geven zorgverzekeraars jaarlijks uit aan acquisitiekosten? Is dit inclusief of exclusief reclame-uitgaven?</w:t>
      </w:r>
      <w:r w:rsidRPr="005F055E">
        <w:tab/>
      </w:r>
    </w:p>
    <w:p w:rsidRPr="005F055E" w:rsidR="003E7003" w:rsidP="00180EEB" w:rsidRDefault="003E7003" w14:paraId="252AD94D" w14:textId="04F4A96E">
      <w:pPr>
        <w:suppressAutoHyphens/>
      </w:pPr>
      <w:r w:rsidRPr="005F055E">
        <w:t>Antwoord</w:t>
      </w:r>
    </w:p>
    <w:p w:rsidR="00EF57B6" w:rsidP="00180EEB" w:rsidRDefault="00EF57B6" w14:paraId="1410B4DE" w14:textId="77777777">
      <w:pPr>
        <w:suppressAutoHyphens/>
        <w:spacing w:line="276" w:lineRule="auto"/>
        <w:rPr>
          <w:szCs w:val="18"/>
          <w:lang w:eastAsia="nl-NL"/>
        </w:rPr>
      </w:pPr>
      <w:r w:rsidRPr="005F055E">
        <w:rPr>
          <w:szCs w:val="18"/>
          <w:lang w:eastAsia="nl-NL"/>
        </w:rPr>
        <w:t>In de transparantieoverzichten van de jaarcijfers basisverzekering, die sinds de jaarcijfers 2014 door individuele zorgverzekeraars worden gepubliceerd, worden de uitgaven aan acquisitie vermeld. Op basis daarvan is onderstaande tabel opgesteld. Voor de jaren daarvoor zijn geen cijfers beschikbaar. Uit deze cijfers blijkt dat de totale acquisitiekosten (exclusief reclame-uitgaven) voor de basisverzekering in 2024 ca. € 198 miljoen bedragen, oftewel ca. € 14 per premiebetaler.</w:t>
      </w:r>
    </w:p>
    <w:p w:rsidR="004916E9" w:rsidP="00180EEB" w:rsidRDefault="004916E9" w14:paraId="24487BFA" w14:textId="77777777">
      <w:pPr>
        <w:suppressAutoHyphens/>
        <w:spacing w:line="276" w:lineRule="auto"/>
        <w:rPr>
          <w:szCs w:val="18"/>
          <w:lang w:eastAsia="nl-NL"/>
        </w:rPr>
      </w:pPr>
    </w:p>
    <w:p w:rsidR="004916E9" w:rsidP="00180EEB" w:rsidRDefault="004916E9" w14:paraId="36FC7F7A" w14:textId="77777777">
      <w:pPr>
        <w:suppressAutoHyphens/>
        <w:spacing w:line="276" w:lineRule="auto"/>
        <w:rPr>
          <w:szCs w:val="18"/>
          <w:lang w:eastAsia="nl-NL"/>
        </w:rPr>
      </w:pPr>
    </w:p>
    <w:p w:rsidR="004916E9" w:rsidP="00180EEB" w:rsidRDefault="004916E9" w14:paraId="682C8D33" w14:textId="77777777">
      <w:pPr>
        <w:suppressAutoHyphens/>
        <w:spacing w:line="276" w:lineRule="auto"/>
        <w:rPr>
          <w:szCs w:val="18"/>
          <w:lang w:eastAsia="nl-NL"/>
        </w:rPr>
      </w:pPr>
    </w:p>
    <w:p w:rsidRPr="005F055E" w:rsidR="004916E9" w:rsidP="00180EEB" w:rsidRDefault="004916E9" w14:paraId="5FC17265" w14:textId="77777777">
      <w:pPr>
        <w:suppressAutoHyphens/>
        <w:spacing w:line="276" w:lineRule="auto"/>
        <w:rPr>
          <w:szCs w:val="18"/>
          <w:lang w:eastAsia="nl-NL"/>
        </w:rPr>
      </w:pPr>
    </w:p>
    <w:p w:rsidRPr="005F055E" w:rsidR="00EF57B6" w:rsidP="00180EEB" w:rsidRDefault="00EF57B6" w14:paraId="625C530A" w14:textId="77777777">
      <w:pPr>
        <w:suppressAutoHyphens/>
        <w:spacing w:line="276" w:lineRule="auto"/>
        <w:rPr>
          <w:rFonts w:cstheme="minorHAnsi"/>
          <w:szCs w:val="18"/>
          <w:u w:val="single"/>
        </w:rPr>
      </w:pPr>
      <w:r w:rsidRPr="005F055E">
        <w:rPr>
          <w:rFonts w:cstheme="minorHAnsi"/>
          <w:szCs w:val="18"/>
          <w:u w:val="single"/>
        </w:rPr>
        <w:t>Ontwikkeling acquisitiekosten (excl. reclame-uitgaven) 2014-2024 op concernniveau (x € 1.000), basisverzekering</w:t>
      </w:r>
    </w:p>
    <w:tbl>
      <w:tblPr>
        <w:tblW w:w="9659" w:type="dxa"/>
        <w:tblCellMar>
          <w:left w:w="70" w:type="dxa"/>
          <w:right w:w="70" w:type="dxa"/>
        </w:tblCellMar>
        <w:tblLook w:val="04A0" w:firstRow="1" w:lastRow="0" w:firstColumn="1" w:lastColumn="0" w:noHBand="0" w:noVBand="1"/>
      </w:tblPr>
      <w:tblGrid>
        <w:gridCol w:w="874"/>
        <w:gridCol w:w="707"/>
        <w:gridCol w:w="707"/>
        <w:gridCol w:w="826"/>
        <w:gridCol w:w="854"/>
        <w:gridCol w:w="757"/>
        <w:gridCol w:w="707"/>
        <w:gridCol w:w="803"/>
        <w:gridCol w:w="707"/>
        <w:gridCol w:w="1037"/>
        <w:gridCol w:w="871"/>
        <w:gridCol w:w="809"/>
      </w:tblGrid>
      <w:tr w:rsidRPr="005F055E" w:rsidR="00EF57B6" w:rsidTr="005E2643" w14:paraId="1D0E3935" w14:textId="77777777">
        <w:trPr>
          <w:trHeight w:val="300"/>
        </w:trPr>
        <w:tc>
          <w:tcPr>
            <w:tcW w:w="874" w:type="dxa"/>
            <w:tcBorders>
              <w:top w:val="nil"/>
              <w:left w:val="nil"/>
              <w:bottom w:val="single" w:color="auto" w:sz="4" w:space="0"/>
              <w:right w:val="nil"/>
            </w:tcBorders>
            <w:shd w:val="clear" w:color="auto" w:fill="auto"/>
            <w:noWrap/>
            <w:vAlign w:val="bottom"/>
          </w:tcPr>
          <w:p w:rsidRPr="005F055E" w:rsidR="00EF57B6" w:rsidP="00180EEB" w:rsidRDefault="00EF57B6" w14:paraId="0AEA8053" w14:textId="77777777">
            <w:pPr>
              <w:suppressAutoHyphens/>
              <w:rPr>
                <w:rFonts w:cs="Calibri"/>
                <w:b/>
                <w:bCs/>
                <w:color w:val="000000"/>
                <w:sz w:val="16"/>
                <w:szCs w:val="16"/>
                <w:lang w:eastAsia="nl-NL"/>
              </w:rPr>
            </w:pPr>
            <w:r w:rsidRPr="005F055E">
              <w:rPr>
                <w:rFonts w:cs="Calibri"/>
                <w:b/>
                <w:bCs/>
                <w:color w:val="000000"/>
                <w:sz w:val="16"/>
                <w:szCs w:val="16"/>
                <w:lang w:eastAsia="nl-NL"/>
              </w:rPr>
              <w:t>Concern / jaar</w:t>
            </w:r>
          </w:p>
        </w:tc>
        <w:tc>
          <w:tcPr>
            <w:tcW w:w="707" w:type="dxa"/>
            <w:tcBorders>
              <w:top w:val="nil"/>
              <w:left w:val="nil"/>
              <w:bottom w:val="single" w:color="auto" w:sz="4" w:space="0"/>
              <w:right w:val="nil"/>
            </w:tcBorders>
            <w:shd w:val="clear" w:color="auto" w:fill="auto"/>
            <w:noWrap/>
            <w:vAlign w:val="bottom"/>
            <w:hideMark/>
          </w:tcPr>
          <w:p w:rsidRPr="005F055E" w:rsidR="00EF57B6" w:rsidP="00180EEB" w:rsidRDefault="00EF57B6" w14:paraId="6149B3E3" w14:textId="77777777">
            <w:pPr>
              <w:suppressAutoHyphens/>
              <w:rPr>
                <w:rFonts w:cs="Calibri"/>
                <w:b/>
                <w:bCs/>
                <w:color w:val="000000"/>
                <w:sz w:val="16"/>
                <w:szCs w:val="16"/>
                <w:lang w:eastAsia="nl-NL"/>
              </w:rPr>
            </w:pPr>
            <w:r w:rsidRPr="005F055E">
              <w:rPr>
                <w:rFonts w:cs="Calibri"/>
                <w:b/>
                <w:bCs/>
                <w:color w:val="000000"/>
                <w:sz w:val="16"/>
                <w:szCs w:val="16"/>
                <w:lang w:eastAsia="nl-NL"/>
              </w:rPr>
              <w:t>ASR</w:t>
            </w:r>
          </w:p>
        </w:tc>
        <w:tc>
          <w:tcPr>
            <w:tcW w:w="707" w:type="dxa"/>
            <w:tcBorders>
              <w:top w:val="nil"/>
              <w:left w:val="nil"/>
              <w:bottom w:val="single" w:color="auto" w:sz="4" w:space="0"/>
              <w:right w:val="nil"/>
            </w:tcBorders>
            <w:shd w:val="clear" w:color="auto" w:fill="auto"/>
            <w:noWrap/>
            <w:vAlign w:val="bottom"/>
            <w:hideMark/>
          </w:tcPr>
          <w:p w:rsidRPr="005F055E" w:rsidR="00EF57B6" w:rsidP="00180EEB" w:rsidRDefault="00EF57B6" w14:paraId="6386ED18" w14:textId="77777777">
            <w:pPr>
              <w:suppressAutoHyphens/>
              <w:rPr>
                <w:rFonts w:cs="Calibri"/>
                <w:b/>
                <w:bCs/>
                <w:color w:val="000000"/>
                <w:sz w:val="16"/>
                <w:szCs w:val="16"/>
                <w:lang w:eastAsia="nl-NL"/>
              </w:rPr>
            </w:pPr>
            <w:r w:rsidRPr="005F055E">
              <w:rPr>
                <w:rFonts w:cs="Calibri"/>
                <w:b/>
                <w:bCs/>
                <w:color w:val="000000"/>
                <w:sz w:val="16"/>
                <w:szCs w:val="16"/>
                <w:lang w:eastAsia="nl-NL"/>
              </w:rPr>
              <w:t>CZ</w:t>
            </w:r>
          </w:p>
        </w:tc>
        <w:tc>
          <w:tcPr>
            <w:tcW w:w="826" w:type="dxa"/>
            <w:tcBorders>
              <w:top w:val="nil"/>
              <w:left w:val="nil"/>
              <w:bottom w:val="single" w:color="auto" w:sz="4" w:space="0"/>
              <w:right w:val="nil"/>
            </w:tcBorders>
            <w:shd w:val="clear" w:color="auto" w:fill="auto"/>
            <w:noWrap/>
            <w:vAlign w:val="bottom"/>
            <w:hideMark/>
          </w:tcPr>
          <w:p w:rsidRPr="005F055E" w:rsidR="00EF57B6" w:rsidP="00180EEB" w:rsidRDefault="00EF57B6" w14:paraId="4A42A58F" w14:textId="77777777">
            <w:pPr>
              <w:suppressAutoHyphens/>
              <w:rPr>
                <w:rFonts w:cs="Calibri"/>
                <w:b/>
                <w:bCs/>
                <w:color w:val="000000"/>
                <w:sz w:val="16"/>
                <w:szCs w:val="16"/>
                <w:lang w:eastAsia="nl-NL"/>
              </w:rPr>
            </w:pPr>
            <w:r w:rsidRPr="005F055E">
              <w:rPr>
                <w:rFonts w:cs="Calibri"/>
                <w:b/>
                <w:bCs/>
                <w:color w:val="000000"/>
                <w:sz w:val="16"/>
                <w:szCs w:val="16"/>
                <w:lang w:eastAsia="nl-NL"/>
              </w:rPr>
              <w:t>DSW + Stad Holland</w:t>
            </w:r>
          </w:p>
        </w:tc>
        <w:tc>
          <w:tcPr>
            <w:tcW w:w="854" w:type="dxa"/>
            <w:tcBorders>
              <w:top w:val="nil"/>
              <w:left w:val="nil"/>
              <w:bottom w:val="single" w:color="auto" w:sz="4" w:space="0"/>
              <w:right w:val="nil"/>
            </w:tcBorders>
            <w:shd w:val="clear" w:color="auto" w:fill="auto"/>
            <w:noWrap/>
            <w:vAlign w:val="bottom"/>
            <w:hideMark/>
          </w:tcPr>
          <w:p w:rsidRPr="005F055E" w:rsidR="00EF57B6" w:rsidP="00180EEB" w:rsidRDefault="00EF57B6" w14:paraId="79D631BE" w14:textId="77777777">
            <w:pPr>
              <w:suppressAutoHyphens/>
              <w:rPr>
                <w:rFonts w:cs="Calibri"/>
                <w:b/>
                <w:bCs/>
                <w:color w:val="000000"/>
                <w:sz w:val="16"/>
                <w:szCs w:val="16"/>
                <w:lang w:eastAsia="nl-NL"/>
              </w:rPr>
            </w:pPr>
            <w:r w:rsidRPr="005F055E">
              <w:rPr>
                <w:rFonts w:cs="Calibri"/>
                <w:b/>
                <w:bCs/>
                <w:color w:val="000000"/>
                <w:sz w:val="16"/>
                <w:szCs w:val="16"/>
                <w:lang w:eastAsia="nl-NL"/>
              </w:rPr>
              <w:t>EUCARE</w:t>
            </w:r>
          </w:p>
        </w:tc>
        <w:tc>
          <w:tcPr>
            <w:tcW w:w="757" w:type="dxa"/>
            <w:tcBorders>
              <w:top w:val="nil"/>
              <w:left w:val="nil"/>
              <w:bottom w:val="single" w:color="auto" w:sz="4" w:space="0"/>
              <w:right w:val="nil"/>
            </w:tcBorders>
            <w:shd w:val="clear" w:color="auto" w:fill="auto"/>
            <w:noWrap/>
            <w:vAlign w:val="bottom"/>
            <w:hideMark/>
          </w:tcPr>
          <w:p w:rsidRPr="005F055E" w:rsidR="00EF57B6" w:rsidP="00180EEB" w:rsidRDefault="00EF57B6" w14:paraId="293F3B37" w14:textId="77777777">
            <w:pPr>
              <w:suppressAutoHyphens/>
              <w:rPr>
                <w:rFonts w:cs="Calibri"/>
                <w:b/>
                <w:bCs/>
                <w:color w:val="000000"/>
                <w:sz w:val="16"/>
                <w:szCs w:val="16"/>
                <w:lang w:eastAsia="nl-NL"/>
              </w:rPr>
            </w:pPr>
            <w:proofErr w:type="spellStart"/>
            <w:r w:rsidRPr="005F055E">
              <w:rPr>
                <w:rFonts w:cs="Calibri"/>
                <w:b/>
                <w:bCs/>
                <w:color w:val="000000"/>
                <w:sz w:val="16"/>
                <w:szCs w:val="16"/>
                <w:lang w:eastAsia="nl-NL"/>
              </w:rPr>
              <w:t>Menzis</w:t>
            </w:r>
            <w:proofErr w:type="spellEnd"/>
          </w:p>
        </w:tc>
        <w:tc>
          <w:tcPr>
            <w:tcW w:w="707" w:type="dxa"/>
            <w:tcBorders>
              <w:top w:val="nil"/>
              <w:left w:val="nil"/>
              <w:bottom w:val="single" w:color="auto" w:sz="4" w:space="0"/>
              <w:right w:val="nil"/>
            </w:tcBorders>
            <w:shd w:val="clear" w:color="auto" w:fill="auto"/>
            <w:noWrap/>
            <w:vAlign w:val="bottom"/>
            <w:hideMark/>
          </w:tcPr>
          <w:p w:rsidRPr="005F055E" w:rsidR="00EF57B6" w:rsidP="00180EEB" w:rsidRDefault="00EF57B6" w14:paraId="79CF63C0" w14:textId="77777777">
            <w:pPr>
              <w:suppressAutoHyphens/>
              <w:rPr>
                <w:rFonts w:cs="Calibri"/>
                <w:b/>
                <w:bCs/>
                <w:color w:val="000000"/>
                <w:sz w:val="16"/>
                <w:szCs w:val="16"/>
                <w:lang w:eastAsia="nl-NL"/>
              </w:rPr>
            </w:pPr>
            <w:r w:rsidRPr="005F055E">
              <w:rPr>
                <w:rFonts w:cs="Calibri"/>
                <w:b/>
                <w:bCs/>
                <w:color w:val="000000"/>
                <w:sz w:val="16"/>
                <w:szCs w:val="16"/>
                <w:lang w:eastAsia="nl-NL"/>
              </w:rPr>
              <w:t>ONVZ</w:t>
            </w:r>
          </w:p>
        </w:tc>
        <w:tc>
          <w:tcPr>
            <w:tcW w:w="803" w:type="dxa"/>
            <w:tcBorders>
              <w:top w:val="nil"/>
              <w:left w:val="nil"/>
              <w:bottom w:val="single" w:color="auto" w:sz="4" w:space="0"/>
              <w:right w:val="nil"/>
            </w:tcBorders>
            <w:shd w:val="clear" w:color="auto" w:fill="auto"/>
            <w:noWrap/>
            <w:vAlign w:val="bottom"/>
            <w:hideMark/>
          </w:tcPr>
          <w:p w:rsidRPr="005F055E" w:rsidR="00EF57B6" w:rsidP="00180EEB" w:rsidRDefault="00EF57B6" w14:paraId="2432B47D" w14:textId="77777777">
            <w:pPr>
              <w:suppressAutoHyphens/>
              <w:rPr>
                <w:rFonts w:cs="Calibri"/>
                <w:b/>
                <w:bCs/>
                <w:color w:val="000000"/>
                <w:sz w:val="16"/>
                <w:szCs w:val="16"/>
                <w:lang w:eastAsia="nl-NL"/>
              </w:rPr>
            </w:pPr>
            <w:r w:rsidRPr="005F055E">
              <w:rPr>
                <w:rFonts w:cs="Calibri"/>
                <w:b/>
                <w:bCs/>
                <w:color w:val="000000"/>
                <w:sz w:val="16"/>
                <w:szCs w:val="16"/>
                <w:lang w:eastAsia="nl-NL"/>
              </w:rPr>
              <w:t>Salland</w:t>
            </w:r>
          </w:p>
        </w:tc>
        <w:tc>
          <w:tcPr>
            <w:tcW w:w="707" w:type="dxa"/>
            <w:tcBorders>
              <w:top w:val="nil"/>
              <w:left w:val="nil"/>
              <w:bottom w:val="single" w:color="auto" w:sz="4" w:space="0"/>
              <w:right w:val="nil"/>
            </w:tcBorders>
            <w:shd w:val="clear" w:color="auto" w:fill="auto"/>
            <w:noWrap/>
            <w:vAlign w:val="bottom"/>
            <w:hideMark/>
          </w:tcPr>
          <w:p w:rsidRPr="005F055E" w:rsidR="00EF57B6" w:rsidP="00180EEB" w:rsidRDefault="00EF57B6" w14:paraId="4842DD13" w14:textId="77777777">
            <w:pPr>
              <w:suppressAutoHyphens/>
              <w:rPr>
                <w:rFonts w:cs="Calibri"/>
                <w:b/>
                <w:bCs/>
                <w:color w:val="000000"/>
                <w:sz w:val="16"/>
                <w:szCs w:val="16"/>
                <w:lang w:eastAsia="nl-NL"/>
              </w:rPr>
            </w:pPr>
            <w:r w:rsidRPr="005F055E">
              <w:rPr>
                <w:rFonts w:cs="Calibri"/>
                <w:b/>
                <w:bCs/>
                <w:color w:val="000000"/>
                <w:sz w:val="16"/>
                <w:szCs w:val="16"/>
                <w:lang w:eastAsia="nl-NL"/>
              </w:rPr>
              <w:t>VGZ</w:t>
            </w:r>
          </w:p>
        </w:tc>
        <w:tc>
          <w:tcPr>
            <w:tcW w:w="1037" w:type="dxa"/>
            <w:tcBorders>
              <w:top w:val="nil"/>
              <w:left w:val="nil"/>
              <w:bottom w:val="single" w:color="auto" w:sz="4" w:space="0"/>
              <w:right w:val="nil"/>
            </w:tcBorders>
            <w:shd w:val="clear" w:color="auto" w:fill="auto"/>
            <w:noWrap/>
            <w:vAlign w:val="bottom"/>
            <w:hideMark/>
          </w:tcPr>
          <w:p w:rsidRPr="005F055E" w:rsidR="00EF57B6" w:rsidP="00180EEB" w:rsidRDefault="00EF57B6" w14:paraId="48280E8C" w14:textId="77777777">
            <w:pPr>
              <w:suppressAutoHyphens/>
              <w:rPr>
                <w:rFonts w:cs="Calibri"/>
                <w:b/>
                <w:bCs/>
                <w:color w:val="000000"/>
                <w:sz w:val="16"/>
                <w:szCs w:val="16"/>
                <w:lang w:eastAsia="nl-NL"/>
              </w:rPr>
            </w:pPr>
            <w:r w:rsidRPr="005F055E">
              <w:rPr>
                <w:rFonts w:cs="Calibri"/>
                <w:b/>
                <w:bCs/>
                <w:color w:val="000000"/>
                <w:sz w:val="16"/>
                <w:szCs w:val="16"/>
                <w:lang w:eastAsia="nl-NL"/>
              </w:rPr>
              <w:t>Zorg &amp; Zekerheid</w:t>
            </w:r>
          </w:p>
        </w:tc>
        <w:tc>
          <w:tcPr>
            <w:tcW w:w="871" w:type="dxa"/>
            <w:tcBorders>
              <w:top w:val="nil"/>
              <w:left w:val="nil"/>
              <w:bottom w:val="single" w:color="auto" w:sz="4" w:space="0"/>
              <w:right w:val="nil"/>
            </w:tcBorders>
            <w:shd w:val="clear" w:color="auto" w:fill="auto"/>
            <w:noWrap/>
            <w:vAlign w:val="bottom"/>
            <w:hideMark/>
          </w:tcPr>
          <w:p w:rsidRPr="005F055E" w:rsidR="00EF57B6" w:rsidP="00180EEB" w:rsidRDefault="00EF57B6" w14:paraId="43C2F93C" w14:textId="77777777">
            <w:pPr>
              <w:suppressAutoHyphens/>
              <w:rPr>
                <w:rFonts w:cs="Calibri"/>
                <w:b/>
                <w:bCs/>
                <w:color w:val="000000"/>
                <w:sz w:val="16"/>
                <w:szCs w:val="16"/>
                <w:lang w:eastAsia="nl-NL"/>
              </w:rPr>
            </w:pPr>
            <w:r w:rsidRPr="005F055E">
              <w:rPr>
                <w:rFonts w:cs="Calibri"/>
                <w:b/>
                <w:bCs/>
                <w:color w:val="000000"/>
                <w:sz w:val="16"/>
                <w:szCs w:val="16"/>
                <w:lang w:eastAsia="nl-NL"/>
              </w:rPr>
              <w:t>Zilveren Kruis</w:t>
            </w:r>
          </w:p>
        </w:tc>
        <w:tc>
          <w:tcPr>
            <w:tcW w:w="809" w:type="dxa"/>
            <w:tcBorders>
              <w:top w:val="nil"/>
              <w:left w:val="nil"/>
              <w:bottom w:val="single" w:color="auto" w:sz="4" w:space="0"/>
              <w:right w:val="nil"/>
            </w:tcBorders>
            <w:vAlign w:val="bottom"/>
          </w:tcPr>
          <w:p w:rsidRPr="005F055E" w:rsidR="00EF57B6" w:rsidP="00180EEB" w:rsidRDefault="00EF57B6" w14:paraId="29E04D9D" w14:textId="77777777">
            <w:pPr>
              <w:suppressAutoHyphens/>
              <w:rPr>
                <w:rFonts w:cs="Calibri"/>
                <w:b/>
                <w:bCs/>
                <w:color w:val="000000"/>
                <w:sz w:val="16"/>
                <w:szCs w:val="16"/>
                <w:lang w:eastAsia="nl-NL"/>
              </w:rPr>
            </w:pPr>
            <w:r w:rsidRPr="005F055E">
              <w:rPr>
                <w:rFonts w:cs="Calibri"/>
                <w:b/>
                <w:bCs/>
                <w:color w:val="000000"/>
                <w:sz w:val="16"/>
                <w:szCs w:val="16"/>
                <w:lang w:eastAsia="nl-NL"/>
              </w:rPr>
              <w:t>Totaal</w:t>
            </w:r>
          </w:p>
        </w:tc>
      </w:tr>
      <w:tr w:rsidRPr="005F055E" w:rsidR="00EF57B6" w:rsidTr="005E2643" w14:paraId="2A07F4F6" w14:textId="77777777">
        <w:trPr>
          <w:trHeight w:val="300"/>
        </w:trPr>
        <w:tc>
          <w:tcPr>
            <w:tcW w:w="874" w:type="dxa"/>
            <w:tcBorders>
              <w:top w:val="single" w:color="auto" w:sz="4" w:space="0"/>
              <w:left w:val="nil"/>
              <w:bottom w:val="nil"/>
              <w:right w:val="nil"/>
            </w:tcBorders>
            <w:shd w:val="clear" w:color="auto" w:fill="auto"/>
            <w:noWrap/>
            <w:vAlign w:val="bottom"/>
            <w:hideMark/>
          </w:tcPr>
          <w:p w:rsidRPr="005F055E" w:rsidR="00EF57B6" w:rsidP="00180EEB" w:rsidRDefault="00EF57B6" w14:paraId="45B5706F" w14:textId="77777777">
            <w:pPr>
              <w:suppressAutoHyphens/>
              <w:rPr>
                <w:rFonts w:cs="Calibri"/>
                <w:color w:val="000000"/>
                <w:sz w:val="16"/>
                <w:szCs w:val="16"/>
                <w:lang w:eastAsia="nl-NL"/>
              </w:rPr>
            </w:pPr>
            <w:r w:rsidRPr="005F055E">
              <w:rPr>
                <w:rFonts w:cs="Calibri"/>
                <w:color w:val="000000"/>
                <w:sz w:val="16"/>
                <w:szCs w:val="16"/>
                <w:lang w:eastAsia="nl-NL"/>
              </w:rPr>
              <w:t>2014</w:t>
            </w:r>
          </w:p>
        </w:tc>
        <w:tc>
          <w:tcPr>
            <w:tcW w:w="707" w:type="dxa"/>
            <w:tcBorders>
              <w:top w:val="single" w:color="auto" w:sz="4" w:space="0"/>
              <w:left w:val="nil"/>
              <w:bottom w:val="nil"/>
              <w:right w:val="nil"/>
            </w:tcBorders>
            <w:shd w:val="clear" w:color="auto" w:fill="auto"/>
            <w:noWrap/>
            <w:vAlign w:val="bottom"/>
            <w:hideMark/>
          </w:tcPr>
          <w:p w:rsidRPr="005F055E" w:rsidR="00EF57B6" w:rsidP="00180EEB" w:rsidRDefault="00EF57B6" w14:paraId="5CA7256B" w14:textId="77777777">
            <w:pPr>
              <w:suppressAutoHyphens/>
              <w:rPr>
                <w:rFonts w:cs="Calibri"/>
                <w:color w:val="000000"/>
                <w:sz w:val="16"/>
                <w:szCs w:val="16"/>
                <w:lang w:eastAsia="nl-NL"/>
              </w:rPr>
            </w:pPr>
            <w:r w:rsidRPr="005F055E">
              <w:rPr>
                <w:rFonts w:cs="Calibri"/>
                <w:color w:val="000000"/>
                <w:sz w:val="16"/>
                <w:szCs w:val="16"/>
                <w:lang w:eastAsia="nl-NL"/>
              </w:rPr>
              <w:t>9.836</w:t>
            </w:r>
          </w:p>
        </w:tc>
        <w:tc>
          <w:tcPr>
            <w:tcW w:w="707" w:type="dxa"/>
            <w:tcBorders>
              <w:top w:val="single" w:color="auto" w:sz="4" w:space="0"/>
              <w:left w:val="nil"/>
              <w:bottom w:val="nil"/>
              <w:right w:val="nil"/>
            </w:tcBorders>
            <w:shd w:val="clear" w:color="auto" w:fill="auto"/>
            <w:noWrap/>
            <w:vAlign w:val="bottom"/>
            <w:hideMark/>
          </w:tcPr>
          <w:p w:rsidRPr="005F055E" w:rsidR="00EF57B6" w:rsidP="00180EEB" w:rsidRDefault="00EF57B6" w14:paraId="13536492" w14:textId="77777777">
            <w:pPr>
              <w:suppressAutoHyphens/>
              <w:rPr>
                <w:rFonts w:cs="Calibri"/>
                <w:color w:val="000000"/>
                <w:sz w:val="16"/>
                <w:szCs w:val="16"/>
                <w:lang w:eastAsia="nl-NL"/>
              </w:rPr>
            </w:pPr>
            <w:r w:rsidRPr="005F055E">
              <w:rPr>
                <w:rFonts w:cs="Calibri"/>
                <w:color w:val="000000"/>
                <w:sz w:val="16"/>
                <w:szCs w:val="16"/>
                <w:lang w:eastAsia="nl-NL"/>
              </w:rPr>
              <w:t>39.288</w:t>
            </w:r>
          </w:p>
        </w:tc>
        <w:tc>
          <w:tcPr>
            <w:tcW w:w="826" w:type="dxa"/>
            <w:tcBorders>
              <w:top w:val="single" w:color="auto" w:sz="4" w:space="0"/>
              <w:left w:val="nil"/>
              <w:bottom w:val="nil"/>
              <w:right w:val="nil"/>
            </w:tcBorders>
            <w:shd w:val="clear" w:color="auto" w:fill="auto"/>
            <w:noWrap/>
            <w:vAlign w:val="bottom"/>
            <w:hideMark/>
          </w:tcPr>
          <w:p w:rsidRPr="005F055E" w:rsidR="00EF57B6" w:rsidP="00180EEB" w:rsidRDefault="00EF57B6" w14:paraId="014601B2" w14:textId="77777777">
            <w:pPr>
              <w:suppressAutoHyphens/>
              <w:rPr>
                <w:rFonts w:cs="Calibri"/>
                <w:color w:val="000000"/>
                <w:sz w:val="16"/>
                <w:szCs w:val="16"/>
                <w:lang w:eastAsia="nl-NL"/>
              </w:rPr>
            </w:pPr>
            <w:r w:rsidRPr="005F055E">
              <w:rPr>
                <w:rFonts w:cs="Calibri"/>
                <w:color w:val="000000"/>
                <w:sz w:val="16"/>
                <w:szCs w:val="16"/>
                <w:lang w:eastAsia="nl-NL"/>
              </w:rPr>
              <w:t>2.060</w:t>
            </w:r>
          </w:p>
        </w:tc>
        <w:tc>
          <w:tcPr>
            <w:tcW w:w="854" w:type="dxa"/>
            <w:tcBorders>
              <w:top w:val="single" w:color="auto" w:sz="4" w:space="0"/>
              <w:left w:val="nil"/>
              <w:bottom w:val="nil"/>
              <w:right w:val="nil"/>
            </w:tcBorders>
            <w:shd w:val="clear" w:color="auto" w:fill="auto"/>
            <w:noWrap/>
            <w:vAlign w:val="bottom"/>
            <w:hideMark/>
          </w:tcPr>
          <w:p w:rsidRPr="005F055E" w:rsidR="00EF57B6" w:rsidP="00180EEB" w:rsidRDefault="00EF57B6" w14:paraId="75BBB62B" w14:textId="77777777">
            <w:pPr>
              <w:suppressAutoHyphens/>
              <w:rPr>
                <w:rFonts w:cs="Calibri"/>
                <w:color w:val="000000"/>
                <w:sz w:val="16"/>
                <w:szCs w:val="16"/>
                <w:lang w:eastAsia="nl-NL"/>
              </w:rPr>
            </w:pPr>
          </w:p>
        </w:tc>
        <w:tc>
          <w:tcPr>
            <w:tcW w:w="757" w:type="dxa"/>
            <w:tcBorders>
              <w:top w:val="single" w:color="auto" w:sz="4" w:space="0"/>
              <w:left w:val="nil"/>
              <w:bottom w:val="nil"/>
              <w:right w:val="nil"/>
            </w:tcBorders>
            <w:shd w:val="clear" w:color="auto" w:fill="auto"/>
            <w:noWrap/>
            <w:vAlign w:val="bottom"/>
            <w:hideMark/>
          </w:tcPr>
          <w:p w:rsidRPr="005F055E" w:rsidR="00EF57B6" w:rsidP="00180EEB" w:rsidRDefault="00EF57B6" w14:paraId="3D488BC7" w14:textId="77777777">
            <w:pPr>
              <w:suppressAutoHyphens/>
              <w:rPr>
                <w:rFonts w:cs="Calibri"/>
                <w:color w:val="000000"/>
                <w:sz w:val="16"/>
                <w:szCs w:val="16"/>
                <w:lang w:eastAsia="nl-NL"/>
              </w:rPr>
            </w:pPr>
            <w:r w:rsidRPr="005F055E">
              <w:rPr>
                <w:rFonts w:cs="Calibri"/>
                <w:color w:val="000000"/>
                <w:sz w:val="16"/>
                <w:szCs w:val="16"/>
                <w:lang w:eastAsia="nl-NL"/>
              </w:rPr>
              <w:t>23.281</w:t>
            </w:r>
          </w:p>
        </w:tc>
        <w:tc>
          <w:tcPr>
            <w:tcW w:w="707" w:type="dxa"/>
            <w:tcBorders>
              <w:top w:val="single" w:color="auto" w:sz="4" w:space="0"/>
              <w:left w:val="nil"/>
              <w:bottom w:val="nil"/>
              <w:right w:val="nil"/>
            </w:tcBorders>
            <w:shd w:val="clear" w:color="auto" w:fill="auto"/>
            <w:noWrap/>
            <w:vAlign w:val="bottom"/>
            <w:hideMark/>
          </w:tcPr>
          <w:p w:rsidRPr="005F055E" w:rsidR="00EF57B6" w:rsidP="00180EEB" w:rsidRDefault="00EF57B6" w14:paraId="232735EC" w14:textId="77777777">
            <w:pPr>
              <w:suppressAutoHyphens/>
              <w:rPr>
                <w:rFonts w:cs="Calibri"/>
                <w:color w:val="000000"/>
                <w:sz w:val="16"/>
                <w:szCs w:val="16"/>
                <w:lang w:eastAsia="nl-NL"/>
              </w:rPr>
            </w:pPr>
            <w:r w:rsidRPr="005F055E">
              <w:rPr>
                <w:rFonts w:cs="Calibri"/>
                <w:color w:val="000000"/>
                <w:sz w:val="16"/>
                <w:szCs w:val="16"/>
                <w:lang w:eastAsia="nl-NL"/>
              </w:rPr>
              <w:t>8.303</w:t>
            </w:r>
          </w:p>
        </w:tc>
        <w:tc>
          <w:tcPr>
            <w:tcW w:w="803" w:type="dxa"/>
            <w:tcBorders>
              <w:top w:val="single" w:color="auto" w:sz="4" w:space="0"/>
              <w:left w:val="nil"/>
              <w:bottom w:val="nil"/>
              <w:right w:val="nil"/>
            </w:tcBorders>
            <w:shd w:val="clear" w:color="auto" w:fill="auto"/>
            <w:noWrap/>
            <w:vAlign w:val="bottom"/>
            <w:hideMark/>
          </w:tcPr>
          <w:p w:rsidRPr="005F055E" w:rsidR="00EF57B6" w:rsidP="00180EEB" w:rsidRDefault="00EF57B6" w14:paraId="324C7667" w14:textId="77777777">
            <w:pPr>
              <w:suppressAutoHyphens/>
              <w:rPr>
                <w:rFonts w:cs="Calibri"/>
                <w:color w:val="000000"/>
                <w:sz w:val="16"/>
                <w:szCs w:val="16"/>
                <w:lang w:eastAsia="nl-NL"/>
              </w:rPr>
            </w:pPr>
            <w:r w:rsidRPr="005F055E">
              <w:rPr>
                <w:rFonts w:cs="Calibri"/>
                <w:color w:val="000000"/>
                <w:sz w:val="16"/>
                <w:szCs w:val="16"/>
                <w:lang w:eastAsia="nl-NL"/>
              </w:rPr>
              <w:t>660</w:t>
            </w:r>
          </w:p>
        </w:tc>
        <w:tc>
          <w:tcPr>
            <w:tcW w:w="707" w:type="dxa"/>
            <w:tcBorders>
              <w:top w:val="single" w:color="auto" w:sz="4" w:space="0"/>
              <w:left w:val="nil"/>
              <w:bottom w:val="nil"/>
              <w:right w:val="nil"/>
            </w:tcBorders>
            <w:shd w:val="clear" w:color="auto" w:fill="auto"/>
            <w:noWrap/>
            <w:vAlign w:val="bottom"/>
            <w:hideMark/>
          </w:tcPr>
          <w:p w:rsidRPr="005F055E" w:rsidR="00EF57B6" w:rsidP="00180EEB" w:rsidRDefault="00EF57B6" w14:paraId="3A6714D3" w14:textId="77777777">
            <w:pPr>
              <w:suppressAutoHyphens/>
              <w:rPr>
                <w:rFonts w:cs="Calibri"/>
                <w:color w:val="000000"/>
                <w:sz w:val="16"/>
                <w:szCs w:val="16"/>
                <w:lang w:eastAsia="nl-NL"/>
              </w:rPr>
            </w:pPr>
            <w:r w:rsidRPr="005F055E">
              <w:rPr>
                <w:rFonts w:cs="Calibri"/>
                <w:color w:val="000000"/>
                <w:sz w:val="16"/>
                <w:szCs w:val="16"/>
                <w:lang w:eastAsia="nl-NL"/>
              </w:rPr>
              <w:t>64.582</w:t>
            </w:r>
          </w:p>
        </w:tc>
        <w:tc>
          <w:tcPr>
            <w:tcW w:w="1037" w:type="dxa"/>
            <w:tcBorders>
              <w:top w:val="single" w:color="auto" w:sz="4" w:space="0"/>
              <w:left w:val="nil"/>
              <w:bottom w:val="nil"/>
              <w:right w:val="nil"/>
            </w:tcBorders>
            <w:shd w:val="clear" w:color="auto" w:fill="auto"/>
            <w:noWrap/>
            <w:vAlign w:val="bottom"/>
            <w:hideMark/>
          </w:tcPr>
          <w:p w:rsidRPr="005F055E" w:rsidR="00EF57B6" w:rsidP="00180EEB" w:rsidRDefault="00EF57B6" w14:paraId="1F96C077" w14:textId="77777777">
            <w:pPr>
              <w:suppressAutoHyphens/>
              <w:rPr>
                <w:rFonts w:cs="Calibri"/>
                <w:color w:val="000000"/>
                <w:sz w:val="16"/>
                <w:szCs w:val="16"/>
                <w:lang w:eastAsia="nl-NL"/>
              </w:rPr>
            </w:pPr>
            <w:r w:rsidRPr="005F055E">
              <w:rPr>
                <w:rFonts w:cs="Calibri"/>
                <w:color w:val="000000"/>
                <w:sz w:val="16"/>
                <w:szCs w:val="16"/>
                <w:lang w:eastAsia="nl-NL"/>
              </w:rPr>
              <w:t>2.182</w:t>
            </w:r>
          </w:p>
        </w:tc>
        <w:tc>
          <w:tcPr>
            <w:tcW w:w="871" w:type="dxa"/>
            <w:tcBorders>
              <w:top w:val="single" w:color="auto" w:sz="4" w:space="0"/>
              <w:left w:val="nil"/>
              <w:bottom w:val="nil"/>
              <w:right w:val="nil"/>
            </w:tcBorders>
            <w:shd w:val="clear" w:color="auto" w:fill="auto"/>
            <w:noWrap/>
            <w:vAlign w:val="bottom"/>
            <w:hideMark/>
          </w:tcPr>
          <w:p w:rsidRPr="005F055E" w:rsidR="00EF57B6" w:rsidP="00180EEB" w:rsidRDefault="00EF57B6" w14:paraId="75625897" w14:textId="77777777">
            <w:pPr>
              <w:suppressAutoHyphens/>
              <w:rPr>
                <w:rFonts w:cs="Calibri"/>
                <w:color w:val="000000"/>
                <w:sz w:val="16"/>
                <w:szCs w:val="16"/>
                <w:lang w:eastAsia="nl-NL"/>
              </w:rPr>
            </w:pPr>
            <w:r w:rsidRPr="005F055E">
              <w:rPr>
                <w:rFonts w:cs="Calibri"/>
                <w:color w:val="000000"/>
                <w:sz w:val="16"/>
                <w:szCs w:val="16"/>
                <w:lang w:eastAsia="nl-NL"/>
              </w:rPr>
              <w:t>46.032</w:t>
            </w:r>
          </w:p>
        </w:tc>
        <w:tc>
          <w:tcPr>
            <w:tcW w:w="809" w:type="dxa"/>
            <w:tcBorders>
              <w:top w:val="single" w:color="auto" w:sz="4" w:space="0"/>
              <w:left w:val="nil"/>
              <w:bottom w:val="nil"/>
              <w:right w:val="nil"/>
            </w:tcBorders>
            <w:vAlign w:val="bottom"/>
          </w:tcPr>
          <w:p w:rsidRPr="005F055E" w:rsidR="00EF57B6" w:rsidP="00180EEB" w:rsidRDefault="00EF57B6" w14:paraId="58ED7E02" w14:textId="77777777">
            <w:pPr>
              <w:suppressAutoHyphens/>
              <w:rPr>
                <w:rFonts w:cs="Calibri"/>
                <w:color w:val="000000"/>
                <w:sz w:val="16"/>
                <w:szCs w:val="16"/>
                <w:lang w:eastAsia="nl-NL"/>
              </w:rPr>
            </w:pPr>
            <w:r w:rsidRPr="005F055E">
              <w:rPr>
                <w:rFonts w:cs="Calibri"/>
                <w:color w:val="000000"/>
                <w:sz w:val="16"/>
                <w:szCs w:val="16"/>
                <w:lang w:eastAsia="nl-NL"/>
              </w:rPr>
              <w:t>196.224</w:t>
            </w:r>
          </w:p>
        </w:tc>
      </w:tr>
      <w:tr w:rsidRPr="005F055E" w:rsidR="00EF57B6" w:rsidTr="005E2643" w14:paraId="67F70FC6" w14:textId="77777777">
        <w:trPr>
          <w:trHeight w:val="300"/>
        </w:trPr>
        <w:tc>
          <w:tcPr>
            <w:tcW w:w="874" w:type="dxa"/>
            <w:tcBorders>
              <w:top w:val="nil"/>
              <w:left w:val="nil"/>
              <w:bottom w:val="nil"/>
              <w:right w:val="nil"/>
            </w:tcBorders>
            <w:shd w:val="clear" w:color="auto" w:fill="auto"/>
            <w:noWrap/>
            <w:vAlign w:val="bottom"/>
            <w:hideMark/>
          </w:tcPr>
          <w:p w:rsidRPr="005F055E" w:rsidR="00EF57B6" w:rsidP="00180EEB" w:rsidRDefault="00EF57B6" w14:paraId="0E4D39DE" w14:textId="77777777">
            <w:pPr>
              <w:suppressAutoHyphens/>
              <w:rPr>
                <w:rFonts w:cs="Calibri"/>
                <w:color w:val="000000"/>
                <w:sz w:val="16"/>
                <w:szCs w:val="16"/>
                <w:lang w:eastAsia="nl-NL"/>
              </w:rPr>
            </w:pPr>
            <w:r w:rsidRPr="005F055E">
              <w:rPr>
                <w:rFonts w:cs="Calibri"/>
                <w:color w:val="000000"/>
                <w:sz w:val="16"/>
                <w:szCs w:val="16"/>
                <w:lang w:eastAsia="nl-NL"/>
              </w:rPr>
              <w:t>2015</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43B1AB7A" w14:textId="77777777">
            <w:pPr>
              <w:suppressAutoHyphens/>
              <w:rPr>
                <w:rFonts w:cs="Calibri"/>
                <w:color w:val="000000"/>
                <w:sz w:val="16"/>
                <w:szCs w:val="16"/>
                <w:lang w:eastAsia="nl-NL"/>
              </w:rPr>
            </w:pPr>
            <w:r w:rsidRPr="005F055E">
              <w:rPr>
                <w:rFonts w:cs="Calibri"/>
                <w:color w:val="000000"/>
                <w:sz w:val="16"/>
                <w:szCs w:val="16"/>
                <w:lang w:eastAsia="nl-NL"/>
              </w:rPr>
              <w:t>4.503</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120C3925" w14:textId="77777777">
            <w:pPr>
              <w:suppressAutoHyphens/>
              <w:rPr>
                <w:rFonts w:cs="Calibri"/>
                <w:color w:val="000000"/>
                <w:sz w:val="16"/>
                <w:szCs w:val="16"/>
                <w:lang w:eastAsia="nl-NL"/>
              </w:rPr>
            </w:pPr>
            <w:r w:rsidRPr="005F055E">
              <w:rPr>
                <w:rFonts w:cs="Calibri"/>
                <w:color w:val="000000"/>
                <w:sz w:val="16"/>
                <w:szCs w:val="16"/>
                <w:lang w:eastAsia="nl-NL"/>
              </w:rPr>
              <w:t>56.226</w:t>
            </w:r>
          </w:p>
        </w:tc>
        <w:tc>
          <w:tcPr>
            <w:tcW w:w="826" w:type="dxa"/>
            <w:tcBorders>
              <w:top w:val="nil"/>
              <w:left w:val="nil"/>
              <w:bottom w:val="nil"/>
              <w:right w:val="nil"/>
            </w:tcBorders>
            <w:shd w:val="clear" w:color="auto" w:fill="auto"/>
            <w:noWrap/>
            <w:vAlign w:val="bottom"/>
            <w:hideMark/>
          </w:tcPr>
          <w:p w:rsidRPr="005F055E" w:rsidR="00EF57B6" w:rsidP="00180EEB" w:rsidRDefault="00EF57B6" w14:paraId="79F90167" w14:textId="77777777">
            <w:pPr>
              <w:suppressAutoHyphens/>
              <w:rPr>
                <w:rFonts w:cs="Calibri"/>
                <w:color w:val="000000"/>
                <w:sz w:val="16"/>
                <w:szCs w:val="16"/>
                <w:lang w:eastAsia="nl-NL"/>
              </w:rPr>
            </w:pPr>
            <w:r w:rsidRPr="005F055E">
              <w:rPr>
                <w:rFonts w:cs="Calibri"/>
                <w:color w:val="000000"/>
                <w:sz w:val="16"/>
                <w:szCs w:val="16"/>
                <w:lang w:eastAsia="nl-NL"/>
              </w:rPr>
              <w:t>2.292</w:t>
            </w:r>
          </w:p>
        </w:tc>
        <w:tc>
          <w:tcPr>
            <w:tcW w:w="854" w:type="dxa"/>
            <w:tcBorders>
              <w:top w:val="nil"/>
              <w:left w:val="nil"/>
              <w:bottom w:val="nil"/>
              <w:right w:val="nil"/>
            </w:tcBorders>
            <w:shd w:val="clear" w:color="auto" w:fill="auto"/>
            <w:noWrap/>
            <w:vAlign w:val="bottom"/>
            <w:hideMark/>
          </w:tcPr>
          <w:p w:rsidRPr="005F055E" w:rsidR="00EF57B6" w:rsidP="00180EEB" w:rsidRDefault="00EF57B6" w14:paraId="60B7B8C3" w14:textId="77777777">
            <w:pPr>
              <w:suppressAutoHyphens/>
              <w:rPr>
                <w:rFonts w:cs="Calibri"/>
                <w:color w:val="000000"/>
                <w:sz w:val="16"/>
                <w:szCs w:val="16"/>
                <w:lang w:eastAsia="nl-NL"/>
              </w:rPr>
            </w:pPr>
          </w:p>
        </w:tc>
        <w:tc>
          <w:tcPr>
            <w:tcW w:w="757" w:type="dxa"/>
            <w:tcBorders>
              <w:top w:val="nil"/>
              <w:left w:val="nil"/>
              <w:bottom w:val="nil"/>
              <w:right w:val="nil"/>
            </w:tcBorders>
            <w:shd w:val="clear" w:color="auto" w:fill="auto"/>
            <w:noWrap/>
            <w:vAlign w:val="bottom"/>
            <w:hideMark/>
          </w:tcPr>
          <w:p w:rsidRPr="005F055E" w:rsidR="00EF57B6" w:rsidP="00180EEB" w:rsidRDefault="00EF57B6" w14:paraId="033803DC" w14:textId="77777777">
            <w:pPr>
              <w:suppressAutoHyphens/>
              <w:rPr>
                <w:rFonts w:cs="Calibri"/>
                <w:color w:val="000000"/>
                <w:sz w:val="16"/>
                <w:szCs w:val="16"/>
                <w:lang w:eastAsia="nl-NL"/>
              </w:rPr>
            </w:pPr>
            <w:r w:rsidRPr="005F055E">
              <w:rPr>
                <w:rFonts w:cs="Calibri"/>
                <w:color w:val="000000"/>
                <w:sz w:val="16"/>
                <w:szCs w:val="16"/>
                <w:lang w:eastAsia="nl-NL"/>
              </w:rPr>
              <w:t>26.902</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16F8BB6F" w14:textId="77777777">
            <w:pPr>
              <w:suppressAutoHyphens/>
              <w:rPr>
                <w:rFonts w:cs="Calibri"/>
                <w:color w:val="000000"/>
                <w:sz w:val="16"/>
                <w:szCs w:val="16"/>
                <w:lang w:eastAsia="nl-NL"/>
              </w:rPr>
            </w:pPr>
            <w:r w:rsidRPr="005F055E">
              <w:rPr>
                <w:rFonts w:cs="Calibri"/>
                <w:color w:val="000000"/>
                <w:sz w:val="16"/>
                <w:szCs w:val="16"/>
                <w:lang w:eastAsia="nl-NL"/>
              </w:rPr>
              <w:t>10.900</w:t>
            </w:r>
          </w:p>
        </w:tc>
        <w:tc>
          <w:tcPr>
            <w:tcW w:w="803" w:type="dxa"/>
            <w:tcBorders>
              <w:top w:val="nil"/>
              <w:left w:val="nil"/>
              <w:bottom w:val="nil"/>
              <w:right w:val="nil"/>
            </w:tcBorders>
            <w:shd w:val="clear" w:color="auto" w:fill="auto"/>
            <w:noWrap/>
            <w:vAlign w:val="bottom"/>
            <w:hideMark/>
          </w:tcPr>
          <w:p w:rsidRPr="005F055E" w:rsidR="00EF57B6" w:rsidP="00180EEB" w:rsidRDefault="00EF57B6" w14:paraId="5F3B40C1" w14:textId="77777777">
            <w:pPr>
              <w:suppressAutoHyphens/>
              <w:rPr>
                <w:rFonts w:cs="Calibri"/>
                <w:color w:val="000000"/>
                <w:sz w:val="16"/>
                <w:szCs w:val="16"/>
                <w:lang w:eastAsia="nl-NL"/>
              </w:rPr>
            </w:pPr>
            <w:r w:rsidRPr="005F055E">
              <w:rPr>
                <w:rFonts w:cs="Calibri"/>
                <w:color w:val="000000"/>
                <w:sz w:val="16"/>
                <w:szCs w:val="16"/>
                <w:lang w:eastAsia="nl-NL"/>
              </w:rPr>
              <w:t>1.001</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7F301C21" w14:textId="77777777">
            <w:pPr>
              <w:suppressAutoHyphens/>
              <w:rPr>
                <w:rFonts w:cs="Calibri"/>
                <w:color w:val="000000"/>
                <w:sz w:val="16"/>
                <w:szCs w:val="16"/>
                <w:lang w:eastAsia="nl-NL"/>
              </w:rPr>
            </w:pPr>
            <w:r w:rsidRPr="005F055E">
              <w:rPr>
                <w:rFonts w:cs="Calibri"/>
                <w:color w:val="000000"/>
                <w:sz w:val="16"/>
                <w:szCs w:val="16"/>
                <w:lang w:eastAsia="nl-NL"/>
              </w:rPr>
              <w:t>67.224</w:t>
            </w:r>
          </w:p>
        </w:tc>
        <w:tc>
          <w:tcPr>
            <w:tcW w:w="1037" w:type="dxa"/>
            <w:tcBorders>
              <w:top w:val="nil"/>
              <w:left w:val="nil"/>
              <w:bottom w:val="nil"/>
              <w:right w:val="nil"/>
            </w:tcBorders>
            <w:shd w:val="clear" w:color="auto" w:fill="auto"/>
            <w:noWrap/>
            <w:vAlign w:val="bottom"/>
            <w:hideMark/>
          </w:tcPr>
          <w:p w:rsidRPr="005F055E" w:rsidR="00EF57B6" w:rsidP="00180EEB" w:rsidRDefault="00EF57B6" w14:paraId="73B40D07" w14:textId="77777777">
            <w:pPr>
              <w:suppressAutoHyphens/>
              <w:rPr>
                <w:rFonts w:cs="Calibri"/>
                <w:color w:val="000000"/>
                <w:sz w:val="16"/>
                <w:szCs w:val="16"/>
                <w:lang w:eastAsia="nl-NL"/>
              </w:rPr>
            </w:pPr>
            <w:r w:rsidRPr="005F055E">
              <w:rPr>
                <w:rFonts w:cs="Calibri"/>
                <w:color w:val="000000"/>
                <w:sz w:val="16"/>
                <w:szCs w:val="16"/>
                <w:lang w:eastAsia="nl-NL"/>
              </w:rPr>
              <w:t>2.095</w:t>
            </w:r>
          </w:p>
        </w:tc>
        <w:tc>
          <w:tcPr>
            <w:tcW w:w="871" w:type="dxa"/>
            <w:tcBorders>
              <w:top w:val="nil"/>
              <w:left w:val="nil"/>
              <w:bottom w:val="nil"/>
              <w:right w:val="nil"/>
            </w:tcBorders>
            <w:shd w:val="clear" w:color="auto" w:fill="auto"/>
            <w:noWrap/>
            <w:vAlign w:val="bottom"/>
            <w:hideMark/>
          </w:tcPr>
          <w:p w:rsidRPr="005F055E" w:rsidR="00EF57B6" w:rsidP="00180EEB" w:rsidRDefault="00EF57B6" w14:paraId="5D64CD3D" w14:textId="77777777">
            <w:pPr>
              <w:suppressAutoHyphens/>
              <w:rPr>
                <w:rFonts w:cs="Calibri"/>
                <w:color w:val="000000"/>
                <w:sz w:val="16"/>
                <w:szCs w:val="16"/>
                <w:lang w:eastAsia="nl-NL"/>
              </w:rPr>
            </w:pPr>
            <w:r w:rsidRPr="005F055E">
              <w:rPr>
                <w:rFonts w:cs="Calibri"/>
                <w:color w:val="000000"/>
                <w:sz w:val="16"/>
                <w:szCs w:val="16"/>
                <w:lang w:eastAsia="nl-NL"/>
              </w:rPr>
              <w:t>45.379</w:t>
            </w:r>
          </w:p>
        </w:tc>
        <w:tc>
          <w:tcPr>
            <w:tcW w:w="809" w:type="dxa"/>
            <w:tcBorders>
              <w:top w:val="nil"/>
              <w:left w:val="nil"/>
              <w:bottom w:val="nil"/>
              <w:right w:val="nil"/>
            </w:tcBorders>
            <w:vAlign w:val="bottom"/>
          </w:tcPr>
          <w:p w:rsidRPr="005F055E" w:rsidR="00EF57B6" w:rsidP="00180EEB" w:rsidRDefault="00EF57B6" w14:paraId="7F227533" w14:textId="77777777">
            <w:pPr>
              <w:suppressAutoHyphens/>
              <w:rPr>
                <w:rFonts w:cs="Calibri"/>
                <w:color w:val="000000"/>
                <w:sz w:val="16"/>
                <w:szCs w:val="16"/>
                <w:lang w:eastAsia="nl-NL"/>
              </w:rPr>
            </w:pPr>
            <w:r w:rsidRPr="005F055E">
              <w:rPr>
                <w:rFonts w:cs="Calibri"/>
                <w:color w:val="000000"/>
                <w:sz w:val="16"/>
                <w:szCs w:val="16"/>
                <w:lang w:eastAsia="nl-NL"/>
              </w:rPr>
              <w:t>216.522</w:t>
            </w:r>
          </w:p>
        </w:tc>
      </w:tr>
      <w:tr w:rsidRPr="005F055E" w:rsidR="00EF57B6" w:rsidTr="005E2643" w14:paraId="79918272" w14:textId="77777777">
        <w:trPr>
          <w:trHeight w:val="300"/>
        </w:trPr>
        <w:tc>
          <w:tcPr>
            <w:tcW w:w="874" w:type="dxa"/>
            <w:tcBorders>
              <w:top w:val="nil"/>
              <w:left w:val="nil"/>
              <w:bottom w:val="nil"/>
              <w:right w:val="nil"/>
            </w:tcBorders>
            <w:shd w:val="clear" w:color="auto" w:fill="auto"/>
            <w:noWrap/>
            <w:vAlign w:val="bottom"/>
            <w:hideMark/>
          </w:tcPr>
          <w:p w:rsidRPr="005F055E" w:rsidR="00EF57B6" w:rsidP="00180EEB" w:rsidRDefault="00EF57B6" w14:paraId="0C250EA7" w14:textId="77777777">
            <w:pPr>
              <w:suppressAutoHyphens/>
              <w:rPr>
                <w:rFonts w:cs="Calibri"/>
                <w:color w:val="000000"/>
                <w:sz w:val="16"/>
                <w:szCs w:val="16"/>
                <w:lang w:eastAsia="nl-NL"/>
              </w:rPr>
            </w:pPr>
            <w:r w:rsidRPr="005F055E">
              <w:rPr>
                <w:rFonts w:cs="Calibri"/>
                <w:color w:val="000000"/>
                <w:sz w:val="16"/>
                <w:szCs w:val="16"/>
                <w:lang w:eastAsia="nl-NL"/>
              </w:rPr>
              <w:t>2016</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04AFC97B" w14:textId="77777777">
            <w:pPr>
              <w:suppressAutoHyphens/>
              <w:rPr>
                <w:rFonts w:cs="Calibri"/>
                <w:color w:val="000000"/>
                <w:sz w:val="16"/>
                <w:szCs w:val="16"/>
                <w:lang w:eastAsia="nl-NL"/>
              </w:rPr>
            </w:pPr>
            <w:r w:rsidRPr="005F055E">
              <w:rPr>
                <w:rFonts w:cs="Calibri"/>
                <w:color w:val="000000"/>
                <w:sz w:val="16"/>
                <w:szCs w:val="16"/>
                <w:lang w:eastAsia="nl-NL"/>
              </w:rPr>
              <w:t>7.441</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66D1189F" w14:textId="77777777">
            <w:pPr>
              <w:suppressAutoHyphens/>
              <w:rPr>
                <w:rFonts w:cs="Calibri"/>
                <w:color w:val="000000"/>
                <w:sz w:val="16"/>
                <w:szCs w:val="16"/>
                <w:lang w:eastAsia="nl-NL"/>
              </w:rPr>
            </w:pPr>
            <w:r w:rsidRPr="005F055E">
              <w:rPr>
                <w:rFonts w:cs="Calibri"/>
                <w:color w:val="000000"/>
                <w:sz w:val="16"/>
                <w:szCs w:val="16"/>
                <w:lang w:eastAsia="nl-NL"/>
              </w:rPr>
              <w:t>57.336</w:t>
            </w:r>
          </w:p>
        </w:tc>
        <w:tc>
          <w:tcPr>
            <w:tcW w:w="826" w:type="dxa"/>
            <w:tcBorders>
              <w:top w:val="nil"/>
              <w:left w:val="nil"/>
              <w:bottom w:val="nil"/>
              <w:right w:val="nil"/>
            </w:tcBorders>
            <w:shd w:val="clear" w:color="auto" w:fill="auto"/>
            <w:noWrap/>
            <w:vAlign w:val="bottom"/>
            <w:hideMark/>
          </w:tcPr>
          <w:p w:rsidRPr="005F055E" w:rsidR="00EF57B6" w:rsidP="00180EEB" w:rsidRDefault="00EF57B6" w14:paraId="7EAA7AA7" w14:textId="77777777">
            <w:pPr>
              <w:suppressAutoHyphens/>
              <w:rPr>
                <w:rFonts w:cs="Calibri"/>
                <w:color w:val="000000"/>
                <w:sz w:val="16"/>
                <w:szCs w:val="16"/>
                <w:lang w:eastAsia="nl-NL"/>
              </w:rPr>
            </w:pPr>
            <w:r w:rsidRPr="005F055E">
              <w:rPr>
                <w:rFonts w:cs="Calibri"/>
                <w:color w:val="000000"/>
                <w:sz w:val="16"/>
                <w:szCs w:val="16"/>
                <w:lang w:eastAsia="nl-NL"/>
              </w:rPr>
              <w:t>2.251</w:t>
            </w:r>
          </w:p>
        </w:tc>
        <w:tc>
          <w:tcPr>
            <w:tcW w:w="854" w:type="dxa"/>
            <w:tcBorders>
              <w:top w:val="nil"/>
              <w:left w:val="nil"/>
              <w:bottom w:val="nil"/>
              <w:right w:val="nil"/>
            </w:tcBorders>
            <w:shd w:val="clear" w:color="auto" w:fill="auto"/>
            <w:noWrap/>
            <w:vAlign w:val="bottom"/>
            <w:hideMark/>
          </w:tcPr>
          <w:p w:rsidRPr="005F055E" w:rsidR="00EF57B6" w:rsidP="00180EEB" w:rsidRDefault="00EF57B6" w14:paraId="6D305246" w14:textId="77777777">
            <w:pPr>
              <w:suppressAutoHyphens/>
              <w:rPr>
                <w:rFonts w:cs="Calibri"/>
                <w:color w:val="000000"/>
                <w:sz w:val="16"/>
                <w:szCs w:val="16"/>
                <w:lang w:eastAsia="nl-NL"/>
              </w:rPr>
            </w:pPr>
          </w:p>
        </w:tc>
        <w:tc>
          <w:tcPr>
            <w:tcW w:w="757" w:type="dxa"/>
            <w:tcBorders>
              <w:top w:val="nil"/>
              <w:left w:val="nil"/>
              <w:bottom w:val="nil"/>
              <w:right w:val="nil"/>
            </w:tcBorders>
            <w:shd w:val="clear" w:color="auto" w:fill="auto"/>
            <w:noWrap/>
            <w:vAlign w:val="bottom"/>
            <w:hideMark/>
          </w:tcPr>
          <w:p w:rsidRPr="005F055E" w:rsidR="00EF57B6" w:rsidP="00180EEB" w:rsidRDefault="00EF57B6" w14:paraId="71D14023" w14:textId="77777777">
            <w:pPr>
              <w:suppressAutoHyphens/>
              <w:rPr>
                <w:rFonts w:cs="Calibri"/>
                <w:color w:val="000000"/>
                <w:sz w:val="16"/>
                <w:szCs w:val="16"/>
                <w:lang w:eastAsia="nl-NL"/>
              </w:rPr>
            </w:pPr>
            <w:r w:rsidRPr="005F055E">
              <w:rPr>
                <w:rFonts w:cs="Calibri"/>
                <w:color w:val="000000"/>
                <w:sz w:val="16"/>
                <w:szCs w:val="16"/>
                <w:lang w:eastAsia="nl-NL"/>
              </w:rPr>
              <w:t>29.726</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03967089" w14:textId="77777777">
            <w:pPr>
              <w:suppressAutoHyphens/>
              <w:rPr>
                <w:rFonts w:cs="Calibri"/>
                <w:color w:val="000000"/>
                <w:sz w:val="16"/>
                <w:szCs w:val="16"/>
                <w:lang w:eastAsia="nl-NL"/>
              </w:rPr>
            </w:pPr>
            <w:r w:rsidRPr="005F055E">
              <w:rPr>
                <w:rFonts w:cs="Calibri"/>
                <w:color w:val="000000"/>
                <w:sz w:val="16"/>
                <w:szCs w:val="16"/>
                <w:lang w:eastAsia="nl-NL"/>
              </w:rPr>
              <w:t>9.951</w:t>
            </w:r>
          </w:p>
        </w:tc>
        <w:tc>
          <w:tcPr>
            <w:tcW w:w="803" w:type="dxa"/>
            <w:tcBorders>
              <w:top w:val="nil"/>
              <w:left w:val="nil"/>
              <w:bottom w:val="nil"/>
              <w:right w:val="nil"/>
            </w:tcBorders>
            <w:shd w:val="clear" w:color="auto" w:fill="auto"/>
            <w:noWrap/>
            <w:vAlign w:val="bottom"/>
            <w:hideMark/>
          </w:tcPr>
          <w:p w:rsidRPr="005F055E" w:rsidR="00EF57B6" w:rsidP="00180EEB" w:rsidRDefault="00EF57B6" w14:paraId="3D67E7F3" w14:textId="77777777">
            <w:pPr>
              <w:suppressAutoHyphens/>
              <w:rPr>
                <w:rFonts w:cs="Calibri"/>
                <w:color w:val="000000"/>
                <w:sz w:val="16"/>
                <w:szCs w:val="16"/>
                <w:lang w:eastAsia="nl-NL"/>
              </w:rPr>
            </w:pPr>
            <w:r w:rsidRPr="005F055E">
              <w:rPr>
                <w:rFonts w:cs="Calibri"/>
                <w:color w:val="000000"/>
                <w:sz w:val="16"/>
                <w:szCs w:val="16"/>
                <w:lang w:eastAsia="nl-NL"/>
              </w:rPr>
              <w:t>1.267</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563A273F" w14:textId="77777777">
            <w:pPr>
              <w:suppressAutoHyphens/>
              <w:rPr>
                <w:rFonts w:cs="Calibri"/>
                <w:color w:val="000000"/>
                <w:sz w:val="16"/>
                <w:szCs w:val="16"/>
                <w:lang w:eastAsia="nl-NL"/>
              </w:rPr>
            </w:pPr>
            <w:r w:rsidRPr="005F055E">
              <w:rPr>
                <w:rFonts w:cs="Calibri"/>
                <w:color w:val="000000"/>
                <w:sz w:val="16"/>
                <w:szCs w:val="16"/>
                <w:lang w:eastAsia="nl-NL"/>
              </w:rPr>
              <w:t>65.457</w:t>
            </w:r>
          </w:p>
        </w:tc>
        <w:tc>
          <w:tcPr>
            <w:tcW w:w="1037" w:type="dxa"/>
            <w:tcBorders>
              <w:top w:val="nil"/>
              <w:left w:val="nil"/>
              <w:bottom w:val="nil"/>
              <w:right w:val="nil"/>
            </w:tcBorders>
            <w:shd w:val="clear" w:color="auto" w:fill="auto"/>
            <w:noWrap/>
            <w:vAlign w:val="bottom"/>
            <w:hideMark/>
          </w:tcPr>
          <w:p w:rsidRPr="005F055E" w:rsidR="00EF57B6" w:rsidP="00180EEB" w:rsidRDefault="00EF57B6" w14:paraId="10009127" w14:textId="77777777">
            <w:pPr>
              <w:suppressAutoHyphens/>
              <w:rPr>
                <w:rFonts w:cs="Calibri"/>
                <w:color w:val="000000"/>
                <w:sz w:val="16"/>
                <w:szCs w:val="16"/>
                <w:lang w:eastAsia="nl-NL"/>
              </w:rPr>
            </w:pPr>
            <w:r w:rsidRPr="005F055E">
              <w:rPr>
                <w:rFonts w:cs="Calibri"/>
                <w:color w:val="000000"/>
                <w:sz w:val="16"/>
                <w:szCs w:val="16"/>
                <w:lang w:eastAsia="nl-NL"/>
              </w:rPr>
              <w:t>2.531</w:t>
            </w:r>
          </w:p>
        </w:tc>
        <w:tc>
          <w:tcPr>
            <w:tcW w:w="871" w:type="dxa"/>
            <w:tcBorders>
              <w:top w:val="nil"/>
              <w:left w:val="nil"/>
              <w:bottom w:val="nil"/>
              <w:right w:val="nil"/>
            </w:tcBorders>
            <w:shd w:val="clear" w:color="auto" w:fill="auto"/>
            <w:noWrap/>
            <w:vAlign w:val="bottom"/>
            <w:hideMark/>
          </w:tcPr>
          <w:p w:rsidRPr="005F055E" w:rsidR="00EF57B6" w:rsidP="00180EEB" w:rsidRDefault="00EF57B6" w14:paraId="00CD42EA" w14:textId="77777777">
            <w:pPr>
              <w:suppressAutoHyphens/>
              <w:rPr>
                <w:rFonts w:cs="Calibri"/>
                <w:color w:val="000000"/>
                <w:sz w:val="16"/>
                <w:szCs w:val="16"/>
                <w:lang w:eastAsia="nl-NL"/>
              </w:rPr>
            </w:pPr>
            <w:r w:rsidRPr="005F055E">
              <w:rPr>
                <w:rFonts w:cs="Calibri"/>
                <w:color w:val="000000"/>
                <w:sz w:val="16"/>
                <w:szCs w:val="16"/>
                <w:lang w:eastAsia="nl-NL"/>
              </w:rPr>
              <w:t>31.163</w:t>
            </w:r>
          </w:p>
        </w:tc>
        <w:tc>
          <w:tcPr>
            <w:tcW w:w="809" w:type="dxa"/>
            <w:tcBorders>
              <w:top w:val="nil"/>
              <w:left w:val="nil"/>
              <w:bottom w:val="nil"/>
              <w:right w:val="nil"/>
            </w:tcBorders>
            <w:vAlign w:val="bottom"/>
          </w:tcPr>
          <w:p w:rsidRPr="005F055E" w:rsidR="00EF57B6" w:rsidP="00180EEB" w:rsidRDefault="00EF57B6" w14:paraId="5D8CB1E5" w14:textId="77777777">
            <w:pPr>
              <w:suppressAutoHyphens/>
              <w:rPr>
                <w:rFonts w:cs="Calibri"/>
                <w:color w:val="000000"/>
                <w:sz w:val="16"/>
                <w:szCs w:val="16"/>
                <w:lang w:eastAsia="nl-NL"/>
              </w:rPr>
            </w:pPr>
            <w:r w:rsidRPr="005F055E">
              <w:rPr>
                <w:rFonts w:cs="Calibri"/>
                <w:color w:val="000000"/>
                <w:sz w:val="16"/>
                <w:szCs w:val="16"/>
                <w:lang w:eastAsia="nl-NL"/>
              </w:rPr>
              <w:t>207.123</w:t>
            </w:r>
          </w:p>
        </w:tc>
      </w:tr>
      <w:tr w:rsidRPr="005F055E" w:rsidR="00EF57B6" w:rsidTr="005E2643" w14:paraId="3157B9B5" w14:textId="77777777">
        <w:trPr>
          <w:trHeight w:val="300"/>
        </w:trPr>
        <w:tc>
          <w:tcPr>
            <w:tcW w:w="874" w:type="dxa"/>
            <w:tcBorders>
              <w:top w:val="nil"/>
              <w:left w:val="nil"/>
              <w:bottom w:val="nil"/>
              <w:right w:val="nil"/>
            </w:tcBorders>
            <w:shd w:val="clear" w:color="auto" w:fill="auto"/>
            <w:noWrap/>
            <w:vAlign w:val="bottom"/>
            <w:hideMark/>
          </w:tcPr>
          <w:p w:rsidRPr="005F055E" w:rsidR="00EF57B6" w:rsidP="00180EEB" w:rsidRDefault="00EF57B6" w14:paraId="5E463610" w14:textId="77777777">
            <w:pPr>
              <w:suppressAutoHyphens/>
              <w:rPr>
                <w:rFonts w:cs="Calibri"/>
                <w:color w:val="000000"/>
                <w:sz w:val="16"/>
                <w:szCs w:val="16"/>
                <w:lang w:eastAsia="nl-NL"/>
              </w:rPr>
            </w:pPr>
            <w:r w:rsidRPr="005F055E">
              <w:rPr>
                <w:rFonts w:cs="Calibri"/>
                <w:color w:val="000000"/>
                <w:sz w:val="16"/>
                <w:szCs w:val="16"/>
                <w:lang w:eastAsia="nl-NL"/>
              </w:rPr>
              <w:t>2017</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4694FE52" w14:textId="77777777">
            <w:pPr>
              <w:suppressAutoHyphens/>
              <w:rPr>
                <w:rFonts w:cs="Calibri"/>
                <w:color w:val="000000"/>
                <w:sz w:val="16"/>
                <w:szCs w:val="16"/>
                <w:lang w:eastAsia="nl-NL"/>
              </w:rPr>
            </w:pPr>
            <w:r w:rsidRPr="005F055E">
              <w:rPr>
                <w:rFonts w:cs="Calibri"/>
                <w:color w:val="000000"/>
                <w:sz w:val="16"/>
                <w:szCs w:val="16"/>
                <w:lang w:eastAsia="nl-NL"/>
              </w:rPr>
              <w:t>6.580</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5CED68F4" w14:textId="77777777">
            <w:pPr>
              <w:suppressAutoHyphens/>
              <w:rPr>
                <w:rFonts w:cs="Calibri"/>
                <w:color w:val="000000"/>
                <w:sz w:val="16"/>
                <w:szCs w:val="16"/>
                <w:lang w:eastAsia="nl-NL"/>
              </w:rPr>
            </w:pPr>
            <w:r w:rsidRPr="005F055E">
              <w:rPr>
                <w:rFonts w:cs="Calibri"/>
                <w:color w:val="000000"/>
                <w:sz w:val="16"/>
                <w:szCs w:val="16"/>
                <w:lang w:eastAsia="nl-NL"/>
              </w:rPr>
              <w:t>59.519</w:t>
            </w:r>
          </w:p>
        </w:tc>
        <w:tc>
          <w:tcPr>
            <w:tcW w:w="826" w:type="dxa"/>
            <w:tcBorders>
              <w:top w:val="nil"/>
              <w:left w:val="nil"/>
              <w:bottom w:val="nil"/>
              <w:right w:val="nil"/>
            </w:tcBorders>
            <w:shd w:val="clear" w:color="auto" w:fill="auto"/>
            <w:noWrap/>
            <w:vAlign w:val="bottom"/>
            <w:hideMark/>
          </w:tcPr>
          <w:p w:rsidRPr="005F055E" w:rsidR="00EF57B6" w:rsidP="00180EEB" w:rsidRDefault="00EF57B6" w14:paraId="1AE03854" w14:textId="77777777">
            <w:pPr>
              <w:suppressAutoHyphens/>
              <w:rPr>
                <w:rFonts w:cs="Calibri"/>
                <w:color w:val="000000"/>
                <w:sz w:val="16"/>
                <w:szCs w:val="16"/>
                <w:lang w:eastAsia="nl-NL"/>
              </w:rPr>
            </w:pPr>
            <w:r w:rsidRPr="005F055E">
              <w:rPr>
                <w:rFonts w:cs="Calibri"/>
                <w:color w:val="000000"/>
                <w:sz w:val="16"/>
                <w:szCs w:val="16"/>
                <w:lang w:eastAsia="nl-NL"/>
              </w:rPr>
              <w:t>2.137</w:t>
            </w:r>
          </w:p>
        </w:tc>
        <w:tc>
          <w:tcPr>
            <w:tcW w:w="854" w:type="dxa"/>
            <w:tcBorders>
              <w:top w:val="nil"/>
              <w:left w:val="nil"/>
              <w:bottom w:val="nil"/>
              <w:right w:val="nil"/>
            </w:tcBorders>
            <w:shd w:val="clear" w:color="auto" w:fill="auto"/>
            <w:noWrap/>
            <w:vAlign w:val="bottom"/>
            <w:hideMark/>
          </w:tcPr>
          <w:p w:rsidRPr="005F055E" w:rsidR="00EF57B6" w:rsidP="00180EEB" w:rsidRDefault="00EF57B6" w14:paraId="26DDA045" w14:textId="77777777">
            <w:pPr>
              <w:suppressAutoHyphens/>
              <w:rPr>
                <w:rFonts w:cs="Calibri"/>
                <w:color w:val="000000"/>
                <w:sz w:val="16"/>
                <w:szCs w:val="16"/>
                <w:lang w:eastAsia="nl-NL"/>
              </w:rPr>
            </w:pPr>
          </w:p>
        </w:tc>
        <w:tc>
          <w:tcPr>
            <w:tcW w:w="757" w:type="dxa"/>
            <w:tcBorders>
              <w:top w:val="nil"/>
              <w:left w:val="nil"/>
              <w:bottom w:val="nil"/>
              <w:right w:val="nil"/>
            </w:tcBorders>
            <w:shd w:val="clear" w:color="auto" w:fill="auto"/>
            <w:noWrap/>
            <w:vAlign w:val="bottom"/>
            <w:hideMark/>
          </w:tcPr>
          <w:p w:rsidRPr="005F055E" w:rsidR="00EF57B6" w:rsidP="00180EEB" w:rsidRDefault="00EF57B6" w14:paraId="1F5A41EC" w14:textId="77777777">
            <w:pPr>
              <w:suppressAutoHyphens/>
              <w:rPr>
                <w:rFonts w:cs="Calibri"/>
                <w:color w:val="000000"/>
                <w:sz w:val="16"/>
                <w:szCs w:val="16"/>
                <w:lang w:eastAsia="nl-NL"/>
              </w:rPr>
            </w:pPr>
            <w:r w:rsidRPr="005F055E">
              <w:rPr>
                <w:rFonts w:cs="Calibri"/>
                <w:color w:val="000000"/>
                <w:sz w:val="16"/>
                <w:szCs w:val="16"/>
                <w:lang w:eastAsia="nl-NL"/>
              </w:rPr>
              <w:t>27.621</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649FBFD1" w14:textId="77777777">
            <w:pPr>
              <w:suppressAutoHyphens/>
              <w:rPr>
                <w:rFonts w:cs="Calibri"/>
                <w:color w:val="000000"/>
                <w:sz w:val="16"/>
                <w:szCs w:val="16"/>
                <w:lang w:eastAsia="nl-NL"/>
              </w:rPr>
            </w:pPr>
            <w:r w:rsidRPr="005F055E">
              <w:rPr>
                <w:rFonts w:cs="Calibri"/>
                <w:color w:val="000000"/>
                <w:sz w:val="16"/>
                <w:szCs w:val="16"/>
                <w:lang w:eastAsia="nl-NL"/>
              </w:rPr>
              <w:t>10.644</w:t>
            </w:r>
          </w:p>
        </w:tc>
        <w:tc>
          <w:tcPr>
            <w:tcW w:w="803" w:type="dxa"/>
            <w:tcBorders>
              <w:top w:val="nil"/>
              <w:left w:val="nil"/>
              <w:bottom w:val="nil"/>
              <w:right w:val="nil"/>
            </w:tcBorders>
            <w:shd w:val="clear" w:color="auto" w:fill="auto"/>
            <w:noWrap/>
            <w:vAlign w:val="bottom"/>
            <w:hideMark/>
          </w:tcPr>
          <w:p w:rsidRPr="005F055E" w:rsidR="00EF57B6" w:rsidP="00180EEB" w:rsidRDefault="00EF57B6" w14:paraId="5F8EA0E5" w14:textId="77777777">
            <w:pPr>
              <w:suppressAutoHyphens/>
              <w:rPr>
                <w:rFonts w:cs="Calibri"/>
                <w:color w:val="000000"/>
                <w:sz w:val="16"/>
                <w:szCs w:val="16"/>
                <w:lang w:eastAsia="nl-NL"/>
              </w:rPr>
            </w:pPr>
            <w:r w:rsidRPr="005F055E">
              <w:rPr>
                <w:rFonts w:cs="Calibri"/>
                <w:color w:val="000000"/>
                <w:sz w:val="16"/>
                <w:szCs w:val="16"/>
                <w:lang w:eastAsia="nl-NL"/>
              </w:rPr>
              <w:t>1.456</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7DBF6793" w14:textId="77777777">
            <w:pPr>
              <w:suppressAutoHyphens/>
              <w:rPr>
                <w:rFonts w:cs="Calibri"/>
                <w:color w:val="000000"/>
                <w:sz w:val="16"/>
                <w:szCs w:val="16"/>
                <w:lang w:eastAsia="nl-NL"/>
              </w:rPr>
            </w:pPr>
            <w:r w:rsidRPr="005F055E">
              <w:rPr>
                <w:rFonts w:cs="Calibri"/>
                <w:color w:val="000000"/>
                <w:sz w:val="16"/>
                <w:szCs w:val="16"/>
                <w:lang w:eastAsia="nl-NL"/>
              </w:rPr>
              <w:t>65.897</w:t>
            </w:r>
          </w:p>
        </w:tc>
        <w:tc>
          <w:tcPr>
            <w:tcW w:w="1037" w:type="dxa"/>
            <w:tcBorders>
              <w:top w:val="nil"/>
              <w:left w:val="nil"/>
              <w:bottom w:val="nil"/>
              <w:right w:val="nil"/>
            </w:tcBorders>
            <w:shd w:val="clear" w:color="auto" w:fill="auto"/>
            <w:noWrap/>
            <w:vAlign w:val="bottom"/>
            <w:hideMark/>
          </w:tcPr>
          <w:p w:rsidRPr="005F055E" w:rsidR="00EF57B6" w:rsidP="00180EEB" w:rsidRDefault="00EF57B6" w14:paraId="32F5724E" w14:textId="77777777">
            <w:pPr>
              <w:suppressAutoHyphens/>
              <w:rPr>
                <w:rFonts w:cs="Calibri"/>
                <w:color w:val="000000"/>
                <w:sz w:val="16"/>
                <w:szCs w:val="16"/>
                <w:lang w:eastAsia="nl-NL"/>
              </w:rPr>
            </w:pPr>
            <w:r w:rsidRPr="005F055E">
              <w:rPr>
                <w:rFonts w:cs="Calibri"/>
                <w:color w:val="000000"/>
                <w:sz w:val="16"/>
                <w:szCs w:val="16"/>
                <w:lang w:eastAsia="nl-NL"/>
              </w:rPr>
              <w:t>3.174</w:t>
            </w:r>
          </w:p>
        </w:tc>
        <w:tc>
          <w:tcPr>
            <w:tcW w:w="871" w:type="dxa"/>
            <w:tcBorders>
              <w:top w:val="nil"/>
              <w:left w:val="nil"/>
              <w:bottom w:val="nil"/>
              <w:right w:val="nil"/>
            </w:tcBorders>
            <w:shd w:val="clear" w:color="auto" w:fill="auto"/>
            <w:noWrap/>
            <w:vAlign w:val="bottom"/>
            <w:hideMark/>
          </w:tcPr>
          <w:p w:rsidRPr="005F055E" w:rsidR="00EF57B6" w:rsidP="00180EEB" w:rsidRDefault="00EF57B6" w14:paraId="0D2EF693" w14:textId="77777777">
            <w:pPr>
              <w:suppressAutoHyphens/>
              <w:rPr>
                <w:rFonts w:cs="Calibri"/>
                <w:color w:val="000000"/>
                <w:sz w:val="16"/>
                <w:szCs w:val="16"/>
                <w:lang w:eastAsia="nl-NL"/>
              </w:rPr>
            </w:pPr>
            <w:r w:rsidRPr="005F055E">
              <w:rPr>
                <w:rFonts w:cs="Calibri"/>
                <w:color w:val="000000"/>
                <w:sz w:val="16"/>
                <w:szCs w:val="16"/>
                <w:lang w:eastAsia="nl-NL"/>
              </w:rPr>
              <w:t>30.082</w:t>
            </w:r>
          </w:p>
        </w:tc>
        <w:tc>
          <w:tcPr>
            <w:tcW w:w="809" w:type="dxa"/>
            <w:tcBorders>
              <w:top w:val="nil"/>
              <w:left w:val="nil"/>
              <w:bottom w:val="nil"/>
              <w:right w:val="nil"/>
            </w:tcBorders>
            <w:vAlign w:val="bottom"/>
          </w:tcPr>
          <w:p w:rsidRPr="005F055E" w:rsidR="00EF57B6" w:rsidP="00180EEB" w:rsidRDefault="00EF57B6" w14:paraId="5DB62FE1" w14:textId="77777777">
            <w:pPr>
              <w:suppressAutoHyphens/>
              <w:rPr>
                <w:rFonts w:cs="Calibri"/>
                <w:color w:val="000000"/>
                <w:sz w:val="16"/>
                <w:szCs w:val="16"/>
                <w:lang w:eastAsia="nl-NL"/>
              </w:rPr>
            </w:pPr>
            <w:r w:rsidRPr="005F055E">
              <w:rPr>
                <w:rFonts w:cs="Calibri"/>
                <w:color w:val="000000"/>
                <w:sz w:val="16"/>
                <w:szCs w:val="16"/>
                <w:lang w:eastAsia="nl-NL"/>
              </w:rPr>
              <w:t>207.110</w:t>
            </w:r>
          </w:p>
        </w:tc>
      </w:tr>
      <w:tr w:rsidRPr="005F055E" w:rsidR="00EF57B6" w:rsidTr="005E2643" w14:paraId="6B37C16C" w14:textId="77777777">
        <w:trPr>
          <w:trHeight w:val="300"/>
        </w:trPr>
        <w:tc>
          <w:tcPr>
            <w:tcW w:w="874" w:type="dxa"/>
            <w:tcBorders>
              <w:top w:val="nil"/>
              <w:left w:val="nil"/>
              <w:bottom w:val="nil"/>
              <w:right w:val="nil"/>
            </w:tcBorders>
            <w:shd w:val="clear" w:color="auto" w:fill="auto"/>
            <w:noWrap/>
            <w:vAlign w:val="bottom"/>
            <w:hideMark/>
          </w:tcPr>
          <w:p w:rsidRPr="005F055E" w:rsidR="00EF57B6" w:rsidP="00180EEB" w:rsidRDefault="00EF57B6" w14:paraId="0D7C2EF9" w14:textId="77777777">
            <w:pPr>
              <w:suppressAutoHyphens/>
              <w:rPr>
                <w:rFonts w:cs="Calibri"/>
                <w:color w:val="000000"/>
                <w:sz w:val="16"/>
                <w:szCs w:val="16"/>
                <w:lang w:eastAsia="nl-NL"/>
              </w:rPr>
            </w:pPr>
            <w:r w:rsidRPr="005F055E">
              <w:rPr>
                <w:rFonts w:cs="Calibri"/>
                <w:color w:val="000000"/>
                <w:sz w:val="16"/>
                <w:szCs w:val="16"/>
                <w:lang w:eastAsia="nl-NL"/>
              </w:rPr>
              <w:t>2018</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7022AE3E" w14:textId="77777777">
            <w:pPr>
              <w:suppressAutoHyphens/>
              <w:rPr>
                <w:rFonts w:cs="Calibri"/>
                <w:color w:val="000000"/>
                <w:sz w:val="16"/>
                <w:szCs w:val="16"/>
                <w:lang w:eastAsia="nl-NL"/>
              </w:rPr>
            </w:pPr>
            <w:r w:rsidRPr="005F055E">
              <w:rPr>
                <w:rFonts w:cs="Calibri"/>
                <w:color w:val="000000"/>
                <w:sz w:val="16"/>
                <w:szCs w:val="16"/>
                <w:lang w:eastAsia="nl-NL"/>
              </w:rPr>
              <w:t>5.768</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7D836BAB" w14:textId="77777777">
            <w:pPr>
              <w:suppressAutoHyphens/>
              <w:rPr>
                <w:rFonts w:cs="Calibri"/>
                <w:color w:val="000000"/>
                <w:sz w:val="16"/>
                <w:szCs w:val="16"/>
                <w:lang w:eastAsia="nl-NL"/>
              </w:rPr>
            </w:pPr>
            <w:r w:rsidRPr="005F055E">
              <w:rPr>
                <w:rFonts w:cs="Calibri"/>
                <w:color w:val="000000"/>
                <w:sz w:val="16"/>
                <w:szCs w:val="16"/>
                <w:lang w:eastAsia="nl-NL"/>
              </w:rPr>
              <w:t>63.859</w:t>
            </w:r>
          </w:p>
        </w:tc>
        <w:tc>
          <w:tcPr>
            <w:tcW w:w="826" w:type="dxa"/>
            <w:tcBorders>
              <w:top w:val="nil"/>
              <w:left w:val="nil"/>
              <w:bottom w:val="nil"/>
              <w:right w:val="nil"/>
            </w:tcBorders>
            <w:shd w:val="clear" w:color="auto" w:fill="auto"/>
            <w:noWrap/>
            <w:vAlign w:val="bottom"/>
            <w:hideMark/>
          </w:tcPr>
          <w:p w:rsidRPr="005F055E" w:rsidR="00EF57B6" w:rsidP="00180EEB" w:rsidRDefault="00EF57B6" w14:paraId="35C675BC" w14:textId="77777777">
            <w:pPr>
              <w:suppressAutoHyphens/>
              <w:rPr>
                <w:rFonts w:cs="Calibri"/>
                <w:color w:val="000000"/>
                <w:sz w:val="16"/>
                <w:szCs w:val="16"/>
                <w:lang w:eastAsia="nl-NL"/>
              </w:rPr>
            </w:pPr>
            <w:r w:rsidRPr="005F055E">
              <w:rPr>
                <w:rFonts w:cs="Calibri"/>
                <w:color w:val="000000"/>
                <w:sz w:val="16"/>
                <w:szCs w:val="16"/>
                <w:lang w:eastAsia="nl-NL"/>
              </w:rPr>
              <w:t>2.411</w:t>
            </w:r>
          </w:p>
        </w:tc>
        <w:tc>
          <w:tcPr>
            <w:tcW w:w="854" w:type="dxa"/>
            <w:tcBorders>
              <w:top w:val="nil"/>
              <w:left w:val="nil"/>
              <w:bottom w:val="nil"/>
              <w:right w:val="nil"/>
            </w:tcBorders>
            <w:shd w:val="clear" w:color="auto" w:fill="auto"/>
            <w:noWrap/>
            <w:vAlign w:val="bottom"/>
            <w:hideMark/>
          </w:tcPr>
          <w:p w:rsidRPr="005F055E" w:rsidR="00EF57B6" w:rsidP="00180EEB" w:rsidRDefault="00EF57B6" w14:paraId="199F7575" w14:textId="77777777">
            <w:pPr>
              <w:suppressAutoHyphens/>
              <w:rPr>
                <w:rFonts w:cs="Calibri"/>
                <w:color w:val="000000"/>
                <w:sz w:val="16"/>
                <w:szCs w:val="16"/>
                <w:lang w:eastAsia="nl-NL"/>
              </w:rPr>
            </w:pPr>
          </w:p>
        </w:tc>
        <w:tc>
          <w:tcPr>
            <w:tcW w:w="757" w:type="dxa"/>
            <w:tcBorders>
              <w:top w:val="nil"/>
              <w:left w:val="nil"/>
              <w:bottom w:val="nil"/>
              <w:right w:val="nil"/>
            </w:tcBorders>
            <w:shd w:val="clear" w:color="auto" w:fill="auto"/>
            <w:noWrap/>
            <w:vAlign w:val="bottom"/>
            <w:hideMark/>
          </w:tcPr>
          <w:p w:rsidRPr="005F055E" w:rsidR="00EF57B6" w:rsidP="00180EEB" w:rsidRDefault="00EF57B6" w14:paraId="1569B9E9" w14:textId="77777777">
            <w:pPr>
              <w:suppressAutoHyphens/>
              <w:rPr>
                <w:rFonts w:cs="Calibri"/>
                <w:color w:val="000000"/>
                <w:sz w:val="16"/>
                <w:szCs w:val="16"/>
                <w:lang w:eastAsia="nl-NL"/>
              </w:rPr>
            </w:pPr>
            <w:r w:rsidRPr="005F055E">
              <w:rPr>
                <w:rFonts w:cs="Calibri"/>
                <w:color w:val="000000"/>
                <w:sz w:val="16"/>
                <w:szCs w:val="16"/>
                <w:lang w:eastAsia="nl-NL"/>
              </w:rPr>
              <w:t>25.944</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140DE029" w14:textId="77777777">
            <w:pPr>
              <w:suppressAutoHyphens/>
              <w:rPr>
                <w:rFonts w:cs="Calibri"/>
                <w:color w:val="000000"/>
                <w:sz w:val="16"/>
                <w:szCs w:val="16"/>
                <w:lang w:eastAsia="nl-NL"/>
              </w:rPr>
            </w:pPr>
            <w:r w:rsidRPr="005F055E">
              <w:rPr>
                <w:rFonts w:cs="Calibri"/>
                <w:color w:val="000000"/>
                <w:sz w:val="16"/>
                <w:szCs w:val="16"/>
                <w:lang w:eastAsia="nl-NL"/>
              </w:rPr>
              <w:t>10.113</w:t>
            </w:r>
          </w:p>
        </w:tc>
        <w:tc>
          <w:tcPr>
            <w:tcW w:w="803" w:type="dxa"/>
            <w:tcBorders>
              <w:top w:val="nil"/>
              <w:left w:val="nil"/>
              <w:bottom w:val="nil"/>
              <w:right w:val="nil"/>
            </w:tcBorders>
            <w:shd w:val="clear" w:color="auto" w:fill="auto"/>
            <w:noWrap/>
            <w:vAlign w:val="bottom"/>
            <w:hideMark/>
          </w:tcPr>
          <w:p w:rsidRPr="005F055E" w:rsidR="00EF57B6" w:rsidP="00180EEB" w:rsidRDefault="00EF57B6" w14:paraId="735D476E" w14:textId="77777777">
            <w:pPr>
              <w:suppressAutoHyphens/>
              <w:rPr>
                <w:rFonts w:cs="Calibri"/>
                <w:color w:val="000000"/>
                <w:sz w:val="16"/>
                <w:szCs w:val="16"/>
                <w:lang w:eastAsia="nl-NL"/>
              </w:rPr>
            </w:pPr>
            <w:r w:rsidRPr="005F055E">
              <w:rPr>
                <w:rFonts w:cs="Calibri"/>
                <w:color w:val="000000"/>
                <w:sz w:val="16"/>
                <w:szCs w:val="16"/>
                <w:lang w:eastAsia="nl-NL"/>
              </w:rPr>
              <w:t>1.945</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5C8A2C30" w14:textId="77777777">
            <w:pPr>
              <w:suppressAutoHyphens/>
              <w:rPr>
                <w:rFonts w:cs="Calibri"/>
                <w:color w:val="000000"/>
                <w:sz w:val="16"/>
                <w:szCs w:val="16"/>
                <w:lang w:eastAsia="nl-NL"/>
              </w:rPr>
            </w:pPr>
            <w:r w:rsidRPr="005F055E">
              <w:rPr>
                <w:rFonts w:cs="Calibri"/>
                <w:color w:val="000000"/>
                <w:sz w:val="16"/>
                <w:szCs w:val="16"/>
                <w:lang w:eastAsia="nl-NL"/>
              </w:rPr>
              <w:t>58.093</w:t>
            </w:r>
          </w:p>
        </w:tc>
        <w:tc>
          <w:tcPr>
            <w:tcW w:w="1037" w:type="dxa"/>
            <w:tcBorders>
              <w:top w:val="nil"/>
              <w:left w:val="nil"/>
              <w:bottom w:val="nil"/>
              <w:right w:val="nil"/>
            </w:tcBorders>
            <w:shd w:val="clear" w:color="auto" w:fill="auto"/>
            <w:noWrap/>
            <w:vAlign w:val="bottom"/>
            <w:hideMark/>
          </w:tcPr>
          <w:p w:rsidRPr="005F055E" w:rsidR="00EF57B6" w:rsidP="00180EEB" w:rsidRDefault="00EF57B6" w14:paraId="3BCE1690" w14:textId="77777777">
            <w:pPr>
              <w:suppressAutoHyphens/>
              <w:rPr>
                <w:rFonts w:cs="Calibri"/>
                <w:color w:val="000000"/>
                <w:sz w:val="16"/>
                <w:szCs w:val="16"/>
                <w:lang w:eastAsia="nl-NL"/>
              </w:rPr>
            </w:pPr>
            <w:r w:rsidRPr="005F055E">
              <w:rPr>
                <w:rFonts w:cs="Calibri"/>
                <w:color w:val="000000"/>
                <w:sz w:val="16"/>
                <w:szCs w:val="16"/>
                <w:lang w:eastAsia="nl-NL"/>
              </w:rPr>
              <w:t>3.362</w:t>
            </w:r>
          </w:p>
        </w:tc>
        <w:tc>
          <w:tcPr>
            <w:tcW w:w="871" w:type="dxa"/>
            <w:tcBorders>
              <w:top w:val="nil"/>
              <w:left w:val="nil"/>
              <w:bottom w:val="nil"/>
              <w:right w:val="nil"/>
            </w:tcBorders>
            <w:shd w:val="clear" w:color="auto" w:fill="auto"/>
            <w:noWrap/>
            <w:vAlign w:val="bottom"/>
            <w:hideMark/>
          </w:tcPr>
          <w:p w:rsidRPr="005F055E" w:rsidR="00EF57B6" w:rsidP="00180EEB" w:rsidRDefault="00EF57B6" w14:paraId="6C446614" w14:textId="77777777">
            <w:pPr>
              <w:suppressAutoHyphens/>
              <w:rPr>
                <w:rFonts w:cs="Calibri"/>
                <w:color w:val="000000"/>
                <w:sz w:val="16"/>
                <w:szCs w:val="16"/>
                <w:lang w:eastAsia="nl-NL"/>
              </w:rPr>
            </w:pPr>
            <w:r w:rsidRPr="005F055E">
              <w:rPr>
                <w:rFonts w:cs="Calibri"/>
                <w:color w:val="000000"/>
                <w:sz w:val="16"/>
                <w:szCs w:val="16"/>
                <w:lang w:eastAsia="nl-NL"/>
              </w:rPr>
              <w:t>20.447</w:t>
            </w:r>
          </w:p>
        </w:tc>
        <w:tc>
          <w:tcPr>
            <w:tcW w:w="809" w:type="dxa"/>
            <w:tcBorders>
              <w:top w:val="nil"/>
              <w:left w:val="nil"/>
              <w:bottom w:val="nil"/>
              <w:right w:val="nil"/>
            </w:tcBorders>
            <w:vAlign w:val="bottom"/>
          </w:tcPr>
          <w:p w:rsidRPr="005F055E" w:rsidR="00EF57B6" w:rsidP="00180EEB" w:rsidRDefault="00EF57B6" w14:paraId="170D1051" w14:textId="77777777">
            <w:pPr>
              <w:suppressAutoHyphens/>
              <w:rPr>
                <w:rFonts w:cs="Calibri"/>
                <w:color w:val="000000"/>
                <w:sz w:val="16"/>
                <w:szCs w:val="16"/>
                <w:lang w:eastAsia="nl-NL"/>
              </w:rPr>
            </w:pPr>
            <w:r w:rsidRPr="005F055E">
              <w:rPr>
                <w:rFonts w:cs="Calibri"/>
                <w:color w:val="000000"/>
                <w:sz w:val="16"/>
                <w:szCs w:val="16"/>
                <w:lang w:eastAsia="nl-NL"/>
              </w:rPr>
              <w:t>191.942</w:t>
            </w:r>
          </w:p>
        </w:tc>
      </w:tr>
      <w:tr w:rsidRPr="005F055E" w:rsidR="00EF57B6" w:rsidTr="005E2643" w14:paraId="439ACF81" w14:textId="77777777">
        <w:trPr>
          <w:trHeight w:val="300"/>
        </w:trPr>
        <w:tc>
          <w:tcPr>
            <w:tcW w:w="874" w:type="dxa"/>
            <w:tcBorders>
              <w:top w:val="nil"/>
              <w:left w:val="nil"/>
              <w:bottom w:val="nil"/>
              <w:right w:val="nil"/>
            </w:tcBorders>
            <w:shd w:val="clear" w:color="auto" w:fill="auto"/>
            <w:noWrap/>
            <w:vAlign w:val="bottom"/>
            <w:hideMark/>
          </w:tcPr>
          <w:p w:rsidRPr="005F055E" w:rsidR="00EF57B6" w:rsidP="00180EEB" w:rsidRDefault="00EF57B6" w14:paraId="55044FCF" w14:textId="77777777">
            <w:pPr>
              <w:suppressAutoHyphens/>
              <w:rPr>
                <w:rFonts w:cs="Calibri"/>
                <w:color w:val="000000"/>
                <w:sz w:val="16"/>
                <w:szCs w:val="16"/>
                <w:lang w:eastAsia="nl-NL"/>
              </w:rPr>
            </w:pPr>
            <w:r w:rsidRPr="005F055E">
              <w:rPr>
                <w:rFonts w:cs="Calibri"/>
                <w:color w:val="000000"/>
                <w:sz w:val="16"/>
                <w:szCs w:val="16"/>
                <w:lang w:eastAsia="nl-NL"/>
              </w:rPr>
              <w:t>2019</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2176908B" w14:textId="77777777">
            <w:pPr>
              <w:suppressAutoHyphens/>
              <w:rPr>
                <w:rFonts w:cs="Calibri"/>
                <w:color w:val="000000"/>
                <w:sz w:val="16"/>
                <w:szCs w:val="16"/>
                <w:lang w:eastAsia="nl-NL"/>
              </w:rPr>
            </w:pPr>
            <w:r w:rsidRPr="005F055E">
              <w:rPr>
                <w:rFonts w:cs="Calibri"/>
                <w:color w:val="000000"/>
                <w:sz w:val="16"/>
                <w:szCs w:val="16"/>
                <w:lang w:eastAsia="nl-NL"/>
              </w:rPr>
              <w:t>6.644</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5C93DDE4" w14:textId="77777777">
            <w:pPr>
              <w:suppressAutoHyphens/>
              <w:rPr>
                <w:rFonts w:cs="Calibri"/>
                <w:color w:val="000000"/>
                <w:sz w:val="16"/>
                <w:szCs w:val="16"/>
                <w:lang w:eastAsia="nl-NL"/>
              </w:rPr>
            </w:pPr>
            <w:r w:rsidRPr="005F055E">
              <w:rPr>
                <w:rFonts w:cs="Calibri"/>
                <w:color w:val="000000"/>
                <w:sz w:val="16"/>
                <w:szCs w:val="16"/>
                <w:lang w:eastAsia="nl-NL"/>
              </w:rPr>
              <w:t>50.946</w:t>
            </w:r>
          </w:p>
        </w:tc>
        <w:tc>
          <w:tcPr>
            <w:tcW w:w="826" w:type="dxa"/>
            <w:tcBorders>
              <w:top w:val="nil"/>
              <w:left w:val="nil"/>
              <w:bottom w:val="nil"/>
              <w:right w:val="nil"/>
            </w:tcBorders>
            <w:shd w:val="clear" w:color="auto" w:fill="auto"/>
            <w:noWrap/>
            <w:vAlign w:val="bottom"/>
            <w:hideMark/>
          </w:tcPr>
          <w:p w:rsidRPr="005F055E" w:rsidR="00EF57B6" w:rsidP="00180EEB" w:rsidRDefault="00EF57B6" w14:paraId="2FB452EA" w14:textId="77777777">
            <w:pPr>
              <w:suppressAutoHyphens/>
              <w:rPr>
                <w:rFonts w:cs="Calibri"/>
                <w:color w:val="000000"/>
                <w:sz w:val="16"/>
                <w:szCs w:val="16"/>
                <w:lang w:eastAsia="nl-NL"/>
              </w:rPr>
            </w:pPr>
            <w:r w:rsidRPr="005F055E">
              <w:rPr>
                <w:rFonts w:cs="Calibri"/>
                <w:color w:val="000000"/>
                <w:sz w:val="16"/>
                <w:szCs w:val="16"/>
                <w:lang w:eastAsia="nl-NL"/>
              </w:rPr>
              <w:t>2.291</w:t>
            </w:r>
          </w:p>
        </w:tc>
        <w:tc>
          <w:tcPr>
            <w:tcW w:w="854" w:type="dxa"/>
            <w:tcBorders>
              <w:top w:val="nil"/>
              <w:left w:val="nil"/>
              <w:bottom w:val="nil"/>
              <w:right w:val="nil"/>
            </w:tcBorders>
            <w:shd w:val="clear" w:color="auto" w:fill="auto"/>
            <w:noWrap/>
            <w:vAlign w:val="bottom"/>
            <w:hideMark/>
          </w:tcPr>
          <w:p w:rsidRPr="005F055E" w:rsidR="00EF57B6" w:rsidP="00180EEB" w:rsidRDefault="00EF57B6" w14:paraId="33DDA1BE" w14:textId="77777777">
            <w:pPr>
              <w:suppressAutoHyphens/>
              <w:rPr>
                <w:rFonts w:cs="Calibri"/>
                <w:color w:val="000000"/>
                <w:sz w:val="16"/>
                <w:szCs w:val="16"/>
                <w:lang w:eastAsia="nl-NL"/>
              </w:rPr>
            </w:pPr>
          </w:p>
        </w:tc>
        <w:tc>
          <w:tcPr>
            <w:tcW w:w="757" w:type="dxa"/>
            <w:tcBorders>
              <w:top w:val="nil"/>
              <w:left w:val="nil"/>
              <w:bottom w:val="nil"/>
              <w:right w:val="nil"/>
            </w:tcBorders>
            <w:shd w:val="clear" w:color="auto" w:fill="auto"/>
            <w:noWrap/>
            <w:vAlign w:val="bottom"/>
            <w:hideMark/>
          </w:tcPr>
          <w:p w:rsidRPr="005F055E" w:rsidR="00EF57B6" w:rsidP="00180EEB" w:rsidRDefault="00EF57B6" w14:paraId="5892BB7B" w14:textId="77777777">
            <w:pPr>
              <w:suppressAutoHyphens/>
              <w:rPr>
                <w:rFonts w:cs="Calibri"/>
                <w:color w:val="000000"/>
                <w:sz w:val="16"/>
                <w:szCs w:val="16"/>
                <w:lang w:eastAsia="nl-NL"/>
              </w:rPr>
            </w:pPr>
            <w:r w:rsidRPr="005F055E">
              <w:rPr>
                <w:rFonts w:cs="Calibri"/>
                <w:color w:val="000000"/>
                <w:sz w:val="16"/>
                <w:szCs w:val="16"/>
                <w:lang w:eastAsia="nl-NL"/>
              </w:rPr>
              <w:t>27.153</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102F4623" w14:textId="77777777">
            <w:pPr>
              <w:suppressAutoHyphens/>
              <w:rPr>
                <w:rFonts w:cs="Calibri"/>
                <w:color w:val="000000"/>
                <w:sz w:val="16"/>
                <w:szCs w:val="16"/>
                <w:lang w:eastAsia="nl-NL"/>
              </w:rPr>
            </w:pPr>
            <w:r w:rsidRPr="005F055E">
              <w:rPr>
                <w:rFonts w:cs="Calibri"/>
                <w:color w:val="000000"/>
                <w:sz w:val="16"/>
                <w:szCs w:val="16"/>
                <w:lang w:eastAsia="nl-NL"/>
              </w:rPr>
              <w:t>10.267</w:t>
            </w:r>
          </w:p>
        </w:tc>
        <w:tc>
          <w:tcPr>
            <w:tcW w:w="803" w:type="dxa"/>
            <w:tcBorders>
              <w:top w:val="nil"/>
              <w:left w:val="nil"/>
              <w:bottom w:val="nil"/>
              <w:right w:val="nil"/>
            </w:tcBorders>
            <w:shd w:val="clear" w:color="auto" w:fill="auto"/>
            <w:noWrap/>
            <w:vAlign w:val="bottom"/>
            <w:hideMark/>
          </w:tcPr>
          <w:p w:rsidRPr="005F055E" w:rsidR="00EF57B6" w:rsidP="00180EEB" w:rsidRDefault="00EF57B6" w14:paraId="00A26823" w14:textId="77777777">
            <w:pPr>
              <w:suppressAutoHyphens/>
              <w:rPr>
                <w:rFonts w:cs="Calibri"/>
                <w:color w:val="000000"/>
                <w:sz w:val="16"/>
                <w:szCs w:val="16"/>
                <w:lang w:eastAsia="nl-NL"/>
              </w:rPr>
            </w:pPr>
            <w:r w:rsidRPr="005F055E">
              <w:rPr>
                <w:rFonts w:cs="Calibri"/>
                <w:color w:val="000000"/>
                <w:sz w:val="16"/>
                <w:szCs w:val="16"/>
                <w:lang w:eastAsia="nl-NL"/>
              </w:rPr>
              <w:t>2.007</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7181BBC3" w14:textId="77777777">
            <w:pPr>
              <w:suppressAutoHyphens/>
              <w:rPr>
                <w:rFonts w:cs="Calibri"/>
                <w:color w:val="000000"/>
                <w:sz w:val="16"/>
                <w:szCs w:val="16"/>
                <w:lang w:eastAsia="nl-NL"/>
              </w:rPr>
            </w:pPr>
            <w:r w:rsidRPr="005F055E">
              <w:rPr>
                <w:rFonts w:cs="Calibri"/>
                <w:color w:val="000000"/>
                <w:sz w:val="16"/>
                <w:szCs w:val="16"/>
                <w:lang w:eastAsia="nl-NL"/>
              </w:rPr>
              <w:t>61.449</w:t>
            </w:r>
          </w:p>
        </w:tc>
        <w:tc>
          <w:tcPr>
            <w:tcW w:w="1037" w:type="dxa"/>
            <w:tcBorders>
              <w:top w:val="nil"/>
              <w:left w:val="nil"/>
              <w:bottom w:val="nil"/>
              <w:right w:val="nil"/>
            </w:tcBorders>
            <w:shd w:val="clear" w:color="auto" w:fill="auto"/>
            <w:noWrap/>
            <w:vAlign w:val="bottom"/>
            <w:hideMark/>
          </w:tcPr>
          <w:p w:rsidRPr="005F055E" w:rsidR="00EF57B6" w:rsidP="00180EEB" w:rsidRDefault="00EF57B6" w14:paraId="190D18C3" w14:textId="77777777">
            <w:pPr>
              <w:suppressAutoHyphens/>
              <w:rPr>
                <w:rFonts w:cs="Calibri"/>
                <w:color w:val="000000"/>
                <w:sz w:val="16"/>
                <w:szCs w:val="16"/>
                <w:lang w:eastAsia="nl-NL"/>
              </w:rPr>
            </w:pPr>
            <w:r w:rsidRPr="005F055E">
              <w:rPr>
                <w:rFonts w:cs="Calibri"/>
                <w:color w:val="000000"/>
                <w:sz w:val="16"/>
                <w:szCs w:val="16"/>
                <w:lang w:eastAsia="nl-NL"/>
              </w:rPr>
              <w:t>3.667</w:t>
            </w:r>
          </w:p>
        </w:tc>
        <w:tc>
          <w:tcPr>
            <w:tcW w:w="871" w:type="dxa"/>
            <w:tcBorders>
              <w:top w:val="nil"/>
              <w:left w:val="nil"/>
              <w:bottom w:val="nil"/>
              <w:right w:val="nil"/>
            </w:tcBorders>
            <w:shd w:val="clear" w:color="auto" w:fill="auto"/>
            <w:noWrap/>
            <w:vAlign w:val="bottom"/>
            <w:hideMark/>
          </w:tcPr>
          <w:p w:rsidRPr="005F055E" w:rsidR="00EF57B6" w:rsidP="00180EEB" w:rsidRDefault="00EF57B6" w14:paraId="267BA5AB" w14:textId="77777777">
            <w:pPr>
              <w:suppressAutoHyphens/>
              <w:rPr>
                <w:rFonts w:cs="Calibri"/>
                <w:color w:val="000000"/>
                <w:sz w:val="16"/>
                <w:szCs w:val="16"/>
                <w:lang w:eastAsia="nl-NL"/>
              </w:rPr>
            </w:pPr>
            <w:r w:rsidRPr="005F055E">
              <w:rPr>
                <w:rFonts w:cs="Calibri"/>
                <w:color w:val="000000"/>
                <w:sz w:val="16"/>
                <w:szCs w:val="16"/>
                <w:lang w:eastAsia="nl-NL"/>
              </w:rPr>
              <w:t>41.222</w:t>
            </w:r>
          </w:p>
        </w:tc>
        <w:tc>
          <w:tcPr>
            <w:tcW w:w="809" w:type="dxa"/>
            <w:tcBorders>
              <w:top w:val="nil"/>
              <w:left w:val="nil"/>
              <w:bottom w:val="nil"/>
              <w:right w:val="nil"/>
            </w:tcBorders>
            <w:vAlign w:val="bottom"/>
          </w:tcPr>
          <w:p w:rsidRPr="005F055E" w:rsidR="00EF57B6" w:rsidP="00180EEB" w:rsidRDefault="00EF57B6" w14:paraId="708F46C4" w14:textId="77777777">
            <w:pPr>
              <w:suppressAutoHyphens/>
              <w:rPr>
                <w:rFonts w:cs="Calibri"/>
                <w:color w:val="000000"/>
                <w:sz w:val="16"/>
                <w:szCs w:val="16"/>
                <w:lang w:eastAsia="nl-NL"/>
              </w:rPr>
            </w:pPr>
            <w:r w:rsidRPr="005F055E">
              <w:rPr>
                <w:rFonts w:cs="Calibri"/>
                <w:color w:val="000000"/>
                <w:sz w:val="16"/>
                <w:szCs w:val="16"/>
                <w:lang w:eastAsia="nl-NL"/>
              </w:rPr>
              <w:t>205.646</w:t>
            </w:r>
          </w:p>
        </w:tc>
      </w:tr>
      <w:tr w:rsidRPr="005F055E" w:rsidR="00EF57B6" w:rsidTr="005E2643" w14:paraId="0E32712A" w14:textId="77777777">
        <w:trPr>
          <w:trHeight w:val="300"/>
        </w:trPr>
        <w:tc>
          <w:tcPr>
            <w:tcW w:w="874" w:type="dxa"/>
            <w:tcBorders>
              <w:top w:val="nil"/>
              <w:left w:val="nil"/>
              <w:bottom w:val="nil"/>
              <w:right w:val="nil"/>
            </w:tcBorders>
            <w:shd w:val="clear" w:color="auto" w:fill="auto"/>
            <w:noWrap/>
            <w:vAlign w:val="bottom"/>
            <w:hideMark/>
          </w:tcPr>
          <w:p w:rsidRPr="005F055E" w:rsidR="00EF57B6" w:rsidP="00180EEB" w:rsidRDefault="00EF57B6" w14:paraId="25175CE9" w14:textId="77777777">
            <w:pPr>
              <w:suppressAutoHyphens/>
              <w:rPr>
                <w:rFonts w:cs="Calibri"/>
                <w:color w:val="000000"/>
                <w:sz w:val="16"/>
                <w:szCs w:val="16"/>
                <w:lang w:eastAsia="nl-NL"/>
              </w:rPr>
            </w:pPr>
            <w:r w:rsidRPr="005F055E">
              <w:rPr>
                <w:rFonts w:cs="Calibri"/>
                <w:color w:val="000000"/>
                <w:sz w:val="16"/>
                <w:szCs w:val="16"/>
                <w:lang w:eastAsia="nl-NL"/>
              </w:rPr>
              <w:t>2020</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0C541058" w14:textId="77777777">
            <w:pPr>
              <w:suppressAutoHyphens/>
              <w:rPr>
                <w:rFonts w:cs="Calibri"/>
                <w:color w:val="000000"/>
                <w:sz w:val="16"/>
                <w:szCs w:val="16"/>
                <w:lang w:eastAsia="nl-NL"/>
              </w:rPr>
            </w:pPr>
            <w:r w:rsidRPr="005F055E">
              <w:rPr>
                <w:rFonts w:cs="Calibri"/>
                <w:color w:val="000000"/>
                <w:sz w:val="16"/>
                <w:szCs w:val="16"/>
                <w:lang w:eastAsia="nl-NL"/>
              </w:rPr>
              <w:t>13.971</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1003AE34" w14:textId="77777777">
            <w:pPr>
              <w:suppressAutoHyphens/>
              <w:rPr>
                <w:rFonts w:cs="Calibri"/>
                <w:color w:val="000000"/>
                <w:sz w:val="16"/>
                <w:szCs w:val="16"/>
                <w:lang w:eastAsia="nl-NL"/>
              </w:rPr>
            </w:pPr>
            <w:r w:rsidRPr="005F055E">
              <w:rPr>
                <w:rFonts w:cs="Calibri"/>
                <w:color w:val="000000"/>
                <w:sz w:val="16"/>
                <w:szCs w:val="16"/>
                <w:lang w:eastAsia="nl-NL"/>
              </w:rPr>
              <w:t>52.327</w:t>
            </w:r>
          </w:p>
        </w:tc>
        <w:tc>
          <w:tcPr>
            <w:tcW w:w="826" w:type="dxa"/>
            <w:tcBorders>
              <w:top w:val="nil"/>
              <w:left w:val="nil"/>
              <w:bottom w:val="nil"/>
              <w:right w:val="nil"/>
            </w:tcBorders>
            <w:shd w:val="clear" w:color="auto" w:fill="auto"/>
            <w:noWrap/>
            <w:vAlign w:val="bottom"/>
            <w:hideMark/>
          </w:tcPr>
          <w:p w:rsidRPr="005F055E" w:rsidR="00EF57B6" w:rsidP="00180EEB" w:rsidRDefault="00EF57B6" w14:paraId="783EB723" w14:textId="77777777">
            <w:pPr>
              <w:suppressAutoHyphens/>
              <w:rPr>
                <w:rFonts w:cs="Calibri"/>
                <w:color w:val="000000"/>
                <w:sz w:val="16"/>
                <w:szCs w:val="16"/>
                <w:lang w:eastAsia="nl-NL"/>
              </w:rPr>
            </w:pPr>
            <w:r w:rsidRPr="005F055E">
              <w:rPr>
                <w:rFonts w:cs="Calibri"/>
                <w:color w:val="000000"/>
                <w:sz w:val="16"/>
                <w:szCs w:val="16"/>
                <w:lang w:eastAsia="nl-NL"/>
              </w:rPr>
              <w:t>2.025</w:t>
            </w:r>
          </w:p>
        </w:tc>
        <w:tc>
          <w:tcPr>
            <w:tcW w:w="854" w:type="dxa"/>
            <w:tcBorders>
              <w:top w:val="nil"/>
              <w:left w:val="nil"/>
              <w:bottom w:val="nil"/>
              <w:right w:val="nil"/>
            </w:tcBorders>
            <w:shd w:val="clear" w:color="auto" w:fill="auto"/>
            <w:noWrap/>
            <w:vAlign w:val="bottom"/>
            <w:hideMark/>
          </w:tcPr>
          <w:p w:rsidRPr="005F055E" w:rsidR="00EF57B6" w:rsidP="00180EEB" w:rsidRDefault="00EF57B6" w14:paraId="1904A70A" w14:textId="77777777">
            <w:pPr>
              <w:suppressAutoHyphens/>
              <w:rPr>
                <w:rFonts w:cs="Calibri"/>
                <w:color w:val="000000"/>
                <w:sz w:val="16"/>
                <w:szCs w:val="16"/>
                <w:lang w:eastAsia="nl-NL"/>
              </w:rPr>
            </w:pPr>
          </w:p>
        </w:tc>
        <w:tc>
          <w:tcPr>
            <w:tcW w:w="757" w:type="dxa"/>
            <w:tcBorders>
              <w:top w:val="nil"/>
              <w:left w:val="nil"/>
              <w:bottom w:val="nil"/>
              <w:right w:val="nil"/>
            </w:tcBorders>
            <w:shd w:val="clear" w:color="auto" w:fill="auto"/>
            <w:noWrap/>
            <w:vAlign w:val="bottom"/>
            <w:hideMark/>
          </w:tcPr>
          <w:p w:rsidRPr="005F055E" w:rsidR="00EF57B6" w:rsidP="00180EEB" w:rsidRDefault="00EF57B6" w14:paraId="6288DEB5" w14:textId="77777777">
            <w:pPr>
              <w:suppressAutoHyphens/>
              <w:rPr>
                <w:rFonts w:cs="Calibri"/>
                <w:color w:val="000000"/>
                <w:sz w:val="16"/>
                <w:szCs w:val="16"/>
                <w:lang w:eastAsia="nl-NL"/>
              </w:rPr>
            </w:pPr>
            <w:r w:rsidRPr="005F055E">
              <w:rPr>
                <w:rFonts w:cs="Calibri"/>
                <w:color w:val="000000"/>
                <w:sz w:val="16"/>
                <w:szCs w:val="16"/>
                <w:lang w:eastAsia="nl-NL"/>
              </w:rPr>
              <w:t>27.927</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37D4A8CF" w14:textId="77777777">
            <w:pPr>
              <w:suppressAutoHyphens/>
              <w:rPr>
                <w:rFonts w:cs="Calibri"/>
                <w:color w:val="000000"/>
                <w:sz w:val="16"/>
                <w:szCs w:val="16"/>
                <w:lang w:eastAsia="nl-NL"/>
              </w:rPr>
            </w:pPr>
            <w:r w:rsidRPr="005F055E">
              <w:rPr>
                <w:rFonts w:cs="Calibri"/>
                <w:color w:val="000000"/>
                <w:sz w:val="16"/>
                <w:szCs w:val="16"/>
                <w:lang w:eastAsia="nl-NL"/>
              </w:rPr>
              <w:t>9.348</w:t>
            </w:r>
          </w:p>
        </w:tc>
        <w:tc>
          <w:tcPr>
            <w:tcW w:w="803" w:type="dxa"/>
            <w:tcBorders>
              <w:top w:val="nil"/>
              <w:left w:val="nil"/>
              <w:bottom w:val="nil"/>
              <w:right w:val="nil"/>
            </w:tcBorders>
            <w:shd w:val="clear" w:color="auto" w:fill="auto"/>
            <w:noWrap/>
            <w:vAlign w:val="bottom"/>
            <w:hideMark/>
          </w:tcPr>
          <w:p w:rsidRPr="005F055E" w:rsidR="00EF57B6" w:rsidP="00180EEB" w:rsidRDefault="00EF57B6" w14:paraId="745CEBFB" w14:textId="77777777">
            <w:pPr>
              <w:suppressAutoHyphens/>
              <w:rPr>
                <w:rFonts w:cs="Calibri"/>
                <w:color w:val="000000"/>
                <w:sz w:val="16"/>
                <w:szCs w:val="16"/>
                <w:lang w:eastAsia="nl-NL"/>
              </w:rPr>
            </w:pPr>
            <w:r w:rsidRPr="005F055E">
              <w:rPr>
                <w:rFonts w:cs="Calibri"/>
                <w:color w:val="000000"/>
                <w:sz w:val="16"/>
                <w:szCs w:val="16"/>
                <w:lang w:eastAsia="nl-NL"/>
              </w:rPr>
              <w:t>1.857</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2BD5F3C5" w14:textId="77777777">
            <w:pPr>
              <w:suppressAutoHyphens/>
              <w:rPr>
                <w:rFonts w:cs="Calibri"/>
                <w:color w:val="000000"/>
                <w:sz w:val="16"/>
                <w:szCs w:val="16"/>
                <w:lang w:eastAsia="nl-NL"/>
              </w:rPr>
            </w:pPr>
            <w:r w:rsidRPr="005F055E">
              <w:rPr>
                <w:rFonts w:cs="Calibri"/>
                <w:color w:val="000000"/>
                <w:sz w:val="16"/>
                <w:szCs w:val="16"/>
                <w:lang w:eastAsia="nl-NL"/>
              </w:rPr>
              <w:t>57.584</w:t>
            </w:r>
          </w:p>
        </w:tc>
        <w:tc>
          <w:tcPr>
            <w:tcW w:w="1037" w:type="dxa"/>
            <w:tcBorders>
              <w:top w:val="nil"/>
              <w:left w:val="nil"/>
              <w:bottom w:val="nil"/>
              <w:right w:val="nil"/>
            </w:tcBorders>
            <w:shd w:val="clear" w:color="auto" w:fill="auto"/>
            <w:noWrap/>
            <w:vAlign w:val="bottom"/>
            <w:hideMark/>
          </w:tcPr>
          <w:p w:rsidRPr="005F055E" w:rsidR="00EF57B6" w:rsidP="00180EEB" w:rsidRDefault="00EF57B6" w14:paraId="49F5A282" w14:textId="77777777">
            <w:pPr>
              <w:suppressAutoHyphens/>
              <w:rPr>
                <w:rFonts w:cs="Calibri"/>
                <w:color w:val="000000"/>
                <w:sz w:val="16"/>
                <w:szCs w:val="16"/>
                <w:lang w:eastAsia="nl-NL"/>
              </w:rPr>
            </w:pPr>
            <w:r w:rsidRPr="005F055E">
              <w:rPr>
                <w:rFonts w:cs="Calibri"/>
                <w:color w:val="000000"/>
                <w:sz w:val="16"/>
                <w:szCs w:val="16"/>
                <w:lang w:eastAsia="nl-NL"/>
              </w:rPr>
              <w:t>3.719</w:t>
            </w:r>
          </w:p>
        </w:tc>
        <w:tc>
          <w:tcPr>
            <w:tcW w:w="871" w:type="dxa"/>
            <w:tcBorders>
              <w:top w:val="nil"/>
              <w:left w:val="nil"/>
              <w:bottom w:val="nil"/>
              <w:right w:val="nil"/>
            </w:tcBorders>
            <w:shd w:val="clear" w:color="auto" w:fill="auto"/>
            <w:noWrap/>
            <w:vAlign w:val="bottom"/>
            <w:hideMark/>
          </w:tcPr>
          <w:p w:rsidRPr="005F055E" w:rsidR="00EF57B6" w:rsidP="00180EEB" w:rsidRDefault="00EF57B6" w14:paraId="6F683C2D" w14:textId="77777777">
            <w:pPr>
              <w:suppressAutoHyphens/>
              <w:rPr>
                <w:rFonts w:cs="Calibri"/>
                <w:color w:val="000000"/>
                <w:sz w:val="16"/>
                <w:szCs w:val="16"/>
                <w:lang w:eastAsia="nl-NL"/>
              </w:rPr>
            </w:pPr>
            <w:r w:rsidRPr="005F055E">
              <w:rPr>
                <w:rFonts w:cs="Calibri"/>
                <w:color w:val="000000"/>
                <w:sz w:val="16"/>
                <w:szCs w:val="16"/>
                <w:lang w:eastAsia="nl-NL"/>
              </w:rPr>
              <w:t>36.124</w:t>
            </w:r>
          </w:p>
        </w:tc>
        <w:tc>
          <w:tcPr>
            <w:tcW w:w="809" w:type="dxa"/>
            <w:tcBorders>
              <w:top w:val="nil"/>
              <w:left w:val="nil"/>
              <w:bottom w:val="nil"/>
              <w:right w:val="nil"/>
            </w:tcBorders>
            <w:vAlign w:val="bottom"/>
          </w:tcPr>
          <w:p w:rsidRPr="005F055E" w:rsidR="00EF57B6" w:rsidP="00180EEB" w:rsidRDefault="00EF57B6" w14:paraId="0CD97A38" w14:textId="77777777">
            <w:pPr>
              <w:suppressAutoHyphens/>
              <w:rPr>
                <w:rFonts w:cs="Calibri"/>
                <w:color w:val="000000"/>
                <w:sz w:val="16"/>
                <w:szCs w:val="16"/>
                <w:lang w:eastAsia="nl-NL"/>
              </w:rPr>
            </w:pPr>
            <w:r w:rsidRPr="005F055E">
              <w:rPr>
                <w:rFonts w:cs="Calibri"/>
                <w:color w:val="000000"/>
                <w:sz w:val="16"/>
                <w:szCs w:val="16"/>
                <w:lang w:eastAsia="nl-NL"/>
              </w:rPr>
              <w:t>204.882</w:t>
            </w:r>
          </w:p>
        </w:tc>
      </w:tr>
      <w:tr w:rsidRPr="005F055E" w:rsidR="00EF57B6" w:rsidTr="005E2643" w14:paraId="22E51298" w14:textId="77777777">
        <w:trPr>
          <w:trHeight w:val="300"/>
        </w:trPr>
        <w:tc>
          <w:tcPr>
            <w:tcW w:w="874" w:type="dxa"/>
            <w:tcBorders>
              <w:top w:val="nil"/>
              <w:left w:val="nil"/>
              <w:bottom w:val="nil"/>
              <w:right w:val="nil"/>
            </w:tcBorders>
            <w:shd w:val="clear" w:color="auto" w:fill="auto"/>
            <w:noWrap/>
            <w:vAlign w:val="bottom"/>
            <w:hideMark/>
          </w:tcPr>
          <w:p w:rsidRPr="005F055E" w:rsidR="00EF57B6" w:rsidP="00180EEB" w:rsidRDefault="00EF57B6" w14:paraId="402C224A" w14:textId="77777777">
            <w:pPr>
              <w:suppressAutoHyphens/>
              <w:rPr>
                <w:rFonts w:cs="Calibri"/>
                <w:color w:val="000000"/>
                <w:sz w:val="16"/>
                <w:szCs w:val="16"/>
                <w:lang w:eastAsia="nl-NL"/>
              </w:rPr>
            </w:pPr>
            <w:r w:rsidRPr="005F055E">
              <w:rPr>
                <w:rFonts w:cs="Calibri"/>
                <w:color w:val="000000"/>
                <w:sz w:val="16"/>
                <w:szCs w:val="16"/>
                <w:lang w:eastAsia="nl-NL"/>
              </w:rPr>
              <w:t>2021</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782C360A" w14:textId="77777777">
            <w:pPr>
              <w:suppressAutoHyphens/>
              <w:rPr>
                <w:rFonts w:cs="Calibri"/>
                <w:color w:val="000000"/>
                <w:sz w:val="16"/>
                <w:szCs w:val="16"/>
                <w:lang w:eastAsia="nl-NL"/>
              </w:rPr>
            </w:pPr>
            <w:r w:rsidRPr="005F055E">
              <w:rPr>
                <w:rFonts w:cs="Calibri"/>
                <w:color w:val="000000"/>
                <w:sz w:val="16"/>
                <w:szCs w:val="16"/>
                <w:lang w:eastAsia="nl-NL"/>
              </w:rPr>
              <w:t>7.116</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53221092" w14:textId="77777777">
            <w:pPr>
              <w:suppressAutoHyphens/>
              <w:rPr>
                <w:rFonts w:cs="Calibri"/>
                <w:color w:val="000000"/>
                <w:sz w:val="16"/>
                <w:szCs w:val="16"/>
                <w:lang w:eastAsia="nl-NL"/>
              </w:rPr>
            </w:pPr>
            <w:r w:rsidRPr="005F055E">
              <w:rPr>
                <w:rFonts w:cs="Calibri"/>
                <w:color w:val="000000"/>
                <w:sz w:val="16"/>
                <w:szCs w:val="16"/>
                <w:lang w:eastAsia="nl-NL"/>
              </w:rPr>
              <w:t>51.133</w:t>
            </w:r>
          </w:p>
        </w:tc>
        <w:tc>
          <w:tcPr>
            <w:tcW w:w="826" w:type="dxa"/>
            <w:tcBorders>
              <w:top w:val="nil"/>
              <w:left w:val="nil"/>
              <w:bottom w:val="nil"/>
              <w:right w:val="nil"/>
            </w:tcBorders>
            <w:shd w:val="clear" w:color="auto" w:fill="auto"/>
            <w:noWrap/>
            <w:vAlign w:val="bottom"/>
            <w:hideMark/>
          </w:tcPr>
          <w:p w:rsidRPr="005F055E" w:rsidR="00EF57B6" w:rsidP="00180EEB" w:rsidRDefault="00EF57B6" w14:paraId="5CE2A374" w14:textId="77777777">
            <w:pPr>
              <w:suppressAutoHyphens/>
              <w:rPr>
                <w:rFonts w:cs="Calibri"/>
                <w:color w:val="000000"/>
                <w:sz w:val="16"/>
                <w:szCs w:val="16"/>
                <w:lang w:eastAsia="nl-NL"/>
              </w:rPr>
            </w:pPr>
            <w:r w:rsidRPr="005F055E">
              <w:rPr>
                <w:rFonts w:cs="Calibri"/>
                <w:color w:val="000000"/>
                <w:sz w:val="16"/>
                <w:szCs w:val="16"/>
                <w:lang w:eastAsia="nl-NL"/>
              </w:rPr>
              <w:t>2.160</w:t>
            </w:r>
          </w:p>
        </w:tc>
        <w:tc>
          <w:tcPr>
            <w:tcW w:w="854" w:type="dxa"/>
            <w:tcBorders>
              <w:top w:val="nil"/>
              <w:left w:val="nil"/>
              <w:bottom w:val="nil"/>
              <w:right w:val="nil"/>
            </w:tcBorders>
            <w:shd w:val="clear" w:color="auto" w:fill="auto"/>
            <w:noWrap/>
            <w:vAlign w:val="bottom"/>
            <w:hideMark/>
          </w:tcPr>
          <w:p w:rsidRPr="005F055E" w:rsidR="00EF57B6" w:rsidP="00180EEB" w:rsidRDefault="00EF57B6" w14:paraId="7DA580FD" w14:textId="77777777">
            <w:pPr>
              <w:suppressAutoHyphens/>
              <w:rPr>
                <w:rFonts w:cs="Calibri"/>
                <w:color w:val="000000"/>
                <w:sz w:val="16"/>
                <w:szCs w:val="16"/>
                <w:lang w:eastAsia="nl-NL"/>
              </w:rPr>
            </w:pPr>
          </w:p>
        </w:tc>
        <w:tc>
          <w:tcPr>
            <w:tcW w:w="757" w:type="dxa"/>
            <w:tcBorders>
              <w:top w:val="nil"/>
              <w:left w:val="nil"/>
              <w:bottom w:val="nil"/>
              <w:right w:val="nil"/>
            </w:tcBorders>
            <w:shd w:val="clear" w:color="auto" w:fill="auto"/>
            <w:noWrap/>
            <w:vAlign w:val="bottom"/>
            <w:hideMark/>
          </w:tcPr>
          <w:p w:rsidRPr="005F055E" w:rsidR="00EF57B6" w:rsidP="00180EEB" w:rsidRDefault="00EF57B6" w14:paraId="515260AC" w14:textId="77777777">
            <w:pPr>
              <w:suppressAutoHyphens/>
              <w:rPr>
                <w:rFonts w:cs="Calibri"/>
                <w:color w:val="000000"/>
                <w:sz w:val="16"/>
                <w:szCs w:val="16"/>
                <w:lang w:eastAsia="nl-NL"/>
              </w:rPr>
            </w:pPr>
            <w:r w:rsidRPr="005F055E">
              <w:rPr>
                <w:rFonts w:cs="Calibri"/>
                <w:color w:val="000000"/>
                <w:sz w:val="16"/>
                <w:szCs w:val="16"/>
                <w:lang w:eastAsia="nl-NL"/>
              </w:rPr>
              <w:t>21.812</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60537C93" w14:textId="77777777">
            <w:pPr>
              <w:suppressAutoHyphens/>
              <w:rPr>
                <w:rFonts w:cs="Calibri"/>
                <w:color w:val="000000"/>
                <w:sz w:val="16"/>
                <w:szCs w:val="16"/>
                <w:lang w:eastAsia="nl-NL"/>
              </w:rPr>
            </w:pPr>
            <w:r w:rsidRPr="005F055E">
              <w:rPr>
                <w:rFonts w:cs="Calibri"/>
                <w:color w:val="000000"/>
                <w:sz w:val="16"/>
                <w:szCs w:val="16"/>
                <w:lang w:eastAsia="nl-NL"/>
              </w:rPr>
              <w:t>7.441</w:t>
            </w:r>
          </w:p>
        </w:tc>
        <w:tc>
          <w:tcPr>
            <w:tcW w:w="803" w:type="dxa"/>
            <w:tcBorders>
              <w:top w:val="nil"/>
              <w:left w:val="nil"/>
              <w:bottom w:val="nil"/>
              <w:right w:val="nil"/>
            </w:tcBorders>
            <w:shd w:val="clear" w:color="auto" w:fill="auto"/>
            <w:noWrap/>
            <w:vAlign w:val="bottom"/>
            <w:hideMark/>
          </w:tcPr>
          <w:p w:rsidRPr="005F055E" w:rsidR="00EF57B6" w:rsidP="00180EEB" w:rsidRDefault="00EF57B6" w14:paraId="7DDF0849" w14:textId="77777777">
            <w:pPr>
              <w:suppressAutoHyphens/>
              <w:rPr>
                <w:rFonts w:cs="Calibri"/>
                <w:color w:val="000000"/>
                <w:sz w:val="16"/>
                <w:szCs w:val="16"/>
                <w:lang w:eastAsia="nl-NL"/>
              </w:rPr>
            </w:pPr>
            <w:r w:rsidRPr="005F055E">
              <w:rPr>
                <w:rFonts w:cs="Calibri"/>
                <w:color w:val="000000"/>
                <w:sz w:val="16"/>
                <w:szCs w:val="16"/>
                <w:lang w:eastAsia="nl-NL"/>
              </w:rPr>
              <w:t>1.232</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704DE682" w14:textId="77777777">
            <w:pPr>
              <w:suppressAutoHyphens/>
              <w:rPr>
                <w:rFonts w:cs="Calibri"/>
                <w:color w:val="000000"/>
                <w:sz w:val="16"/>
                <w:szCs w:val="16"/>
                <w:lang w:eastAsia="nl-NL"/>
              </w:rPr>
            </w:pPr>
            <w:r w:rsidRPr="005F055E">
              <w:rPr>
                <w:rFonts w:cs="Calibri"/>
                <w:color w:val="000000"/>
                <w:sz w:val="16"/>
                <w:szCs w:val="16"/>
                <w:lang w:eastAsia="nl-NL"/>
              </w:rPr>
              <w:t>62.516</w:t>
            </w:r>
          </w:p>
        </w:tc>
        <w:tc>
          <w:tcPr>
            <w:tcW w:w="1037" w:type="dxa"/>
            <w:tcBorders>
              <w:top w:val="nil"/>
              <w:left w:val="nil"/>
              <w:bottom w:val="nil"/>
              <w:right w:val="nil"/>
            </w:tcBorders>
            <w:shd w:val="clear" w:color="auto" w:fill="auto"/>
            <w:noWrap/>
            <w:vAlign w:val="bottom"/>
            <w:hideMark/>
          </w:tcPr>
          <w:p w:rsidRPr="005F055E" w:rsidR="00EF57B6" w:rsidP="00180EEB" w:rsidRDefault="00EF57B6" w14:paraId="7790EB28" w14:textId="77777777">
            <w:pPr>
              <w:suppressAutoHyphens/>
              <w:rPr>
                <w:rFonts w:cs="Calibri"/>
                <w:color w:val="000000"/>
                <w:sz w:val="16"/>
                <w:szCs w:val="16"/>
                <w:lang w:eastAsia="nl-NL"/>
              </w:rPr>
            </w:pPr>
            <w:r w:rsidRPr="005F055E">
              <w:rPr>
                <w:rFonts w:cs="Calibri"/>
                <w:color w:val="000000"/>
                <w:sz w:val="16"/>
                <w:szCs w:val="16"/>
                <w:lang w:eastAsia="nl-NL"/>
              </w:rPr>
              <w:t>4.382</w:t>
            </w:r>
          </w:p>
        </w:tc>
        <w:tc>
          <w:tcPr>
            <w:tcW w:w="871" w:type="dxa"/>
            <w:tcBorders>
              <w:top w:val="nil"/>
              <w:left w:val="nil"/>
              <w:bottom w:val="nil"/>
              <w:right w:val="nil"/>
            </w:tcBorders>
            <w:shd w:val="clear" w:color="auto" w:fill="auto"/>
            <w:noWrap/>
            <w:vAlign w:val="bottom"/>
            <w:hideMark/>
          </w:tcPr>
          <w:p w:rsidRPr="005F055E" w:rsidR="00EF57B6" w:rsidP="00180EEB" w:rsidRDefault="00EF57B6" w14:paraId="0D9A46F5" w14:textId="77777777">
            <w:pPr>
              <w:suppressAutoHyphens/>
              <w:rPr>
                <w:rFonts w:cs="Calibri"/>
                <w:color w:val="000000"/>
                <w:sz w:val="16"/>
                <w:szCs w:val="16"/>
                <w:lang w:eastAsia="nl-NL"/>
              </w:rPr>
            </w:pPr>
            <w:r w:rsidRPr="005F055E">
              <w:rPr>
                <w:rFonts w:cs="Calibri"/>
                <w:color w:val="000000"/>
                <w:sz w:val="16"/>
                <w:szCs w:val="16"/>
                <w:lang w:eastAsia="nl-NL"/>
              </w:rPr>
              <w:t>33.303</w:t>
            </w:r>
          </w:p>
        </w:tc>
        <w:tc>
          <w:tcPr>
            <w:tcW w:w="809" w:type="dxa"/>
            <w:tcBorders>
              <w:top w:val="nil"/>
              <w:left w:val="nil"/>
              <w:bottom w:val="nil"/>
              <w:right w:val="nil"/>
            </w:tcBorders>
            <w:vAlign w:val="bottom"/>
          </w:tcPr>
          <w:p w:rsidRPr="005F055E" w:rsidR="00EF57B6" w:rsidP="00180EEB" w:rsidRDefault="00EF57B6" w14:paraId="72A0EE5B" w14:textId="77777777">
            <w:pPr>
              <w:suppressAutoHyphens/>
              <w:rPr>
                <w:rFonts w:cs="Calibri"/>
                <w:color w:val="000000"/>
                <w:sz w:val="16"/>
                <w:szCs w:val="16"/>
                <w:lang w:eastAsia="nl-NL"/>
              </w:rPr>
            </w:pPr>
            <w:r w:rsidRPr="005F055E">
              <w:rPr>
                <w:rFonts w:cs="Calibri"/>
                <w:color w:val="000000"/>
                <w:sz w:val="16"/>
                <w:szCs w:val="16"/>
                <w:lang w:eastAsia="nl-NL"/>
              </w:rPr>
              <w:t>191.095</w:t>
            </w:r>
          </w:p>
        </w:tc>
      </w:tr>
      <w:tr w:rsidRPr="005F055E" w:rsidR="00EF57B6" w:rsidTr="005E2643" w14:paraId="759B8FA8" w14:textId="77777777">
        <w:trPr>
          <w:trHeight w:val="300"/>
        </w:trPr>
        <w:tc>
          <w:tcPr>
            <w:tcW w:w="874" w:type="dxa"/>
            <w:tcBorders>
              <w:top w:val="nil"/>
              <w:left w:val="nil"/>
              <w:bottom w:val="nil"/>
              <w:right w:val="nil"/>
            </w:tcBorders>
            <w:shd w:val="clear" w:color="auto" w:fill="auto"/>
            <w:noWrap/>
            <w:vAlign w:val="bottom"/>
            <w:hideMark/>
          </w:tcPr>
          <w:p w:rsidRPr="005F055E" w:rsidR="00EF57B6" w:rsidP="00180EEB" w:rsidRDefault="00EF57B6" w14:paraId="49071CAC" w14:textId="77777777">
            <w:pPr>
              <w:suppressAutoHyphens/>
              <w:rPr>
                <w:rFonts w:cs="Calibri"/>
                <w:color w:val="000000"/>
                <w:sz w:val="16"/>
                <w:szCs w:val="16"/>
                <w:lang w:eastAsia="nl-NL"/>
              </w:rPr>
            </w:pPr>
            <w:r w:rsidRPr="005F055E">
              <w:rPr>
                <w:rFonts w:cs="Calibri"/>
                <w:color w:val="000000"/>
                <w:sz w:val="16"/>
                <w:szCs w:val="16"/>
                <w:lang w:eastAsia="nl-NL"/>
              </w:rPr>
              <w:t>2022</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30E3C8F4" w14:textId="77777777">
            <w:pPr>
              <w:suppressAutoHyphens/>
              <w:rPr>
                <w:rFonts w:cs="Calibri"/>
                <w:color w:val="000000"/>
                <w:sz w:val="16"/>
                <w:szCs w:val="16"/>
                <w:lang w:eastAsia="nl-NL"/>
              </w:rPr>
            </w:pPr>
            <w:r w:rsidRPr="005F055E">
              <w:rPr>
                <w:rFonts w:cs="Calibri"/>
                <w:color w:val="000000"/>
                <w:sz w:val="16"/>
                <w:szCs w:val="16"/>
                <w:lang w:eastAsia="nl-NL"/>
              </w:rPr>
              <w:t>10.957</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2DA103A5" w14:textId="77777777">
            <w:pPr>
              <w:suppressAutoHyphens/>
              <w:rPr>
                <w:rFonts w:cs="Calibri"/>
                <w:color w:val="000000"/>
                <w:sz w:val="16"/>
                <w:szCs w:val="16"/>
                <w:lang w:eastAsia="nl-NL"/>
              </w:rPr>
            </w:pPr>
            <w:r w:rsidRPr="005F055E">
              <w:rPr>
                <w:rFonts w:cs="Calibri"/>
                <w:color w:val="000000"/>
                <w:sz w:val="16"/>
                <w:szCs w:val="16"/>
                <w:lang w:eastAsia="nl-NL"/>
              </w:rPr>
              <w:t>47.757</w:t>
            </w:r>
          </w:p>
        </w:tc>
        <w:tc>
          <w:tcPr>
            <w:tcW w:w="826" w:type="dxa"/>
            <w:tcBorders>
              <w:top w:val="nil"/>
              <w:left w:val="nil"/>
              <w:bottom w:val="nil"/>
              <w:right w:val="nil"/>
            </w:tcBorders>
            <w:shd w:val="clear" w:color="auto" w:fill="auto"/>
            <w:noWrap/>
            <w:vAlign w:val="bottom"/>
            <w:hideMark/>
          </w:tcPr>
          <w:p w:rsidRPr="005F055E" w:rsidR="00EF57B6" w:rsidP="00180EEB" w:rsidRDefault="00EF57B6" w14:paraId="1515A3F7" w14:textId="77777777">
            <w:pPr>
              <w:suppressAutoHyphens/>
              <w:rPr>
                <w:rFonts w:cs="Calibri"/>
                <w:color w:val="000000"/>
                <w:sz w:val="16"/>
                <w:szCs w:val="16"/>
                <w:lang w:eastAsia="nl-NL"/>
              </w:rPr>
            </w:pPr>
            <w:r w:rsidRPr="005F055E">
              <w:rPr>
                <w:rFonts w:cs="Calibri"/>
                <w:color w:val="000000"/>
                <w:sz w:val="16"/>
                <w:szCs w:val="16"/>
                <w:lang w:eastAsia="nl-NL"/>
              </w:rPr>
              <w:t>2.125</w:t>
            </w:r>
          </w:p>
        </w:tc>
        <w:tc>
          <w:tcPr>
            <w:tcW w:w="854" w:type="dxa"/>
            <w:tcBorders>
              <w:top w:val="nil"/>
              <w:left w:val="nil"/>
              <w:bottom w:val="nil"/>
              <w:right w:val="nil"/>
            </w:tcBorders>
            <w:shd w:val="clear" w:color="auto" w:fill="auto"/>
            <w:noWrap/>
            <w:vAlign w:val="bottom"/>
            <w:hideMark/>
          </w:tcPr>
          <w:p w:rsidRPr="005F055E" w:rsidR="00EF57B6" w:rsidP="00180EEB" w:rsidRDefault="00EF57B6" w14:paraId="7A3FF818" w14:textId="77777777">
            <w:pPr>
              <w:suppressAutoHyphens/>
              <w:rPr>
                <w:rFonts w:cs="Calibri"/>
                <w:color w:val="000000"/>
                <w:sz w:val="16"/>
                <w:szCs w:val="16"/>
                <w:lang w:eastAsia="nl-NL"/>
              </w:rPr>
            </w:pPr>
          </w:p>
        </w:tc>
        <w:tc>
          <w:tcPr>
            <w:tcW w:w="757" w:type="dxa"/>
            <w:tcBorders>
              <w:top w:val="nil"/>
              <w:left w:val="nil"/>
              <w:bottom w:val="nil"/>
              <w:right w:val="nil"/>
            </w:tcBorders>
            <w:shd w:val="clear" w:color="auto" w:fill="auto"/>
            <w:noWrap/>
            <w:vAlign w:val="bottom"/>
            <w:hideMark/>
          </w:tcPr>
          <w:p w:rsidRPr="005F055E" w:rsidR="00EF57B6" w:rsidP="00180EEB" w:rsidRDefault="00EF57B6" w14:paraId="031DA7DC" w14:textId="77777777">
            <w:pPr>
              <w:suppressAutoHyphens/>
              <w:rPr>
                <w:rFonts w:cs="Calibri"/>
                <w:color w:val="000000"/>
                <w:sz w:val="16"/>
                <w:szCs w:val="16"/>
                <w:lang w:eastAsia="nl-NL"/>
              </w:rPr>
            </w:pPr>
            <w:r w:rsidRPr="005F055E">
              <w:rPr>
                <w:rFonts w:cs="Calibri"/>
                <w:color w:val="000000"/>
                <w:sz w:val="16"/>
                <w:szCs w:val="16"/>
                <w:lang w:eastAsia="nl-NL"/>
              </w:rPr>
              <w:t>23.089</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23BD4F35" w14:textId="77777777">
            <w:pPr>
              <w:suppressAutoHyphens/>
              <w:rPr>
                <w:rFonts w:cs="Calibri"/>
                <w:color w:val="000000"/>
                <w:sz w:val="16"/>
                <w:szCs w:val="16"/>
                <w:lang w:eastAsia="nl-NL"/>
              </w:rPr>
            </w:pPr>
            <w:r w:rsidRPr="005F055E">
              <w:rPr>
                <w:rFonts w:cs="Calibri"/>
                <w:color w:val="000000"/>
                <w:sz w:val="16"/>
                <w:szCs w:val="16"/>
                <w:lang w:eastAsia="nl-NL"/>
              </w:rPr>
              <w:t>7.402</w:t>
            </w:r>
          </w:p>
        </w:tc>
        <w:tc>
          <w:tcPr>
            <w:tcW w:w="803" w:type="dxa"/>
            <w:tcBorders>
              <w:top w:val="nil"/>
              <w:left w:val="nil"/>
              <w:bottom w:val="nil"/>
              <w:right w:val="nil"/>
            </w:tcBorders>
            <w:shd w:val="clear" w:color="auto" w:fill="auto"/>
            <w:noWrap/>
            <w:vAlign w:val="bottom"/>
            <w:hideMark/>
          </w:tcPr>
          <w:p w:rsidRPr="005F055E" w:rsidR="00EF57B6" w:rsidP="00180EEB" w:rsidRDefault="00EF57B6" w14:paraId="30946525" w14:textId="77777777">
            <w:pPr>
              <w:suppressAutoHyphens/>
              <w:rPr>
                <w:rFonts w:cs="Calibri"/>
                <w:color w:val="000000"/>
                <w:sz w:val="16"/>
                <w:szCs w:val="16"/>
                <w:lang w:eastAsia="nl-NL"/>
              </w:rPr>
            </w:pPr>
            <w:r w:rsidRPr="005F055E">
              <w:rPr>
                <w:rFonts w:cs="Calibri"/>
                <w:color w:val="000000"/>
                <w:sz w:val="16"/>
                <w:szCs w:val="16"/>
                <w:lang w:eastAsia="nl-NL"/>
              </w:rPr>
              <w:t>2.826</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47F91275" w14:textId="77777777">
            <w:pPr>
              <w:suppressAutoHyphens/>
              <w:rPr>
                <w:rFonts w:cs="Calibri"/>
                <w:color w:val="000000"/>
                <w:sz w:val="16"/>
                <w:szCs w:val="16"/>
                <w:lang w:eastAsia="nl-NL"/>
              </w:rPr>
            </w:pPr>
            <w:r w:rsidRPr="005F055E">
              <w:rPr>
                <w:rFonts w:cs="Calibri"/>
                <w:color w:val="000000"/>
                <w:sz w:val="16"/>
                <w:szCs w:val="16"/>
                <w:lang w:eastAsia="nl-NL"/>
              </w:rPr>
              <w:t>58.228</w:t>
            </w:r>
          </w:p>
        </w:tc>
        <w:tc>
          <w:tcPr>
            <w:tcW w:w="1037" w:type="dxa"/>
            <w:tcBorders>
              <w:top w:val="nil"/>
              <w:left w:val="nil"/>
              <w:bottom w:val="nil"/>
              <w:right w:val="nil"/>
            </w:tcBorders>
            <w:shd w:val="clear" w:color="auto" w:fill="auto"/>
            <w:noWrap/>
            <w:vAlign w:val="bottom"/>
            <w:hideMark/>
          </w:tcPr>
          <w:p w:rsidRPr="005F055E" w:rsidR="00EF57B6" w:rsidP="00180EEB" w:rsidRDefault="00EF57B6" w14:paraId="3946006D" w14:textId="77777777">
            <w:pPr>
              <w:suppressAutoHyphens/>
              <w:rPr>
                <w:rFonts w:cs="Calibri"/>
                <w:color w:val="000000"/>
                <w:sz w:val="16"/>
                <w:szCs w:val="16"/>
                <w:lang w:eastAsia="nl-NL"/>
              </w:rPr>
            </w:pPr>
            <w:r w:rsidRPr="005F055E">
              <w:rPr>
                <w:rFonts w:cs="Calibri"/>
                <w:color w:val="000000"/>
                <w:sz w:val="16"/>
                <w:szCs w:val="16"/>
                <w:lang w:eastAsia="nl-NL"/>
              </w:rPr>
              <w:t>5.843</w:t>
            </w:r>
          </w:p>
        </w:tc>
        <w:tc>
          <w:tcPr>
            <w:tcW w:w="871" w:type="dxa"/>
            <w:tcBorders>
              <w:top w:val="nil"/>
              <w:left w:val="nil"/>
              <w:bottom w:val="nil"/>
              <w:right w:val="nil"/>
            </w:tcBorders>
            <w:shd w:val="clear" w:color="auto" w:fill="auto"/>
            <w:noWrap/>
            <w:vAlign w:val="bottom"/>
            <w:hideMark/>
          </w:tcPr>
          <w:p w:rsidRPr="005F055E" w:rsidR="00EF57B6" w:rsidP="00180EEB" w:rsidRDefault="00EF57B6" w14:paraId="4D8B1AFB" w14:textId="77777777">
            <w:pPr>
              <w:suppressAutoHyphens/>
              <w:rPr>
                <w:rFonts w:cs="Calibri"/>
                <w:color w:val="000000"/>
                <w:sz w:val="16"/>
                <w:szCs w:val="16"/>
                <w:lang w:eastAsia="nl-NL"/>
              </w:rPr>
            </w:pPr>
            <w:r w:rsidRPr="005F055E">
              <w:rPr>
                <w:rFonts w:cs="Calibri"/>
                <w:color w:val="000000"/>
                <w:sz w:val="16"/>
                <w:szCs w:val="16"/>
                <w:lang w:eastAsia="nl-NL"/>
              </w:rPr>
              <w:t>44.961</w:t>
            </w:r>
          </w:p>
        </w:tc>
        <w:tc>
          <w:tcPr>
            <w:tcW w:w="809" w:type="dxa"/>
            <w:tcBorders>
              <w:top w:val="nil"/>
              <w:left w:val="nil"/>
              <w:bottom w:val="nil"/>
              <w:right w:val="nil"/>
            </w:tcBorders>
            <w:vAlign w:val="bottom"/>
          </w:tcPr>
          <w:p w:rsidRPr="005F055E" w:rsidR="00EF57B6" w:rsidP="00180EEB" w:rsidRDefault="00EF57B6" w14:paraId="6C96F0AA" w14:textId="77777777">
            <w:pPr>
              <w:suppressAutoHyphens/>
              <w:rPr>
                <w:rFonts w:cs="Calibri"/>
                <w:color w:val="000000"/>
                <w:sz w:val="16"/>
                <w:szCs w:val="16"/>
                <w:lang w:eastAsia="nl-NL"/>
              </w:rPr>
            </w:pPr>
            <w:r w:rsidRPr="005F055E">
              <w:rPr>
                <w:rFonts w:cs="Calibri"/>
                <w:color w:val="000000"/>
                <w:sz w:val="16"/>
                <w:szCs w:val="16"/>
                <w:lang w:eastAsia="nl-NL"/>
              </w:rPr>
              <w:t>203.188</w:t>
            </w:r>
          </w:p>
        </w:tc>
      </w:tr>
      <w:tr w:rsidRPr="005F055E" w:rsidR="00EF57B6" w:rsidTr="005E2643" w14:paraId="2404F037" w14:textId="77777777">
        <w:trPr>
          <w:trHeight w:val="300"/>
        </w:trPr>
        <w:tc>
          <w:tcPr>
            <w:tcW w:w="874" w:type="dxa"/>
            <w:tcBorders>
              <w:top w:val="nil"/>
              <w:left w:val="nil"/>
              <w:bottom w:val="nil"/>
              <w:right w:val="nil"/>
            </w:tcBorders>
            <w:shd w:val="clear" w:color="auto" w:fill="auto"/>
            <w:noWrap/>
            <w:vAlign w:val="bottom"/>
            <w:hideMark/>
          </w:tcPr>
          <w:p w:rsidRPr="005F055E" w:rsidR="00EF57B6" w:rsidP="00180EEB" w:rsidRDefault="00EF57B6" w14:paraId="6BE3216E" w14:textId="77777777">
            <w:pPr>
              <w:suppressAutoHyphens/>
              <w:rPr>
                <w:rFonts w:cs="Calibri"/>
                <w:color w:val="000000"/>
                <w:sz w:val="16"/>
                <w:szCs w:val="16"/>
                <w:lang w:eastAsia="nl-NL"/>
              </w:rPr>
            </w:pPr>
            <w:r w:rsidRPr="005F055E">
              <w:rPr>
                <w:rFonts w:cs="Calibri"/>
                <w:color w:val="000000"/>
                <w:sz w:val="16"/>
                <w:szCs w:val="16"/>
                <w:lang w:eastAsia="nl-NL"/>
              </w:rPr>
              <w:t>2023</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03866D7A" w14:textId="77777777">
            <w:pPr>
              <w:suppressAutoHyphens/>
              <w:rPr>
                <w:rFonts w:cs="Calibri"/>
                <w:color w:val="000000"/>
                <w:sz w:val="16"/>
                <w:szCs w:val="16"/>
                <w:lang w:eastAsia="nl-NL"/>
              </w:rPr>
            </w:pPr>
            <w:r w:rsidRPr="005F055E">
              <w:rPr>
                <w:rFonts w:cs="Calibri"/>
                <w:color w:val="000000"/>
                <w:sz w:val="16"/>
                <w:szCs w:val="16"/>
                <w:lang w:eastAsia="nl-NL"/>
              </w:rPr>
              <w:t>6.525</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5722A62E" w14:textId="77777777">
            <w:pPr>
              <w:suppressAutoHyphens/>
              <w:rPr>
                <w:rFonts w:cs="Calibri"/>
                <w:color w:val="000000"/>
                <w:sz w:val="16"/>
                <w:szCs w:val="16"/>
                <w:lang w:eastAsia="nl-NL"/>
              </w:rPr>
            </w:pPr>
            <w:r w:rsidRPr="005F055E">
              <w:rPr>
                <w:rFonts w:cs="Calibri"/>
                <w:color w:val="000000"/>
                <w:sz w:val="16"/>
                <w:szCs w:val="16"/>
                <w:lang w:eastAsia="nl-NL"/>
              </w:rPr>
              <w:t>56.715</w:t>
            </w:r>
          </w:p>
        </w:tc>
        <w:tc>
          <w:tcPr>
            <w:tcW w:w="826" w:type="dxa"/>
            <w:tcBorders>
              <w:top w:val="nil"/>
              <w:left w:val="nil"/>
              <w:bottom w:val="nil"/>
              <w:right w:val="nil"/>
            </w:tcBorders>
            <w:shd w:val="clear" w:color="auto" w:fill="auto"/>
            <w:noWrap/>
            <w:vAlign w:val="bottom"/>
            <w:hideMark/>
          </w:tcPr>
          <w:p w:rsidRPr="005F055E" w:rsidR="00EF57B6" w:rsidP="00180EEB" w:rsidRDefault="00EF57B6" w14:paraId="674E09C7" w14:textId="77777777">
            <w:pPr>
              <w:suppressAutoHyphens/>
              <w:rPr>
                <w:rFonts w:cs="Calibri"/>
                <w:color w:val="000000"/>
                <w:sz w:val="16"/>
                <w:szCs w:val="16"/>
                <w:lang w:eastAsia="nl-NL"/>
              </w:rPr>
            </w:pPr>
            <w:r w:rsidRPr="005F055E">
              <w:rPr>
                <w:rFonts w:cs="Calibri"/>
                <w:color w:val="000000"/>
                <w:sz w:val="16"/>
                <w:szCs w:val="16"/>
                <w:lang w:eastAsia="nl-NL"/>
              </w:rPr>
              <w:t>2.098</w:t>
            </w:r>
          </w:p>
        </w:tc>
        <w:tc>
          <w:tcPr>
            <w:tcW w:w="854" w:type="dxa"/>
            <w:tcBorders>
              <w:top w:val="nil"/>
              <w:left w:val="nil"/>
              <w:bottom w:val="nil"/>
              <w:right w:val="nil"/>
            </w:tcBorders>
            <w:shd w:val="clear" w:color="auto" w:fill="auto"/>
            <w:noWrap/>
            <w:vAlign w:val="bottom"/>
            <w:hideMark/>
          </w:tcPr>
          <w:p w:rsidRPr="005F055E" w:rsidR="00EF57B6" w:rsidP="00180EEB" w:rsidRDefault="00EF57B6" w14:paraId="37D9F3AE" w14:textId="77777777">
            <w:pPr>
              <w:suppressAutoHyphens/>
              <w:rPr>
                <w:rFonts w:cs="Calibri"/>
                <w:color w:val="000000"/>
                <w:sz w:val="16"/>
                <w:szCs w:val="16"/>
                <w:lang w:eastAsia="nl-NL"/>
              </w:rPr>
            </w:pPr>
            <w:r w:rsidRPr="005F055E">
              <w:rPr>
                <w:rFonts w:cs="Calibri"/>
                <w:color w:val="000000"/>
                <w:sz w:val="16"/>
                <w:szCs w:val="16"/>
                <w:lang w:eastAsia="nl-NL"/>
              </w:rPr>
              <w:t>15.732</w:t>
            </w:r>
          </w:p>
        </w:tc>
        <w:tc>
          <w:tcPr>
            <w:tcW w:w="757" w:type="dxa"/>
            <w:tcBorders>
              <w:top w:val="nil"/>
              <w:left w:val="nil"/>
              <w:bottom w:val="nil"/>
              <w:right w:val="nil"/>
            </w:tcBorders>
            <w:shd w:val="clear" w:color="auto" w:fill="auto"/>
            <w:noWrap/>
            <w:vAlign w:val="bottom"/>
            <w:hideMark/>
          </w:tcPr>
          <w:p w:rsidRPr="005F055E" w:rsidR="00EF57B6" w:rsidP="00180EEB" w:rsidRDefault="00EF57B6" w14:paraId="3F6632A0" w14:textId="77777777">
            <w:pPr>
              <w:suppressAutoHyphens/>
              <w:rPr>
                <w:rFonts w:cs="Calibri"/>
                <w:color w:val="000000"/>
                <w:sz w:val="16"/>
                <w:szCs w:val="16"/>
                <w:lang w:eastAsia="nl-NL"/>
              </w:rPr>
            </w:pPr>
            <w:r w:rsidRPr="005F055E">
              <w:rPr>
                <w:rFonts w:cs="Calibri"/>
                <w:color w:val="000000"/>
                <w:sz w:val="16"/>
                <w:szCs w:val="16"/>
                <w:lang w:eastAsia="nl-NL"/>
              </w:rPr>
              <w:t>13.522</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4EB10ADA" w14:textId="77777777">
            <w:pPr>
              <w:suppressAutoHyphens/>
              <w:rPr>
                <w:rFonts w:cs="Calibri"/>
                <w:color w:val="000000"/>
                <w:sz w:val="16"/>
                <w:szCs w:val="16"/>
                <w:lang w:eastAsia="nl-NL"/>
              </w:rPr>
            </w:pPr>
            <w:r w:rsidRPr="005F055E">
              <w:rPr>
                <w:rFonts w:cs="Calibri"/>
                <w:color w:val="000000"/>
                <w:sz w:val="16"/>
                <w:szCs w:val="16"/>
                <w:lang w:eastAsia="nl-NL"/>
              </w:rPr>
              <w:t>7.119</w:t>
            </w:r>
          </w:p>
        </w:tc>
        <w:tc>
          <w:tcPr>
            <w:tcW w:w="803" w:type="dxa"/>
            <w:tcBorders>
              <w:top w:val="nil"/>
              <w:left w:val="nil"/>
              <w:bottom w:val="nil"/>
              <w:right w:val="nil"/>
            </w:tcBorders>
            <w:shd w:val="clear" w:color="auto" w:fill="auto"/>
            <w:noWrap/>
            <w:vAlign w:val="bottom"/>
            <w:hideMark/>
          </w:tcPr>
          <w:p w:rsidRPr="005F055E" w:rsidR="00EF57B6" w:rsidP="00180EEB" w:rsidRDefault="00EF57B6" w14:paraId="78FA2828" w14:textId="77777777">
            <w:pPr>
              <w:suppressAutoHyphens/>
              <w:rPr>
                <w:rFonts w:cs="Calibri"/>
                <w:color w:val="000000"/>
                <w:sz w:val="16"/>
                <w:szCs w:val="16"/>
                <w:lang w:eastAsia="nl-NL"/>
              </w:rPr>
            </w:pPr>
            <w:r w:rsidRPr="005F055E">
              <w:rPr>
                <w:rFonts w:cs="Calibri"/>
                <w:color w:val="000000"/>
                <w:sz w:val="16"/>
                <w:szCs w:val="16"/>
                <w:lang w:eastAsia="nl-NL"/>
              </w:rPr>
              <w:t>672</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2FE37401" w14:textId="77777777">
            <w:pPr>
              <w:suppressAutoHyphens/>
              <w:rPr>
                <w:rFonts w:cs="Calibri"/>
                <w:color w:val="000000"/>
                <w:sz w:val="16"/>
                <w:szCs w:val="16"/>
                <w:lang w:eastAsia="nl-NL"/>
              </w:rPr>
            </w:pPr>
            <w:r w:rsidRPr="005F055E">
              <w:rPr>
                <w:rFonts w:cs="Calibri"/>
                <w:color w:val="000000"/>
                <w:sz w:val="16"/>
                <w:szCs w:val="16"/>
                <w:lang w:eastAsia="nl-NL"/>
              </w:rPr>
              <w:t>56.095</w:t>
            </w:r>
          </w:p>
        </w:tc>
        <w:tc>
          <w:tcPr>
            <w:tcW w:w="1037" w:type="dxa"/>
            <w:tcBorders>
              <w:top w:val="nil"/>
              <w:left w:val="nil"/>
              <w:bottom w:val="nil"/>
              <w:right w:val="nil"/>
            </w:tcBorders>
            <w:shd w:val="clear" w:color="auto" w:fill="auto"/>
            <w:noWrap/>
            <w:vAlign w:val="bottom"/>
            <w:hideMark/>
          </w:tcPr>
          <w:p w:rsidRPr="005F055E" w:rsidR="00EF57B6" w:rsidP="00180EEB" w:rsidRDefault="00EF57B6" w14:paraId="43E60C60" w14:textId="77777777">
            <w:pPr>
              <w:suppressAutoHyphens/>
              <w:rPr>
                <w:rFonts w:cs="Calibri"/>
                <w:color w:val="000000"/>
                <w:sz w:val="16"/>
                <w:szCs w:val="16"/>
                <w:lang w:eastAsia="nl-NL"/>
              </w:rPr>
            </w:pPr>
            <w:r w:rsidRPr="005F055E">
              <w:rPr>
                <w:rFonts w:cs="Calibri"/>
                <w:color w:val="000000"/>
                <w:sz w:val="16"/>
                <w:szCs w:val="16"/>
                <w:lang w:eastAsia="nl-NL"/>
              </w:rPr>
              <w:t>5.519</w:t>
            </w:r>
          </w:p>
        </w:tc>
        <w:tc>
          <w:tcPr>
            <w:tcW w:w="871" w:type="dxa"/>
            <w:tcBorders>
              <w:top w:val="nil"/>
              <w:left w:val="nil"/>
              <w:bottom w:val="nil"/>
              <w:right w:val="nil"/>
            </w:tcBorders>
            <w:shd w:val="clear" w:color="auto" w:fill="auto"/>
            <w:noWrap/>
            <w:vAlign w:val="bottom"/>
            <w:hideMark/>
          </w:tcPr>
          <w:p w:rsidRPr="005F055E" w:rsidR="00EF57B6" w:rsidP="00180EEB" w:rsidRDefault="00EF57B6" w14:paraId="6B7599B0" w14:textId="77777777">
            <w:pPr>
              <w:suppressAutoHyphens/>
              <w:rPr>
                <w:rFonts w:cs="Calibri"/>
                <w:color w:val="000000"/>
                <w:sz w:val="16"/>
                <w:szCs w:val="16"/>
                <w:lang w:eastAsia="nl-NL"/>
              </w:rPr>
            </w:pPr>
            <w:r w:rsidRPr="005F055E">
              <w:rPr>
                <w:rFonts w:cs="Calibri"/>
                <w:color w:val="000000"/>
                <w:sz w:val="16"/>
                <w:szCs w:val="16"/>
                <w:lang w:eastAsia="nl-NL"/>
              </w:rPr>
              <w:t>17.019</w:t>
            </w:r>
          </w:p>
        </w:tc>
        <w:tc>
          <w:tcPr>
            <w:tcW w:w="809" w:type="dxa"/>
            <w:tcBorders>
              <w:top w:val="nil"/>
              <w:left w:val="nil"/>
              <w:bottom w:val="nil"/>
              <w:right w:val="nil"/>
            </w:tcBorders>
            <w:vAlign w:val="bottom"/>
          </w:tcPr>
          <w:p w:rsidRPr="005F055E" w:rsidR="00EF57B6" w:rsidP="00180EEB" w:rsidRDefault="00EF57B6" w14:paraId="1995D479" w14:textId="77777777">
            <w:pPr>
              <w:suppressAutoHyphens/>
              <w:rPr>
                <w:rFonts w:cs="Calibri"/>
                <w:color w:val="000000"/>
                <w:sz w:val="16"/>
                <w:szCs w:val="16"/>
                <w:lang w:eastAsia="nl-NL"/>
              </w:rPr>
            </w:pPr>
            <w:r w:rsidRPr="005F055E">
              <w:rPr>
                <w:rFonts w:cs="Calibri"/>
                <w:color w:val="000000"/>
                <w:sz w:val="16"/>
                <w:szCs w:val="16"/>
                <w:lang w:eastAsia="nl-NL"/>
              </w:rPr>
              <w:t>181.016</w:t>
            </w:r>
          </w:p>
        </w:tc>
      </w:tr>
      <w:tr w:rsidRPr="005F055E" w:rsidR="00EF57B6" w:rsidTr="005E2643" w14:paraId="12FEF761" w14:textId="77777777">
        <w:trPr>
          <w:trHeight w:val="300"/>
        </w:trPr>
        <w:tc>
          <w:tcPr>
            <w:tcW w:w="874" w:type="dxa"/>
            <w:tcBorders>
              <w:top w:val="nil"/>
              <w:left w:val="nil"/>
              <w:bottom w:val="nil"/>
              <w:right w:val="nil"/>
            </w:tcBorders>
            <w:shd w:val="clear" w:color="auto" w:fill="auto"/>
            <w:noWrap/>
            <w:vAlign w:val="bottom"/>
            <w:hideMark/>
          </w:tcPr>
          <w:p w:rsidRPr="005F055E" w:rsidR="00EF57B6" w:rsidP="00180EEB" w:rsidRDefault="00EF57B6" w14:paraId="6C8021AE" w14:textId="77777777">
            <w:pPr>
              <w:suppressAutoHyphens/>
              <w:rPr>
                <w:rFonts w:cs="Calibri"/>
                <w:color w:val="000000"/>
                <w:sz w:val="16"/>
                <w:szCs w:val="16"/>
                <w:lang w:eastAsia="nl-NL"/>
              </w:rPr>
            </w:pPr>
            <w:r w:rsidRPr="005F055E">
              <w:rPr>
                <w:rFonts w:cs="Calibri"/>
                <w:color w:val="000000"/>
                <w:sz w:val="16"/>
                <w:szCs w:val="16"/>
                <w:lang w:eastAsia="nl-NL"/>
              </w:rPr>
              <w:t>2024</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0A98F6CB" w14:textId="77777777">
            <w:pPr>
              <w:suppressAutoHyphens/>
              <w:rPr>
                <w:rFonts w:cs="Calibri"/>
                <w:color w:val="000000"/>
                <w:sz w:val="16"/>
                <w:szCs w:val="16"/>
                <w:lang w:eastAsia="nl-NL"/>
              </w:rPr>
            </w:pPr>
            <w:r w:rsidRPr="005F055E">
              <w:rPr>
                <w:rFonts w:cs="Calibri"/>
                <w:color w:val="000000"/>
                <w:sz w:val="16"/>
                <w:szCs w:val="16"/>
                <w:lang w:eastAsia="nl-NL"/>
              </w:rPr>
              <w:t>4.648</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2940707C" w14:textId="77777777">
            <w:pPr>
              <w:suppressAutoHyphens/>
              <w:rPr>
                <w:rFonts w:cs="Calibri"/>
                <w:color w:val="000000"/>
                <w:sz w:val="16"/>
                <w:szCs w:val="16"/>
                <w:lang w:eastAsia="nl-NL"/>
              </w:rPr>
            </w:pPr>
            <w:r w:rsidRPr="005F055E">
              <w:rPr>
                <w:rFonts w:cs="Calibri"/>
                <w:color w:val="000000"/>
                <w:sz w:val="16"/>
                <w:szCs w:val="16"/>
                <w:lang w:eastAsia="nl-NL"/>
              </w:rPr>
              <w:t>65.528</w:t>
            </w:r>
          </w:p>
        </w:tc>
        <w:tc>
          <w:tcPr>
            <w:tcW w:w="826" w:type="dxa"/>
            <w:tcBorders>
              <w:top w:val="nil"/>
              <w:left w:val="nil"/>
              <w:bottom w:val="nil"/>
              <w:right w:val="nil"/>
            </w:tcBorders>
            <w:shd w:val="clear" w:color="auto" w:fill="auto"/>
            <w:noWrap/>
            <w:vAlign w:val="bottom"/>
            <w:hideMark/>
          </w:tcPr>
          <w:p w:rsidRPr="005F055E" w:rsidR="00EF57B6" w:rsidP="00180EEB" w:rsidRDefault="00EF57B6" w14:paraId="28281B5E" w14:textId="77777777">
            <w:pPr>
              <w:suppressAutoHyphens/>
              <w:rPr>
                <w:rFonts w:cs="Calibri"/>
                <w:color w:val="000000"/>
                <w:sz w:val="16"/>
                <w:szCs w:val="16"/>
                <w:lang w:eastAsia="nl-NL"/>
              </w:rPr>
            </w:pPr>
            <w:r w:rsidRPr="005F055E">
              <w:rPr>
                <w:rFonts w:cs="Calibri"/>
                <w:color w:val="000000"/>
                <w:sz w:val="16"/>
                <w:szCs w:val="16"/>
                <w:lang w:eastAsia="nl-NL"/>
              </w:rPr>
              <w:t>2.208</w:t>
            </w:r>
          </w:p>
        </w:tc>
        <w:tc>
          <w:tcPr>
            <w:tcW w:w="854" w:type="dxa"/>
            <w:tcBorders>
              <w:top w:val="nil"/>
              <w:left w:val="nil"/>
              <w:bottom w:val="nil"/>
              <w:right w:val="nil"/>
            </w:tcBorders>
            <w:shd w:val="clear" w:color="auto" w:fill="auto"/>
            <w:noWrap/>
            <w:vAlign w:val="bottom"/>
            <w:hideMark/>
          </w:tcPr>
          <w:p w:rsidRPr="005F055E" w:rsidR="00EF57B6" w:rsidP="00180EEB" w:rsidRDefault="00EF57B6" w14:paraId="25AEA238" w14:textId="77777777">
            <w:pPr>
              <w:suppressAutoHyphens/>
              <w:rPr>
                <w:rFonts w:cs="Calibri"/>
                <w:color w:val="000000"/>
                <w:sz w:val="16"/>
                <w:szCs w:val="16"/>
                <w:lang w:eastAsia="nl-NL"/>
              </w:rPr>
            </w:pPr>
            <w:r w:rsidRPr="005F055E">
              <w:rPr>
                <w:rFonts w:cs="Calibri"/>
                <w:color w:val="000000"/>
                <w:sz w:val="16"/>
                <w:szCs w:val="16"/>
                <w:lang w:eastAsia="nl-NL"/>
              </w:rPr>
              <w:t>11.237</w:t>
            </w:r>
          </w:p>
        </w:tc>
        <w:tc>
          <w:tcPr>
            <w:tcW w:w="757" w:type="dxa"/>
            <w:tcBorders>
              <w:top w:val="nil"/>
              <w:left w:val="nil"/>
              <w:bottom w:val="nil"/>
              <w:right w:val="nil"/>
            </w:tcBorders>
            <w:shd w:val="clear" w:color="auto" w:fill="auto"/>
            <w:noWrap/>
            <w:vAlign w:val="bottom"/>
            <w:hideMark/>
          </w:tcPr>
          <w:p w:rsidRPr="005F055E" w:rsidR="00EF57B6" w:rsidP="00180EEB" w:rsidRDefault="00EF57B6" w14:paraId="3791F33E" w14:textId="77777777">
            <w:pPr>
              <w:suppressAutoHyphens/>
              <w:rPr>
                <w:rFonts w:cs="Calibri"/>
                <w:color w:val="000000"/>
                <w:sz w:val="16"/>
                <w:szCs w:val="16"/>
                <w:lang w:eastAsia="nl-NL"/>
              </w:rPr>
            </w:pPr>
            <w:r w:rsidRPr="005F055E">
              <w:rPr>
                <w:rFonts w:cs="Calibri"/>
                <w:color w:val="000000"/>
                <w:sz w:val="16"/>
                <w:szCs w:val="16"/>
                <w:lang w:eastAsia="nl-NL"/>
              </w:rPr>
              <w:t>11.386</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752D7480" w14:textId="77777777">
            <w:pPr>
              <w:suppressAutoHyphens/>
              <w:rPr>
                <w:rFonts w:cs="Calibri"/>
                <w:color w:val="000000"/>
                <w:sz w:val="16"/>
                <w:szCs w:val="16"/>
                <w:lang w:eastAsia="nl-NL"/>
              </w:rPr>
            </w:pPr>
            <w:r w:rsidRPr="005F055E">
              <w:rPr>
                <w:rFonts w:cs="Calibri"/>
                <w:color w:val="000000"/>
                <w:sz w:val="16"/>
                <w:szCs w:val="16"/>
                <w:lang w:eastAsia="nl-NL"/>
              </w:rPr>
              <w:t>7.414</w:t>
            </w:r>
          </w:p>
        </w:tc>
        <w:tc>
          <w:tcPr>
            <w:tcW w:w="803" w:type="dxa"/>
            <w:tcBorders>
              <w:top w:val="nil"/>
              <w:left w:val="nil"/>
              <w:bottom w:val="nil"/>
              <w:right w:val="nil"/>
            </w:tcBorders>
            <w:shd w:val="clear" w:color="auto" w:fill="auto"/>
            <w:noWrap/>
            <w:vAlign w:val="bottom"/>
            <w:hideMark/>
          </w:tcPr>
          <w:p w:rsidRPr="005F055E" w:rsidR="00EF57B6" w:rsidP="00180EEB" w:rsidRDefault="00EF57B6" w14:paraId="6BDB50AD" w14:textId="77777777">
            <w:pPr>
              <w:suppressAutoHyphens/>
              <w:rPr>
                <w:rFonts w:cs="Calibri"/>
                <w:color w:val="000000"/>
                <w:sz w:val="16"/>
                <w:szCs w:val="16"/>
                <w:lang w:eastAsia="nl-NL"/>
              </w:rPr>
            </w:pPr>
            <w:r w:rsidRPr="005F055E">
              <w:rPr>
                <w:rFonts w:cs="Calibri"/>
                <w:color w:val="000000"/>
                <w:sz w:val="16"/>
                <w:szCs w:val="16"/>
                <w:lang w:eastAsia="nl-NL"/>
              </w:rPr>
              <w:t>461</w:t>
            </w:r>
          </w:p>
        </w:tc>
        <w:tc>
          <w:tcPr>
            <w:tcW w:w="707" w:type="dxa"/>
            <w:tcBorders>
              <w:top w:val="nil"/>
              <w:left w:val="nil"/>
              <w:bottom w:val="nil"/>
              <w:right w:val="nil"/>
            </w:tcBorders>
            <w:shd w:val="clear" w:color="auto" w:fill="auto"/>
            <w:noWrap/>
            <w:vAlign w:val="bottom"/>
            <w:hideMark/>
          </w:tcPr>
          <w:p w:rsidRPr="005F055E" w:rsidR="00EF57B6" w:rsidP="00180EEB" w:rsidRDefault="00EF57B6" w14:paraId="57B2F88E" w14:textId="77777777">
            <w:pPr>
              <w:suppressAutoHyphens/>
              <w:rPr>
                <w:rFonts w:cs="Calibri"/>
                <w:color w:val="000000"/>
                <w:sz w:val="16"/>
                <w:szCs w:val="16"/>
                <w:lang w:eastAsia="nl-NL"/>
              </w:rPr>
            </w:pPr>
            <w:r w:rsidRPr="005F055E">
              <w:rPr>
                <w:rFonts w:cs="Calibri"/>
                <w:color w:val="000000"/>
                <w:sz w:val="16"/>
                <w:szCs w:val="16"/>
                <w:lang w:eastAsia="nl-NL"/>
              </w:rPr>
              <w:t>53.485</w:t>
            </w:r>
          </w:p>
        </w:tc>
        <w:tc>
          <w:tcPr>
            <w:tcW w:w="1037" w:type="dxa"/>
            <w:tcBorders>
              <w:top w:val="nil"/>
              <w:left w:val="nil"/>
              <w:bottom w:val="nil"/>
              <w:right w:val="nil"/>
            </w:tcBorders>
            <w:shd w:val="clear" w:color="auto" w:fill="auto"/>
            <w:noWrap/>
            <w:vAlign w:val="bottom"/>
            <w:hideMark/>
          </w:tcPr>
          <w:p w:rsidRPr="005F055E" w:rsidR="00EF57B6" w:rsidP="00180EEB" w:rsidRDefault="00EF57B6" w14:paraId="07F6353C" w14:textId="77777777">
            <w:pPr>
              <w:suppressAutoHyphens/>
              <w:rPr>
                <w:rFonts w:cs="Calibri"/>
                <w:color w:val="000000"/>
                <w:sz w:val="16"/>
                <w:szCs w:val="16"/>
                <w:lang w:eastAsia="nl-NL"/>
              </w:rPr>
            </w:pPr>
            <w:r w:rsidRPr="005F055E">
              <w:rPr>
                <w:rFonts w:cs="Calibri"/>
                <w:color w:val="000000"/>
                <w:sz w:val="16"/>
                <w:szCs w:val="16"/>
                <w:lang w:eastAsia="nl-NL"/>
              </w:rPr>
              <w:t>6.550</w:t>
            </w:r>
          </w:p>
        </w:tc>
        <w:tc>
          <w:tcPr>
            <w:tcW w:w="871" w:type="dxa"/>
            <w:tcBorders>
              <w:top w:val="nil"/>
              <w:left w:val="nil"/>
              <w:bottom w:val="nil"/>
              <w:right w:val="nil"/>
            </w:tcBorders>
            <w:shd w:val="clear" w:color="auto" w:fill="auto"/>
            <w:noWrap/>
            <w:vAlign w:val="bottom"/>
            <w:hideMark/>
          </w:tcPr>
          <w:p w:rsidRPr="005F055E" w:rsidR="00EF57B6" w:rsidP="00180EEB" w:rsidRDefault="00EF57B6" w14:paraId="0B64E384" w14:textId="77777777">
            <w:pPr>
              <w:suppressAutoHyphens/>
              <w:rPr>
                <w:rFonts w:cs="Calibri"/>
                <w:color w:val="000000"/>
                <w:sz w:val="16"/>
                <w:szCs w:val="16"/>
                <w:lang w:eastAsia="nl-NL"/>
              </w:rPr>
            </w:pPr>
            <w:r w:rsidRPr="005F055E">
              <w:rPr>
                <w:rFonts w:cs="Calibri"/>
                <w:color w:val="000000"/>
                <w:sz w:val="16"/>
                <w:szCs w:val="16"/>
                <w:lang w:eastAsia="nl-NL"/>
              </w:rPr>
              <w:t>35.199</w:t>
            </w:r>
          </w:p>
        </w:tc>
        <w:tc>
          <w:tcPr>
            <w:tcW w:w="809" w:type="dxa"/>
            <w:tcBorders>
              <w:top w:val="nil"/>
              <w:left w:val="nil"/>
              <w:bottom w:val="nil"/>
              <w:right w:val="nil"/>
            </w:tcBorders>
            <w:vAlign w:val="bottom"/>
          </w:tcPr>
          <w:p w:rsidRPr="005F055E" w:rsidR="00EF57B6" w:rsidP="00180EEB" w:rsidRDefault="00EF57B6" w14:paraId="3878F294" w14:textId="77777777">
            <w:pPr>
              <w:suppressAutoHyphens/>
              <w:rPr>
                <w:rFonts w:cs="Calibri"/>
                <w:color w:val="000000"/>
                <w:sz w:val="16"/>
                <w:szCs w:val="16"/>
                <w:lang w:eastAsia="nl-NL"/>
              </w:rPr>
            </w:pPr>
            <w:r w:rsidRPr="005F055E">
              <w:rPr>
                <w:rFonts w:cs="Calibri"/>
                <w:color w:val="000000"/>
                <w:sz w:val="16"/>
                <w:szCs w:val="16"/>
                <w:lang w:eastAsia="nl-NL"/>
              </w:rPr>
              <w:t>198.115</w:t>
            </w:r>
          </w:p>
        </w:tc>
      </w:tr>
    </w:tbl>
    <w:p w:rsidRPr="005F055E" w:rsidR="00EF57B6" w:rsidP="00180EEB" w:rsidRDefault="00EF57B6" w14:paraId="5A64EF05" w14:textId="1564283C">
      <w:pPr>
        <w:suppressAutoHyphens/>
        <w:spacing w:line="240" w:lineRule="atLeast"/>
        <w:rPr>
          <w:sz w:val="16"/>
          <w:szCs w:val="16"/>
          <w:lang w:eastAsia="nl-NL"/>
        </w:rPr>
      </w:pPr>
      <w:r w:rsidRPr="005F055E">
        <w:rPr>
          <w:i/>
          <w:iCs/>
          <w:sz w:val="14"/>
          <w:szCs w:val="14"/>
          <w:lang w:eastAsia="nl-NL"/>
        </w:rPr>
        <w:t xml:space="preserve">Bron: transparantieoverzichten van de jaarcijfers basisverzekering, zoals door individuele zorgverzekeraars gepresenteerd op hun website. </w:t>
      </w:r>
      <w:r w:rsidRPr="005F055E">
        <w:rPr>
          <w:rFonts w:eastAsia="Verdana" w:cstheme="minorHAnsi"/>
          <w:i/>
          <w:sz w:val="14"/>
          <w:szCs w:val="14"/>
          <w:lang w:eastAsia="nl-NL"/>
        </w:rPr>
        <w:t>EUCARE publiceert deze gegevens sinds 2023.</w:t>
      </w:r>
    </w:p>
    <w:p w:rsidRPr="005F055E" w:rsidR="00912A7D" w:rsidP="00180EEB" w:rsidRDefault="00912A7D" w14:paraId="6546B74D" w14:textId="77777777">
      <w:pPr>
        <w:suppressAutoHyphens/>
      </w:pPr>
    </w:p>
    <w:p w:rsidRPr="005F055E" w:rsidR="00912A7D" w:rsidP="00180EEB" w:rsidRDefault="003E7003" w14:paraId="340DE864" w14:textId="77777777">
      <w:pPr>
        <w:suppressAutoHyphens/>
      </w:pPr>
      <w:r w:rsidRPr="005F055E">
        <w:t>Vraag 185</w:t>
      </w:r>
      <w:r w:rsidRPr="005F055E">
        <w:tab/>
      </w:r>
    </w:p>
    <w:p w:rsidRPr="005F055E" w:rsidR="00912A7D" w:rsidP="00180EEB" w:rsidRDefault="003E7003" w14:paraId="522F9D65" w14:textId="77777777">
      <w:pPr>
        <w:suppressAutoHyphens/>
      </w:pPr>
      <w:r w:rsidRPr="005F055E">
        <w:t>Kunt u per zorgverzekeraar de solvabiliteit noemen? Hoe groot is voor elk van deze verzekeraars het bedrag aan reserves bovenop de door de Nederlandse Bank (DNB) vereiste solvabiliteit? Wat is het totaal aan reserves van zorgverzekeraars bovenop de door DNB vereiste solvabiliteit?</w:t>
      </w:r>
      <w:r w:rsidRPr="005F055E">
        <w:tab/>
      </w:r>
    </w:p>
    <w:p w:rsidRPr="005F055E" w:rsidR="003E7003" w:rsidP="00180EEB" w:rsidRDefault="003E7003" w14:paraId="77DF1DE9" w14:textId="14992510">
      <w:pPr>
        <w:suppressAutoHyphens/>
      </w:pPr>
      <w:r w:rsidRPr="005F055E">
        <w:t>Antwoord</w:t>
      </w:r>
    </w:p>
    <w:p w:rsidRPr="005F055E" w:rsidR="00EF57B6" w:rsidP="00180EEB" w:rsidRDefault="00EF57B6" w14:paraId="32C1F20F" w14:textId="1B4E73CC">
      <w:pPr>
        <w:suppressAutoHyphens/>
        <w:spacing w:line="276" w:lineRule="auto"/>
        <w:rPr>
          <w:rFonts w:eastAsia="Verdana" w:cstheme="minorHAnsi"/>
          <w:szCs w:val="18"/>
          <w:lang w:eastAsia="nl-NL"/>
        </w:rPr>
      </w:pPr>
      <w:r w:rsidRPr="005F055E">
        <w:rPr>
          <w:rFonts w:eastAsia="Verdana" w:cstheme="minorHAnsi"/>
          <w:szCs w:val="18"/>
          <w:lang w:eastAsia="nl-NL"/>
        </w:rPr>
        <w:t>Voor 2024 (het jaar waarvoor de meest recente cijfers beschikbaar zijn) vindt u hieronder de aanwezige en vereiste solvabiliteit basisverzekering en de solvabiliteitsratio’s. De aanwezige reserves basisverzekering van zorgverzekeraars tezamen bedragen ultimo 2024 € 11,4 miljard. Hiervan is bijna € 8,2 miljard wettelijk vereist. De gewogen gemiddelde solvabiliteitsratio bedraagt 139%.</w:t>
      </w:r>
      <w:r w:rsidRPr="005F055E" w:rsidR="00D73F76">
        <w:rPr>
          <w:rFonts w:eastAsia="Verdana" w:cstheme="minorHAnsi"/>
          <w:szCs w:val="18"/>
          <w:lang w:eastAsia="nl-NL"/>
        </w:rPr>
        <w:t xml:space="preserve"> </w:t>
      </w:r>
      <w:r w:rsidRPr="005F055E">
        <w:rPr>
          <w:rFonts w:eastAsia="Verdana" w:cstheme="minorHAnsi"/>
          <w:szCs w:val="18"/>
          <w:lang w:eastAsia="nl-NL"/>
        </w:rPr>
        <w:t xml:space="preserve"> </w:t>
      </w:r>
    </w:p>
    <w:p w:rsidRPr="005F055E" w:rsidR="00EF57B6" w:rsidP="00180EEB" w:rsidRDefault="00EF57B6" w14:paraId="556FE863" w14:textId="77777777">
      <w:pPr>
        <w:suppressAutoHyphens/>
        <w:spacing w:line="360" w:lineRule="auto"/>
        <w:rPr>
          <w:rFonts w:cs="Calibri"/>
          <w:szCs w:val="18"/>
          <w:u w:val="single"/>
          <w:lang w:eastAsia="nl-NL"/>
        </w:rPr>
      </w:pPr>
      <w:r w:rsidRPr="005F055E">
        <w:rPr>
          <w:rFonts w:cs="Calibri"/>
          <w:szCs w:val="18"/>
          <w:u w:val="single"/>
          <w:lang w:eastAsia="nl-NL"/>
        </w:rPr>
        <w:t xml:space="preserve">Solvabiliteit basisverzekering 2024, </w:t>
      </w:r>
      <w:proofErr w:type="spellStart"/>
      <w:r w:rsidRPr="005F055E">
        <w:rPr>
          <w:rFonts w:cs="Calibri"/>
          <w:szCs w:val="18"/>
          <w:u w:val="single"/>
          <w:lang w:eastAsia="nl-NL"/>
        </w:rPr>
        <w:t>Solvency</w:t>
      </w:r>
      <w:proofErr w:type="spellEnd"/>
      <w:r w:rsidRPr="005F055E">
        <w:rPr>
          <w:rFonts w:cs="Calibri"/>
          <w:szCs w:val="18"/>
          <w:u w:val="single"/>
          <w:lang w:eastAsia="nl-NL"/>
        </w:rPr>
        <w:t xml:space="preserve"> II (x €1 mln.) </w:t>
      </w:r>
    </w:p>
    <w:tbl>
      <w:tblPr>
        <w:tblStyle w:val="Tabelraster3"/>
        <w:tblW w:w="69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701"/>
        <w:gridCol w:w="851"/>
        <w:gridCol w:w="1275"/>
        <w:gridCol w:w="1418"/>
        <w:gridCol w:w="1701"/>
      </w:tblGrid>
      <w:tr w:rsidRPr="005F055E" w:rsidR="00EF57B6" w:rsidTr="005E2643" w14:paraId="269521D3" w14:textId="77777777">
        <w:trPr>
          <w:trHeight w:val="217"/>
        </w:trPr>
        <w:tc>
          <w:tcPr>
            <w:tcW w:w="1701" w:type="dxa"/>
            <w:tcBorders>
              <w:bottom w:val="single" w:color="auto" w:sz="4" w:space="0"/>
            </w:tcBorders>
            <w:noWrap/>
            <w:hideMark/>
          </w:tcPr>
          <w:p w:rsidRPr="005F055E" w:rsidR="00EF57B6" w:rsidP="00180EEB" w:rsidRDefault="00EF57B6" w14:paraId="0DAD43E8" w14:textId="77777777">
            <w:pPr>
              <w:suppressAutoHyphens/>
              <w:spacing w:line="360" w:lineRule="auto"/>
              <w:rPr>
                <w:rFonts w:cs="Calibri"/>
                <w:b/>
                <w:bCs/>
                <w:sz w:val="16"/>
                <w:szCs w:val="16"/>
                <w:lang w:eastAsia="nl-NL"/>
              </w:rPr>
            </w:pPr>
          </w:p>
        </w:tc>
        <w:tc>
          <w:tcPr>
            <w:tcW w:w="851" w:type="dxa"/>
            <w:tcBorders>
              <w:bottom w:val="single" w:color="auto" w:sz="4" w:space="0"/>
            </w:tcBorders>
          </w:tcPr>
          <w:p w:rsidRPr="005F055E" w:rsidR="00EF57B6" w:rsidP="00180EEB" w:rsidRDefault="00EF57B6" w14:paraId="4B12DA98" w14:textId="77777777">
            <w:pPr>
              <w:suppressAutoHyphens/>
              <w:spacing w:line="360" w:lineRule="auto"/>
              <w:rPr>
                <w:rFonts w:cs="Calibri"/>
                <w:b/>
                <w:bCs/>
                <w:sz w:val="16"/>
                <w:szCs w:val="16"/>
                <w:lang w:eastAsia="nl-NL"/>
              </w:rPr>
            </w:pPr>
            <w:r w:rsidRPr="005F055E">
              <w:rPr>
                <w:rFonts w:cs="Calibri"/>
                <w:b/>
                <w:bCs/>
                <w:sz w:val="16"/>
                <w:szCs w:val="16"/>
                <w:lang w:eastAsia="nl-NL"/>
              </w:rPr>
              <w:t>2024</w:t>
            </w:r>
          </w:p>
        </w:tc>
        <w:tc>
          <w:tcPr>
            <w:tcW w:w="1275" w:type="dxa"/>
            <w:tcBorders>
              <w:bottom w:val="single" w:color="auto" w:sz="4" w:space="0"/>
            </w:tcBorders>
          </w:tcPr>
          <w:p w:rsidRPr="005F055E" w:rsidR="00EF57B6" w:rsidP="00180EEB" w:rsidRDefault="00EF57B6" w14:paraId="2D58E5B7" w14:textId="77777777">
            <w:pPr>
              <w:suppressAutoHyphens/>
              <w:spacing w:line="360" w:lineRule="auto"/>
              <w:rPr>
                <w:rFonts w:cs="Calibri"/>
                <w:b/>
                <w:bCs/>
                <w:sz w:val="16"/>
                <w:szCs w:val="16"/>
                <w:lang w:eastAsia="nl-NL"/>
              </w:rPr>
            </w:pPr>
            <w:r w:rsidRPr="005F055E">
              <w:rPr>
                <w:rFonts w:cs="Calibri"/>
                <w:b/>
                <w:bCs/>
                <w:sz w:val="16"/>
                <w:szCs w:val="16"/>
                <w:lang w:eastAsia="nl-NL"/>
              </w:rPr>
              <w:t>Aanwezige solvabiliteit</w:t>
            </w:r>
          </w:p>
        </w:tc>
        <w:tc>
          <w:tcPr>
            <w:tcW w:w="1418" w:type="dxa"/>
            <w:tcBorders>
              <w:bottom w:val="single" w:color="auto" w:sz="4" w:space="0"/>
            </w:tcBorders>
          </w:tcPr>
          <w:p w:rsidRPr="005F055E" w:rsidR="00EF57B6" w:rsidP="00180EEB" w:rsidRDefault="00EF57B6" w14:paraId="467177EB" w14:textId="77777777">
            <w:pPr>
              <w:suppressAutoHyphens/>
              <w:spacing w:line="360" w:lineRule="auto"/>
              <w:rPr>
                <w:rFonts w:cs="Calibri"/>
                <w:b/>
                <w:bCs/>
                <w:sz w:val="16"/>
                <w:szCs w:val="16"/>
                <w:lang w:eastAsia="nl-NL"/>
              </w:rPr>
            </w:pPr>
            <w:r w:rsidRPr="005F055E">
              <w:rPr>
                <w:rFonts w:cs="Calibri"/>
                <w:b/>
                <w:bCs/>
                <w:sz w:val="16"/>
                <w:szCs w:val="16"/>
                <w:lang w:eastAsia="nl-NL"/>
              </w:rPr>
              <w:t>Vereiste solvabiliteit</w:t>
            </w:r>
          </w:p>
        </w:tc>
        <w:tc>
          <w:tcPr>
            <w:tcW w:w="1701" w:type="dxa"/>
            <w:tcBorders>
              <w:bottom w:val="single" w:color="auto" w:sz="4" w:space="0"/>
            </w:tcBorders>
          </w:tcPr>
          <w:p w:rsidRPr="005F055E" w:rsidR="00EF57B6" w:rsidP="00180EEB" w:rsidRDefault="00EF57B6" w14:paraId="0A12556E" w14:textId="77777777">
            <w:pPr>
              <w:suppressAutoHyphens/>
              <w:spacing w:line="360" w:lineRule="auto"/>
              <w:rPr>
                <w:rFonts w:cstheme="minorHAnsi"/>
                <w:b/>
                <w:bCs/>
                <w:sz w:val="16"/>
                <w:szCs w:val="16"/>
                <w:lang w:eastAsia="nl-NL"/>
              </w:rPr>
            </w:pPr>
            <w:r w:rsidRPr="005F055E">
              <w:rPr>
                <w:rFonts w:cstheme="minorHAnsi"/>
                <w:b/>
                <w:bCs/>
                <w:sz w:val="16"/>
                <w:szCs w:val="16"/>
                <w:lang w:eastAsia="nl-NL"/>
              </w:rPr>
              <w:t xml:space="preserve">Verschil tussen aanwezige en </w:t>
            </w:r>
          </w:p>
          <w:p w:rsidRPr="005F055E" w:rsidR="00EF57B6" w:rsidP="00180EEB" w:rsidRDefault="00EF57B6" w14:paraId="7C641561" w14:textId="77777777">
            <w:pPr>
              <w:suppressAutoHyphens/>
              <w:spacing w:line="360" w:lineRule="auto"/>
              <w:rPr>
                <w:rFonts w:cs="Calibri"/>
                <w:b/>
                <w:bCs/>
                <w:sz w:val="16"/>
                <w:szCs w:val="16"/>
                <w:lang w:eastAsia="nl-NL"/>
              </w:rPr>
            </w:pPr>
            <w:r w:rsidRPr="005F055E">
              <w:rPr>
                <w:rFonts w:cstheme="minorHAnsi"/>
                <w:b/>
                <w:bCs/>
                <w:sz w:val="16"/>
                <w:szCs w:val="16"/>
                <w:lang w:eastAsia="nl-NL"/>
              </w:rPr>
              <w:t xml:space="preserve">vereiste </w:t>
            </w:r>
            <w:r w:rsidRPr="005F055E">
              <w:rPr>
                <w:rFonts w:cstheme="minorHAnsi"/>
                <w:b/>
                <w:bCs/>
                <w:sz w:val="16"/>
                <w:szCs w:val="16"/>
                <w:lang w:eastAsia="nl-NL"/>
              </w:rPr>
              <w:br/>
              <w:t xml:space="preserve">solvabiliteit </w:t>
            </w:r>
          </w:p>
        </w:tc>
      </w:tr>
      <w:tr w:rsidRPr="005F055E" w:rsidR="00EF57B6" w:rsidTr="005E2643" w14:paraId="7142AB84" w14:textId="77777777">
        <w:trPr>
          <w:trHeight w:val="217"/>
        </w:trPr>
        <w:tc>
          <w:tcPr>
            <w:tcW w:w="1701" w:type="dxa"/>
            <w:tcBorders>
              <w:top w:val="single" w:color="auto" w:sz="4" w:space="0"/>
            </w:tcBorders>
            <w:noWrap/>
            <w:hideMark/>
          </w:tcPr>
          <w:p w:rsidRPr="005F055E" w:rsidR="00EF57B6" w:rsidP="00180EEB" w:rsidRDefault="00EF57B6" w14:paraId="423F7198" w14:textId="77777777">
            <w:pPr>
              <w:suppressAutoHyphens/>
              <w:spacing w:line="360" w:lineRule="auto"/>
              <w:rPr>
                <w:rFonts w:cs="Calibri"/>
                <w:sz w:val="16"/>
                <w:szCs w:val="16"/>
                <w:lang w:eastAsia="nl-NL"/>
              </w:rPr>
            </w:pPr>
            <w:r w:rsidRPr="005F055E">
              <w:rPr>
                <w:rFonts w:cs="Calibri"/>
                <w:sz w:val="16"/>
                <w:szCs w:val="16"/>
                <w:lang w:eastAsia="nl-NL"/>
              </w:rPr>
              <w:t>ASR</w:t>
            </w:r>
          </w:p>
        </w:tc>
        <w:tc>
          <w:tcPr>
            <w:tcW w:w="851" w:type="dxa"/>
            <w:tcBorders>
              <w:top w:val="single" w:color="auto" w:sz="4" w:space="0"/>
            </w:tcBorders>
            <w:vAlign w:val="bottom"/>
          </w:tcPr>
          <w:p w:rsidRPr="005F055E" w:rsidR="00EF57B6" w:rsidP="00180EEB" w:rsidRDefault="00EF57B6" w14:paraId="16F5BB2C" w14:textId="77777777">
            <w:pPr>
              <w:suppressAutoHyphens/>
              <w:spacing w:line="360" w:lineRule="auto"/>
              <w:rPr>
                <w:rFonts w:cs="Calibri"/>
                <w:sz w:val="16"/>
                <w:szCs w:val="16"/>
                <w:lang w:eastAsia="nl-NL"/>
              </w:rPr>
            </w:pPr>
            <w:r w:rsidRPr="005F055E">
              <w:rPr>
                <w:rFonts w:cs="Calibri"/>
                <w:color w:val="000000"/>
                <w:sz w:val="16"/>
                <w:szCs w:val="16"/>
                <w:lang w:eastAsia="nl-NL"/>
              </w:rPr>
              <w:t>139%</w:t>
            </w:r>
          </w:p>
        </w:tc>
        <w:tc>
          <w:tcPr>
            <w:tcW w:w="1275" w:type="dxa"/>
            <w:tcBorders>
              <w:top w:val="single" w:color="auto" w:sz="4" w:space="0"/>
            </w:tcBorders>
            <w:vAlign w:val="bottom"/>
          </w:tcPr>
          <w:p w:rsidRPr="005F055E" w:rsidR="00EF57B6" w:rsidP="00180EEB" w:rsidRDefault="00EF57B6" w14:paraId="6C1A507D" w14:textId="77777777">
            <w:pPr>
              <w:suppressAutoHyphens/>
              <w:spacing w:line="360" w:lineRule="auto"/>
              <w:rPr>
                <w:rFonts w:cs="Calibri"/>
                <w:sz w:val="16"/>
                <w:szCs w:val="16"/>
                <w:lang w:eastAsia="nl-NL"/>
              </w:rPr>
            </w:pPr>
            <w:r w:rsidRPr="005F055E">
              <w:rPr>
                <w:rFonts w:cs="Calibri"/>
                <w:color w:val="000000"/>
                <w:sz w:val="16"/>
                <w:szCs w:val="16"/>
                <w:lang w:eastAsia="nl-NL"/>
              </w:rPr>
              <w:t>244</w:t>
            </w:r>
          </w:p>
        </w:tc>
        <w:tc>
          <w:tcPr>
            <w:tcW w:w="1418" w:type="dxa"/>
            <w:tcBorders>
              <w:top w:val="single" w:color="auto" w:sz="4" w:space="0"/>
            </w:tcBorders>
            <w:vAlign w:val="bottom"/>
          </w:tcPr>
          <w:p w:rsidRPr="005F055E" w:rsidR="00EF57B6" w:rsidP="00180EEB" w:rsidRDefault="00EF57B6" w14:paraId="488EAC84" w14:textId="77777777">
            <w:pPr>
              <w:tabs>
                <w:tab w:val="center" w:pos="389"/>
                <w:tab w:val="right" w:pos="779"/>
              </w:tabs>
              <w:suppressAutoHyphens/>
              <w:spacing w:line="360" w:lineRule="auto"/>
              <w:rPr>
                <w:rFonts w:cs="Calibri"/>
                <w:sz w:val="16"/>
                <w:szCs w:val="16"/>
                <w:lang w:eastAsia="nl-NL"/>
              </w:rPr>
            </w:pPr>
            <w:r w:rsidRPr="005F055E">
              <w:rPr>
                <w:rFonts w:cs="Calibri"/>
                <w:color w:val="000000"/>
                <w:sz w:val="16"/>
                <w:szCs w:val="16"/>
                <w:lang w:eastAsia="nl-NL"/>
              </w:rPr>
              <w:t>176</w:t>
            </w:r>
          </w:p>
        </w:tc>
        <w:tc>
          <w:tcPr>
            <w:tcW w:w="1701" w:type="dxa"/>
            <w:tcBorders>
              <w:top w:val="single" w:color="auto" w:sz="4" w:space="0"/>
            </w:tcBorders>
            <w:vAlign w:val="bottom"/>
          </w:tcPr>
          <w:p w:rsidRPr="005F055E" w:rsidR="00EF57B6" w:rsidP="00180EEB" w:rsidRDefault="00EF57B6" w14:paraId="247D2D61" w14:textId="77777777">
            <w:pPr>
              <w:tabs>
                <w:tab w:val="center" w:pos="389"/>
                <w:tab w:val="right" w:pos="779"/>
              </w:tabs>
              <w:suppressAutoHyphens/>
              <w:spacing w:line="360" w:lineRule="auto"/>
              <w:rPr>
                <w:rFonts w:cs="Calibri"/>
                <w:sz w:val="16"/>
                <w:szCs w:val="16"/>
                <w:lang w:eastAsia="nl-NL"/>
              </w:rPr>
            </w:pPr>
            <w:r w:rsidRPr="005F055E">
              <w:rPr>
                <w:rFonts w:cs="Calibri"/>
                <w:color w:val="000000"/>
                <w:sz w:val="16"/>
                <w:szCs w:val="16"/>
                <w:lang w:eastAsia="nl-NL"/>
              </w:rPr>
              <w:t>68</w:t>
            </w:r>
          </w:p>
        </w:tc>
      </w:tr>
      <w:tr w:rsidRPr="005F055E" w:rsidR="00EF57B6" w:rsidTr="005E2643" w14:paraId="60429B6E" w14:textId="77777777">
        <w:trPr>
          <w:trHeight w:val="217"/>
        </w:trPr>
        <w:tc>
          <w:tcPr>
            <w:tcW w:w="1701" w:type="dxa"/>
            <w:noWrap/>
            <w:hideMark/>
          </w:tcPr>
          <w:p w:rsidRPr="005F055E" w:rsidR="00EF57B6" w:rsidP="00180EEB" w:rsidRDefault="00EF57B6" w14:paraId="25BAD985" w14:textId="77777777">
            <w:pPr>
              <w:suppressAutoHyphens/>
              <w:spacing w:line="360" w:lineRule="auto"/>
              <w:rPr>
                <w:rFonts w:cs="Calibri"/>
                <w:sz w:val="16"/>
                <w:szCs w:val="16"/>
                <w:lang w:eastAsia="nl-NL"/>
              </w:rPr>
            </w:pPr>
            <w:r w:rsidRPr="005F055E">
              <w:rPr>
                <w:rFonts w:cs="Calibri"/>
                <w:sz w:val="16"/>
                <w:szCs w:val="16"/>
                <w:lang w:eastAsia="nl-NL"/>
              </w:rPr>
              <w:t>CZ</w:t>
            </w:r>
          </w:p>
        </w:tc>
        <w:tc>
          <w:tcPr>
            <w:tcW w:w="851" w:type="dxa"/>
            <w:vAlign w:val="bottom"/>
          </w:tcPr>
          <w:p w:rsidRPr="005F055E" w:rsidR="00EF57B6" w:rsidP="00180EEB" w:rsidRDefault="00EF57B6" w14:paraId="0C3792D2" w14:textId="77777777">
            <w:pPr>
              <w:suppressAutoHyphens/>
              <w:spacing w:line="360" w:lineRule="auto"/>
              <w:rPr>
                <w:rFonts w:cs="Calibri"/>
                <w:sz w:val="16"/>
                <w:szCs w:val="16"/>
                <w:lang w:eastAsia="nl-NL"/>
              </w:rPr>
            </w:pPr>
            <w:r w:rsidRPr="005F055E">
              <w:rPr>
                <w:rFonts w:cs="Calibri"/>
                <w:color w:val="000000"/>
                <w:sz w:val="16"/>
                <w:szCs w:val="16"/>
                <w:lang w:eastAsia="nl-NL"/>
              </w:rPr>
              <w:t>141%</w:t>
            </w:r>
          </w:p>
        </w:tc>
        <w:tc>
          <w:tcPr>
            <w:tcW w:w="1275" w:type="dxa"/>
            <w:vAlign w:val="bottom"/>
          </w:tcPr>
          <w:p w:rsidRPr="005F055E" w:rsidR="00EF57B6" w:rsidP="00180EEB" w:rsidRDefault="00EF57B6" w14:paraId="4B082B0D" w14:textId="77777777">
            <w:pPr>
              <w:suppressAutoHyphens/>
              <w:spacing w:line="360" w:lineRule="auto"/>
              <w:rPr>
                <w:rFonts w:cs="Calibri"/>
                <w:sz w:val="16"/>
                <w:szCs w:val="16"/>
                <w:lang w:eastAsia="nl-NL"/>
              </w:rPr>
            </w:pPr>
            <w:r w:rsidRPr="005F055E">
              <w:rPr>
                <w:rFonts w:cs="Calibri"/>
                <w:color w:val="000000"/>
                <w:sz w:val="16"/>
                <w:szCs w:val="16"/>
                <w:lang w:eastAsia="nl-NL"/>
              </w:rPr>
              <w:t>2.521</w:t>
            </w:r>
          </w:p>
        </w:tc>
        <w:tc>
          <w:tcPr>
            <w:tcW w:w="1418" w:type="dxa"/>
            <w:vAlign w:val="bottom"/>
          </w:tcPr>
          <w:p w:rsidRPr="005F055E" w:rsidR="00EF57B6" w:rsidP="00180EEB" w:rsidRDefault="00EF57B6" w14:paraId="1368645F" w14:textId="77777777">
            <w:pPr>
              <w:suppressAutoHyphens/>
              <w:spacing w:line="360" w:lineRule="auto"/>
              <w:rPr>
                <w:rFonts w:cs="Calibri"/>
                <w:sz w:val="16"/>
                <w:szCs w:val="16"/>
                <w:lang w:eastAsia="nl-NL"/>
              </w:rPr>
            </w:pPr>
            <w:r w:rsidRPr="005F055E">
              <w:rPr>
                <w:rFonts w:cs="Calibri"/>
                <w:color w:val="000000"/>
                <w:sz w:val="16"/>
                <w:szCs w:val="16"/>
                <w:lang w:eastAsia="nl-NL"/>
              </w:rPr>
              <w:t>1.782</w:t>
            </w:r>
          </w:p>
        </w:tc>
        <w:tc>
          <w:tcPr>
            <w:tcW w:w="1701" w:type="dxa"/>
            <w:vAlign w:val="bottom"/>
          </w:tcPr>
          <w:p w:rsidRPr="005F055E" w:rsidR="00EF57B6" w:rsidP="00180EEB" w:rsidRDefault="00EF57B6" w14:paraId="26DF5167" w14:textId="77777777">
            <w:pPr>
              <w:tabs>
                <w:tab w:val="center" w:pos="389"/>
                <w:tab w:val="right" w:pos="779"/>
              </w:tabs>
              <w:suppressAutoHyphens/>
              <w:spacing w:line="360" w:lineRule="auto"/>
              <w:rPr>
                <w:rFonts w:cs="Calibri"/>
                <w:sz w:val="16"/>
                <w:szCs w:val="16"/>
                <w:lang w:eastAsia="nl-NL"/>
              </w:rPr>
            </w:pPr>
            <w:r w:rsidRPr="005F055E">
              <w:rPr>
                <w:rFonts w:cs="Calibri"/>
                <w:color w:val="000000"/>
                <w:sz w:val="16"/>
                <w:szCs w:val="16"/>
                <w:lang w:eastAsia="nl-NL"/>
              </w:rPr>
              <w:t>739</w:t>
            </w:r>
          </w:p>
        </w:tc>
      </w:tr>
      <w:tr w:rsidRPr="005F055E" w:rsidR="00EF57B6" w:rsidTr="005E2643" w14:paraId="72FE0D98" w14:textId="77777777">
        <w:trPr>
          <w:trHeight w:val="217"/>
        </w:trPr>
        <w:tc>
          <w:tcPr>
            <w:tcW w:w="1701" w:type="dxa"/>
            <w:noWrap/>
            <w:hideMark/>
          </w:tcPr>
          <w:p w:rsidRPr="005F055E" w:rsidR="00EF57B6" w:rsidP="00180EEB" w:rsidRDefault="00EF57B6" w14:paraId="7651C1F2" w14:textId="77777777">
            <w:pPr>
              <w:suppressAutoHyphens/>
              <w:spacing w:line="360" w:lineRule="auto"/>
              <w:rPr>
                <w:rFonts w:cs="Calibri"/>
                <w:sz w:val="16"/>
                <w:szCs w:val="16"/>
                <w:lang w:eastAsia="nl-NL"/>
              </w:rPr>
            </w:pPr>
            <w:r w:rsidRPr="005F055E">
              <w:rPr>
                <w:rFonts w:cs="Calibri"/>
                <w:sz w:val="16"/>
                <w:szCs w:val="16"/>
                <w:lang w:eastAsia="nl-NL"/>
              </w:rPr>
              <w:t>DSW + Stad Holland</w:t>
            </w:r>
          </w:p>
        </w:tc>
        <w:tc>
          <w:tcPr>
            <w:tcW w:w="851" w:type="dxa"/>
            <w:vAlign w:val="bottom"/>
          </w:tcPr>
          <w:p w:rsidRPr="005F055E" w:rsidR="00EF57B6" w:rsidP="00180EEB" w:rsidRDefault="00EF57B6" w14:paraId="398A4BD6" w14:textId="77777777">
            <w:pPr>
              <w:suppressAutoHyphens/>
              <w:spacing w:line="360" w:lineRule="auto"/>
              <w:rPr>
                <w:rFonts w:cs="Calibri"/>
                <w:sz w:val="16"/>
                <w:szCs w:val="16"/>
                <w:lang w:eastAsia="nl-NL"/>
              </w:rPr>
            </w:pPr>
            <w:r w:rsidRPr="005F055E">
              <w:rPr>
                <w:rFonts w:cs="Calibri"/>
                <w:color w:val="000000"/>
                <w:sz w:val="16"/>
                <w:szCs w:val="16"/>
                <w:lang w:eastAsia="nl-NL"/>
              </w:rPr>
              <w:t>137%</w:t>
            </w:r>
          </w:p>
        </w:tc>
        <w:tc>
          <w:tcPr>
            <w:tcW w:w="1275" w:type="dxa"/>
            <w:vAlign w:val="bottom"/>
          </w:tcPr>
          <w:p w:rsidRPr="005F055E" w:rsidR="00EF57B6" w:rsidP="00180EEB" w:rsidRDefault="00EF57B6" w14:paraId="098C3261" w14:textId="77777777">
            <w:pPr>
              <w:suppressAutoHyphens/>
              <w:spacing w:line="360" w:lineRule="auto"/>
              <w:rPr>
                <w:rFonts w:cs="Calibri"/>
                <w:sz w:val="16"/>
                <w:szCs w:val="16"/>
                <w:lang w:eastAsia="nl-NL"/>
              </w:rPr>
            </w:pPr>
            <w:r w:rsidRPr="005F055E">
              <w:rPr>
                <w:rFonts w:cs="Calibri"/>
                <w:color w:val="000000"/>
                <w:sz w:val="16"/>
                <w:szCs w:val="16"/>
                <w:lang w:eastAsia="nl-NL"/>
              </w:rPr>
              <w:t>495</w:t>
            </w:r>
          </w:p>
        </w:tc>
        <w:tc>
          <w:tcPr>
            <w:tcW w:w="1418" w:type="dxa"/>
            <w:vAlign w:val="bottom"/>
          </w:tcPr>
          <w:p w:rsidRPr="005F055E" w:rsidR="00EF57B6" w:rsidP="00180EEB" w:rsidRDefault="00EF57B6" w14:paraId="62755A59" w14:textId="77777777">
            <w:pPr>
              <w:suppressAutoHyphens/>
              <w:spacing w:line="360" w:lineRule="auto"/>
              <w:rPr>
                <w:rFonts w:cs="Calibri"/>
                <w:sz w:val="16"/>
                <w:szCs w:val="16"/>
                <w:lang w:eastAsia="nl-NL"/>
              </w:rPr>
            </w:pPr>
            <w:r w:rsidRPr="005F055E">
              <w:rPr>
                <w:rFonts w:cs="Calibri"/>
                <w:color w:val="000000"/>
                <w:sz w:val="16"/>
                <w:szCs w:val="16"/>
                <w:lang w:eastAsia="nl-NL"/>
              </w:rPr>
              <w:t>362</w:t>
            </w:r>
          </w:p>
        </w:tc>
        <w:tc>
          <w:tcPr>
            <w:tcW w:w="1701" w:type="dxa"/>
            <w:vAlign w:val="bottom"/>
          </w:tcPr>
          <w:p w:rsidRPr="005F055E" w:rsidR="00EF57B6" w:rsidP="00180EEB" w:rsidRDefault="00EF57B6" w14:paraId="4B18017E" w14:textId="77777777">
            <w:pPr>
              <w:tabs>
                <w:tab w:val="center" w:pos="389"/>
                <w:tab w:val="right" w:pos="779"/>
              </w:tabs>
              <w:suppressAutoHyphens/>
              <w:spacing w:line="360" w:lineRule="auto"/>
              <w:rPr>
                <w:rFonts w:cs="Calibri"/>
                <w:sz w:val="16"/>
                <w:szCs w:val="16"/>
                <w:lang w:eastAsia="nl-NL"/>
              </w:rPr>
            </w:pPr>
            <w:r w:rsidRPr="005F055E">
              <w:rPr>
                <w:rFonts w:cs="Calibri"/>
                <w:color w:val="000000"/>
                <w:sz w:val="16"/>
                <w:szCs w:val="16"/>
                <w:lang w:eastAsia="nl-NL"/>
              </w:rPr>
              <w:t>133</w:t>
            </w:r>
          </w:p>
        </w:tc>
      </w:tr>
      <w:tr w:rsidRPr="005F055E" w:rsidR="00EF57B6" w:rsidTr="005E2643" w14:paraId="19EA803E" w14:textId="77777777">
        <w:trPr>
          <w:trHeight w:val="217"/>
        </w:trPr>
        <w:tc>
          <w:tcPr>
            <w:tcW w:w="1701" w:type="dxa"/>
            <w:noWrap/>
          </w:tcPr>
          <w:p w:rsidRPr="005F055E" w:rsidR="00EF57B6" w:rsidP="00180EEB" w:rsidRDefault="00EF57B6" w14:paraId="175C83B9" w14:textId="77777777">
            <w:pPr>
              <w:suppressAutoHyphens/>
              <w:spacing w:line="360" w:lineRule="auto"/>
              <w:rPr>
                <w:rFonts w:cs="Calibri"/>
                <w:sz w:val="16"/>
                <w:szCs w:val="16"/>
                <w:lang w:eastAsia="nl-NL"/>
              </w:rPr>
            </w:pPr>
            <w:r w:rsidRPr="005F055E">
              <w:rPr>
                <w:rFonts w:cs="Calibri"/>
                <w:sz w:val="16"/>
                <w:szCs w:val="16"/>
                <w:lang w:eastAsia="nl-NL"/>
              </w:rPr>
              <w:t>EUCARE</w:t>
            </w:r>
          </w:p>
        </w:tc>
        <w:tc>
          <w:tcPr>
            <w:tcW w:w="851" w:type="dxa"/>
            <w:vAlign w:val="bottom"/>
          </w:tcPr>
          <w:p w:rsidRPr="005F055E" w:rsidR="00EF57B6" w:rsidP="00180EEB" w:rsidRDefault="00EF57B6" w14:paraId="5335FB4A" w14:textId="77777777">
            <w:pPr>
              <w:suppressAutoHyphens/>
              <w:spacing w:line="360" w:lineRule="auto"/>
              <w:rPr>
                <w:rFonts w:cs="Calibri"/>
                <w:sz w:val="16"/>
                <w:szCs w:val="16"/>
                <w:lang w:eastAsia="nl-NL"/>
              </w:rPr>
            </w:pPr>
            <w:r w:rsidRPr="005F055E">
              <w:rPr>
                <w:rFonts w:cs="Calibri"/>
                <w:color w:val="000000"/>
                <w:sz w:val="16"/>
                <w:szCs w:val="16"/>
                <w:lang w:eastAsia="nl-NL"/>
              </w:rPr>
              <w:t>130%</w:t>
            </w:r>
          </w:p>
        </w:tc>
        <w:tc>
          <w:tcPr>
            <w:tcW w:w="1275" w:type="dxa"/>
            <w:vAlign w:val="bottom"/>
          </w:tcPr>
          <w:p w:rsidRPr="005F055E" w:rsidR="00EF57B6" w:rsidP="00180EEB" w:rsidRDefault="00EF57B6" w14:paraId="58F630BB" w14:textId="77777777">
            <w:pPr>
              <w:suppressAutoHyphens/>
              <w:spacing w:line="360" w:lineRule="auto"/>
              <w:rPr>
                <w:rFonts w:cs="Calibri"/>
                <w:sz w:val="16"/>
                <w:szCs w:val="16"/>
                <w:lang w:eastAsia="nl-NL"/>
              </w:rPr>
            </w:pPr>
            <w:r w:rsidRPr="005F055E">
              <w:rPr>
                <w:rFonts w:cs="Calibri"/>
                <w:color w:val="000000"/>
                <w:sz w:val="16"/>
                <w:szCs w:val="16"/>
                <w:lang w:eastAsia="nl-NL"/>
              </w:rPr>
              <w:t>30</w:t>
            </w:r>
          </w:p>
        </w:tc>
        <w:tc>
          <w:tcPr>
            <w:tcW w:w="1418" w:type="dxa"/>
            <w:vAlign w:val="bottom"/>
          </w:tcPr>
          <w:p w:rsidRPr="005F055E" w:rsidR="00EF57B6" w:rsidP="00180EEB" w:rsidRDefault="00EF57B6" w14:paraId="77B85085" w14:textId="77777777">
            <w:pPr>
              <w:suppressAutoHyphens/>
              <w:spacing w:line="360" w:lineRule="auto"/>
              <w:rPr>
                <w:rFonts w:cs="Calibri"/>
                <w:sz w:val="16"/>
                <w:szCs w:val="16"/>
                <w:lang w:eastAsia="nl-NL"/>
              </w:rPr>
            </w:pPr>
            <w:r w:rsidRPr="005F055E">
              <w:rPr>
                <w:rFonts w:cs="Calibri"/>
                <w:color w:val="000000"/>
                <w:sz w:val="16"/>
                <w:szCs w:val="16"/>
                <w:lang w:eastAsia="nl-NL"/>
              </w:rPr>
              <w:t>23</w:t>
            </w:r>
          </w:p>
        </w:tc>
        <w:tc>
          <w:tcPr>
            <w:tcW w:w="1701" w:type="dxa"/>
            <w:vAlign w:val="bottom"/>
          </w:tcPr>
          <w:p w:rsidRPr="005F055E" w:rsidR="00EF57B6" w:rsidP="00180EEB" w:rsidRDefault="00EF57B6" w14:paraId="74F5EF4E" w14:textId="77777777">
            <w:pPr>
              <w:tabs>
                <w:tab w:val="center" w:pos="389"/>
                <w:tab w:val="right" w:pos="779"/>
              </w:tabs>
              <w:suppressAutoHyphens/>
              <w:spacing w:line="360" w:lineRule="auto"/>
              <w:rPr>
                <w:rFonts w:cs="Calibri"/>
                <w:sz w:val="16"/>
                <w:szCs w:val="16"/>
                <w:lang w:eastAsia="nl-NL"/>
              </w:rPr>
            </w:pPr>
            <w:r w:rsidRPr="005F055E">
              <w:rPr>
                <w:rFonts w:cs="Calibri"/>
                <w:color w:val="000000"/>
                <w:sz w:val="16"/>
                <w:szCs w:val="16"/>
                <w:lang w:eastAsia="nl-NL"/>
              </w:rPr>
              <w:t>7</w:t>
            </w:r>
          </w:p>
        </w:tc>
      </w:tr>
      <w:tr w:rsidRPr="005F055E" w:rsidR="00EF57B6" w:rsidTr="005E2643" w14:paraId="2E213CD5" w14:textId="77777777">
        <w:trPr>
          <w:trHeight w:val="217"/>
        </w:trPr>
        <w:tc>
          <w:tcPr>
            <w:tcW w:w="1701" w:type="dxa"/>
            <w:noWrap/>
            <w:hideMark/>
          </w:tcPr>
          <w:p w:rsidRPr="005F055E" w:rsidR="00EF57B6" w:rsidP="00180EEB" w:rsidRDefault="00EF57B6" w14:paraId="54469C92" w14:textId="77777777">
            <w:pPr>
              <w:suppressAutoHyphens/>
              <w:spacing w:line="360" w:lineRule="auto"/>
              <w:rPr>
                <w:rFonts w:cs="Calibri"/>
                <w:sz w:val="16"/>
                <w:szCs w:val="16"/>
                <w:lang w:eastAsia="nl-NL"/>
              </w:rPr>
            </w:pPr>
            <w:r w:rsidRPr="005F055E">
              <w:rPr>
                <w:rFonts w:cs="Calibri"/>
                <w:sz w:val="16"/>
                <w:szCs w:val="16"/>
                <w:lang w:eastAsia="nl-NL"/>
              </w:rPr>
              <w:t>Salland</w:t>
            </w:r>
          </w:p>
        </w:tc>
        <w:tc>
          <w:tcPr>
            <w:tcW w:w="851" w:type="dxa"/>
            <w:vAlign w:val="bottom"/>
          </w:tcPr>
          <w:p w:rsidRPr="005F055E" w:rsidR="00EF57B6" w:rsidP="00180EEB" w:rsidRDefault="00EF57B6" w14:paraId="33F162E8" w14:textId="77777777">
            <w:pPr>
              <w:suppressAutoHyphens/>
              <w:spacing w:line="360" w:lineRule="auto"/>
              <w:rPr>
                <w:rFonts w:cs="Calibri"/>
                <w:sz w:val="16"/>
                <w:szCs w:val="16"/>
                <w:lang w:eastAsia="nl-NL"/>
              </w:rPr>
            </w:pPr>
            <w:r w:rsidRPr="005F055E">
              <w:rPr>
                <w:rFonts w:cs="Calibri"/>
                <w:sz w:val="16"/>
                <w:szCs w:val="16"/>
                <w:lang w:eastAsia="nl-NL"/>
              </w:rPr>
              <w:t>135%</w:t>
            </w:r>
          </w:p>
        </w:tc>
        <w:tc>
          <w:tcPr>
            <w:tcW w:w="1275" w:type="dxa"/>
            <w:vAlign w:val="bottom"/>
          </w:tcPr>
          <w:p w:rsidRPr="005F055E" w:rsidR="00EF57B6" w:rsidP="00180EEB" w:rsidRDefault="00EF57B6" w14:paraId="4E6C3E44" w14:textId="77777777">
            <w:pPr>
              <w:suppressAutoHyphens/>
              <w:spacing w:line="360" w:lineRule="auto"/>
              <w:rPr>
                <w:rFonts w:cs="Calibri"/>
                <w:sz w:val="16"/>
                <w:szCs w:val="16"/>
                <w:lang w:eastAsia="nl-NL"/>
              </w:rPr>
            </w:pPr>
            <w:r w:rsidRPr="005F055E">
              <w:rPr>
                <w:rFonts w:cs="Calibri"/>
                <w:sz w:val="16"/>
                <w:szCs w:val="16"/>
                <w:lang w:eastAsia="nl-NL"/>
              </w:rPr>
              <w:t>91</w:t>
            </w:r>
          </w:p>
        </w:tc>
        <w:tc>
          <w:tcPr>
            <w:tcW w:w="1418" w:type="dxa"/>
            <w:vAlign w:val="bottom"/>
          </w:tcPr>
          <w:p w:rsidRPr="005F055E" w:rsidR="00EF57B6" w:rsidP="00180EEB" w:rsidRDefault="00EF57B6" w14:paraId="299D8455" w14:textId="77777777">
            <w:pPr>
              <w:suppressAutoHyphens/>
              <w:spacing w:line="360" w:lineRule="auto"/>
              <w:rPr>
                <w:rFonts w:cs="Calibri"/>
                <w:sz w:val="16"/>
                <w:szCs w:val="16"/>
                <w:lang w:eastAsia="nl-NL"/>
              </w:rPr>
            </w:pPr>
            <w:r w:rsidRPr="005F055E">
              <w:rPr>
                <w:rFonts w:cs="Calibri"/>
                <w:sz w:val="16"/>
                <w:szCs w:val="16"/>
                <w:lang w:eastAsia="nl-NL"/>
              </w:rPr>
              <w:t>67</w:t>
            </w:r>
          </w:p>
        </w:tc>
        <w:tc>
          <w:tcPr>
            <w:tcW w:w="1701" w:type="dxa"/>
            <w:vAlign w:val="bottom"/>
          </w:tcPr>
          <w:p w:rsidRPr="005F055E" w:rsidR="00EF57B6" w:rsidP="00180EEB" w:rsidRDefault="00EF57B6" w14:paraId="1AEA6B40" w14:textId="77777777">
            <w:pPr>
              <w:tabs>
                <w:tab w:val="center" w:pos="389"/>
                <w:tab w:val="right" w:pos="779"/>
              </w:tabs>
              <w:suppressAutoHyphens/>
              <w:spacing w:line="360" w:lineRule="auto"/>
              <w:rPr>
                <w:rFonts w:cs="Calibri"/>
                <w:sz w:val="16"/>
                <w:szCs w:val="16"/>
                <w:lang w:eastAsia="nl-NL"/>
              </w:rPr>
            </w:pPr>
            <w:r w:rsidRPr="005F055E">
              <w:rPr>
                <w:rFonts w:cs="Calibri"/>
                <w:sz w:val="16"/>
                <w:szCs w:val="16"/>
                <w:lang w:eastAsia="nl-NL"/>
              </w:rPr>
              <w:t>23</w:t>
            </w:r>
          </w:p>
        </w:tc>
      </w:tr>
      <w:tr w:rsidRPr="005F055E" w:rsidR="00EF57B6" w:rsidTr="005E2643" w14:paraId="1E44A2CC" w14:textId="77777777">
        <w:trPr>
          <w:trHeight w:val="217"/>
        </w:trPr>
        <w:tc>
          <w:tcPr>
            <w:tcW w:w="1701" w:type="dxa"/>
            <w:noWrap/>
            <w:hideMark/>
          </w:tcPr>
          <w:p w:rsidRPr="005F055E" w:rsidR="00EF57B6" w:rsidP="00180EEB" w:rsidRDefault="00EF57B6" w14:paraId="4C279543" w14:textId="77777777">
            <w:pPr>
              <w:suppressAutoHyphens/>
              <w:spacing w:line="360" w:lineRule="auto"/>
              <w:rPr>
                <w:rFonts w:cs="Calibri"/>
                <w:sz w:val="16"/>
                <w:szCs w:val="16"/>
                <w:lang w:eastAsia="nl-NL"/>
              </w:rPr>
            </w:pPr>
            <w:proofErr w:type="spellStart"/>
            <w:r w:rsidRPr="005F055E">
              <w:rPr>
                <w:rFonts w:cs="Calibri"/>
                <w:sz w:val="16"/>
                <w:szCs w:val="16"/>
                <w:lang w:eastAsia="nl-NL"/>
              </w:rPr>
              <w:t>Menzis</w:t>
            </w:r>
            <w:proofErr w:type="spellEnd"/>
            <w:r w:rsidRPr="005F055E">
              <w:rPr>
                <w:rFonts w:cs="Calibri"/>
                <w:sz w:val="16"/>
                <w:szCs w:val="16"/>
                <w:lang w:eastAsia="nl-NL"/>
              </w:rPr>
              <w:t xml:space="preserve"> </w:t>
            </w:r>
          </w:p>
        </w:tc>
        <w:tc>
          <w:tcPr>
            <w:tcW w:w="851" w:type="dxa"/>
            <w:vAlign w:val="bottom"/>
          </w:tcPr>
          <w:p w:rsidRPr="005F055E" w:rsidR="00EF57B6" w:rsidP="00180EEB" w:rsidRDefault="00EF57B6" w14:paraId="25961C09" w14:textId="77777777">
            <w:pPr>
              <w:suppressAutoHyphens/>
              <w:spacing w:line="360" w:lineRule="auto"/>
              <w:rPr>
                <w:rFonts w:cs="Calibri"/>
                <w:sz w:val="16"/>
                <w:szCs w:val="16"/>
                <w:lang w:eastAsia="nl-NL"/>
              </w:rPr>
            </w:pPr>
            <w:r w:rsidRPr="005F055E">
              <w:rPr>
                <w:rFonts w:cs="Calibri"/>
                <w:color w:val="000000"/>
                <w:sz w:val="16"/>
                <w:szCs w:val="16"/>
                <w:lang w:eastAsia="nl-NL"/>
              </w:rPr>
              <w:t>140%</w:t>
            </w:r>
          </w:p>
        </w:tc>
        <w:tc>
          <w:tcPr>
            <w:tcW w:w="1275" w:type="dxa"/>
            <w:vAlign w:val="bottom"/>
          </w:tcPr>
          <w:p w:rsidRPr="005F055E" w:rsidR="00EF57B6" w:rsidP="00180EEB" w:rsidRDefault="00EF57B6" w14:paraId="0ABE3FF1" w14:textId="77777777">
            <w:pPr>
              <w:suppressAutoHyphens/>
              <w:spacing w:line="360" w:lineRule="auto"/>
              <w:rPr>
                <w:rFonts w:cs="Calibri"/>
                <w:sz w:val="16"/>
                <w:szCs w:val="16"/>
                <w:lang w:eastAsia="nl-NL"/>
              </w:rPr>
            </w:pPr>
            <w:r w:rsidRPr="005F055E">
              <w:rPr>
                <w:rFonts w:cs="Calibri"/>
                <w:color w:val="000000"/>
                <w:sz w:val="16"/>
                <w:szCs w:val="16"/>
                <w:lang w:eastAsia="nl-NL"/>
              </w:rPr>
              <w:t>1.362</w:t>
            </w:r>
          </w:p>
        </w:tc>
        <w:tc>
          <w:tcPr>
            <w:tcW w:w="1418" w:type="dxa"/>
            <w:vAlign w:val="bottom"/>
          </w:tcPr>
          <w:p w:rsidRPr="005F055E" w:rsidR="00EF57B6" w:rsidP="00180EEB" w:rsidRDefault="00EF57B6" w14:paraId="3FA7BCA5" w14:textId="77777777">
            <w:pPr>
              <w:suppressAutoHyphens/>
              <w:spacing w:line="360" w:lineRule="auto"/>
              <w:rPr>
                <w:rFonts w:cs="Calibri"/>
                <w:sz w:val="16"/>
                <w:szCs w:val="16"/>
                <w:lang w:eastAsia="nl-NL"/>
              </w:rPr>
            </w:pPr>
            <w:r w:rsidRPr="005F055E">
              <w:rPr>
                <w:rFonts w:cs="Calibri"/>
                <w:color w:val="000000"/>
                <w:sz w:val="16"/>
                <w:szCs w:val="16"/>
                <w:lang w:eastAsia="nl-NL"/>
              </w:rPr>
              <w:t>969</w:t>
            </w:r>
          </w:p>
        </w:tc>
        <w:tc>
          <w:tcPr>
            <w:tcW w:w="1701" w:type="dxa"/>
            <w:vAlign w:val="bottom"/>
          </w:tcPr>
          <w:p w:rsidRPr="005F055E" w:rsidR="00EF57B6" w:rsidP="00180EEB" w:rsidRDefault="00EF57B6" w14:paraId="20FCD358" w14:textId="77777777">
            <w:pPr>
              <w:tabs>
                <w:tab w:val="center" w:pos="389"/>
                <w:tab w:val="right" w:pos="779"/>
              </w:tabs>
              <w:suppressAutoHyphens/>
              <w:spacing w:line="360" w:lineRule="auto"/>
              <w:rPr>
                <w:rFonts w:cs="Calibri"/>
                <w:sz w:val="16"/>
                <w:szCs w:val="16"/>
                <w:lang w:eastAsia="nl-NL"/>
              </w:rPr>
            </w:pPr>
            <w:r w:rsidRPr="005F055E">
              <w:rPr>
                <w:rFonts w:cs="Calibri"/>
                <w:color w:val="000000"/>
                <w:sz w:val="16"/>
                <w:szCs w:val="16"/>
                <w:lang w:eastAsia="nl-NL"/>
              </w:rPr>
              <w:t>392</w:t>
            </w:r>
          </w:p>
        </w:tc>
      </w:tr>
      <w:tr w:rsidRPr="005F055E" w:rsidR="00EF57B6" w:rsidTr="005E2643" w14:paraId="57931F93" w14:textId="77777777">
        <w:trPr>
          <w:trHeight w:val="217"/>
        </w:trPr>
        <w:tc>
          <w:tcPr>
            <w:tcW w:w="1701" w:type="dxa"/>
            <w:noWrap/>
            <w:hideMark/>
          </w:tcPr>
          <w:p w:rsidRPr="005F055E" w:rsidR="00EF57B6" w:rsidP="00180EEB" w:rsidRDefault="00EF57B6" w14:paraId="4A263F0E" w14:textId="77777777">
            <w:pPr>
              <w:suppressAutoHyphens/>
              <w:spacing w:line="360" w:lineRule="auto"/>
              <w:rPr>
                <w:rFonts w:cs="Calibri"/>
                <w:sz w:val="16"/>
                <w:szCs w:val="16"/>
                <w:lang w:eastAsia="nl-NL"/>
              </w:rPr>
            </w:pPr>
            <w:r w:rsidRPr="005F055E">
              <w:rPr>
                <w:rFonts w:cs="Calibri"/>
                <w:sz w:val="16"/>
                <w:szCs w:val="16"/>
                <w:lang w:eastAsia="nl-NL"/>
              </w:rPr>
              <w:t>ONVZ</w:t>
            </w:r>
          </w:p>
        </w:tc>
        <w:tc>
          <w:tcPr>
            <w:tcW w:w="851" w:type="dxa"/>
            <w:vAlign w:val="bottom"/>
          </w:tcPr>
          <w:p w:rsidRPr="005F055E" w:rsidR="00EF57B6" w:rsidP="00180EEB" w:rsidRDefault="00EF57B6" w14:paraId="384DD8D9" w14:textId="77777777">
            <w:pPr>
              <w:suppressAutoHyphens/>
              <w:spacing w:line="360" w:lineRule="auto"/>
              <w:rPr>
                <w:rFonts w:cs="Calibri"/>
                <w:sz w:val="16"/>
                <w:szCs w:val="16"/>
                <w:lang w:eastAsia="nl-NL"/>
              </w:rPr>
            </w:pPr>
            <w:r w:rsidRPr="005F055E">
              <w:rPr>
                <w:rFonts w:cs="Calibri"/>
                <w:color w:val="000000"/>
                <w:sz w:val="16"/>
                <w:szCs w:val="16"/>
                <w:lang w:eastAsia="nl-NL"/>
              </w:rPr>
              <w:t>135%</w:t>
            </w:r>
          </w:p>
        </w:tc>
        <w:tc>
          <w:tcPr>
            <w:tcW w:w="1275" w:type="dxa"/>
            <w:vAlign w:val="bottom"/>
          </w:tcPr>
          <w:p w:rsidRPr="005F055E" w:rsidR="00EF57B6" w:rsidP="00180EEB" w:rsidRDefault="00EF57B6" w14:paraId="1D84D1BA" w14:textId="77777777">
            <w:pPr>
              <w:suppressAutoHyphens/>
              <w:spacing w:line="360" w:lineRule="auto"/>
              <w:rPr>
                <w:rFonts w:cs="Calibri"/>
                <w:sz w:val="16"/>
                <w:szCs w:val="16"/>
                <w:lang w:eastAsia="nl-NL"/>
              </w:rPr>
            </w:pPr>
            <w:r w:rsidRPr="005F055E">
              <w:rPr>
                <w:rFonts w:cs="Calibri"/>
                <w:color w:val="000000"/>
                <w:sz w:val="16"/>
                <w:szCs w:val="16"/>
                <w:lang w:eastAsia="nl-NL"/>
              </w:rPr>
              <w:t>255</w:t>
            </w:r>
          </w:p>
        </w:tc>
        <w:tc>
          <w:tcPr>
            <w:tcW w:w="1418" w:type="dxa"/>
            <w:vAlign w:val="bottom"/>
          </w:tcPr>
          <w:p w:rsidRPr="005F055E" w:rsidR="00EF57B6" w:rsidP="00180EEB" w:rsidRDefault="00EF57B6" w14:paraId="0B6E9EB2" w14:textId="77777777">
            <w:pPr>
              <w:suppressAutoHyphens/>
              <w:spacing w:line="360" w:lineRule="auto"/>
              <w:rPr>
                <w:rFonts w:cs="Calibri"/>
                <w:sz w:val="16"/>
                <w:szCs w:val="16"/>
                <w:lang w:eastAsia="nl-NL"/>
              </w:rPr>
            </w:pPr>
            <w:r w:rsidRPr="005F055E">
              <w:rPr>
                <w:rFonts w:cs="Calibri"/>
                <w:color w:val="000000"/>
                <w:sz w:val="16"/>
                <w:szCs w:val="16"/>
                <w:lang w:eastAsia="nl-NL"/>
              </w:rPr>
              <w:t>189</w:t>
            </w:r>
          </w:p>
        </w:tc>
        <w:tc>
          <w:tcPr>
            <w:tcW w:w="1701" w:type="dxa"/>
            <w:vAlign w:val="bottom"/>
          </w:tcPr>
          <w:p w:rsidRPr="005F055E" w:rsidR="00EF57B6" w:rsidP="00180EEB" w:rsidRDefault="00EF57B6" w14:paraId="2DCAC923" w14:textId="77777777">
            <w:pPr>
              <w:tabs>
                <w:tab w:val="center" w:pos="389"/>
                <w:tab w:val="right" w:pos="779"/>
              </w:tabs>
              <w:suppressAutoHyphens/>
              <w:spacing w:line="360" w:lineRule="auto"/>
              <w:rPr>
                <w:rFonts w:cs="Calibri"/>
                <w:sz w:val="16"/>
                <w:szCs w:val="16"/>
                <w:lang w:eastAsia="nl-NL"/>
              </w:rPr>
            </w:pPr>
            <w:r w:rsidRPr="005F055E">
              <w:rPr>
                <w:rFonts w:cs="Calibri"/>
                <w:color w:val="000000"/>
                <w:sz w:val="16"/>
                <w:szCs w:val="16"/>
                <w:lang w:eastAsia="nl-NL"/>
              </w:rPr>
              <w:t>66</w:t>
            </w:r>
          </w:p>
        </w:tc>
      </w:tr>
      <w:tr w:rsidRPr="005F055E" w:rsidR="00EF57B6" w:rsidTr="005E2643" w14:paraId="3F2A8F49" w14:textId="77777777">
        <w:trPr>
          <w:trHeight w:val="217"/>
        </w:trPr>
        <w:tc>
          <w:tcPr>
            <w:tcW w:w="1701" w:type="dxa"/>
            <w:noWrap/>
            <w:hideMark/>
          </w:tcPr>
          <w:p w:rsidRPr="005F055E" w:rsidR="00EF57B6" w:rsidP="00180EEB" w:rsidRDefault="00EF57B6" w14:paraId="422F3EC4" w14:textId="77777777">
            <w:pPr>
              <w:suppressAutoHyphens/>
              <w:spacing w:line="360" w:lineRule="auto"/>
              <w:rPr>
                <w:rFonts w:cs="Calibri"/>
                <w:sz w:val="16"/>
                <w:szCs w:val="16"/>
                <w:lang w:eastAsia="nl-NL"/>
              </w:rPr>
            </w:pPr>
            <w:r w:rsidRPr="005F055E">
              <w:rPr>
                <w:rFonts w:cs="Calibri"/>
                <w:sz w:val="16"/>
                <w:szCs w:val="16"/>
                <w:lang w:eastAsia="nl-NL"/>
              </w:rPr>
              <w:t>VGZ</w:t>
            </w:r>
          </w:p>
        </w:tc>
        <w:tc>
          <w:tcPr>
            <w:tcW w:w="851" w:type="dxa"/>
            <w:vAlign w:val="bottom"/>
          </w:tcPr>
          <w:p w:rsidRPr="005F055E" w:rsidR="00EF57B6" w:rsidP="00180EEB" w:rsidRDefault="00EF57B6" w14:paraId="2987C26A" w14:textId="77777777">
            <w:pPr>
              <w:suppressAutoHyphens/>
              <w:spacing w:line="360" w:lineRule="auto"/>
              <w:rPr>
                <w:rFonts w:cs="Calibri"/>
                <w:sz w:val="16"/>
                <w:szCs w:val="16"/>
                <w:lang w:eastAsia="nl-NL"/>
              </w:rPr>
            </w:pPr>
            <w:r w:rsidRPr="005F055E">
              <w:rPr>
                <w:rFonts w:cs="Calibri"/>
                <w:color w:val="000000"/>
                <w:sz w:val="16"/>
                <w:szCs w:val="16"/>
                <w:lang w:eastAsia="nl-NL"/>
              </w:rPr>
              <w:t>139%</w:t>
            </w:r>
          </w:p>
        </w:tc>
        <w:tc>
          <w:tcPr>
            <w:tcW w:w="1275" w:type="dxa"/>
            <w:vAlign w:val="bottom"/>
          </w:tcPr>
          <w:p w:rsidRPr="005F055E" w:rsidR="00EF57B6" w:rsidP="00180EEB" w:rsidRDefault="00EF57B6" w14:paraId="583A34D9" w14:textId="77777777">
            <w:pPr>
              <w:suppressAutoHyphens/>
              <w:spacing w:line="360" w:lineRule="auto"/>
              <w:rPr>
                <w:rFonts w:cs="Calibri"/>
                <w:sz w:val="16"/>
                <w:szCs w:val="16"/>
                <w:lang w:eastAsia="nl-NL"/>
              </w:rPr>
            </w:pPr>
            <w:r w:rsidRPr="005F055E">
              <w:rPr>
                <w:rFonts w:cs="Calibri"/>
                <w:color w:val="000000"/>
                <w:sz w:val="16"/>
                <w:szCs w:val="16"/>
                <w:lang w:eastAsia="nl-NL"/>
              </w:rPr>
              <w:t>2.810</w:t>
            </w:r>
          </w:p>
        </w:tc>
        <w:tc>
          <w:tcPr>
            <w:tcW w:w="1418" w:type="dxa"/>
            <w:vAlign w:val="bottom"/>
          </w:tcPr>
          <w:p w:rsidRPr="005F055E" w:rsidR="00EF57B6" w:rsidP="00180EEB" w:rsidRDefault="00EF57B6" w14:paraId="4C0A4897" w14:textId="77777777">
            <w:pPr>
              <w:tabs>
                <w:tab w:val="center" w:pos="389"/>
                <w:tab w:val="right" w:pos="779"/>
              </w:tabs>
              <w:suppressAutoHyphens/>
              <w:spacing w:line="360" w:lineRule="auto"/>
              <w:rPr>
                <w:rFonts w:cs="Calibri"/>
                <w:sz w:val="16"/>
                <w:szCs w:val="16"/>
                <w:lang w:eastAsia="nl-NL"/>
              </w:rPr>
            </w:pPr>
            <w:r w:rsidRPr="005F055E">
              <w:rPr>
                <w:rFonts w:cs="Calibri"/>
                <w:color w:val="000000"/>
                <w:sz w:val="16"/>
                <w:szCs w:val="16"/>
                <w:lang w:eastAsia="nl-NL"/>
              </w:rPr>
              <w:t>2.022</w:t>
            </w:r>
          </w:p>
        </w:tc>
        <w:tc>
          <w:tcPr>
            <w:tcW w:w="1701" w:type="dxa"/>
            <w:vAlign w:val="bottom"/>
          </w:tcPr>
          <w:p w:rsidRPr="005F055E" w:rsidR="00EF57B6" w:rsidP="00180EEB" w:rsidRDefault="00EF57B6" w14:paraId="418FA7F1" w14:textId="77777777">
            <w:pPr>
              <w:tabs>
                <w:tab w:val="center" w:pos="389"/>
                <w:tab w:val="right" w:pos="779"/>
              </w:tabs>
              <w:suppressAutoHyphens/>
              <w:spacing w:line="360" w:lineRule="auto"/>
              <w:rPr>
                <w:rFonts w:cs="Calibri"/>
                <w:sz w:val="16"/>
                <w:szCs w:val="16"/>
                <w:lang w:eastAsia="nl-NL"/>
              </w:rPr>
            </w:pPr>
            <w:r w:rsidRPr="005F055E">
              <w:rPr>
                <w:rFonts w:cs="Calibri"/>
                <w:color w:val="000000"/>
                <w:sz w:val="16"/>
                <w:szCs w:val="16"/>
                <w:lang w:eastAsia="nl-NL"/>
              </w:rPr>
              <w:t>787</w:t>
            </w:r>
          </w:p>
        </w:tc>
      </w:tr>
      <w:tr w:rsidRPr="005F055E" w:rsidR="00EF57B6" w:rsidTr="005E2643" w14:paraId="6F36BC9F" w14:textId="77777777">
        <w:trPr>
          <w:trHeight w:val="217"/>
        </w:trPr>
        <w:tc>
          <w:tcPr>
            <w:tcW w:w="1701" w:type="dxa"/>
            <w:noWrap/>
            <w:hideMark/>
          </w:tcPr>
          <w:p w:rsidRPr="005F055E" w:rsidR="00EF57B6" w:rsidP="00180EEB" w:rsidRDefault="00EF57B6" w14:paraId="5EC7A8FA" w14:textId="77777777">
            <w:pPr>
              <w:suppressAutoHyphens/>
              <w:spacing w:line="360" w:lineRule="auto"/>
              <w:rPr>
                <w:rFonts w:cs="Calibri"/>
                <w:sz w:val="16"/>
                <w:szCs w:val="16"/>
                <w:lang w:eastAsia="nl-NL"/>
              </w:rPr>
            </w:pPr>
            <w:r w:rsidRPr="005F055E">
              <w:rPr>
                <w:rFonts w:cs="Calibri"/>
                <w:sz w:val="16"/>
                <w:szCs w:val="16"/>
                <w:lang w:eastAsia="nl-NL"/>
              </w:rPr>
              <w:t>Zorg &amp; Zekerheid</w:t>
            </w:r>
          </w:p>
        </w:tc>
        <w:tc>
          <w:tcPr>
            <w:tcW w:w="851" w:type="dxa"/>
            <w:vAlign w:val="bottom"/>
          </w:tcPr>
          <w:p w:rsidRPr="005F055E" w:rsidR="00EF57B6" w:rsidP="00180EEB" w:rsidRDefault="00EF57B6" w14:paraId="2CAA6746" w14:textId="77777777">
            <w:pPr>
              <w:suppressAutoHyphens/>
              <w:spacing w:line="360" w:lineRule="auto"/>
              <w:rPr>
                <w:rFonts w:cs="Calibri"/>
                <w:sz w:val="16"/>
                <w:szCs w:val="16"/>
                <w:lang w:eastAsia="nl-NL"/>
              </w:rPr>
            </w:pPr>
            <w:r w:rsidRPr="005F055E">
              <w:rPr>
                <w:rFonts w:cs="Calibri"/>
                <w:color w:val="000000"/>
                <w:sz w:val="16"/>
                <w:szCs w:val="16"/>
                <w:lang w:eastAsia="nl-NL"/>
              </w:rPr>
              <w:t>154%</w:t>
            </w:r>
          </w:p>
        </w:tc>
        <w:tc>
          <w:tcPr>
            <w:tcW w:w="1275" w:type="dxa"/>
            <w:vAlign w:val="bottom"/>
          </w:tcPr>
          <w:p w:rsidRPr="005F055E" w:rsidR="00EF57B6" w:rsidP="00180EEB" w:rsidRDefault="00EF57B6" w14:paraId="2048A3DA" w14:textId="77777777">
            <w:pPr>
              <w:suppressAutoHyphens/>
              <w:spacing w:line="360" w:lineRule="auto"/>
              <w:rPr>
                <w:rFonts w:cs="Calibri"/>
                <w:sz w:val="16"/>
                <w:szCs w:val="16"/>
                <w:lang w:eastAsia="nl-NL"/>
              </w:rPr>
            </w:pPr>
            <w:r w:rsidRPr="005F055E">
              <w:rPr>
                <w:rFonts w:cs="Calibri"/>
                <w:color w:val="000000"/>
                <w:sz w:val="16"/>
                <w:szCs w:val="16"/>
                <w:lang w:eastAsia="nl-NL"/>
              </w:rPr>
              <w:t>368</w:t>
            </w:r>
          </w:p>
        </w:tc>
        <w:tc>
          <w:tcPr>
            <w:tcW w:w="1418" w:type="dxa"/>
            <w:vAlign w:val="bottom"/>
          </w:tcPr>
          <w:p w:rsidRPr="005F055E" w:rsidR="00EF57B6" w:rsidP="00180EEB" w:rsidRDefault="00EF57B6" w14:paraId="1DC2973F" w14:textId="77777777">
            <w:pPr>
              <w:suppressAutoHyphens/>
              <w:spacing w:line="360" w:lineRule="auto"/>
              <w:rPr>
                <w:rFonts w:cs="Calibri"/>
                <w:sz w:val="16"/>
                <w:szCs w:val="16"/>
                <w:lang w:eastAsia="nl-NL"/>
              </w:rPr>
            </w:pPr>
            <w:r w:rsidRPr="005F055E">
              <w:rPr>
                <w:rFonts w:cs="Calibri"/>
                <w:color w:val="000000"/>
                <w:sz w:val="16"/>
                <w:szCs w:val="16"/>
                <w:lang w:eastAsia="nl-NL"/>
              </w:rPr>
              <w:t>239</w:t>
            </w:r>
          </w:p>
        </w:tc>
        <w:tc>
          <w:tcPr>
            <w:tcW w:w="1701" w:type="dxa"/>
            <w:vAlign w:val="bottom"/>
          </w:tcPr>
          <w:p w:rsidRPr="005F055E" w:rsidR="00EF57B6" w:rsidP="00180EEB" w:rsidRDefault="00EF57B6" w14:paraId="4D311671" w14:textId="77777777">
            <w:pPr>
              <w:tabs>
                <w:tab w:val="center" w:pos="389"/>
                <w:tab w:val="right" w:pos="779"/>
              </w:tabs>
              <w:suppressAutoHyphens/>
              <w:spacing w:line="360" w:lineRule="auto"/>
              <w:rPr>
                <w:rFonts w:cs="Calibri"/>
                <w:sz w:val="16"/>
                <w:szCs w:val="16"/>
                <w:lang w:eastAsia="nl-NL"/>
              </w:rPr>
            </w:pPr>
            <w:r w:rsidRPr="005F055E">
              <w:rPr>
                <w:rFonts w:cs="Calibri"/>
                <w:color w:val="000000"/>
                <w:sz w:val="16"/>
                <w:szCs w:val="16"/>
                <w:lang w:eastAsia="nl-NL"/>
              </w:rPr>
              <w:t>129</w:t>
            </w:r>
          </w:p>
        </w:tc>
      </w:tr>
      <w:tr w:rsidRPr="005F055E" w:rsidR="00EF57B6" w:rsidTr="005E2643" w14:paraId="36BFB6B8" w14:textId="77777777">
        <w:trPr>
          <w:trHeight w:val="217"/>
        </w:trPr>
        <w:tc>
          <w:tcPr>
            <w:tcW w:w="1701" w:type="dxa"/>
            <w:tcBorders>
              <w:bottom w:val="single" w:color="auto" w:sz="4" w:space="0"/>
            </w:tcBorders>
            <w:noWrap/>
            <w:hideMark/>
          </w:tcPr>
          <w:p w:rsidRPr="005F055E" w:rsidR="00EF57B6" w:rsidP="00180EEB" w:rsidRDefault="00EF57B6" w14:paraId="21EF1C38" w14:textId="77777777">
            <w:pPr>
              <w:suppressAutoHyphens/>
              <w:spacing w:line="360" w:lineRule="auto"/>
              <w:rPr>
                <w:rFonts w:cs="Calibri"/>
                <w:sz w:val="16"/>
                <w:szCs w:val="16"/>
                <w:lang w:eastAsia="nl-NL"/>
              </w:rPr>
            </w:pPr>
            <w:r w:rsidRPr="005F055E">
              <w:rPr>
                <w:rFonts w:cs="Calibri"/>
                <w:sz w:val="16"/>
                <w:szCs w:val="16"/>
                <w:lang w:eastAsia="nl-NL"/>
              </w:rPr>
              <w:t>Zilveren Kruis</w:t>
            </w:r>
          </w:p>
        </w:tc>
        <w:tc>
          <w:tcPr>
            <w:tcW w:w="851" w:type="dxa"/>
            <w:tcBorders>
              <w:bottom w:val="single" w:color="auto" w:sz="4" w:space="0"/>
            </w:tcBorders>
            <w:vAlign w:val="bottom"/>
          </w:tcPr>
          <w:p w:rsidRPr="005F055E" w:rsidR="00EF57B6" w:rsidP="00180EEB" w:rsidRDefault="00EF57B6" w14:paraId="6D1A5EF1" w14:textId="77777777">
            <w:pPr>
              <w:suppressAutoHyphens/>
              <w:spacing w:line="360" w:lineRule="auto"/>
              <w:rPr>
                <w:rFonts w:cs="Calibri"/>
                <w:sz w:val="16"/>
                <w:szCs w:val="16"/>
                <w:lang w:eastAsia="nl-NL"/>
              </w:rPr>
            </w:pPr>
            <w:r w:rsidRPr="005F055E">
              <w:rPr>
                <w:rFonts w:cs="Calibri"/>
                <w:color w:val="000000"/>
                <w:sz w:val="16"/>
                <w:szCs w:val="16"/>
                <w:lang w:eastAsia="nl-NL"/>
              </w:rPr>
              <w:t>138%</w:t>
            </w:r>
          </w:p>
        </w:tc>
        <w:tc>
          <w:tcPr>
            <w:tcW w:w="1275" w:type="dxa"/>
            <w:tcBorders>
              <w:bottom w:val="single" w:color="auto" w:sz="4" w:space="0"/>
            </w:tcBorders>
            <w:vAlign w:val="bottom"/>
          </w:tcPr>
          <w:p w:rsidRPr="005F055E" w:rsidR="00EF57B6" w:rsidP="00180EEB" w:rsidRDefault="00EF57B6" w14:paraId="27B93226" w14:textId="77777777">
            <w:pPr>
              <w:suppressAutoHyphens/>
              <w:spacing w:line="360" w:lineRule="auto"/>
              <w:rPr>
                <w:rFonts w:cs="Calibri"/>
                <w:sz w:val="16"/>
                <w:szCs w:val="16"/>
                <w:lang w:eastAsia="nl-NL"/>
              </w:rPr>
            </w:pPr>
            <w:r w:rsidRPr="005F055E">
              <w:rPr>
                <w:rFonts w:cs="Calibri"/>
                <w:color w:val="000000"/>
                <w:sz w:val="16"/>
                <w:szCs w:val="16"/>
                <w:lang w:eastAsia="nl-NL"/>
              </w:rPr>
              <w:t>3.252</w:t>
            </w:r>
          </w:p>
        </w:tc>
        <w:tc>
          <w:tcPr>
            <w:tcW w:w="1418" w:type="dxa"/>
            <w:tcBorders>
              <w:bottom w:val="single" w:color="auto" w:sz="4" w:space="0"/>
            </w:tcBorders>
            <w:vAlign w:val="bottom"/>
          </w:tcPr>
          <w:p w:rsidRPr="005F055E" w:rsidR="00EF57B6" w:rsidP="00180EEB" w:rsidRDefault="00EF57B6" w14:paraId="06C5932E" w14:textId="77777777">
            <w:pPr>
              <w:suppressAutoHyphens/>
              <w:spacing w:line="360" w:lineRule="auto"/>
              <w:rPr>
                <w:rFonts w:cs="Calibri"/>
                <w:sz w:val="16"/>
                <w:szCs w:val="16"/>
                <w:lang w:eastAsia="nl-NL"/>
              </w:rPr>
            </w:pPr>
            <w:r w:rsidRPr="005F055E">
              <w:rPr>
                <w:rFonts w:cs="Calibri"/>
                <w:color w:val="000000"/>
                <w:sz w:val="16"/>
                <w:szCs w:val="16"/>
                <w:lang w:eastAsia="nl-NL"/>
              </w:rPr>
              <w:t>2.363</w:t>
            </w:r>
          </w:p>
        </w:tc>
        <w:tc>
          <w:tcPr>
            <w:tcW w:w="1701" w:type="dxa"/>
            <w:tcBorders>
              <w:bottom w:val="single" w:color="auto" w:sz="4" w:space="0"/>
            </w:tcBorders>
            <w:vAlign w:val="bottom"/>
          </w:tcPr>
          <w:p w:rsidRPr="005F055E" w:rsidR="00EF57B6" w:rsidP="00180EEB" w:rsidRDefault="00EF57B6" w14:paraId="64AC081A" w14:textId="77777777">
            <w:pPr>
              <w:tabs>
                <w:tab w:val="center" w:pos="389"/>
                <w:tab w:val="right" w:pos="779"/>
              </w:tabs>
              <w:suppressAutoHyphens/>
              <w:spacing w:line="360" w:lineRule="auto"/>
              <w:rPr>
                <w:rFonts w:cs="Calibri"/>
                <w:sz w:val="16"/>
                <w:szCs w:val="16"/>
                <w:lang w:eastAsia="nl-NL"/>
              </w:rPr>
            </w:pPr>
            <w:r w:rsidRPr="005F055E">
              <w:rPr>
                <w:rFonts w:cs="Calibri"/>
                <w:color w:val="000000"/>
                <w:sz w:val="16"/>
                <w:szCs w:val="16"/>
                <w:lang w:eastAsia="nl-NL"/>
              </w:rPr>
              <w:t>889</w:t>
            </w:r>
          </w:p>
        </w:tc>
      </w:tr>
      <w:tr w:rsidRPr="005F055E" w:rsidR="00EF57B6" w:rsidTr="005E2643" w14:paraId="5F619E65" w14:textId="77777777">
        <w:trPr>
          <w:trHeight w:val="217"/>
        </w:trPr>
        <w:tc>
          <w:tcPr>
            <w:tcW w:w="1701" w:type="dxa"/>
            <w:tcBorders>
              <w:top w:val="single" w:color="auto" w:sz="4" w:space="0"/>
              <w:bottom w:val="single" w:color="auto" w:sz="4" w:space="0"/>
            </w:tcBorders>
            <w:noWrap/>
            <w:hideMark/>
          </w:tcPr>
          <w:p w:rsidRPr="005F055E" w:rsidR="00EF57B6" w:rsidP="00180EEB" w:rsidRDefault="00EF57B6" w14:paraId="73D1928C" w14:textId="77777777">
            <w:pPr>
              <w:suppressAutoHyphens/>
              <w:spacing w:line="360" w:lineRule="auto"/>
              <w:rPr>
                <w:rFonts w:cs="Calibri"/>
                <w:b/>
                <w:bCs/>
                <w:sz w:val="16"/>
                <w:szCs w:val="16"/>
                <w:lang w:eastAsia="nl-NL"/>
              </w:rPr>
            </w:pPr>
            <w:r w:rsidRPr="005F055E">
              <w:rPr>
                <w:rFonts w:cs="Calibri"/>
                <w:b/>
                <w:bCs/>
                <w:sz w:val="16"/>
                <w:szCs w:val="16"/>
                <w:lang w:eastAsia="nl-NL"/>
              </w:rPr>
              <w:t>Macro</w:t>
            </w:r>
          </w:p>
        </w:tc>
        <w:tc>
          <w:tcPr>
            <w:tcW w:w="851" w:type="dxa"/>
            <w:tcBorders>
              <w:top w:val="single" w:color="auto" w:sz="4" w:space="0"/>
              <w:bottom w:val="single" w:color="auto" w:sz="4" w:space="0"/>
            </w:tcBorders>
            <w:vAlign w:val="bottom"/>
          </w:tcPr>
          <w:p w:rsidRPr="005F055E" w:rsidR="00EF57B6" w:rsidP="00180EEB" w:rsidRDefault="00EF57B6" w14:paraId="49EFFFAB" w14:textId="77777777">
            <w:pPr>
              <w:suppressAutoHyphens/>
              <w:spacing w:line="360" w:lineRule="auto"/>
              <w:rPr>
                <w:rFonts w:cs="Calibri"/>
                <w:b/>
                <w:bCs/>
                <w:sz w:val="16"/>
                <w:szCs w:val="16"/>
                <w:lang w:eastAsia="nl-NL"/>
              </w:rPr>
            </w:pPr>
            <w:r w:rsidRPr="005F055E">
              <w:rPr>
                <w:rFonts w:cs="Calibri"/>
                <w:b/>
                <w:bCs/>
                <w:sz w:val="16"/>
                <w:szCs w:val="16"/>
                <w:lang w:eastAsia="nl-NL"/>
              </w:rPr>
              <w:t>139%</w:t>
            </w:r>
          </w:p>
        </w:tc>
        <w:tc>
          <w:tcPr>
            <w:tcW w:w="1275" w:type="dxa"/>
            <w:tcBorders>
              <w:top w:val="single" w:color="auto" w:sz="4" w:space="0"/>
              <w:bottom w:val="single" w:color="auto" w:sz="4" w:space="0"/>
            </w:tcBorders>
            <w:vAlign w:val="bottom"/>
          </w:tcPr>
          <w:p w:rsidRPr="005F055E" w:rsidR="00EF57B6" w:rsidP="00180EEB" w:rsidRDefault="00EF57B6" w14:paraId="173011E0" w14:textId="77777777">
            <w:pPr>
              <w:suppressAutoHyphens/>
              <w:spacing w:line="360" w:lineRule="auto"/>
              <w:rPr>
                <w:rFonts w:cs="Calibri"/>
                <w:b/>
                <w:bCs/>
                <w:sz w:val="16"/>
                <w:szCs w:val="16"/>
                <w:lang w:eastAsia="nl-NL"/>
              </w:rPr>
            </w:pPr>
            <w:r w:rsidRPr="005F055E">
              <w:rPr>
                <w:rFonts w:cs="Calibri"/>
                <w:b/>
                <w:bCs/>
                <w:sz w:val="16"/>
                <w:szCs w:val="16"/>
                <w:lang w:eastAsia="nl-NL"/>
              </w:rPr>
              <w:t>11.428</w:t>
            </w:r>
          </w:p>
        </w:tc>
        <w:tc>
          <w:tcPr>
            <w:tcW w:w="1418" w:type="dxa"/>
            <w:tcBorders>
              <w:top w:val="single" w:color="auto" w:sz="4" w:space="0"/>
              <w:bottom w:val="single" w:color="auto" w:sz="4" w:space="0"/>
            </w:tcBorders>
            <w:vAlign w:val="bottom"/>
          </w:tcPr>
          <w:p w:rsidRPr="005F055E" w:rsidR="00EF57B6" w:rsidP="00180EEB" w:rsidRDefault="00EF57B6" w14:paraId="2A2A6E2E" w14:textId="77777777">
            <w:pPr>
              <w:suppressAutoHyphens/>
              <w:spacing w:line="360" w:lineRule="auto"/>
              <w:rPr>
                <w:rFonts w:cs="Calibri"/>
                <w:b/>
                <w:bCs/>
                <w:sz w:val="16"/>
                <w:szCs w:val="16"/>
                <w:lang w:eastAsia="nl-NL"/>
              </w:rPr>
            </w:pPr>
            <w:r w:rsidRPr="005F055E">
              <w:rPr>
                <w:rFonts w:cs="Calibri"/>
                <w:b/>
                <w:bCs/>
                <w:sz w:val="16"/>
                <w:szCs w:val="16"/>
                <w:lang w:eastAsia="nl-NL"/>
              </w:rPr>
              <w:t>8.193</w:t>
            </w:r>
          </w:p>
        </w:tc>
        <w:tc>
          <w:tcPr>
            <w:tcW w:w="1701" w:type="dxa"/>
            <w:tcBorders>
              <w:top w:val="single" w:color="auto" w:sz="4" w:space="0"/>
              <w:bottom w:val="single" w:color="auto" w:sz="4" w:space="0"/>
            </w:tcBorders>
            <w:vAlign w:val="bottom"/>
          </w:tcPr>
          <w:p w:rsidRPr="005F055E" w:rsidR="00EF57B6" w:rsidP="00180EEB" w:rsidRDefault="00EF57B6" w14:paraId="38D1B034" w14:textId="77777777">
            <w:pPr>
              <w:tabs>
                <w:tab w:val="center" w:pos="389"/>
                <w:tab w:val="right" w:pos="779"/>
              </w:tabs>
              <w:suppressAutoHyphens/>
              <w:spacing w:line="360" w:lineRule="auto"/>
              <w:rPr>
                <w:rFonts w:cs="Calibri"/>
                <w:b/>
                <w:bCs/>
                <w:sz w:val="16"/>
                <w:szCs w:val="16"/>
                <w:lang w:eastAsia="nl-NL"/>
              </w:rPr>
            </w:pPr>
            <w:r w:rsidRPr="005F055E">
              <w:rPr>
                <w:rFonts w:cs="Calibri"/>
                <w:b/>
                <w:bCs/>
                <w:sz w:val="16"/>
                <w:szCs w:val="16"/>
                <w:lang w:eastAsia="nl-NL"/>
              </w:rPr>
              <w:t>3.234</w:t>
            </w:r>
          </w:p>
        </w:tc>
      </w:tr>
    </w:tbl>
    <w:p w:rsidRPr="005F055E" w:rsidR="00912A7D" w:rsidP="00180EEB" w:rsidRDefault="00EF57B6" w14:paraId="6D9A3D18" w14:textId="3C09E5D7">
      <w:pPr>
        <w:suppressAutoHyphens/>
        <w:spacing w:line="360" w:lineRule="auto"/>
        <w:rPr>
          <w:rFonts w:eastAsia="Verdana" w:cs="Calibri"/>
          <w:i/>
          <w:sz w:val="14"/>
          <w:szCs w:val="14"/>
          <w:lang w:eastAsia="nl-NL"/>
        </w:rPr>
      </w:pPr>
      <w:r w:rsidRPr="005F055E">
        <w:rPr>
          <w:rFonts w:eastAsia="Verdana" w:cs="Calibri"/>
          <w:i/>
          <w:sz w:val="14"/>
          <w:szCs w:val="14"/>
          <w:lang w:eastAsia="nl-NL"/>
        </w:rPr>
        <w:t>Bron: transparantieoverzichten van de jaarcijfers basisverzekering, zoals door individuele zorgverzekeraars gepresenteerd op hun website. Zilveren Kruis betreft een optelling door VWS van de solvabiliteitcijfers van de verschillende risicodragers van Zilveren Kruis. VGZ betreft een inschatting op basis van de solvabiliteit basis- plus aanvullende verzekering van VGZ, naar rato van de schade basis- en aanvullende verzekering VGZ.</w:t>
      </w:r>
    </w:p>
    <w:p w:rsidRPr="005F055E" w:rsidR="00912A7D" w:rsidP="00180EEB" w:rsidRDefault="00912A7D" w14:paraId="523E8248" w14:textId="77777777">
      <w:pPr>
        <w:suppressAutoHyphens/>
      </w:pPr>
    </w:p>
    <w:p w:rsidRPr="005F055E" w:rsidR="00912A7D" w:rsidP="00180EEB" w:rsidRDefault="003E7003" w14:paraId="2B377AC0" w14:textId="43C522E0">
      <w:pPr>
        <w:suppressAutoHyphens/>
      </w:pPr>
      <w:r w:rsidRPr="005F055E">
        <w:t>Vraag 186</w:t>
      </w:r>
      <w:r w:rsidRPr="005F055E">
        <w:tab/>
      </w:r>
    </w:p>
    <w:p w:rsidRPr="005F055E" w:rsidR="00912A7D" w:rsidP="00180EEB" w:rsidRDefault="003E7003" w14:paraId="0F82EAC8" w14:textId="77777777">
      <w:pPr>
        <w:suppressAutoHyphens/>
      </w:pPr>
      <w:r w:rsidRPr="005F055E">
        <w:t>Hoeveel premiegeld geven zorgverzekeraars uit om zorgaanbieders te controleren?</w:t>
      </w:r>
      <w:r w:rsidRPr="005F055E">
        <w:tab/>
      </w:r>
    </w:p>
    <w:p w:rsidRPr="005F055E" w:rsidR="003E7003" w:rsidP="00180EEB" w:rsidRDefault="003E7003" w14:paraId="458B63AA" w14:textId="0A6CEB13">
      <w:pPr>
        <w:suppressAutoHyphens/>
      </w:pPr>
      <w:r w:rsidRPr="005F055E">
        <w:t>Antwoord</w:t>
      </w:r>
    </w:p>
    <w:p w:rsidRPr="005F055E" w:rsidR="00912A7D" w:rsidP="00180EEB" w:rsidRDefault="00630335" w14:paraId="3B91A9E9" w14:textId="5B255F48">
      <w:pPr>
        <w:suppressAutoHyphens/>
        <w:spacing w:line="240" w:lineRule="atLeast"/>
        <w:rPr>
          <w:szCs w:val="18"/>
          <w:lang w:eastAsia="nl-NL"/>
        </w:rPr>
      </w:pPr>
      <w:r w:rsidRPr="005F055E">
        <w:rPr>
          <w:szCs w:val="18"/>
          <w:lang w:eastAsia="nl-NL"/>
        </w:rPr>
        <w:t>Uit de transparantieoverzichten van de jaarcijfers basisverzekering blijkt dat de totale schadebehandelingskosten voor de basisverzekering in 2024 ca. € 212 miljoen bedragen, oftewel ca. € 15 per premiebetaler. De schadebehandelingskosten omvatten alle kosten die verband houden met de afwikkeling of uitkering van zorgkosten. Welk deel hiervan wordt besteed aan het controleren van zorgaanbieders, is niet bekend.</w:t>
      </w:r>
    </w:p>
    <w:p w:rsidRPr="005F055E" w:rsidR="00912A7D" w:rsidP="00180EEB" w:rsidRDefault="00912A7D" w14:paraId="7683C4EF" w14:textId="77777777">
      <w:pPr>
        <w:suppressAutoHyphens/>
      </w:pPr>
    </w:p>
    <w:p w:rsidRPr="005F055E" w:rsidR="00912A7D" w:rsidP="00180EEB" w:rsidRDefault="003E7003" w14:paraId="4B99D3A2" w14:textId="77777777">
      <w:pPr>
        <w:suppressAutoHyphens/>
      </w:pPr>
      <w:r w:rsidRPr="005F055E">
        <w:t>Vraag 187</w:t>
      </w:r>
      <w:r w:rsidRPr="005F055E">
        <w:tab/>
      </w:r>
    </w:p>
    <w:p w:rsidRPr="005F055E" w:rsidR="00912A7D" w:rsidP="00180EEB" w:rsidRDefault="003E7003" w14:paraId="535949D3" w14:textId="77777777">
      <w:pPr>
        <w:suppressAutoHyphens/>
      </w:pPr>
      <w:r w:rsidRPr="005F055E">
        <w:t>Hoe groot is de solvabiliteitsreserve van de zorgverzekeraars op dit moment? Hoe hebben de reserves van de zorgverzekeraars zich de afgelopen tien jaar ontwikkeld?</w:t>
      </w:r>
      <w:r w:rsidRPr="005F055E">
        <w:tab/>
      </w:r>
    </w:p>
    <w:p w:rsidRPr="005F055E" w:rsidR="003E7003" w:rsidP="00180EEB" w:rsidRDefault="003E7003" w14:paraId="0F7B3984" w14:textId="6758C3B8">
      <w:pPr>
        <w:suppressAutoHyphens/>
      </w:pPr>
      <w:r w:rsidRPr="005F055E">
        <w:t>Antwoord</w:t>
      </w:r>
    </w:p>
    <w:p w:rsidRPr="005F055E" w:rsidR="00912A7D" w:rsidP="00180EEB" w:rsidRDefault="00630335" w14:paraId="6B01CF4F" w14:textId="5FD5F5E8">
      <w:pPr>
        <w:suppressAutoHyphens/>
        <w:rPr>
          <w:rFonts w:cstheme="minorHAnsi"/>
          <w:szCs w:val="18"/>
        </w:rPr>
      </w:pPr>
      <w:r w:rsidRPr="005F055E">
        <w:rPr>
          <w:rFonts w:cstheme="minorHAnsi"/>
          <w:szCs w:val="18"/>
        </w:rPr>
        <w:t>Voor 2024 (het jaar waarvoor de meest recente cijfers beschikbaar zijn) vindt u hieronder de aanwezige en vereiste solvabiliteit basisverzekering en de solvabiliteitsratio’s voor de jaren 2014 t/m 2024. De aanwezige reserves basisverzekering van zorgverzekeraars tezamen bedragen ultimo 2024 € 11,4 miljard. Hiervan is bijna € 8,2 miljard wettelijk vereist. De solvabiliteitsratio bedraagt gemiddeld 139%.</w:t>
      </w:r>
      <w:r w:rsidRPr="005F055E" w:rsidR="00D73F76">
        <w:rPr>
          <w:rFonts w:cstheme="minorHAnsi"/>
          <w:szCs w:val="18"/>
        </w:rPr>
        <w:t xml:space="preserve"> </w:t>
      </w:r>
    </w:p>
    <w:tbl>
      <w:tblPr>
        <w:tblW w:w="9024" w:type="dxa"/>
        <w:tblCellMar>
          <w:left w:w="70" w:type="dxa"/>
          <w:right w:w="70" w:type="dxa"/>
        </w:tblCellMar>
        <w:tblLook w:val="04A0" w:firstRow="1" w:lastRow="0" w:firstColumn="1" w:lastColumn="0" w:noHBand="0" w:noVBand="1"/>
      </w:tblPr>
      <w:tblGrid>
        <w:gridCol w:w="1193"/>
        <w:gridCol w:w="633"/>
        <w:gridCol w:w="633"/>
        <w:gridCol w:w="633"/>
        <w:gridCol w:w="854"/>
        <w:gridCol w:w="777"/>
        <w:gridCol w:w="656"/>
        <w:gridCol w:w="803"/>
        <w:gridCol w:w="632"/>
        <w:gridCol w:w="632"/>
        <w:gridCol w:w="871"/>
        <w:gridCol w:w="707"/>
      </w:tblGrid>
      <w:tr w:rsidRPr="005F055E" w:rsidR="00630335" w:rsidTr="00630335" w14:paraId="07D65A20" w14:textId="77777777">
        <w:trPr>
          <w:trHeight w:val="300"/>
        </w:trPr>
        <w:tc>
          <w:tcPr>
            <w:tcW w:w="1193" w:type="dxa"/>
            <w:tcBorders>
              <w:bottom w:val="single" w:color="auto" w:sz="4" w:space="0"/>
            </w:tcBorders>
            <w:shd w:val="clear" w:color="auto" w:fill="auto"/>
            <w:noWrap/>
            <w:vAlign w:val="bottom"/>
            <w:hideMark/>
          </w:tcPr>
          <w:p w:rsidRPr="005F055E" w:rsidR="00630335" w:rsidP="00180EEB" w:rsidRDefault="00630335" w14:paraId="09E1A8A2" w14:textId="77777777">
            <w:pPr>
              <w:suppressAutoHyphens/>
              <w:rPr>
                <w:rFonts w:cs="Calibri"/>
                <w:b/>
                <w:bCs/>
                <w:color w:val="000000"/>
                <w:sz w:val="16"/>
                <w:szCs w:val="16"/>
                <w:lang w:eastAsia="nl-NL"/>
              </w:rPr>
            </w:pPr>
            <w:r w:rsidRPr="005F055E">
              <w:rPr>
                <w:rFonts w:cs="Calibri"/>
                <w:b/>
                <w:bCs/>
                <w:color w:val="000000"/>
                <w:sz w:val="16"/>
                <w:szCs w:val="16"/>
                <w:lang w:eastAsia="nl-NL"/>
              </w:rPr>
              <w:t>Concern /jaar</w:t>
            </w:r>
          </w:p>
        </w:tc>
        <w:tc>
          <w:tcPr>
            <w:tcW w:w="633" w:type="dxa"/>
            <w:tcBorders>
              <w:bottom w:val="single" w:color="auto" w:sz="4" w:space="0"/>
            </w:tcBorders>
            <w:shd w:val="clear" w:color="auto" w:fill="auto"/>
            <w:noWrap/>
            <w:vAlign w:val="bottom"/>
            <w:hideMark/>
          </w:tcPr>
          <w:p w:rsidRPr="005F055E" w:rsidR="00630335" w:rsidP="00180EEB" w:rsidRDefault="00630335" w14:paraId="310F1210" w14:textId="77777777">
            <w:pPr>
              <w:suppressAutoHyphens/>
              <w:rPr>
                <w:rFonts w:cs="Calibri"/>
                <w:b/>
                <w:bCs/>
                <w:color w:val="000000"/>
                <w:sz w:val="16"/>
                <w:szCs w:val="16"/>
                <w:lang w:eastAsia="nl-NL"/>
              </w:rPr>
            </w:pPr>
            <w:r w:rsidRPr="005F055E">
              <w:rPr>
                <w:rFonts w:cs="Calibri"/>
                <w:b/>
                <w:bCs/>
                <w:color w:val="000000"/>
                <w:sz w:val="16"/>
                <w:szCs w:val="16"/>
                <w:lang w:eastAsia="nl-NL"/>
              </w:rPr>
              <w:t>ASR</w:t>
            </w:r>
          </w:p>
        </w:tc>
        <w:tc>
          <w:tcPr>
            <w:tcW w:w="633" w:type="dxa"/>
            <w:tcBorders>
              <w:bottom w:val="single" w:color="auto" w:sz="4" w:space="0"/>
            </w:tcBorders>
            <w:shd w:val="clear" w:color="auto" w:fill="auto"/>
            <w:noWrap/>
            <w:vAlign w:val="bottom"/>
            <w:hideMark/>
          </w:tcPr>
          <w:p w:rsidRPr="005F055E" w:rsidR="00630335" w:rsidP="00180EEB" w:rsidRDefault="00630335" w14:paraId="2A34C708" w14:textId="77777777">
            <w:pPr>
              <w:suppressAutoHyphens/>
              <w:rPr>
                <w:rFonts w:cs="Calibri"/>
                <w:b/>
                <w:bCs/>
                <w:color w:val="000000"/>
                <w:sz w:val="16"/>
                <w:szCs w:val="16"/>
                <w:lang w:eastAsia="nl-NL"/>
              </w:rPr>
            </w:pPr>
            <w:r w:rsidRPr="005F055E">
              <w:rPr>
                <w:rFonts w:cs="Calibri"/>
                <w:b/>
                <w:bCs/>
                <w:color w:val="000000"/>
                <w:sz w:val="16"/>
                <w:szCs w:val="16"/>
                <w:lang w:eastAsia="nl-NL"/>
              </w:rPr>
              <w:t>CZ</w:t>
            </w:r>
          </w:p>
        </w:tc>
        <w:tc>
          <w:tcPr>
            <w:tcW w:w="633" w:type="dxa"/>
            <w:tcBorders>
              <w:bottom w:val="single" w:color="auto" w:sz="4" w:space="0"/>
            </w:tcBorders>
            <w:shd w:val="clear" w:color="auto" w:fill="auto"/>
            <w:noWrap/>
            <w:vAlign w:val="bottom"/>
            <w:hideMark/>
          </w:tcPr>
          <w:p w:rsidRPr="005F055E" w:rsidR="00630335" w:rsidP="00180EEB" w:rsidRDefault="00630335" w14:paraId="45C441DE" w14:textId="77777777">
            <w:pPr>
              <w:suppressAutoHyphens/>
              <w:rPr>
                <w:rFonts w:cs="Calibri"/>
                <w:b/>
                <w:bCs/>
                <w:color w:val="000000"/>
                <w:sz w:val="16"/>
                <w:szCs w:val="16"/>
                <w:lang w:eastAsia="nl-NL"/>
              </w:rPr>
            </w:pPr>
            <w:r w:rsidRPr="005F055E">
              <w:rPr>
                <w:rFonts w:cs="Calibri"/>
                <w:b/>
                <w:bCs/>
                <w:color w:val="000000"/>
                <w:sz w:val="16"/>
                <w:szCs w:val="16"/>
                <w:lang w:eastAsia="nl-NL"/>
              </w:rPr>
              <w:t>DSW + SH</w:t>
            </w:r>
          </w:p>
        </w:tc>
        <w:tc>
          <w:tcPr>
            <w:tcW w:w="854" w:type="dxa"/>
            <w:tcBorders>
              <w:bottom w:val="single" w:color="auto" w:sz="4" w:space="0"/>
            </w:tcBorders>
            <w:shd w:val="clear" w:color="auto" w:fill="auto"/>
            <w:noWrap/>
            <w:vAlign w:val="bottom"/>
            <w:hideMark/>
          </w:tcPr>
          <w:p w:rsidRPr="005F055E" w:rsidR="00630335" w:rsidP="00180EEB" w:rsidRDefault="00630335" w14:paraId="151FB1D3" w14:textId="77777777">
            <w:pPr>
              <w:suppressAutoHyphens/>
              <w:rPr>
                <w:rFonts w:cs="Calibri"/>
                <w:b/>
                <w:bCs/>
                <w:color w:val="000000"/>
                <w:sz w:val="16"/>
                <w:szCs w:val="16"/>
                <w:lang w:eastAsia="nl-NL"/>
              </w:rPr>
            </w:pPr>
            <w:r w:rsidRPr="005F055E">
              <w:rPr>
                <w:rFonts w:cs="Calibri"/>
                <w:b/>
                <w:bCs/>
                <w:color w:val="000000"/>
                <w:sz w:val="16"/>
                <w:szCs w:val="16"/>
                <w:lang w:eastAsia="nl-NL"/>
              </w:rPr>
              <w:t>EUCARE</w:t>
            </w:r>
          </w:p>
        </w:tc>
        <w:tc>
          <w:tcPr>
            <w:tcW w:w="777" w:type="dxa"/>
            <w:tcBorders>
              <w:bottom w:val="single" w:color="auto" w:sz="4" w:space="0"/>
            </w:tcBorders>
            <w:shd w:val="clear" w:color="auto" w:fill="auto"/>
            <w:noWrap/>
            <w:vAlign w:val="bottom"/>
            <w:hideMark/>
          </w:tcPr>
          <w:p w:rsidRPr="005F055E" w:rsidR="00630335" w:rsidP="00180EEB" w:rsidRDefault="00630335" w14:paraId="7BF5ACC3" w14:textId="77777777">
            <w:pPr>
              <w:suppressAutoHyphens/>
              <w:rPr>
                <w:rFonts w:cs="Calibri"/>
                <w:b/>
                <w:bCs/>
                <w:color w:val="000000"/>
                <w:sz w:val="16"/>
                <w:szCs w:val="16"/>
                <w:lang w:eastAsia="nl-NL"/>
              </w:rPr>
            </w:pPr>
            <w:proofErr w:type="spellStart"/>
            <w:r w:rsidRPr="005F055E">
              <w:rPr>
                <w:rFonts w:cs="Calibri"/>
                <w:b/>
                <w:bCs/>
                <w:color w:val="000000"/>
                <w:sz w:val="16"/>
                <w:szCs w:val="16"/>
                <w:lang w:eastAsia="nl-NL"/>
              </w:rPr>
              <w:t>Menzis</w:t>
            </w:r>
            <w:proofErr w:type="spellEnd"/>
          </w:p>
        </w:tc>
        <w:tc>
          <w:tcPr>
            <w:tcW w:w="656" w:type="dxa"/>
            <w:tcBorders>
              <w:bottom w:val="single" w:color="auto" w:sz="4" w:space="0"/>
            </w:tcBorders>
            <w:shd w:val="clear" w:color="auto" w:fill="auto"/>
            <w:noWrap/>
            <w:vAlign w:val="bottom"/>
            <w:hideMark/>
          </w:tcPr>
          <w:p w:rsidRPr="005F055E" w:rsidR="00630335" w:rsidP="00180EEB" w:rsidRDefault="00630335" w14:paraId="1AF1AF20" w14:textId="77777777">
            <w:pPr>
              <w:suppressAutoHyphens/>
              <w:rPr>
                <w:rFonts w:cs="Calibri"/>
                <w:b/>
                <w:bCs/>
                <w:color w:val="000000"/>
                <w:sz w:val="16"/>
                <w:szCs w:val="16"/>
                <w:lang w:eastAsia="nl-NL"/>
              </w:rPr>
            </w:pPr>
            <w:r w:rsidRPr="005F055E">
              <w:rPr>
                <w:rFonts w:cs="Calibri"/>
                <w:b/>
                <w:bCs/>
                <w:color w:val="000000"/>
                <w:sz w:val="16"/>
                <w:szCs w:val="16"/>
                <w:lang w:eastAsia="nl-NL"/>
              </w:rPr>
              <w:t>ONVZ</w:t>
            </w:r>
          </w:p>
        </w:tc>
        <w:tc>
          <w:tcPr>
            <w:tcW w:w="803" w:type="dxa"/>
            <w:tcBorders>
              <w:bottom w:val="single" w:color="auto" w:sz="4" w:space="0"/>
            </w:tcBorders>
            <w:shd w:val="clear" w:color="auto" w:fill="auto"/>
            <w:noWrap/>
            <w:vAlign w:val="bottom"/>
            <w:hideMark/>
          </w:tcPr>
          <w:p w:rsidRPr="005F055E" w:rsidR="00630335" w:rsidP="00180EEB" w:rsidRDefault="00630335" w14:paraId="44D822E2" w14:textId="77777777">
            <w:pPr>
              <w:suppressAutoHyphens/>
              <w:rPr>
                <w:rFonts w:cs="Calibri"/>
                <w:b/>
                <w:bCs/>
                <w:color w:val="000000"/>
                <w:sz w:val="16"/>
                <w:szCs w:val="16"/>
                <w:lang w:eastAsia="nl-NL"/>
              </w:rPr>
            </w:pPr>
            <w:r w:rsidRPr="005F055E">
              <w:rPr>
                <w:rFonts w:cs="Calibri"/>
                <w:b/>
                <w:bCs/>
                <w:color w:val="000000"/>
                <w:sz w:val="16"/>
                <w:szCs w:val="16"/>
                <w:lang w:eastAsia="nl-NL"/>
              </w:rPr>
              <w:t>Salland</w:t>
            </w:r>
          </w:p>
        </w:tc>
        <w:tc>
          <w:tcPr>
            <w:tcW w:w="632" w:type="dxa"/>
            <w:tcBorders>
              <w:bottom w:val="single" w:color="auto" w:sz="4" w:space="0"/>
            </w:tcBorders>
            <w:shd w:val="clear" w:color="auto" w:fill="auto"/>
            <w:noWrap/>
            <w:vAlign w:val="bottom"/>
            <w:hideMark/>
          </w:tcPr>
          <w:p w:rsidRPr="005F055E" w:rsidR="00630335" w:rsidP="00180EEB" w:rsidRDefault="00630335" w14:paraId="32BF2426" w14:textId="77777777">
            <w:pPr>
              <w:suppressAutoHyphens/>
              <w:rPr>
                <w:rFonts w:cs="Calibri"/>
                <w:b/>
                <w:bCs/>
                <w:color w:val="000000"/>
                <w:sz w:val="16"/>
                <w:szCs w:val="16"/>
                <w:lang w:eastAsia="nl-NL"/>
              </w:rPr>
            </w:pPr>
            <w:r w:rsidRPr="005F055E">
              <w:rPr>
                <w:rFonts w:cs="Calibri"/>
                <w:b/>
                <w:bCs/>
                <w:color w:val="000000"/>
                <w:sz w:val="16"/>
                <w:szCs w:val="16"/>
                <w:lang w:eastAsia="nl-NL"/>
              </w:rPr>
              <w:t>VGZ</w:t>
            </w:r>
          </w:p>
        </w:tc>
        <w:tc>
          <w:tcPr>
            <w:tcW w:w="632" w:type="dxa"/>
            <w:tcBorders>
              <w:bottom w:val="single" w:color="auto" w:sz="4" w:space="0"/>
            </w:tcBorders>
            <w:shd w:val="clear" w:color="auto" w:fill="auto"/>
            <w:noWrap/>
            <w:vAlign w:val="bottom"/>
            <w:hideMark/>
          </w:tcPr>
          <w:p w:rsidRPr="005F055E" w:rsidR="00630335" w:rsidP="00180EEB" w:rsidRDefault="00630335" w14:paraId="69DA9CCB" w14:textId="77777777">
            <w:pPr>
              <w:suppressAutoHyphens/>
              <w:rPr>
                <w:rFonts w:cs="Calibri"/>
                <w:b/>
                <w:bCs/>
                <w:color w:val="000000"/>
                <w:sz w:val="16"/>
                <w:szCs w:val="16"/>
                <w:lang w:eastAsia="nl-NL"/>
              </w:rPr>
            </w:pPr>
            <w:r w:rsidRPr="005F055E">
              <w:rPr>
                <w:rFonts w:cs="Calibri"/>
                <w:b/>
                <w:bCs/>
                <w:color w:val="000000"/>
                <w:sz w:val="16"/>
                <w:szCs w:val="16"/>
                <w:lang w:eastAsia="nl-NL"/>
              </w:rPr>
              <w:t>Z&amp;Z</w:t>
            </w:r>
          </w:p>
        </w:tc>
        <w:tc>
          <w:tcPr>
            <w:tcW w:w="871" w:type="dxa"/>
            <w:tcBorders>
              <w:bottom w:val="single" w:color="auto" w:sz="4" w:space="0"/>
            </w:tcBorders>
            <w:shd w:val="clear" w:color="auto" w:fill="auto"/>
            <w:noWrap/>
            <w:vAlign w:val="bottom"/>
            <w:hideMark/>
          </w:tcPr>
          <w:p w:rsidRPr="005F055E" w:rsidR="00630335" w:rsidP="00180EEB" w:rsidRDefault="00630335" w14:paraId="02BE1388" w14:textId="77777777">
            <w:pPr>
              <w:suppressAutoHyphens/>
              <w:rPr>
                <w:rFonts w:cs="Calibri"/>
                <w:b/>
                <w:bCs/>
                <w:color w:val="000000"/>
                <w:sz w:val="16"/>
                <w:szCs w:val="16"/>
                <w:lang w:eastAsia="nl-NL"/>
              </w:rPr>
            </w:pPr>
            <w:r w:rsidRPr="005F055E">
              <w:rPr>
                <w:rFonts w:cs="Calibri"/>
                <w:b/>
                <w:bCs/>
                <w:color w:val="000000"/>
                <w:sz w:val="16"/>
                <w:szCs w:val="16"/>
                <w:lang w:eastAsia="nl-NL"/>
              </w:rPr>
              <w:t>Zilveren Kruis</w:t>
            </w:r>
          </w:p>
        </w:tc>
        <w:tc>
          <w:tcPr>
            <w:tcW w:w="707" w:type="dxa"/>
            <w:tcBorders>
              <w:bottom w:val="single" w:color="auto" w:sz="4" w:space="0"/>
            </w:tcBorders>
            <w:vAlign w:val="bottom"/>
          </w:tcPr>
          <w:p w:rsidRPr="005F055E" w:rsidR="00630335" w:rsidP="00180EEB" w:rsidRDefault="00630335" w14:paraId="50FFFE94" w14:textId="77777777">
            <w:pPr>
              <w:suppressAutoHyphens/>
              <w:rPr>
                <w:rFonts w:cs="Calibri"/>
                <w:b/>
                <w:bCs/>
                <w:color w:val="000000"/>
                <w:sz w:val="16"/>
                <w:szCs w:val="16"/>
                <w:lang w:eastAsia="nl-NL"/>
              </w:rPr>
            </w:pPr>
            <w:r w:rsidRPr="005F055E">
              <w:rPr>
                <w:rFonts w:cs="Calibri"/>
                <w:b/>
                <w:bCs/>
                <w:color w:val="000000"/>
                <w:sz w:val="16"/>
                <w:szCs w:val="16"/>
                <w:lang w:eastAsia="nl-NL"/>
              </w:rPr>
              <w:t>Totaal</w:t>
            </w:r>
          </w:p>
        </w:tc>
      </w:tr>
      <w:tr w:rsidRPr="005F055E" w:rsidR="00630335" w:rsidTr="00630335" w14:paraId="047C84FF" w14:textId="77777777">
        <w:trPr>
          <w:trHeight w:val="300"/>
        </w:trPr>
        <w:tc>
          <w:tcPr>
            <w:tcW w:w="1193" w:type="dxa"/>
            <w:tcBorders>
              <w:top w:val="single" w:color="auto" w:sz="4" w:space="0"/>
            </w:tcBorders>
            <w:shd w:val="clear" w:color="auto" w:fill="auto"/>
            <w:noWrap/>
            <w:vAlign w:val="bottom"/>
            <w:hideMark/>
          </w:tcPr>
          <w:p w:rsidRPr="005F055E" w:rsidR="00630335" w:rsidP="00180EEB" w:rsidRDefault="00630335" w14:paraId="454C2663" w14:textId="77777777">
            <w:pPr>
              <w:suppressAutoHyphens/>
              <w:rPr>
                <w:rFonts w:cs="Calibri"/>
                <w:color w:val="000000"/>
                <w:sz w:val="16"/>
                <w:szCs w:val="16"/>
                <w:lang w:eastAsia="nl-NL"/>
              </w:rPr>
            </w:pPr>
            <w:r w:rsidRPr="005F055E">
              <w:rPr>
                <w:rFonts w:cs="Calibri"/>
                <w:color w:val="000000"/>
                <w:sz w:val="16"/>
                <w:szCs w:val="16"/>
                <w:lang w:eastAsia="nl-NL"/>
              </w:rPr>
              <w:t>2014</w:t>
            </w:r>
          </w:p>
        </w:tc>
        <w:tc>
          <w:tcPr>
            <w:tcW w:w="633" w:type="dxa"/>
            <w:tcBorders>
              <w:top w:val="single" w:color="auto" w:sz="4" w:space="0"/>
            </w:tcBorders>
            <w:shd w:val="clear" w:color="auto" w:fill="auto"/>
            <w:noWrap/>
            <w:vAlign w:val="bottom"/>
            <w:hideMark/>
          </w:tcPr>
          <w:p w:rsidRPr="005F055E" w:rsidR="00630335" w:rsidP="00180EEB" w:rsidRDefault="00630335" w14:paraId="1569769D" w14:textId="77777777">
            <w:pPr>
              <w:suppressAutoHyphens/>
              <w:rPr>
                <w:rFonts w:cs="Calibri"/>
                <w:color w:val="000000"/>
                <w:sz w:val="16"/>
                <w:szCs w:val="16"/>
                <w:lang w:eastAsia="nl-NL"/>
              </w:rPr>
            </w:pPr>
            <w:r w:rsidRPr="005F055E">
              <w:rPr>
                <w:rFonts w:cs="Calibri"/>
                <w:color w:val="000000"/>
                <w:sz w:val="16"/>
                <w:szCs w:val="16"/>
                <w:lang w:eastAsia="nl-NL"/>
              </w:rPr>
              <w:t>151%</w:t>
            </w:r>
          </w:p>
        </w:tc>
        <w:tc>
          <w:tcPr>
            <w:tcW w:w="633" w:type="dxa"/>
            <w:tcBorders>
              <w:top w:val="single" w:color="auto" w:sz="4" w:space="0"/>
            </w:tcBorders>
            <w:shd w:val="clear" w:color="auto" w:fill="auto"/>
            <w:noWrap/>
            <w:vAlign w:val="bottom"/>
            <w:hideMark/>
          </w:tcPr>
          <w:p w:rsidRPr="005F055E" w:rsidR="00630335" w:rsidP="00180EEB" w:rsidRDefault="00630335" w14:paraId="09F825ED" w14:textId="77777777">
            <w:pPr>
              <w:suppressAutoHyphens/>
              <w:rPr>
                <w:rFonts w:cs="Calibri"/>
                <w:color w:val="000000"/>
                <w:sz w:val="16"/>
                <w:szCs w:val="16"/>
                <w:lang w:eastAsia="nl-NL"/>
              </w:rPr>
            </w:pPr>
            <w:r w:rsidRPr="005F055E">
              <w:rPr>
                <w:rFonts w:cs="Calibri"/>
                <w:color w:val="000000"/>
                <w:sz w:val="16"/>
                <w:szCs w:val="16"/>
                <w:lang w:eastAsia="nl-NL"/>
              </w:rPr>
              <w:t>163%</w:t>
            </w:r>
          </w:p>
        </w:tc>
        <w:tc>
          <w:tcPr>
            <w:tcW w:w="633" w:type="dxa"/>
            <w:tcBorders>
              <w:top w:val="single" w:color="auto" w:sz="4" w:space="0"/>
            </w:tcBorders>
            <w:shd w:val="clear" w:color="auto" w:fill="auto"/>
            <w:noWrap/>
            <w:vAlign w:val="bottom"/>
            <w:hideMark/>
          </w:tcPr>
          <w:p w:rsidRPr="005F055E" w:rsidR="00630335" w:rsidP="00180EEB" w:rsidRDefault="00630335" w14:paraId="0FD3B41E" w14:textId="77777777">
            <w:pPr>
              <w:suppressAutoHyphens/>
              <w:rPr>
                <w:rFonts w:cs="Calibri"/>
                <w:color w:val="000000"/>
                <w:sz w:val="16"/>
                <w:szCs w:val="16"/>
                <w:lang w:eastAsia="nl-NL"/>
              </w:rPr>
            </w:pPr>
            <w:r w:rsidRPr="005F055E">
              <w:rPr>
                <w:rFonts w:cs="Calibri"/>
                <w:color w:val="000000"/>
                <w:sz w:val="16"/>
                <w:szCs w:val="16"/>
                <w:lang w:eastAsia="nl-NL"/>
              </w:rPr>
              <w:t>154%</w:t>
            </w:r>
          </w:p>
        </w:tc>
        <w:tc>
          <w:tcPr>
            <w:tcW w:w="854" w:type="dxa"/>
            <w:tcBorders>
              <w:top w:val="single" w:color="auto" w:sz="4" w:space="0"/>
            </w:tcBorders>
            <w:shd w:val="clear" w:color="auto" w:fill="auto"/>
            <w:noWrap/>
            <w:vAlign w:val="bottom"/>
          </w:tcPr>
          <w:p w:rsidRPr="005F055E" w:rsidR="00630335" w:rsidP="00180EEB" w:rsidRDefault="00630335" w14:paraId="47B18D28" w14:textId="77777777">
            <w:pPr>
              <w:suppressAutoHyphens/>
              <w:rPr>
                <w:rFonts w:cs="Calibri"/>
                <w:color w:val="000000"/>
                <w:sz w:val="16"/>
                <w:szCs w:val="16"/>
                <w:lang w:eastAsia="nl-NL"/>
              </w:rPr>
            </w:pPr>
          </w:p>
        </w:tc>
        <w:tc>
          <w:tcPr>
            <w:tcW w:w="777" w:type="dxa"/>
            <w:tcBorders>
              <w:top w:val="single" w:color="auto" w:sz="4" w:space="0"/>
            </w:tcBorders>
            <w:shd w:val="clear" w:color="auto" w:fill="auto"/>
            <w:noWrap/>
            <w:vAlign w:val="bottom"/>
            <w:hideMark/>
          </w:tcPr>
          <w:p w:rsidRPr="005F055E" w:rsidR="00630335" w:rsidP="00180EEB" w:rsidRDefault="00630335" w14:paraId="01812275" w14:textId="77777777">
            <w:pPr>
              <w:suppressAutoHyphens/>
              <w:rPr>
                <w:rFonts w:cs="Calibri"/>
                <w:color w:val="000000"/>
                <w:sz w:val="16"/>
                <w:szCs w:val="16"/>
                <w:lang w:eastAsia="nl-NL"/>
              </w:rPr>
            </w:pPr>
            <w:r w:rsidRPr="005F055E">
              <w:rPr>
                <w:rFonts w:cs="Calibri"/>
                <w:color w:val="000000"/>
                <w:sz w:val="16"/>
                <w:szCs w:val="16"/>
                <w:lang w:eastAsia="nl-NL"/>
              </w:rPr>
              <w:t>129%</w:t>
            </w:r>
          </w:p>
        </w:tc>
        <w:tc>
          <w:tcPr>
            <w:tcW w:w="656" w:type="dxa"/>
            <w:tcBorders>
              <w:top w:val="single" w:color="auto" w:sz="4" w:space="0"/>
            </w:tcBorders>
            <w:shd w:val="clear" w:color="auto" w:fill="auto"/>
            <w:noWrap/>
            <w:vAlign w:val="bottom"/>
            <w:hideMark/>
          </w:tcPr>
          <w:p w:rsidRPr="005F055E" w:rsidR="00630335" w:rsidP="00180EEB" w:rsidRDefault="00630335" w14:paraId="52139DB2" w14:textId="77777777">
            <w:pPr>
              <w:suppressAutoHyphens/>
              <w:rPr>
                <w:rFonts w:cs="Calibri"/>
                <w:color w:val="000000"/>
                <w:sz w:val="16"/>
                <w:szCs w:val="16"/>
                <w:lang w:eastAsia="nl-NL"/>
              </w:rPr>
            </w:pPr>
            <w:r w:rsidRPr="005F055E">
              <w:rPr>
                <w:rFonts w:cs="Calibri"/>
                <w:color w:val="000000"/>
                <w:sz w:val="16"/>
                <w:szCs w:val="16"/>
                <w:lang w:eastAsia="nl-NL"/>
              </w:rPr>
              <w:t>157%</w:t>
            </w:r>
          </w:p>
        </w:tc>
        <w:tc>
          <w:tcPr>
            <w:tcW w:w="803" w:type="dxa"/>
            <w:tcBorders>
              <w:top w:val="single" w:color="auto" w:sz="4" w:space="0"/>
            </w:tcBorders>
            <w:shd w:val="clear" w:color="auto" w:fill="auto"/>
            <w:noWrap/>
            <w:vAlign w:val="bottom"/>
            <w:hideMark/>
          </w:tcPr>
          <w:p w:rsidRPr="005F055E" w:rsidR="00630335" w:rsidP="00180EEB" w:rsidRDefault="00630335" w14:paraId="5595A289" w14:textId="77777777">
            <w:pPr>
              <w:suppressAutoHyphens/>
              <w:rPr>
                <w:rFonts w:cs="Calibri"/>
                <w:color w:val="000000"/>
                <w:sz w:val="16"/>
                <w:szCs w:val="16"/>
                <w:lang w:eastAsia="nl-NL"/>
              </w:rPr>
            </w:pPr>
            <w:r w:rsidRPr="005F055E">
              <w:rPr>
                <w:rFonts w:cs="Calibri"/>
                <w:color w:val="000000"/>
                <w:sz w:val="16"/>
                <w:szCs w:val="16"/>
                <w:lang w:eastAsia="nl-NL"/>
              </w:rPr>
              <w:t>114%</w:t>
            </w:r>
          </w:p>
        </w:tc>
        <w:tc>
          <w:tcPr>
            <w:tcW w:w="632" w:type="dxa"/>
            <w:tcBorders>
              <w:top w:val="single" w:color="auto" w:sz="4" w:space="0"/>
            </w:tcBorders>
            <w:shd w:val="clear" w:color="auto" w:fill="auto"/>
            <w:noWrap/>
            <w:vAlign w:val="bottom"/>
            <w:hideMark/>
          </w:tcPr>
          <w:p w:rsidRPr="005F055E" w:rsidR="00630335" w:rsidP="00180EEB" w:rsidRDefault="00630335" w14:paraId="68894426" w14:textId="77777777">
            <w:pPr>
              <w:suppressAutoHyphens/>
              <w:rPr>
                <w:rFonts w:cs="Calibri"/>
                <w:color w:val="000000"/>
                <w:sz w:val="16"/>
                <w:szCs w:val="16"/>
                <w:lang w:eastAsia="nl-NL"/>
              </w:rPr>
            </w:pPr>
            <w:r w:rsidRPr="005F055E">
              <w:rPr>
                <w:rFonts w:cs="Calibri"/>
                <w:color w:val="000000"/>
                <w:sz w:val="16"/>
                <w:szCs w:val="16"/>
                <w:lang w:eastAsia="nl-NL"/>
              </w:rPr>
              <w:t>137%</w:t>
            </w:r>
          </w:p>
        </w:tc>
        <w:tc>
          <w:tcPr>
            <w:tcW w:w="632" w:type="dxa"/>
            <w:tcBorders>
              <w:top w:val="single" w:color="auto" w:sz="4" w:space="0"/>
            </w:tcBorders>
            <w:shd w:val="clear" w:color="auto" w:fill="auto"/>
            <w:noWrap/>
            <w:vAlign w:val="bottom"/>
            <w:hideMark/>
          </w:tcPr>
          <w:p w:rsidRPr="005F055E" w:rsidR="00630335" w:rsidP="00180EEB" w:rsidRDefault="00630335" w14:paraId="75085299" w14:textId="77777777">
            <w:pPr>
              <w:suppressAutoHyphens/>
              <w:rPr>
                <w:rFonts w:cs="Calibri"/>
                <w:color w:val="000000"/>
                <w:sz w:val="16"/>
                <w:szCs w:val="16"/>
                <w:lang w:eastAsia="nl-NL"/>
              </w:rPr>
            </w:pPr>
            <w:r w:rsidRPr="005F055E">
              <w:rPr>
                <w:rFonts w:cs="Calibri"/>
                <w:color w:val="000000"/>
                <w:sz w:val="16"/>
                <w:szCs w:val="16"/>
                <w:lang w:eastAsia="nl-NL"/>
              </w:rPr>
              <w:t>172%</w:t>
            </w:r>
          </w:p>
        </w:tc>
        <w:tc>
          <w:tcPr>
            <w:tcW w:w="871" w:type="dxa"/>
            <w:tcBorders>
              <w:top w:val="single" w:color="auto" w:sz="4" w:space="0"/>
            </w:tcBorders>
            <w:shd w:val="clear" w:color="auto" w:fill="auto"/>
            <w:noWrap/>
            <w:vAlign w:val="bottom"/>
            <w:hideMark/>
          </w:tcPr>
          <w:p w:rsidRPr="005F055E" w:rsidR="00630335" w:rsidP="00180EEB" w:rsidRDefault="00630335" w14:paraId="5B55ADE4" w14:textId="77777777">
            <w:pPr>
              <w:suppressAutoHyphens/>
              <w:rPr>
                <w:rFonts w:cs="Calibri"/>
                <w:color w:val="000000"/>
                <w:sz w:val="16"/>
                <w:szCs w:val="16"/>
                <w:lang w:eastAsia="nl-NL"/>
              </w:rPr>
            </w:pPr>
            <w:r w:rsidRPr="005F055E">
              <w:rPr>
                <w:rFonts w:cs="Calibri"/>
                <w:color w:val="000000"/>
                <w:sz w:val="16"/>
                <w:szCs w:val="16"/>
                <w:lang w:eastAsia="nl-NL"/>
              </w:rPr>
              <w:t>162%</w:t>
            </w:r>
          </w:p>
        </w:tc>
        <w:tc>
          <w:tcPr>
            <w:tcW w:w="707" w:type="dxa"/>
            <w:tcBorders>
              <w:top w:val="single" w:color="auto" w:sz="4" w:space="0"/>
            </w:tcBorders>
            <w:vAlign w:val="bottom"/>
          </w:tcPr>
          <w:p w:rsidRPr="005F055E" w:rsidR="00630335" w:rsidP="00180EEB" w:rsidRDefault="00630335" w14:paraId="00FCFCD7" w14:textId="77777777">
            <w:pPr>
              <w:suppressAutoHyphens/>
              <w:rPr>
                <w:rFonts w:cs="Calibri"/>
                <w:color w:val="000000"/>
                <w:sz w:val="16"/>
                <w:szCs w:val="16"/>
                <w:lang w:eastAsia="nl-NL"/>
              </w:rPr>
            </w:pPr>
            <w:r w:rsidRPr="005F055E">
              <w:rPr>
                <w:rFonts w:cs="Calibri"/>
                <w:color w:val="000000"/>
                <w:sz w:val="16"/>
                <w:szCs w:val="16"/>
                <w:lang w:eastAsia="nl-NL"/>
              </w:rPr>
              <w:t>151%</w:t>
            </w:r>
          </w:p>
        </w:tc>
      </w:tr>
      <w:tr w:rsidRPr="005F055E" w:rsidR="00630335" w:rsidTr="00630335" w14:paraId="4172DE6A" w14:textId="77777777">
        <w:trPr>
          <w:trHeight w:val="300"/>
        </w:trPr>
        <w:tc>
          <w:tcPr>
            <w:tcW w:w="1193" w:type="dxa"/>
            <w:shd w:val="clear" w:color="auto" w:fill="auto"/>
            <w:noWrap/>
            <w:vAlign w:val="bottom"/>
            <w:hideMark/>
          </w:tcPr>
          <w:p w:rsidRPr="005F055E" w:rsidR="00630335" w:rsidP="00180EEB" w:rsidRDefault="00630335" w14:paraId="3806E9A7" w14:textId="77777777">
            <w:pPr>
              <w:suppressAutoHyphens/>
              <w:rPr>
                <w:rFonts w:cs="Calibri"/>
                <w:color w:val="000000"/>
                <w:sz w:val="16"/>
                <w:szCs w:val="16"/>
                <w:lang w:eastAsia="nl-NL"/>
              </w:rPr>
            </w:pPr>
            <w:r w:rsidRPr="005F055E">
              <w:rPr>
                <w:rFonts w:cs="Calibri"/>
                <w:color w:val="000000"/>
                <w:sz w:val="16"/>
                <w:szCs w:val="16"/>
                <w:lang w:eastAsia="nl-NL"/>
              </w:rPr>
              <w:t>2015</w:t>
            </w:r>
          </w:p>
        </w:tc>
        <w:tc>
          <w:tcPr>
            <w:tcW w:w="633" w:type="dxa"/>
            <w:shd w:val="clear" w:color="auto" w:fill="auto"/>
            <w:noWrap/>
            <w:vAlign w:val="bottom"/>
            <w:hideMark/>
          </w:tcPr>
          <w:p w:rsidRPr="005F055E" w:rsidR="00630335" w:rsidP="00180EEB" w:rsidRDefault="00630335" w14:paraId="7C3E87C9" w14:textId="77777777">
            <w:pPr>
              <w:suppressAutoHyphens/>
              <w:rPr>
                <w:rFonts w:cs="Calibri"/>
                <w:color w:val="000000"/>
                <w:sz w:val="16"/>
                <w:szCs w:val="16"/>
                <w:lang w:eastAsia="nl-NL"/>
              </w:rPr>
            </w:pPr>
            <w:r w:rsidRPr="005F055E">
              <w:rPr>
                <w:rFonts w:cs="Calibri"/>
                <w:color w:val="000000"/>
                <w:sz w:val="16"/>
                <w:szCs w:val="16"/>
                <w:lang w:eastAsia="nl-NL"/>
              </w:rPr>
              <w:t>146%</w:t>
            </w:r>
          </w:p>
        </w:tc>
        <w:tc>
          <w:tcPr>
            <w:tcW w:w="633" w:type="dxa"/>
            <w:shd w:val="clear" w:color="auto" w:fill="auto"/>
            <w:noWrap/>
            <w:vAlign w:val="bottom"/>
            <w:hideMark/>
          </w:tcPr>
          <w:p w:rsidRPr="005F055E" w:rsidR="00630335" w:rsidP="00180EEB" w:rsidRDefault="00630335" w14:paraId="05EC1BFD" w14:textId="77777777">
            <w:pPr>
              <w:suppressAutoHyphens/>
              <w:rPr>
                <w:rFonts w:cs="Calibri"/>
                <w:color w:val="000000"/>
                <w:sz w:val="16"/>
                <w:szCs w:val="16"/>
                <w:lang w:eastAsia="nl-NL"/>
              </w:rPr>
            </w:pPr>
            <w:r w:rsidRPr="005F055E">
              <w:rPr>
                <w:rFonts w:cs="Calibri"/>
                <w:color w:val="000000"/>
                <w:sz w:val="16"/>
                <w:szCs w:val="16"/>
                <w:lang w:eastAsia="nl-NL"/>
              </w:rPr>
              <w:t>169%</w:t>
            </w:r>
          </w:p>
        </w:tc>
        <w:tc>
          <w:tcPr>
            <w:tcW w:w="633" w:type="dxa"/>
            <w:shd w:val="clear" w:color="auto" w:fill="auto"/>
            <w:noWrap/>
            <w:vAlign w:val="bottom"/>
            <w:hideMark/>
          </w:tcPr>
          <w:p w:rsidRPr="005F055E" w:rsidR="00630335" w:rsidP="00180EEB" w:rsidRDefault="00630335" w14:paraId="4DFA7706" w14:textId="77777777">
            <w:pPr>
              <w:suppressAutoHyphens/>
              <w:rPr>
                <w:rFonts w:cs="Calibri"/>
                <w:color w:val="000000"/>
                <w:sz w:val="16"/>
                <w:szCs w:val="16"/>
                <w:lang w:eastAsia="nl-NL"/>
              </w:rPr>
            </w:pPr>
            <w:r w:rsidRPr="005F055E">
              <w:rPr>
                <w:rFonts w:cs="Calibri"/>
                <w:color w:val="000000"/>
                <w:sz w:val="16"/>
                <w:szCs w:val="16"/>
                <w:lang w:eastAsia="nl-NL"/>
              </w:rPr>
              <w:t>157%</w:t>
            </w:r>
          </w:p>
        </w:tc>
        <w:tc>
          <w:tcPr>
            <w:tcW w:w="854" w:type="dxa"/>
            <w:shd w:val="clear" w:color="auto" w:fill="auto"/>
            <w:noWrap/>
            <w:vAlign w:val="bottom"/>
          </w:tcPr>
          <w:p w:rsidRPr="005F055E" w:rsidR="00630335" w:rsidP="00180EEB" w:rsidRDefault="00630335" w14:paraId="1CB51146" w14:textId="77777777">
            <w:pPr>
              <w:suppressAutoHyphens/>
              <w:rPr>
                <w:rFonts w:cs="Calibri"/>
                <w:color w:val="000000"/>
                <w:sz w:val="16"/>
                <w:szCs w:val="16"/>
                <w:lang w:eastAsia="nl-NL"/>
              </w:rPr>
            </w:pPr>
          </w:p>
        </w:tc>
        <w:tc>
          <w:tcPr>
            <w:tcW w:w="777" w:type="dxa"/>
            <w:shd w:val="clear" w:color="auto" w:fill="auto"/>
            <w:noWrap/>
            <w:vAlign w:val="bottom"/>
            <w:hideMark/>
          </w:tcPr>
          <w:p w:rsidRPr="005F055E" w:rsidR="00630335" w:rsidP="00180EEB" w:rsidRDefault="00630335" w14:paraId="69647A14" w14:textId="77777777">
            <w:pPr>
              <w:suppressAutoHyphens/>
              <w:rPr>
                <w:rFonts w:cs="Calibri"/>
                <w:color w:val="000000"/>
                <w:sz w:val="16"/>
                <w:szCs w:val="16"/>
                <w:lang w:eastAsia="nl-NL"/>
              </w:rPr>
            </w:pPr>
            <w:r w:rsidRPr="005F055E">
              <w:rPr>
                <w:rFonts w:cs="Calibri"/>
                <w:color w:val="000000"/>
                <w:sz w:val="16"/>
                <w:szCs w:val="16"/>
                <w:lang w:eastAsia="nl-NL"/>
              </w:rPr>
              <w:t>124%</w:t>
            </w:r>
          </w:p>
        </w:tc>
        <w:tc>
          <w:tcPr>
            <w:tcW w:w="656" w:type="dxa"/>
            <w:shd w:val="clear" w:color="auto" w:fill="auto"/>
            <w:noWrap/>
            <w:vAlign w:val="bottom"/>
            <w:hideMark/>
          </w:tcPr>
          <w:p w:rsidRPr="005F055E" w:rsidR="00630335" w:rsidP="00180EEB" w:rsidRDefault="00630335" w14:paraId="4EAC2E53" w14:textId="77777777">
            <w:pPr>
              <w:suppressAutoHyphens/>
              <w:rPr>
                <w:rFonts w:cs="Calibri"/>
                <w:color w:val="000000"/>
                <w:sz w:val="16"/>
                <w:szCs w:val="16"/>
                <w:lang w:eastAsia="nl-NL"/>
              </w:rPr>
            </w:pPr>
            <w:r w:rsidRPr="005F055E">
              <w:rPr>
                <w:rFonts w:cs="Calibri"/>
                <w:color w:val="000000"/>
                <w:sz w:val="16"/>
                <w:szCs w:val="16"/>
                <w:lang w:eastAsia="nl-NL"/>
              </w:rPr>
              <w:t>166%</w:t>
            </w:r>
          </w:p>
        </w:tc>
        <w:tc>
          <w:tcPr>
            <w:tcW w:w="803" w:type="dxa"/>
            <w:shd w:val="clear" w:color="auto" w:fill="auto"/>
            <w:noWrap/>
            <w:vAlign w:val="bottom"/>
            <w:hideMark/>
          </w:tcPr>
          <w:p w:rsidRPr="005F055E" w:rsidR="00630335" w:rsidP="00180EEB" w:rsidRDefault="00630335" w14:paraId="3E7A16EB" w14:textId="77777777">
            <w:pPr>
              <w:suppressAutoHyphens/>
              <w:rPr>
                <w:rFonts w:cs="Calibri"/>
                <w:color w:val="000000"/>
                <w:sz w:val="16"/>
                <w:szCs w:val="16"/>
                <w:lang w:eastAsia="nl-NL"/>
              </w:rPr>
            </w:pPr>
            <w:r w:rsidRPr="005F055E">
              <w:rPr>
                <w:rFonts w:cs="Calibri"/>
                <w:color w:val="000000"/>
                <w:sz w:val="16"/>
                <w:szCs w:val="16"/>
                <w:lang w:eastAsia="nl-NL"/>
              </w:rPr>
              <w:t>108%</w:t>
            </w:r>
          </w:p>
        </w:tc>
        <w:tc>
          <w:tcPr>
            <w:tcW w:w="632" w:type="dxa"/>
            <w:shd w:val="clear" w:color="auto" w:fill="auto"/>
            <w:noWrap/>
            <w:vAlign w:val="bottom"/>
            <w:hideMark/>
          </w:tcPr>
          <w:p w:rsidRPr="005F055E" w:rsidR="00630335" w:rsidP="00180EEB" w:rsidRDefault="00630335" w14:paraId="6CCE1D5F" w14:textId="77777777">
            <w:pPr>
              <w:suppressAutoHyphens/>
              <w:rPr>
                <w:rFonts w:cs="Calibri"/>
                <w:color w:val="000000"/>
                <w:sz w:val="16"/>
                <w:szCs w:val="16"/>
                <w:lang w:eastAsia="nl-NL"/>
              </w:rPr>
            </w:pPr>
            <w:r w:rsidRPr="005F055E">
              <w:rPr>
                <w:rFonts w:cs="Calibri"/>
                <w:color w:val="000000"/>
                <w:sz w:val="16"/>
                <w:szCs w:val="16"/>
                <w:lang w:eastAsia="nl-NL"/>
              </w:rPr>
              <w:t>155%</w:t>
            </w:r>
          </w:p>
        </w:tc>
        <w:tc>
          <w:tcPr>
            <w:tcW w:w="632" w:type="dxa"/>
            <w:shd w:val="clear" w:color="auto" w:fill="auto"/>
            <w:noWrap/>
            <w:vAlign w:val="bottom"/>
            <w:hideMark/>
          </w:tcPr>
          <w:p w:rsidRPr="005F055E" w:rsidR="00630335" w:rsidP="00180EEB" w:rsidRDefault="00630335" w14:paraId="3A49A3D9" w14:textId="77777777">
            <w:pPr>
              <w:suppressAutoHyphens/>
              <w:rPr>
                <w:rFonts w:cs="Calibri"/>
                <w:color w:val="000000"/>
                <w:sz w:val="16"/>
                <w:szCs w:val="16"/>
                <w:lang w:eastAsia="nl-NL"/>
              </w:rPr>
            </w:pPr>
            <w:r w:rsidRPr="005F055E">
              <w:rPr>
                <w:rFonts w:cs="Calibri"/>
                <w:color w:val="000000"/>
                <w:sz w:val="16"/>
                <w:szCs w:val="16"/>
                <w:lang w:eastAsia="nl-NL"/>
              </w:rPr>
              <w:t>188%</w:t>
            </w:r>
          </w:p>
        </w:tc>
        <w:tc>
          <w:tcPr>
            <w:tcW w:w="871" w:type="dxa"/>
            <w:shd w:val="clear" w:color="auto" w:fill="auto"/>
            <w:noWrap/>
            <w:vAlign w:val="bottom"/>
            <w:hideMark/>
          </w:tcPr>
          <w:p w:rsidRPr="005F055E" w:rsidR="00630335" w:rsidP="00180EEB" w:rsidRDefault="00630335" w14:paraId="361F89AF" w14:textId="77777777">
            <w:pPr>
              <w:suppressAutoHyphens/>
              <w:rPr>
                <w:rFonts w:cs="Calibri"/>
                <w:color w:val="000000"/>
                <w:sz w:val="16"/>
                <w:szCs w:val="16"/>
                <w:lang w:eastAsia="nl-NL"/>
              </w:rPr>
            </w:pPr>
            <w:r w:rsidRPr="005F055E">
              <w:rPr>
                <w:rFonts w:cs="Calibri"/>
                <w:color w:val="000000"/>
                <w:sz w:val="16"/>
                <w:szCs w:val="16"/>
                <w:lang w:eastAsia="nl-NL"/>
              </w:rPr>
              <w:t>174%</w:t>
            </w:r>
          </w:p>
        </w:tc>
        <w:tc>
          <w:tcPr>
            <w:tcW w:w="707" w:type="dxa"/>
            <w:vAlign w:val="bottom"/>
          </w:tcPr>
          <w:p w:rsidRPr="005F055E" w:rsidR="00630335" w:rsidP="00180EEB" w:rsidRDefault="00630335" w14:paraId="72F1CDD8" w14:textId="77777777">
            <w:pPr>
              <w:suppressAutoHyphens/>
              <w:rPr>
                <w:rFonts w:cs="Calibri"/>
                <w:color w:val="000000"/>
                <w:sz w:val="16"/>
                <w:szCs w:val="16"/>
                <w:lang w:eastAsia="nl-NL"/>
              </w:rPr>
            </w:pPr>
            <w:r w:rsidRPr="005F055E">
              <w:rPr>
                <w:rFonts w:cs="Calibri"/>
                <w:color w:val="000000"/>
                <w:sz w:val="16"/>
                <w:szCs w:val="16"/>
                <w:lang w:eastAsia="nl-NL"/>
              </w:rPr>
              <w:t>160%</w:t>
            </w:r>
          </w:p>
        </w:tc>
      </w:tr>
      <w:tr w:rsidRPr="005F055E" w:rsidR="00630335" w:rsidTr="00630335" w14:paraId="1934FE9E" w14:textId="77777777">
        <w:trPr>
          <w:trHeight w:val="300"/>
        </w:trPr>
        <w:tc>
          <w:tcPr>
            <w:tcW w:w="1193" w:type="dxa"/>
            <w:shd w:val="clear" w:color="auto" w:fill="auto"/>
            <w:noWrap/>
            <w:vAlign w:val="bottom"/>
            <w:hideMark/>
          </w:tcPr>
          <w:p w:rsidRPr="005F055E" w:rsidR="00630335" w:rsidP="00180EEB" w:rsidRDefault="00630335" w14:paraId="6ECB6797" w14:textId="77777777">
            <w:pPr>
              <w:suppressAutoHyphens/>
              <w:rPr>
                <w:rFonts w:cs="Calibri"/>
                <w:color w:val="000000"/>
                <w:sz w:val="16"/>
                <w:szCs w:val="16"/>
                <w:lang w:eastAsia="nl-NL"/>
              </w:rPr>
            </w:pPr>
            <w:r w:rsidRPr="005F055E">
              <w:rPr>
                <w:rFonts w:cs="Calibri"/>
                <w:color w:val="000000"/>
                <w:sz w:val="16"/>
                <w:szCs w:val="16"/>
                <w:lang w:eastAsia="nl-NL"/>
              </w:rPr>
              <w:t>2016</w:t>
            </w:r>
          </w:p>
        </w:tc>
        <w:tc>
          <w:tcPr>
            <w:tcW w:w="633" w:type="dxa"/>
            <w:shd w:val="clear" w:color="auto" w:fill="auto"/>
            <w:noWrap/>
            <w:vAlign w:val="bottom"/>
            <w:hideMark/>
          </w:tcPr>
          <w:p w:rsidRPr="005F055E" w:rsidR="00630335" w:rsidP="00180EEB" w:rsidRDefault="00630335" w14:paraId="0C51F8F4" w14:textId="77777777">
            <w:pPr>
              <w:suppressAutoHyphens/>
              <w:rPr>
                <w:rFonts w:cs="Calibri"/>
                <w:color w:val="000000"/>
                <w:sz w:val="16"/>
                <w:szCs w:val="16"/>
                <w:lang w:eastAsia="nl-NL"/>
              </w:rPr>
            </w:pPr>
            <w:r w:rsidRPr="005F055E">
              <w:rPr>
                <w:rFonts w:cs="Calibri"/>
                <w:color w:val="000000"/>
                <w:sz w:val="16"/>
                <w:szCs w:val="16"/>
                <w:lang w:eastAsia="nl-NL"/>
              </w:rPr>
              <w:t>144%</w:t>
            </w:r>
          </w:p>
        </w:tc>
        <w:tc>
          <w:tcPr>
            <w:tcW w:w="633" w:type="dxa"/>
            <w:shd w:val="clear" w:color="auto" w:fill="auto"/>
            <w:noWrap/>
            <w:vAlign w:val="bottom"/>
            <w:hideMark/>
          </w:tcPr>
          <w:p w:rsidRPr="005F055E" w:rsidR="00630335" w:rsidP="00180EEB" w:rsidRDefault="00630335" w14:paraId="3FC86E19" w14:textId="77777777">
            <w:pPr>
              <w:suppressAutoHyphens/>
              <w:rPr>
                <w:rFonts w:cs="Calibri"/>
                <w:color w:val="000000"/>
                <w:sz w:val="16"/>
                <w:szCs w:val="16"/>
                <w:lang w:eastAsia="nl-NL"/>
              </w:rPr>
            </w:pPr>
            <w:r w:rsidRPr="005F055E">
              <w:rPr>
                <w:rFonts w:cs="Calibri"/>
                <w:color w:val="000000"/>
                <w:sz w:val="16"/>
                <w:szCs w:val="16"/>
                <w:lang w:eastAsia="nl-NL"/>
              </w:rPr>
              <w:t>173%</w:t>
            </w:r>
          </w:p>
        </w:tc>
        <w:tc>
          <w:tcPr>
            <w:tcW w:w="633" w:type="dxa"/>
            <w:shd w:val="clear" w:color="auto" w:fill="auto"/>
            <w:noWrap/>
            <w:vAlign w:val="bottom"/>
            <w:hideMark/>
          </w:tcPr>
          <w:p w:rsidRPr="005F055E" w:rsidR="00630335" w:rsidP="00180EEB" w:rsidRDefault="00630335" w14:paraId="07349D89" w14:textId="77777777">
            <w:pPr>
              <w:suppressAutoHyphens/>
              <w:rPr>
                <w:rFonts w:cs="Calibri"/>
                <w:color w:val="000000"/>
                <w:sz w:val="16"/>
                <w:szCs w:val="16"/>
                <w:lang w:eastAsia="nl-NL"/>
              </w:rPr>
            </w:pPr>
            <w:r w:rsidRPr="005F055E">
              <w:rPr>
                <w:rFonts w:cs="Calibri"/>
                <w:color w:val="000000"/>
                <w:sz w:val="16"/>
                <w:szCs w:val="16"/>
                <w:lang w:eastAsia="nl-NL"/>
              </w:rPr>
              <w:t>141%</w:t>
            </w:r>
          </w:p>
        </w:tc>
        <w:tc>
          <w:tcPr>
            <w:tcW w:w="854" w:type="dxa"/>
            <w:shd w:val="clear" w:color="auto" w:fill="auto"/>
            <w:noWrap/>
            <w:vAlign w:val="bottom"/>
          </w:tcPr>
          <w:p w:rsidRPr="005F055E" w:rsidR="00630335" w:rsidP="00180EEB" w:rsidRDefault="00630335" w14:paraId="088C4C31" w14:textId="77777777">
            <w:pPr>
              <w:suppressAutoHyphens/>
              <w:rPr>
                <w:rFonts w:cs="Calibri"/>
                <w:color w:val="000000"/>
                <w:sz w:val="16"/>
                <w:szCs w:val="16"/>
                <w:lang w:eastAsia="nl-NL"/>
              </w:rPr>
            </w:pPr>
          </w:p>
        </w:tc>
        <w:tc>
          <w:tcPr>
            <w:tcW w:w="777" w:type="dxa"/>
            <w:shd w:val="clear" w:color="auto" w:fill="auto"/>
            <w:noWrap/>
            <w:vAlign w:val="bottom"/>
            <w:hideMark/>
          </w:tcPr>
          <w:p w:rsidRPr="005F055E" w:rsidR="00630335" w:rsidP="00180EEB" w:rsidRDefault="00630335" w14:paraId="0953A8DB" w14:textId="77777777">
            <w:pPr>
              <w:suppressAutoHyphens/>
              <w:rPr>
                <w:rFonts w:cs="Calibri"/>
                <w:color w:val="000000"/>
                <w:sz w:val="16"/>
                <w:szCs w:val="16"/>
                <w:lang w:eastAsia="nl-NL"/>
              </w:rPr>
            </w:pPr>
            <w:r w:rsidRPr="005F055E">
              <w:rPr>
                <w:rFonts w:cs="Calibri"/>
                <w:color w:val="000000"/>
                <w:sz w:val="16"/>
                <w:szCs w:val="16"/>
                <w:lang w:eastAsia="nl-NL"/>
              </w:rPr>
              <w:t>123%</w:t>
            </w:r>
          </w:p>
        </w:tc>
        <w:tc>
          <w:tcPr>
            <w:tcW w:w="656" w:type="dxa"/>
            <w:shd w:val="clear" w:color="auto" w:fill="auto"/>
            <w:noWrap/>
            <w:vAlign w:val="bottom"/>
            <w:hideMark/>
          </w:tcPr>
          <w:p w:rsidRPr="005F055E" w:rsidR="00630335" w:rsidP="00180EEB" w:rsidRDefault="00630335" w14:paraId="69817DBF" w14:textId="77777777">
            <w:pPr>
              <w:suppressAutoHyphens/>
              <w:rPr>
                <w:rFonts w:cs="Calibri"/>
                <w:color w:val="000000"/>
                <w:sz w:val="16"/>
                <w:szCs w:val="16"/>
                <w:lang w:eastAsia="nl-NL"/>
              </w:rPr>
            </w:pPr>
            <w:r w:rsidRPr="005F055E">
              <w:rPr>
                <w:rFonts w:cs="Calibri"/>
                <w:color w:val="000000"/>
                <w:sz w:val="16"/>
                <w:szCs w:val="16"/>
                <w:lang w:eastAsia="nl-NL"/>
              </w:rPr>
              <w:t>142%</w:t>
            </w:r>
          </w:p>
        </w:tc>
        <w:tc>
          <w:tcPr>
            <w:tcW w:w="803" w:type="dxa"/>
            <w:shd w:val="clear" w:color="auto" w:fill="auto"/>
            <w:noWrap/>
            <w:vAlign w:val="bottom"/>
            <w:hideMark/>
          </w:tcPr>
          <w:p w:rsidRPr="005F055E" w:rsidR="00630335" w:rsidP="00180EEB" w:rsidRDefault="00630335" w14:paraId="27C1FE53" w14:textId="77777777">
            <w:pPr>
              <w:suppressAutoHyphens/>
              <w:rPr>
                <w:rFonts w:cs="Calibri"/>
                <w:color w:val="000000"/>
                <w:sz w:val="16"/>
                <w:szCs w:val="16"/>
                <w:lang w:eastAsia="nl-NL"/>
              </w:rPr>
            </w:pPr>
            <w:r w:rsidRPr="005F055E">
              <w:rPr>
                <w:rFonts w:cs="Calibri"/>
                <w:color w:val="000000"/>
                <w:sz w:val="16"/>
                <w:szCs w:val="16"/>
                <w:lang w:eastAsia="nl-NL"/>
              </w:rPr>
              <w:t>160%</w:t>
            </w:r>
          </w:p>
        </w:tc>
        <w:tc>
          <w:tcPr>
            <w:tcW w:w="632" w:type="dxa"/>
            <w:shd w:val="clear" w:color="auto" w:fill="auto"/>
            <w:noWrap/>
            <w:vAlign w:val="bottom"/>
            <w:hideMark/>
          </w:tcPr>
          <w:p w:rsidRPr="005F055E" w:rsidR="00630335" w:rsidP="00180EEB" w:rsidRDefault="00630335" w14:paraId="58468C3E" w14:textId="77777777">
            <w:pPr>
              <w:suppressAutoHyphens/>
              <w:rPr>
                <w:rFonts w:cs="Calibri"/>
                <w:color w:val="000000"/>
                <w:sz w:val="16"/>
                <w:szCs w:val="16"/>
                <w:lang w:eastAsia="nl-NL"/>
              </w:rPr>
            </w:pPr>
            <w:r w:rsidRPr="005F055E">
              <w:rPr>
                <w:rFonts w:cs="Calibri"/>
                <w:color w:val="000000"/>
                <w:sz w:val="16"/>
                <w:szCs w:val="16"/>
                <w:lang w:eastAsia="nl-NL"/>
              </w:rPr>
              <w:t>149%</w:t>
            </w:r>
          </w:p>
        </w:tc>
        <w:tc>
          <w:tcPr>
            <w:tcW w:w="632" w:type="dxa"/>
            <w:shd w:val="clear" w:color="auto" w:fill="auto"/>
            <w:noWrap/>
            <w:vAlign w:val="bottom"/>
            <w:hideMark/>
          </w:tcPr>
          <w:p w:rsidRPr="005F055E" w:rsidR="00630335" w:rsidP="00180EEB" w:rsidRDefault="00630335" w14:paraId="257F1B6A" w14:textId="77777777">
            <w:pPr>
              <w:suppressAutoHyphens/>
              <w:rPr>
                <w:rFonts w:cs="Calibri"/>
                <w:color w:val="000000"/>
                <w:sz w:val="16"/>
                <w:szCs w:val="16"/>
                <w:lang w:eastAsia="nl-NL"/>
              </w:rPr>
            </w:pPr>
            <w:r w:rsidRPr="005F055E">
              <w:rPr>
                <w:rFonts w:cs="Calibri"/>
                <w:color w:val="000000"/>
                <w:sz w:val="16"/>
                <w:szCs w:val="16"/>
                <w:lang w:eastAsia="nl-NL"/>
              </w:rPr>
              <w:t>157%</w:t>
            </w:r>
          </w:p>
        </w:tc>
        <w:tc>
          <w:tcPr>
            <w:tcW w:w="871" w:type="dxa"/>
            <w:shd w:val="clear" w:color="auto" w:fill="auto"/>
            <w:noWrap/>
            <w:vAlign w:val="bottom"/>
            <w:hideMark/>
          </w:tcPr>
          <w:p w:rsidRPr="005F055E" w:rsidR="00630335" w:rsidP="00180EEB" w:rsidRDefault="00630335" w14:paraId="184B72C6" w14:textId="77777777">
            <w:pPr>
              <w:suppressAutoHyphens/>
              <w:rPr>
                <w:rFonts w:cs="Calibri"/>
                <w:color w:val="000000"/>
                <w:sz w:val="16"/>
                <w:szCs w:val="16"/>
                <w:lang w:eastAsia="nl-NL"/>
              </w:rPr>
            </w:pPr>
            <w:r w:rsidRPr="005F055E">
              <w:rPr>
                <w:rFonts w:cs="Calibri"/>
                <w:color w:val="000000"/>
                <w:sz w:val="16"/>
                <w:szCs w:val="16"/>
                <w:lang w:eastAsia="nl-NL"/>
              </w:rPr>
              <w:t>167%</w:t>
            </w:r>
          </w:p>
        </w:tc>
        <w:tc>
          <w:tcPr>
            <w:tcW w:w="707" w:type="dxa"/>
            <w:vAlign w:val="bottom"/>
          </w:tcPr>
          <w:p w:rsidRPr="005F055E" w:rsidR="00630335" w:rsidP="00180EEB" w:rsidRDefault="00630335" w14:paraId="217ED16D" w14:textId="77777777">
            <w:pPr>
              <w:suppressAutoHyphens/>
              <w:rPr>
                <w:rFonts w:cs="Calibri"/>
                <w:color w:val="000000"/>
                <w:sz w:val="16"/>
                <w:szCs w:val="16"/>
                <w:lang w:eastAsia="nl-NL"/>
              </w:rPr>
            </w:pPr>
            <w:r w:rsidRPr="005F055E">
              <w:rPr>
                <w:rFonts w:cs="Calibri"/>
                <w:color w:val="000000"/>
                <w:sz w:val="16"/>
                <w:szCs w:val="16"/>
                <w:lang w:eastAsia="nl-NL"/>
              </w:rPr>
              <w:t>155%</w:t>
            </w:r>
          </w:p>
        </w:tc>
      </w:tr>
      <w:tr w:rsidRPr="005F055E" w:rsidR="00630335" w:rsidTr="00630335" w14:paraId="65BC3D60" w14:textId="77777777">
        <w:trPr>
          <w:trHeight w:val="300"/>
        </w:trPr>
        <w:tc>
          <w:tcPr>
            <w:tcW w:w="1193" w:type="dxa"/>
            <w:shd w:val="clear" w:color="auto" w:fill="auto"/>
            <w:noWrap/>
            <w:vAlign w:val="bottom"/>
            <w:hideMark/>
          </w:tcPr>
          <w:p w:rsidRPr="005F055E" w:rsidR="00630335" w:rsidP="00180EEB" w:rsidRDefault="00630335" w14:paraId="2118B9D5" w14:textId="77777777">
            <w:pPr>
              <w:suppressAutoHyphens/>
              <w:rPr>
                <w:rFonts w:cs="Calibri"/>
                <w:color w:val="000000"/>
                <w:sz w:val="16"/>
                <w:szCs w:val="16"/>
                <w:lang w:eastAsia="nl-NL"/>
              </w:rPr>
            </w:pPr>
            <w:r w:rsidRPr="005F055E">
              <w:rPr>
                <w:rFonts w:cs="Calibri"/>
                <w:color w:val="000000"/>
                <w:sz w:val="16"/>
                <w:szCs w:val="16"/>
                <w:lang w:eastAsia="nl-NL"/>
              </w:rPr>
              <w:t>2017</w:t>
            </w:r>
          </w:p>
        </w:tc>
        <w:tc>
          <w:tcPr>
            <w:tcW w:w="633" w:type="dxa"/>
            <w:shd w:val="clear" w:color="auto" w:fill="auto"/>
            <w:noWrap/>
            <w:vAlign w:val="bottom"/>
            <w:hideMark/>
          </w:tcPr>
          <w:p w:rsidRPr="005F055E" w:rsidR="00630335" w:rsidP="00180EEB" w:rsidRDefault="00630335" w14:paraId="4C9DF054" w14:textId="77777777">
            <w:pPr>
              <w:suppressAutoHyphens/>
              <w:rPr>
                <w:rFonts w:cs="Calibri"/>
                <w:color w:val="000000"/>
                <w:sz w:val="16"/>
                <w:szCs w:val="16"/>
                <w:lang w:eastAsia="nl-NL"/>
              </w:rPr>
            </w:pPr>
            <w:r w:rsidRPr="005F055E">
              <w:rPr>
                <w:rFonts w:cs="Calibri"/>
                <w:color w:val="000000"/>
                <w:sz w:val="16"/>
                <w:szCs w:val="16"/>
                <w:lang w:eastAsia="nl-NL"/>
              </w:rPr>
              <w:t>138%</w:t>
            </w:r>
          </w:p>
        </w:tc>
        <w:tc>
          <w:tcPr>
            <w:tcW w:w="633" w:type="dxa"/>
            <w:shd w:val="clear" w:color="auto" w:fill="auto"/>
            <w:noWrap/>
            <w:vAlign w:val="bottom"/>
            <w:hideMark/>
          </w:tcPr>
          <w:p w:rsidRPr="005F055E" w:rsidR="00630335" w:rsidP="00180EEB" w:rsidRDefault="00630335" w14:paraId="62199916" w14:textId="77777777">
            <w:pPr>
              <w:suppressAutoHyphens/>
              <w:rPr>
                <w:rFonts w:cs="Calibri"/>
                <w:color w:val="000000"/>
                <w:sz w:val="16"/>
                <w:szCs w:val="16"/>
                <w:lang w:eastAsia="nl-NL"/>
              </w:rPr>
            </w:pPr>
            <w:r w:rsidRPr="005F055E">
              <w:rPr>
                <w:rFonts w:cs="Calibri"/>
                <w:color w:val="000000"/>
                <w:sz w:val="16"/>
                <w:szCs w:val="16"/>
                <w:lang w:eastAsia="nl-NL"/>
              </w:rPr>
              <w:t>149%</w:t>
            </w:r>
          </w:p>
        </w:tc>
        <w:tc>
          <w:tcPr>
            <w:tcW w:w="633" w:type="dxa"/>
            <w:shd w:val="clear" w:color="auto" w:fill="auto"/>
            <w:noWrap/>
            <w:vAlign w:val="bottom"/>
            <w:hideMark/>
          </w:tcPr>
          <w:p w:rsidRPr="005F055E" w:rsidR="00630335" w:rsidP="00180EEB" w:rsidRDefault="00630335" w14:paraId="0B12C147" w14:textId="77777777">
            <w:pPr>
              <w:suppressAutoHyphens/>
              <w:rPr>
                <w:rFonts w:cs="Calibri"/>
                <w:color w:val="000000"/>
                <w:sz w:val="16"/>
                <w:szCs w:val="16"/>
                <w:lang w:eastAsia="nl-NL"/>
              </w:rPr>
            </w:pPr>
            <w:r w:rsidRPr="005F055E">
              <w:rPr>
                <w:rFonts w:cs="Calibri"/>
                <w:color w:val="000000"/>
                <w:sz w:val="16"/>
                <w:szCs w:val="16"/>
                <w:lang w:eastAsia="nl-NL"/>
              </w:rPr>
              <w:t>147%</w:t>
            </w:r>
          </w:p>
        </w:tc>
        <w:tc>
          <w:tcPr>
            <w:tcW w:w="854" w:type="dxa"/>
            <w:shd w:val="clear" w:color="auto" w:fill="auto"/>
            <w:noWrap/>
            <w:vAlign w:val="bottom"/>
          </w:tcPr>
          <w:p w:rsidRPr="005F055E" w:rsidR="00630335" w:rsidP="00180EEB" w:rsidRDefault="00630335" w14:paraId="698D83ED" w14:textId="77777777">
            <w:pPr>
              <w:suppressAutoHyphens/>
              <w:rPr>
                <w:rFonts w:cs="Calibri"/>
                <w:color w:val="000000"/>
                <w:sz w:val="16"/>
                <w:szCs w:val="16"/>
                <w:lang w:eastAsia="nl-NL"/>
              </w:rPr>
            </w:pPr>
          </w:p>
        </w:tc>
        <w:tc>
          <w:tcPr>
            <w:tcW w:w="777" w:type="dxa"/>
            <w:shd w:val="clear" w:color="auto" w:fill="auto"/>
            <w:noWrap/>
            <w:vAlign w:val="bottom"/>
            <w:hideMark/>
          </w:tcPr>
          <w:p w:rsidRPr="005F055E" w:rsidR="00630335" w:rsidP="00180EEB" w:rsidRDefault="00630335" w14:paraId="750B11B5" w14:textId="77777777">
            <w:pPr>
              <w:suppressAutoHyphens/>
              <w:rPr>
                <w:rFonts w:cs="Calibri"/>
                <w:color w:val="000000"/>
                <w:sz w:val="16"/>
                <w:szCs w:val="16"/>
                <w:lang w:eastAsia="nl-NL"/>
              </w:rPr>
            </w:pPr>
            <w:r w:rsidRPr="005F055E">
              <w:rPr>
                <w:rFonts w:cs="Calibri"/>
                <w:color w:val="000000"/>
                <w:sz w:val="16"/>
                <w:szCs w:val="16"/>
                <w:lang w:eastAsia="nl-NL"/>
              </w:rPr>
              <w:t>129%</w:t>
            </w:r>
          </w:p>
        </w:tc>
        <w:tc>
          <w:tcPr>
            <w:tcW w:w="656" w:type="dxa"/>
            <w:shd w:val="clear" w:color="auto" w:fill="auto"/>
            <w:noWrap/>
            <w:vAlign w:val="bottom"/>
            <w:hideMark/>
          </w:tcPr>
          <w:p w:rsidRPr="005F055E" w:rsidR="00630335" w:rsidP="00180EEB" w:rsidRDefault="00630335" w14:paraId="44B33B33" w14:textId="77777777">
            <w:pPr>
              <w:suppressAutoHyphens/>
              <w:rPr>
                <w:rFonts w:cs="Calibri"/>
                <w:color w:val="000000"/>
                <w:sz w:val="16"/>
                <w:szCs w:val="16"/>
                <w:lang w:eastAsia="nl-NL"/>
              </w:rPr>
            </w:pPr>
            <w:r w:rsidRPr="005F055E">
              <w:rPr>
                <w:rFonts w:cs="Calibri"/>
                <w:color w:val="000000"/>
                <w:sz w:val="16"/>
                <w:szCs w:val="16"/>
                <w:lang w:eastAsia="nl-NL"/>
              </w:rPr>
              <w:t>121%</w:t>
            </w:r>
          </w:p>
        </w:tc>
        <w:tc>
          <w:tcPr>
            <w:tcW w:w="803" w:type="dxa"/>
            <w:shd w:val="clear" w:color="auto" w:fill="auto"/>
            <w:noWrap/>
            <w:vAlign w:val="bottom"/>
            <w:hideMark/>
          </w:tcPr>
          <w:p w:rsidRPr="005F055E" w:rsidR="00630335" w:rsidP="00180EEB" w:rsidRDefault="00630335" w14:paraId="2AF2E37A" w14:textId="77777777">
            <w:pPr>
              <w:suppressAutoHyphens/>
              <w:rPr>
                <w:rFonts w:cs="Calibri"/>
                <w:color w:val="000000"/>
                <w:sz w:val="16"/>
                <w:szCs w:val="16"/>
                <w:lang w:eastAsia="nl-NL"/>
              </w:rPr>
            </w:pPr>
            <w:r w:rsidRPr="005F055E">
              <w:rPr>
                <w:rFonts w:cs="Calibri"/>
                <w:color w:val="000000"/>
                <w:sz w:val="16"/>
                <w:szCs w:val="16"/>
                <w:lang w:eastAsia="nl-NL"/>
              </w:rPr>
              <w:t>159%</w:t>
            </w:r>
          </w:p>
        </w:tc>
        <w:tc>
          <w:tcPr>
            <w:tcW w:w="632" w:type="dxa"/>
            <w:shd w:val="clear" w:color="auto" w:fill="auto"/>
            <w:noWrap/>
            <w:vAlign w:val="bottom"/>
            <w:hideMark/>
          </w:tcPr>
          <w:p w:rsidRPr="005F055E" w:rsidR="00630335" w:rsidP="00180EEB" w:rsidRDefault="00630335" w14:paraId="430D91E4" w14:textId="77777777">
            <w:pPr>
              <w:suppressAutoHyphens/>
              <w:rPr>
                <w:rFonts w:cs="Calibri"/>
                <w:color w:val="000000"/>
                <w:sz w:val="16"/>
                <w:szCs w:val="16"/>
                <w:lang w:eastAsia="nl-NL"/>
              </w:rPr>
            </w:pPr>
            <w:r w:rsidRPr="005F055E">
              <w:rPr>
                <w:rFonts w:cs="Calibri"/>
                <w:color w:val="000000"/>
                <w:sz w:val="16"/>
                <w:szCs w:val="16"/>
                <w:lang w:eastAsia="nl-NL"/>
              </w:rPr>
              <w:t>141%</w:t>
            </w:r>
          </w:p>
        </w:tc>
        <w:tc>
          <w:tcPr>
            <w:tcW w:w="632" w:type="dxa"/>
            <w:shd w:val="clear" w:color="auto" w:fill="auto"/>
            <w:noWrap/>
            <w:vAlign w:val="bottom"/>
            <w:hideMark/>
          </w:tcPr>
          <w:p w:rsidRPr="005F055E" w:rsidR="00630335" w:rsidP="00180EEB" w:rsidRDefault="00630335" w14:paraId="7AA2B81C" w14:textId="77777777">
            <w:pPr>
              <w:suppressAutoHyphens/>
              <w:rPr>
                <w:rFonts w:cs="Calibri"/>
                <w:color w:val="000000"/>
                <w:sz w:val="16"/>
                <w:szCs w:val="16"/>
                <w:lang w:eastAsia="nl-NL"/>
              </w:rPr>
            </w:pPr>
            <w:r w:rsidRPr="005F055E">
              <w:rPr>
                <w:rFonts w:cs="Calibri"/>
                <w:color w:val="000000"/>
                <w:sz w:val="16"/>
                <w:szCs w:val="16"/>
                <w:lang w:eastAsia="nl-NL"/>
              </w:rPr>
              <w:t>151%</w:t>
            </w:r>
          </w:p>
        </w:tc>
        <w:tc>
          <w:tcPr>
            <w:tcW w:w="871" w:type="dxa"/>
            <w:shd w:val="clear" w:color="auto" w:fill="auto"/>
            <w:noWrap/>
            <w:vAlign w:val="bottom"/>
            <w:hideMark/>
          </w:tcPr>
          <w:p w:rsidRPr="005F055E" w:rsidR="00630335" w:rsidP="00180EEB" w:rsidRDefault="00630335" w14:paraId="4F7DF3AC" w14:textId="77777777">
            <w:pPr>
              <w:suppressAutoHyphens/>
              <w:rPr>
                <w:rFonts w:cs="Calibri"/>
                <w:color w:val="000000"/>
                <w:sz w:val="16"/>
                <w:szCs w:val="16"/>
                <w:lang w:eastAsia="nl-NL"/>
              </w:rPr>
            </w:pPr>
            <w:r w:rsidRPr="005F055E">
              <w:rPr>
                <w:rFonts w:cs="Calibri"/>
                <w:color w:val="000000"/>
                <w:sz w:val="16"/>
                <w:szCs w:val="16"/>
                <w:lang w:eastAsia="nl-NL"/>
              </w:rPr>
              <w:t>137%</w:t>
            </w:r>
          </w:p>
        </w:tc>
        <w:tc>
          <w:tcPr>
            <w:tcW w:w="707" w:type="dxa"/>
            <w:vAlign w:val="bottom"/>
          </w:tcPr>
          <w:p w:rsidRPr="005F055E" w:rsidR="00630335" w:rsidP="00180EEB" w:rsidRDefault="00630335" w14:paraId="2DF9DDBC" w14:textId="77777777">
            <w:pPr>
              <w:suppressAutoHyphens/>
              <w:rPr>
                <w:rFonts w:cs="Calibri"/>
                <w:color w:val="000000"/>
                <w:sz w:val="16"/>
                <w:szCs w:val="16"/>
                <w:lang w:eastAsia="nl-NL"/>
              </w:rPr>
            </w:pPr>
            <w:r w:rsidRPr="005F055E">
              <w:rPr>
                <w:rFonts w:cs="Calibri"/>
                <w:color w:val="000000"/>
                <w:sz w:val="16"/>
                <w:szCs w:val="16"/>
                <w:lang w:eastAsia="nl-NL"/>
              </w:rPr>
              <w:t>140%</w:t>
            </w:r>
          </w:p>
        </w:tc>
      </w:tr>
      <w:tr w:rsidRPr="005F055E" w:rsidR="00630335" w:rsidTr="00630335" w14:paraId="7E632F25" w14:textId="77777777">
        <w:trPr>
          <w:trHeight w:val="300"/>
        </w:trPr>
        <w:tc>
          <w:tcPr>
            <w:tcW w:w="1193" w:type="dxa"/>
            <w:shd w:val="clear" w:color="auto" w:fill="auto"/>
            <w:noWrap/>
            <w:vAlign w:val="bottom"/>
            <w:hideMark/>
          </w:tcPr>
          <w:p w:rsidRPr="005F055E" w:rsidR="00630335" w:rsidP="00180EEB" w:rsidRDefault="00630335" w14:paraId="018B820B" w14:textId="77777777">
            <w:pPr>
              <w:suppressAutoHyphens/>
              <w:rPr>
                <w:rFonts w:cs="Calibri"/>
                <w:color w:val="000000"/>
                <w:sz w:val="16"/>
                <w:szCs w:val="16"/>
                <w:lang w:eastAsia="nl-NL"/>
              </w:rPr>
            </w:pPr>
            <w:r w:rsidRPr="005F055E">
              <w:rPr>
                <w:rFonts w:cs="Calibri"/>
                <w:color w:val="000000"/>
                <w:sz w:val="16"/>
                <w:szCs w:val="16"/>
                <w:lang w:eastAsia="nl-NL"/>
              </w:rPr>
              <w:t>2018</w:t>
            </w:r>
          </w:p>
        </w:tc>
        <w:tc>
          <w:tcPr>
            <w:tcW w:w="633" w:type="dxa"/>
            <w:shd w:val="clear" w:color="auto" w:fill="auto"/>
            <w:noWrap/>
            <w:vAlign w:val="bottom"/>
            <w:hideMark/>
          </w:tcPr>
          <w:p w:rsidRPr="005F055E" w:rsidR="00630335" w:rsidP="00180EEB" w:rsidRDefault="00630335" w14:paraId="60087E44" w14:textId="77777777">
            <w:pPr>
              <w:suppressAutoHyphens/>
              <w:rPr>
                <w:rFonts w:cs="Calibri"/>
                <w:color w:val="000000"/>
                <w:sz w:val="16"/>
                <w:szCs w:val="16"/>
                <w:lang w:eastAsia="nl-NL"/>
              </w:rPr>
            </w:pPr>
            <w:r w:rsidRPr="005F055E">
              <w:rPr>
                <w:rFonts w:cs="Calibri"/>
                <w:color w:val="000000"/>
                <w:sz w:val="16"/>
                <w:szCs w:val="16"/>
                <w:lang w:eastAsia="nl-NL"/>
              </w:rPr>
              <w:t>140%</w:t>
            </w:r>
          </w:p>
        </w:tc>
        <w:tc>
          <w:tcPr>
            <w:tcW w:w="633" w:type="dxa"/>
            <w:shd w:val="clear" w:color="auto" w:fill="auto"/>
            <w:noWrap/>
            <w:vAlign w:val="bottom"/>
            <w:hideMark/>
          </w:tcPr>
          <w:p w:rsidRPr="005F055E" w:rsidR="00630335" w:rsidP="00180EEB" w:rsidRDefault="00630335" w14:paraId="40E0DF3B" w14:textId="77777777">
            <w:pPr>
              <w:suppressAutoHyphens/>
              <w:rPr>
                <w:rFonts w:cs="Calibri"/>
                <w:color w:val="000000"/>
                <w:sz w:val="16"/>
                <w:szCs w:val="16"/>
                <w:lang w:eastAsia="nl-NL"/>
              </w:rPr>
            </w:pPr>
            <w:r w:rsidRPr="005F055E">
              <w:rPr>
                <w:rFonts w:cs="Calibri"/>
                <w:color w:val="000000"/>
                <w:sz w:val="16"/>
                <w:szCs w:val="16"/>
                <w:lang w:eastAsia="nl-NL"/>
              </w:rPr>
              <w:t>157%</w:t>
            </w:r>
          </w:p>
        </w:tc>
        <w:tc>
          <w:tcPr>
            <w:tcW w:w="633" w:type="dxa"/>
            <w:shd w:val="clear" w:color="auto" w:fill="auto"/>
            <w:noWrap/>
            <w:vAlign w:val="bottom"/>
            <w:hideMark/>
          </w:tcPr>
          <w:p w:rsidRPr="005F055E" w:rsidR="00630335" w:rsidP="00180EEB" w:rsidRDefault="00630335" w14:paraId="0DE0A84A" w14:textId="77777777">
            <w:pPr>
              <w:suppressAutoHyphens/>
              <w:rPr>
                <w:rFonts w:cs="Calibri"/>
                <w:color w:val="000000"/>
                <w:sz w:val="16"/>
                <w:szCs w:val="16"/>
                <w:lang w:eastAsia="nl-NL"/>
              </w:rPr>
            </w:pPr>
            <w:r w:rsidRPr="005F055E">
              <w:rPr>
                <w:rFonts w:cs="Calibri"/>
                <w:color w:val="000000"/>
                <w:sz w:val="16"/>
                <w:szCs w:val="16"/>
                <w:lang w:eastAsia="nl-NL"/>
              </w:rPr>
              <w:t>134%</w:t>
            </w:r>
          </w:p>
        </w:tc>
        <w:tc>
          <w:tcPr>
            <w:tcW w:w="854" w:type="dxa"/>
            <w:shd w:val="clear" w:color="auto" w:fill="auto"/>
            <w:noWrap/>
            <w:vAlign w:val="bottom"/>
          </w:tcPr>
          <w:p w:rsidRPr="005F055E" w:rsidR="00630335" w:rsidP="00180EEB" w:rsidRDefault="00630335" w14:paraId="7EA4C7CA" w14:textId="77777777">
            <w:pPr>
              <w:suppressAutoHyphens/>
              <w:rPr>
                <w:rFonts w:cs="Calibri"/>
                <w:color w:val="000000"/>
                <w:sz w:val="16"/>
                <w:szCs w:val="16"/>
                <w:lang w:eastAsia="nl-NL"/>
              </w:rPr>
            </w:pPr>
          </w:p>
        </w:tc>
        <w:tc>
          <w:tcPr>
            <w:tcW w:w="777" w:type="dxa"/>
            <w:shd w:val="clear" w:color="auto" w:fill="auto"/>
            <w:noWrap/>
            <w:vAlign w:val="bottom"/>
            <w:hideMark/>
          </w:tcPr>
          <w:p w:rsidRPr="005F055E" w:rsidR="00630335" w:rsidP="00180EEB" w:rsidRDefault="00630335" w14:paraId="12919755" w14:textId="77777777">
            <w:pPr>
              <w:suppressAutoHyphens/>
              <w:rPr>
                <w:rFonts w:cs="Calibri"/>
                <w:color w:val="000000"/>
                <w:sz w:val="16"/>
                <w:szCs w:val="16"/>
                <w:lang w:eastAsia="nl-NL"/>
              </w:rPr>
            </w:pPr>
            <w:r w:rsidRPr="005F055E">
              <w:rPr>
                <w:rFonts w:cs="Calibri"/>
                <w:color w:val="000000"/>
                <w:sz w:val="16"/>
                <w:szCs w:val="16"/>
                <w:lang w:eastAsia="nl-NL"/>
              </w:rPr>
              <w:t>138%</w:t>
            </w:r>
          </w:p>
        </w:tc>
        <w:tc>
          <w:tcPr>
            <w:tcW w:w="656" w:type="dxa"/>
            <w:shd w:val="clear" w:color="auto" w:fill="auto"/>
            <w:noWrap/>
            <w:vAlign w:val="bottom"/>
            <w:hideMark/>
          </w:tcPr>
          <w:p w:rsidRPr="005F055E" w:rsidR="00630335" w:rsidP="00180EEB" w:rsidRDefault="00630335" w14:paraId="76675099" w14:textId="77777777">
            <w:pPr>
              <w:suppressAutoHyphens/>
              <w:rPr>
                <w:rFonts w:cs="Calibri"/>
                <w:color w:val="000000"/>
                <w:sz w:val="16"/>
                <w:szCs w:val="16"/>
                <w:lang w:eastAsia="nl-NL"/>
              </w:rPr>
            </w:pPr>
            <w:r w:rsidRPr="005F055E">
              <w:rPr>
                <w:rFonts w:cs="Calibri"/>
                <w:color w:val="000000"/>
                <w:sz w:val="16"/>
                <w:szCs w:val="16"/>
                <w:lang w:eastAsia="nl-NL"/>
              </w:rPr>
              <w:t>132%</w:t>
            </w:r>
          </w:p>
        </w:tc>
        <w:tc>
          <w:tcPr>
            <w:tcW w:w="803" w:type="dxa"/>
            <w:shd w:val="clear" w:color="auto" w:fill="auto"/>
            <w:noWrap/>
            <w:vAlign w:val="bottom"/>
            <w:hideMark/>
          </w:tcPr>
          <w:p w:rsidRPr="005F055E" w:rsidR="00630335" w:rsidP="00180EEB" w:rsidRDefault="00630335" w14:paraId="748BEAAD" w14:textId="77777777">
            <w:pPr>
              <w:suppressAutoHyphens/>
              <w:rPr>
                <w:rFonts w:cs="Calibri"/>
                <w:color w:val="000000"/>
                <w:sz w:val="16"/>
                <w:szCs w:val="16"/>
                <w:lang w:eastAsia="nl-NL"/>
              </w:rPr>
            </w:pPr>
            <w:r w:rsidRPr="005F055E">
              <w:rPr>
                <w:rFonts w:cs="Calibri"/>
                <w:color w:val="000000"/>
                <w:sz w:val="16"/>
                <w:szCs w:val="16"/>
                <w:lang w:eastAsia="nl-NL"/>
              </w:rPr>
              <w:t>166%</w:t>
            </w:r>
          </w:p>
        </w:tc>
        <w:tc>
          <w:tcPr>
            <w:tcW w:w="632" w:type="dxa"/>
            <w:shd w:val="clear" w:color="auto" w:fill="auto"/>
            <w:noWrap/>
            <w:vAlign w:val="bottom"/>
            <w:hideMark/>
          </w:tcPr>
          <w:p w:rsidRPr="005F055E" w:rsidR="00630335" w:rsidP="00180EEB" w:rsidRDefault="00630335" w14:paraId="36B6DAAC" w14:textId="77777777">
            <w:pPr>
              <w:suppressAutoHyphens/>
              <w:rPr>
                <w:rFonts w:cs="Calibri"/>
                <w:color w:val="000000"/>
                <w:sz w:val="16"/>
                <w:szCs w:val="16"/>
                <w:lang w:eastAsia="nl-NL"/>
              </w:rPr>
            </w:pPr>
            <w:r w:rsidRPr="005F055E">
              <w:rPr>
                <w:rFonts w:cs="Calibri"/>
                <w:color w:val="000000"/>
                <w:sz w:val="16"/>
                <w:szCs w:val="16"/>
                <w:lang w:eastAsia="nl-NL"/>
              </w:rPr>
              <w:t>142%</w:t>
            </w:r>
          </w:p>
        </w:tc>
        <w:tc>
          <w:tcPr>
            <w:tcW w:w="632" w:type="dxa"/>
            <w:shd w:val="clear" w:color="auto" w:fill="auto"/>
            <w:noWrap/>
            <w:vAlign w:val="bottom"/>
            <w:hideMark/>
          </w:tcPr>
          <w:p w:rsidRPr="005F055E" w:rsidR="00630335" w:rsidP="00180EEB" w:rsidRDefault="00630335" w14:paraId="1FEFBAA6" w14:textId="77777777">
            <w:pPr>
              <w:suppressAutoHyphens/>
              <w:rPr>
                <w:rFonts w:cs="Calibri"/>
                <w:color w:val="000000"/>
                <w:sz w:val="16"/>
                <w:szCs w:val="16"/>
                <w:lang w:eastAsia="nl-NL"/>
              </w:rPr>
            </w:pPr>
            <w:r w:rsidRPr="005F055E">
              <w:rPr>
                <w:rFonts w:cs="Calibri"/>
                <w:color w:val="000000"/>
                <w:sz w:val="16"/>
                <w:szCs w:val="16"/>
                <w:lang w:eastAsia="nl-NL"/>
              </w:rPr>
              <w:t>165%</w:t>
            </w:r>
          </w:p>
        </w:tc>
        <w:tc>
          <w:tcPr>
            <w:tcW w:w="871" w:type="dxa"/>
            <w:shd w:val="clear" w:color="auto" w:fill="auto"/>
            <w:noWrap/>
            <w:vAlign w:val="bottom"/>
            <w:hideMark/>
          </w:tcPr>
          <w:p w:rsidRPr="005F055E" w:rsidR="00630335" w:rsidP="00180EEB" w:rsidRDefault="00630335" w14:paraId="4AD834B1" w14:textId="77777777">
            <w:pPr>
              <w:suppressAutoHyphens/>
              <w:rPr>
                <w:rFonts w:cs="Calibri"/>
                <w:color w:val="000000"/>
                <w:sz w:val="16"/>
                <w:szCs w:val="16"/>
                <w:lang w:eastAsia="nl-NL"/>
              </w:rPr>
            </w:pPr>
            <w:r w:rsidRPr="005F055E">
              <w:rPr>
                <w:rFonts w:cs="Calibri"/>
                <w:color w:val="000000"/>
                <w:sz w:val="16"/>
                <w:szCs w:val="16"/>
                <w:lang w:eastAsia="nl-NL"/>
              </w:rPr>
              <w:t>141%</w:t>
            </w:r>
          </w:p>
        </w:tc>
        <w:tc>
          <w:tcPr>
            <w:tcW w:w="707" w:type="dxa"/>
            <w:vAlign w:val="bottom"/>
          </w:tcPr>
          <w:p w:rsidRPr="005F055E" w:rsidR="00630335" w:rsidP="00180EEB" w:rsidRDefault="00630335" w14:paraId="636A4197" w14:textId="77777777">
            <w:pPr>
              <w:suppressAutoHyphens/>
              <w:rPr>
                <w:rFonts w:cs="Calibri"/>
                <w:color w:val="000000"/>
                <w:sz w:val="16"/>
                <w:szCs w:val="16"/>
                <w:lang w:eastAsia="nl-NL"/>
              </w:rPr>
            </w:pPr>
            <w:r w:rsidRPr="005F055E">
              <w:rPr>
                <w:rFonts w:cs="Calibri"/>
                <w:color w:val="000000"/>
                <w:sz w:val="16"/>
                <w:szCs w:val="16"/>
                <w:lang w:eastAsia="nl-NL"/>
              </w:rPr>
              <w:t>145%</w:t>
            </w:r>
          </w:p>
        </w:tc>
      </w:tr>
      <w:tr w:rsidRPr="005F055E" w:rsidR="00630335" w:rsidTr="00630335" w14:paraId="7F01D2E4" w14:textId="77777777">
        <w:trPr>
          <w:trHeight w:val="300"/>
        </w:trPr>
        <w:tc>
          <w:tcPr>
            <w:tcW w:w="1193" w:type="dxa"/>
            <w:shd w:val="clear" w:color="auto" w:fill="auto"/>
            <w:noWrap/>
            <w:vAlign w:val="bottom"/>
            <w:hideMark/>
          </w:tcPr>
          <w:p w:rsidRPr="005F055E" w:rsidR="00630335" w:rsidP="00180EEB" w:rsidRDefault="00630335" w14:paraId="3E1490DB" w14:textId="77777777">
            <w:pPr>
              <w:suppressAutoHyphens/>
              <w:rPr>
                <w:rFonts w:cs="Calibri"/>
                <w:color w:val="000000"/>
                <w:sz w:val="16"/>
                <w:szCs w:val="16"/>
                <w:lang w:eastAsia="nl-NL"/>
              </w:rPr>
            </w:pPr>
            <w:r w:rsidRPr="005F055E">
              <w:rPr>
                <w:rFonts w:cs="Calibri"/>
                <w:color w:val="000000"/>
                <w:sz w:val="16"/>
                <w:szCs w:val="16"/>
                <w:lang w:eastAsia="nl-NL"/>
              </w:rPr>
              <w:t>2019</w:t>
            </w:r>
          </w:p>
        </w:tc>
        <w:tc>
          <w:tcPr>
            <w:tcW w:w="633" w:type="dxa"/>
            <w:shd w:val="clear" w:color="auto" w:fill="auto"/>
            <w:noWrap/>
            <w:vAlign w:val="bottom"/>
            <w:hideMark/>
          </w:tcPr>
          <w:p w:rsidRPr="005F055E" w:rsidR="00630335" w:rsidP="00180EEB" w:rsidRDefault="00630335" w14:paraId="3606097C" w14:textId="77777777">
            <w:pPr>
              <w:suppressAutoHyphens/>
              <w:rPr>
                <w:rFonts w:cs="Calibri"/>
                <w:color w:val="000000"/>
                <w:sz w:val="16"/>
                <w:szCs w:val="16"/>
                <w:lang w:eastAsia="nl-NL"/>
              </w:rPr>
            </w:pPr>
            <w:r w:rsidRPr="005F055E">
              <w:rPr>
                <w:rFonts w:cs="Calibri"/>
                <w:color w:val="000000"/>
                <w:sz w:val="16"/>
                <w:szCs w:val="16"/>
                <w:lang w:eastAsia="nl-NL"/>
              </w:rPr>
              <w:t>144%</w:t>
            </w:r>
          </w:p>
        </w:tc>
        <w:tc>
          <w:tcPr>
            <w:tcW w:w="633" w:type="dxa"/>
            <w:shd w:val="clear" w:color="auto" w:fill="auto"/>
            <w:noWrap/>
            <w:vAlign w:val="bottom"/>
            <w:hideMark/>
          </w:tcPr>
          <w:p w:rsidRPr="005F055E" w:rsidR="00630335" w:rsidP="00180EEB" w:rsidRDefault="00630335" w14:paraId="20A6B16A" w14:textId="77777777">
            <w:pPr>
              <w:suppressAutoHyphens/>
              <w:rPr>
                <w:rFonts w:cs="Calibri"/>
                <w:color w:val="000000"/>
                <w:sz w:val="16"/>
                <w:szCs w:val="16"/>
                <w:lang w:eastAsia="nl-NL"/>
              </w:rPr>
            </w:pPr>
            <w:r w:rsidRPr="005F055E">
              <w:rPr>
                <w:rFonts w:cs="Calibri"/>
                <w:color w:val="000000"/>
                <w:sz w:val="16"/>
                <w:szCs w:val="16"/>
                <w:lang w:eastAsia="nl-NL"/>
              </w:rPr>
              <w:t>154%</w:t>
            </w:r>
          </w:p>
        </w:tc>
        <w:tc>
          <w:tcPr>
            <w:tcW w:w="633" w:type="dxa"/>
            <w:shd w:val="clear" w:color="auto" w:fill="auto"/>
            <w:noWrap/>
            <w:vAlign w:val="bottom"/>
            <w:hideMark/>
          </w:tcPr>
          <w:p w:rsidRPr="005F055E" w:rsidR="00630335" w:rsidP="00180EEB" w:rsidRDefault="00630335" w14:paraId="35F10168" w14:textId="77777777">
            <w:pPr>
              <w:suppressAutoHyphens/>
              <w:rPr>
                <w:rFonts w:cs="Calibri"/>
                <w:color w:val="000000"/>
                <w:sz w:val="16"/>
                <w:szCs w:val="16"/>
                <w:lang w:eastAsia="nl-NL"/>
              </w:rPr>
            </w:pPr>
            <w:r w:rsidRPr="005F055E">
              <w:rPr>
                <w:rFonts w:cs="Calibri"/>
                <w:color w:val="000000"/>
                <w:sz w:val="16"/>
                <w:szCs w:val="16"/>
                <w:lang w:eastAsia="nl-NL"/>
              </w:rPr>
              <w:t>130%</w:t>
            </w:r>
          </w:p>
        </w:tc>
        <w:tc>
          <w:tcPr>
            <w:tcW w:w="854" w:type="dxa"/>
            <w:shd w:val="clear" w:color="auto" w:fill="auto"/>
            <w:noWrap/>
            <w:vAlign w:val="bottom"/>
          </w:tcPr>
          <w:p w:rsidRPr="005F055E" w:rsidR="00630335" w:rsidP="00180EEB" w:rsidRDefault="00630335" w14:paraId="79CFBAB6" w14:textId="77777777">
            <w:pPr>
              <w:suppressAutoHyphens/>
              <w:rPr>
                <w:rFonts w:cs="Calibri"/>
                <w:color w:val="000000"/>
                <w:sz w:val="16"/>
                <w:szCs w:val="16"/>
                <w:lang w:eastAsia="nl-NL"/>
              </w:rPr>
            </w:pPr>
          </w:p>
        </w:tc>
        <w:tc>
          <w:tcPr>
            <w:tcW w:w="777" w:type="dxa"/>
            <w:shd w:val="clear" w:color="auto" w:fill="auto"/>
            <w:noWrap/>
            <w:vAlign w:val="bottom"/>
            <w:hideMark/>
          </w:tcPr>
          <w:p w:rsidRPr="005F055E" w:rsidR="00630335" w:rsidP="00180EEB" w:rsidRDefault="00630335" w14:paraId="313AC058" w14:textId="77777777">
            <w:pPr>
              <w:suppressAutoHyphens/>
              <w:rPr>
                <w:rFonts w:cs="Calibri"/>
                <w:color w:val="000000"/>
                <w:sz w:val="16"/>
                <w:szCs w:val="16"/>
                <w:lang w:eastAsia="nl-NL"/>
              </w:rPr>
            </w:pPr>
            <w:r w:rsidRPr="005F055E">
              <w:rPr>
                <w:rFonts w:cs="Calibri"/>
                <w:color w:val="000000"/>
                <w:sz w:val="16"/>
                <w:szCs w:val="16"/>
                <w:lang w:eastAsia="nl-NL"/>
              </w:rPr>
              <w:t>145%</w:t>
            </w:r>
          </w:p>
        </w:tc>
        <w:tc>
          <w:tcPr>
            <w:tcW w:w="656" w:type="dxa"/>
            <w:shd w:val="clear" w:color="auto" w:fill="auto"/>
            <w:noWrap/>
            <w:vAlign w:val="bottom"/>
            <w:hideMark/>
          </w:tcPr>
          <w:p w:rsidRPr="005F055E" w:rsidR="00630335" w:rsidP="00180EEB" w:rsidRDefault="00630335" w14:paraId="35F1BCEC" w14:textId="77777777">
            <w:pPr>
              <w:suppressAutoHyphens/>
              <w:rPr>
                <w:rFonts w:cs="Calibri"/>
                <w:color w:val="000000"/>
                <w:sz w:val="16"/>
                <w:szCs w:val="16"/>
                <w:lang w:eastAsia="nl-NL"/>
              </w:rPr>
            </w:pPr>
            <w:r w:rsidRPr="005F055E">
              <w:rPr>
                <w:rFonts w:cs="Calibri"/>
                <w:color w:val="000000"/>
                <w:sz w:val="16"/>
                <w:szCs w:val="16"/>
                <w:lang w:eastAsia="nl-NL"/>
              </w:rPr>
              <w:t>124%</w:t>
            </w:r>
          </w:p>
        </w:tc>
        <w:tc>
          <w:tcPr>
            <w:tcW w:w="803" w:type="dxa"/>
            <w:shd w:val="clear" w:color="auto" w:fill="auto"/>
            <w:noWrap/>
            <w:vAlign w:val="bottom"/>
            <w:hideMark/>
          </w:tcPr>
          <w:p w:rsidRPr="005F055E" w:rsidR="00630335" w:rsidP="00180EEB" w:rsidRDefault="00630335" w14:paraId="15E9721E" w14:textId="77777777">
            <w:pPr>
              <w:suppressAutoHyphens/>
              <w:rPr>
                <w:rFonts w:cs="Calibri"/>
                <w:color w:val="000000"/>
                <w:sz w:val="16"/>
                <w:szCs w:val="16"/>
                <w:lang w:eastAsia="nl-NL"/>
              </w:rPr>
            </w:pPr>
            <w:r w:rsidRPr="005F055E">
              <w:rPr>
                <w:rFonts w:cs="Calibri"/>
                <w:color w:val="000000"/>
                <w:sz w:val="16"/>
                <w:szCs w:val="16"/>
                <w:lang w:eastAsia="nl-NL"/>
              </w:rPr>
              <w:t>155%</w:t>
            </w:r>
          </w:p>
        </w:tc>
        <w:tc>
          <w:tcPr>
            <w:tcW w:w="632" w:type="dxa"/>
            <w:shd w:val="clear" w:color="auto" w:fill="auto"/>
            <w:noWrap/>
            <w:vAlign w:val="bottom"/>
            <w:hideMark/>
          </w:tcPr>
          <w:p w:rsidRPr="005F055E" w:rsidR="00630335" w:rsidP="00180EEB" w:rsidRDefault="00630335" w14:paraId="37CBAE35" w14:textId="77777777">
            <w:pPr>
              <w:suppressAutoHyphens/>
              <w:rPr>
                <w:rFonts w:cs="Calibri"/>
                <w:color w:val="000000"/>
                <w:sz w:val="16"/>
                <w:szCs w:val="16"/>
                <w:lang w:eastAsia="nl-NL"/>
              </w:rPr>
            </w:pPr>
            <w:r w:rsidRPr="005F055E">
              <w:rPr>
                <w:rFonts w:cs="Calibri"/>
                <w:color w:val="000000"/>
                <w:sz w:val="16"/>
                <w:szCs w:val="16"/>
                <w:lang w:eastAsia="nl-NL"/>
              </w:rPr>
              <w:t>143%</w:t>
            </w:r>
          </w:p>
        </w:tc>
        <w:tc>
          <w:tcPr>
            <w:tcW w:w="632" w:type="dxa"/>
            <w:shd w:val="clear" w:color="auto" w:fill="auto"/>
            <w:noWrap/>
            <w:vAlign w:val="bottom"/>
            <w:hideMark/>
          </w:tcPr>
          <w:p w:rsidRPr="005F055E" w:rsidR="00630335" w:rsidP="00180EEB" w:rsidRDefault="00630335" w14:paraId="1BE701C5" w14:textId="77777777">
            <w:pPr>
              <w:suppressAutoHyphens/>
              <w:rPr>
                <w:rFonts w:cs="Calibri"/>
                <w:color w:val="000000"/>
                <w:sz w:val="16"/>
                <w:szCs w:val="16"/>
                <w:lang w:eastAsia="nl-NL"/>
              </w:rPr>
            </w:pPr>
            <w:r w:rsidRPr="005F055E">
              <w:rPr>
                <w:rFonts w:cs="Calibri"/>
                <w:color w:val="000000"/>
                <w:sz w:val="16"/>
                <w:szCs w:val="16"/>
                <w:lang w:eastAsia="nl-NL"/>
              </w:rPr>
              <w:t>168%</w:t>
            </w:r>
          </w:p>
        </w:tc>
        <w:tc>
          <w:tcPr>
            <w:tcW w:w="871" w:type="dxa"/>
            <w:shd w:val="clear" w:color="auto" w:fill="auto"/>
            <w:noWrap/>
            <w:vAlign w:val="bottom"/>
            <w:hideMark/>
          </w:tcPr>
          <w:p w:rsidRPr="005F055E" w:rsidR="00630335" w:rsidP="00180EEB" w:rsidRDefault="00630335" w14:paraId="083BA63B" w14:textId="77777777">
            <w:pPr>
              <w:suppressAutoHyphens/>
              <w:rPr>
                <w:rFonts w:cs="Calibri"/>
                <w:color w:val="000000"/>
                <w:sz w:val="16"/>
                <w:szCs w:val="16"/>
                <w:lang w:eastAsia="nl-NL"/>
              </w:rPr>
            </w:pPr>
            <w:r w:rsidRPr="005F055E">
              <w:rPr>
                <w:rFonts w:cs="Calibri"/>
                <w:color w:val="000000"/>
                <w:sz w:val="16"/>
                <w:szCs w:val="16"/>
                <w:lang w:eastAsia="nl-NL"/>
              </w:rPr>
              <w:t>146%</w:t>
            </w:r>
          </w:p>
        </w:tc>
        <w:tc>
          <w:tcPr>
            <w:tcW w:w="707" w:type="dxa"/>
            <w:vAlign w:val="bottom"/>
          </w:tcPr>
          <w:p w:rsidRPr="005F055E" w:rsidR="00630335" w:rsidP="00180EEB" w:rsidRDefault="00630335" w14:paraId="7364D9BB" w14:textId="77777777">
            <w:pPr>
              <w:suppressAutoHyphens/>
              <w:rPr>
                <w:rFonts w:cs="Calibri"/>
                <w:color w:val="000000"/>
                <w:sz w:val="16"/>
                <w:szCs w:val="16"/>
                <w:lang w:eastAsia="nl-NL"/>
              </w:rPr>
            </w:pPr>
            <w:r w:rsidRPr="005F055E">
              <w:rPr>
                <w:rFonts w:cs="Calibri"/>
                <w:color w:val="000000"/>
                <w:sz w:val="16"/>
                <w:szCs w:val="16"/>
                <w:lang w:eastAsia="nl-NL"/>
              </w:rPr>
              <w:t>146%</w:t>
            </w:r>
          </w:p>
        </w:tc>
      </w:tr>
      <w:tr w:rsidRPr="005F055E" w:rsidR="00630335" w:rsidTr="00630335" w14:paraId="37EE3736" w14:textId="77777777">
        <w:trPr>
          <w:trHeight w:val="300"/>
        </w:trPr>
        <w:tc>
          <w:tcPr>
            <w:tcW w:w="1193" w:type="dxa"/>
            <w:shd w:val="clear" w:color="auto" w:fill="auto"/>
            <w:noWrap/>
            <w:vAlign w:val="bottom"/>
            <w:hideMark/>
          </w:tcPr>
          <w:p w:rsidRPr="005F055E" w:rsidR="00630335" w:rsidP="00180EEB" w:rsidRDefault="00630335" w14:paraId="04046DB1" w14:textId="77777777">
            <w:pPr>
              <w:suppressAutoHyphens/>
              <w:rPr>
                <w:rFonts w:cs="Calibri"/>
                <w:color w:val="000000"/>
                <w:sz w:val="16"/>
                <w:szCs w:val="16"/>
                <w:lang w:eastAsia="nl-NL"/>
              </w:rPr>
            </w:pPr>
            <w:r w:rsidRPr="005F055E">
              <w:rPr>
                <w:rFonts w:cs="Calibri"/>
                <w:color w:val="000000"/>
                <w:sz w:val="16"/>
                <w:szCs w:val="16"/>
                <w:lang w:eastAsia="nl-NL"/>
              </w:rPr>
              <w:t>2020</w:t>
            </w:r>
          </w:p>
        </w:tc>
        <w:tc>
          <w:tcPr>
            <w:tcW w:w="633" w:type="dxa"/>
            <w:shd w:val="clear" w:color="auto" w:fill="auto"/>
            <w:noWrap/>
            <w:vAlign w:val="bottom"/>
            <w:hideMark/>
          </w:tcPr>
          <w:p w:rsidRPr="005F055E" w:rsidR="00630335" w:rsidP="00180EEB" w:rsidRDefault="00630335" w14:paraId="38F0D254" w14:textId="77777777">
            <w:pPr>
              <w:suppressAutoHyphens/>
              <w:rPr>
                <w:rFonts w:cs="Calibri"/>
                <w:color w:val="000000"/>
                <w:sz w:val="16"/>
                <w:szCs w:val="16"/>
                <w:lang w:eastAsia="nl-NL"/>
              </w:rPr>
            </w:pPr>
            <w:r w:rsidRPr="005F055E">
              <w:rPr>
                <w:rFonts w:cs="Calibri"/>
                <w:color w:val="000000"/>
                <w:sz w:val="16"/>
                <w:szCs w:val="16"/>
                <w:lang w:eastAsia="nl-NL"/>
              </w:rPr>
              <w:t>140%</w:t>
            </w:r>
          </w:p>
        </w:tc>
        <w:tc>
          <w:tcPr>
            <w:tcW w:w="633" w:type="dxa"/>
            <w:shd w:val="clear" w:color="auto" w:fill="auto"/>
            <w:noWrap/>
            <w:vAlign w:val="bottom"/>
            <w:hideMark/>
          </w:tcPr>
          <w:p w:rsidRPr="005F055E" w:rsidR="00630335" w:rsidP="00180EEB" w:rsidRDefault="00630335" w14:paraId="09C1AEBF" w14:textId="77777777">
            <w:pPr>
              <w:suppressAutoHyphens/>
              <w:rPr>
                <w:rFonts w:cs="Calibri"/>
                <w:color w:val="000000"/>
                <w:sz w:val="16"/>
                <w:szCs w:val="16"/>
                <w:lang w:eastAsia="nl-NL"/>
              </w:rPr>
            </w:pPr>
            <w:r w:rsidRPr="005F055E">
              <w:rPr>
                <w:rFonts w:cs="Calibri"/>
                <w:color w:val="000000"/>
                <w:sz w:val="16"/>
                <w:szCs w:val="16"/>
                <w:lang w:eastAsia="nl-NL"/>
              </w:rPr>
              <w:t>160%</w:t>
            </w:r>
          </w:p>
        </w:tc>
        <w:tc>
          <w:tcPr>
            <w:tcW w:w="633" w:type="dxa"/>
            <w:shd w:val="clear" w:color="auto" w:fill="auto"/>
            <w:noWrap/>
            <w:vAlign w:val="bottom"/>
            <w:hideMark/>
          </w:tcPr>
          <w:p w:rsidRPr="005F055E" w:rsidR="00630335" w:rsidP="00180EEB" w:rsidRDefault="00630335" w14:paraId="66597AC6" w14:textId="77777777">
            <w:pPr>
              <w:suppressAutoHyphens/>
              <w:rPr>
                <w:rFonts w:cs="Calibri"/>
                <w:color w:val="000000"/>
                <w:sz w:val="16"/>
                <w:szCs w:val="16"/>
                <w:lang w:eastAsia="nl-NL"/>
              </w:rPr>
            </w:pPr>
            <w:r w:rsidRPr="005F055E">
              <w:rPr>
                <w:rFonts w:cs="Calibri"/>
                <w:color w:val="000000"/>
                <w:sz w:val="16"/>
                <w:szCs w:val="16"/>
                <w:lang w:eastAsia="nl-NL"/>
              </w:rPr>
              <w:t>144%</w:t>
            </w:r>
          </w:p>
        </w:tc>
        <w:tc>
          <w:tcPr>
            <w:tcW w:w="854" w:type="dxa"/>
            <w:shd w:val="clear" w:color="auto" w:fill="auto"/>
            <w:noWrap/>
            <w:vAlign w:val="bottom"/>
          </w:tcPr>
          <w:p w:rsidRPr="005F055E" w:rsidR="00630335" w:rsidP="00180EEB" w:rsidRDefault="00630335" w14:paraId="11C7F046" w14:textId="77777777">
            <w:pPr>
              <w:suppressAutoHyphens/>
              <w:rPr>
                <w:rFonts w:cs="Calibri"/>
                <w:color w:val="000000"/>
                <w:sz w:val="16"/>
                <w:szCs w:val="16"/>
                <w:lang w:eastAsia="nl-NL"/>
              </w:rPr>
            </w:pPr>
          </w:p>
        </w:tc>
        <w:tc>
          <w:tcPr>
            <w:tcW w:w="777" w:type="dxa"/>
            <w:shd w:val="clear" w:color="auto" w:fill="auto"/>
            <w:noWrap/>
            <w:vAlign w:val="bottom"/>
            <w:hideMark/>
          </w:tcPr>
          <w:p w:rsidRPr="005F055E" w:rsidR="00630335" w:rsidP="00180EEB" w:rsidRDefault="00630335" w14:paraId="3E5967F3" w14:textId="77777777">
            <w:pPr>
              <w:suppressAutoHyphens/>
              <w:rPr>
                <w:rFonts w:cs="Calibri"/>
                <w:color w:val="000000"/>
                <w:sz w:val="16"/>
                <w:szCs w:val="16"/>
                <w:lang w:eastAsia="nl-NL"/>
              </w:rPr>
            </w:pPr>
            <w:r w:rsidRPr="005F055E">
              <w:rPr>
                <w:rFonts w:cs="Calibri"/>
                <w:color w:val="000000"/>
                <w:sz w:val="16"/>
                <w:szCs w:val="16"/>
                <w:lang w:eastAsia="nl-NL"/>
              </w:rPr>
              <w:t>142%</w:t>
            </w:r>
          </w:p>
        </w:tc>
        <w:tc>
          <w:tcPr>
            <w:tcW w:w="656" w:type="dxa"/>
            <w:shd w:val="clear" w:color="auto" w:fill="auto"/>
            <w:noWrap/>
            <w:vAlign w:val="bottom"/>
            <w:hideMark/>
          </w:tcPr>
          <w:p w:rsidRPr="005F055E" w:rsidR="00630335" w:rsidP="00180EEB" w:rsidRDefault="00630335" w14:paraId="06F5A9CD" w14:textId="77777777">
            <w:pPr>
              <w:suppressAutoHyphens/>
              <w:rPr>
                <w:rFonts w:cs="Calibri"/>
                <w:color w:val="000000"/>
                <w:sz w:val="16"/>
                <w:szCs w:val="16"/>
                <w:lang w:eastAsia="nl-NL"/>
              </w:rPr>
            </w:pPr>
            <w:r w:rsidRPr="005F055E">
              <w:rPr>
                <w:rFonts w:cs="Calibri"/>
                <w:color w:val="000000"/>
                <w:sz w:val="16"/>
                <w:szCs w:val="16"/>
                <w:lang w:eastAsia="nl-NL"/>
              </w:rPr>
              <w:t>155%</w:t>
            </w:r>
          </w:p>
        </w:tc>
        <w:tc>
          <w:tcPr>
            <w:tcW w:w="803" w:type="dxa"/>
            <w:shd w:val="clear" w:color="auto" w:fill="auto"/>
            <w:noWrap/>
            <w:vAlign w:val="bottom"/>
            <w:hideMark/>
          </w:tcPr>
          <w:p w:rsidRPr="005F055E" w:rsidR="00630335" w:rsidP="00180EEB" w:rsidRDefault="00630335" w14:paraId="197FCCC1" w14:textId="77777777">
            <w:pPr>
              <w:suppressAutoHyphens/>
              <w:rPr>
                <w:rFonts w:cs="Calibri"/>
                <w:color w:val="000000"/>
                <w:sz w:val="16"/>
                <w:szCs w:val="16"/>
                <w:lang w:eastAsia="nl-NL"/>
              </w:rPr>
            </w:pPr>
            <w:r w:rsidRPr="005F055E">
              <w:rPr>
                <w:rFonts w:cs="Calibri"/>
                <w:color w:val="000000"/>
                <w:sz w:val="16"/>
                <w:szCs w:val="16"/>
                <w:lang w:eastAsia="nl-NL"/>
              </w:rPr>
              <w:t>144%</w:t>
            </w:r>
          </w:p>
        </w:tc>
        <w:tc>
          <w:tcPr>
            <w:tcW w:w="632" w:type="dxa"/>
            <w:shd w:val="clear" w:color="auto" w:fill="auto"/>
            <w:noWrap/>
            <w:vAlign w:val="bottom"/>
            <w:hideMark/>
          </w:tcPr>
          <w:p w:rsidRPr="005F055E" w:rsidR="00630335" w:rsidP="00180EEB" w:rsidRDefault="00630335" w14:paraId="56DED331" w14:textId="77777777">
            <w:pPr>
              <w:suppressAutoHyphens/>
              <w:rPr>
                <w:rFonts w:cs="Calibri"/>
                <w:color w:val="000000"/>
                <w:sz w:val="16"/>
                <w:szCs w:val="16"/>
                <w:lang w:eastAsia="nl-NL"/>
              </w:rPr>
            </w:pPr>
            <w:r w:rsidRPr="005F055E">
              <w:rPr>
                <w:rFonts w:cs="Calibri"/>
                <w:color w:val="000000"/>
                <w:sz w:val="16"/>
                <w:szCs w:val="16"/>
                <w:lang w:eastAsia="nl-NL"/>
              </w:rPr>
              <w:t>136%</w:t>
            </w:r>
          </w:p>
        </w:tc>
        <w:tc>
          <w:tcPr>
            <w:tcW w:w="632" w:type="dxa"/>
            <w:shd w:val="clear" w:color="auto" w:fill="auto"/>
            <w:noWrap/>
            <w:vAlign w:val="bottom"/>
            <w:hideMark/>
          </w:tcPr>
          <w:p w:rsidRPr="005F055E" w:rsidR="00630335" w:rsidP="00180EEB" w:rsidRDefault="00630335" w14:paraId="3D58D8CA" w14:textId="77777777">
            <w:pPr>
              <w:suppressAutoHyphens/>
              <w:rPr>
                <w:rFonts w:cs="Calibri"/>
                <w:color w:val="000000"/>
                <w:sz w:val="16"/>
                <w:szCs w:val="16"/>
                <w:lang w:eastAsia="nl-NL"/>
              </w:rPr>
            </w:pPr>
            <w:r w:rsidRPr="005F055E">
              <w:rPr>
                <w:rFonts w:cs="Calibri"/>
                <w:color w:val="000000"/>
                <w:sz w:val="16"/>
                <w:szCs w:val="16"/>
                <w:lang w:eastAsia="nl-NL"/>
              </w:rPr>
              <w:t>171%</w:t>
            </w:r>
          </w:p>
        </w:tc>
        <w:tc>
          <w:tcPr>
            <w:tcW w:w="871" w:type="dxa"/>
            <w:shd w:val="clear" w:color="auto" w:fill="auto"/>
            <w:noWrap/>
            <w:vAlign w:val="bottom"/>
            <w:hideMark/>
          </w:tcPr>
          <w:p w:rsidRPr="005F055E" w:rsidR="00630335" w:rsidP="00180EEB" w:rsidRDefault="00630335" w14:paraId="14819CFF" w14:textId="77777777">
            <w:pPr>
              <w:suppressAutoHyphens/>
              <w:rPr>
                <w:rFonts w:cs="Calibri"/>
                <w:color w:val="000000"/>
                <w:sz w:val="16"/>
                <w:szCs w:val="16"/>
                <w:lang w:eastAsia="nl-NL"/>
              </w:rPr>
            </w:pPr>
            <w:r w:rsidRPr="005F055E">
              <w:rPr>
                <w:rFonts w:cs="Calibri"/>
                <w:color w:val="000000"/>
                <w:sz w:val="16"/>
                <w:szCs w:val="16"/>
                <w:lang w:eastAsia="nl-NL"/>
              </w:rPr>
              <w:t>149%</w:t>
            </w:r>
          </w:p>
        </w:tc>
        <w:tc>
          <w:tcPr>
            <w:tcW w:w="707" w:type="dxa"/>
            <w:vAlign w:val="bottom"/>
          </w:tcPr>
          <w:p w:rsidRPr="005F055E" w:rsidR="00630335" w:rsidP="00180EEB" w:rsidRDefault="00630335" w14:paraId="4B708D6C" w14:textId="77777777">
            <w:pPr>
              <w:suppressAutoHyphens/>
              <w:rPr>
                <w:rFonts w:cs="Calibri"/>
                <w:color w:val="000000"/>
                <w:sz w:val="16"/>
                <w:szCs w:val="16"/>
                <w:lang w:eastAsia="nl-NL"/>
              </w:rPr>
            </w:pPr>
            <w:r w:rsidRPr="005F055E">
              <w:rPr>
                <w:rFonts w:cs="Calibri"/>
                <w:color w:val="000000"/>
                <w:sz w:val="16"/>
                <w:szCs w:val="16"/>
                <w:lang w:eastAsia="nl-NL"/>
              </w:rPr>
              <w:t>148%</w:t>
            </w:r>
          </w:p>
        </w:tc>
      </w:tr>
      <w:tr w:rsidRPr="005F055E" w:rsidR="00630335" w:rsidTr="00630335" w14:paraId="44821FAD" w14:textId="77777777">
        <w:trPr>
          <w:trHeight w:val="300"/>
        </w:trPr>
        <w:tc>
          <w:tcPr>
            <w:tcW w:w="1193" w:type="dxa"/>
            <w:shd w:val="clear" w:color="auto" w:fill="auto"/>
            <w:noWrap/>
            <w:vAlign w:val="bottom"/>
            <w:hideMark/>
          </w:tcPr>
          <w:p w:rsidRPr="005F055E" w:rsidR="00630335" w:rsidP="00180EEB" w:rsidRDefault="00630335" w14:paraId="48C8D754" w14:textId="77777777">
            <w:pPr>
              <w:suppressAutoHyphens/>
              <w:rPr>
                <w:rFonts w:cs="Calibri"/>
                <w:color w:val="000000"/>
                <w:sz w:val="16"/>
                <w:szCs w:val="16"/>
                <w:lang w:eastAsia="nl-NL"/>
              </w:rPr>
            </w:pPr>
            <w:r w:rsidRPr="005F055E">
              <w:rPr>
                <w:rFonts w:cs="Calibri"/>
                <w:color w:val="000000"/>
                <w:sz w:val="16"/>
                <w:szCs w:val="16"/>
                <w:lang w:eastAsia="nl-NL"/>
              </w:rPr>
              <w:t>2021</w:t>
            </w:r>
          </w:p>
        </w:tc>
        <w:tc>
          <w:tcPr>
            <w:tcW w:w="633" w:type="dxa"/>
            <w:shd w:val="clear" w:color="auto" w:fill="auto"/>
            <w:noWrap/>
            <w:vAlign w:val="bottom"/>
            <w:hideMark/>
          </w:tcPr>
          <w:p w:rsidRPr="005F055E" w:rsidR="00630335" w:rsidP="00180EEB" w:rsidRDefault="00630335" w14:paraId="5BF97AA5" w14:textId="77777777">
            <w:pPr>
              <w:suppressAutoHyphens/>
              <w:rPr>
                <w:rFonts w:cs="Calibri"/>
                <w:color w:val="000000"/>
                <w:sz w:val="16"/>
                <w:szCs w:val="16"/>
                <w:lang w:eastAsia="nl-NL"/>
              </w:rPr>
            </w:pPr>
            <w:r w:rsidRPr="005F055E">
              <w:rPr>
                <w:rFonts w:cs="Calibri"/>
                <w:color w:val="000000"/>
                <w:sz w:val="16"/>
                <w:szCs w:val="16"/>
                <w:lang w:eastAsia="nl-NL"/>
              </w:rPr>
              <w:t>138%</w:t>
            </w:r>
          </w:p>
        </w:tc>
        <w:tc>
          <w:tcPr>
            <w:tcW w:w="633" w:type="dxa"/>
            <w:shd w:val="clear" w:color="auto" w:fill="auto"/>
            <w:noWrap/>
            <w:vAlign w:val="bottom"/>
            <w:hideMark/>
          </w:tcPr>
          <w:p w:rsidRPr="005F055E" w:rsidR="00630335" w:rsidP="00180EEB" w:rsidRDefault="00630335" w14:paraId="0CE2F093" w14:textId="77777777">
            <w:pPr>
              <w:suppressAutoHyphens/>
              <w:rPr>
                <w:rFonts w:cs="Calibri"/>
                <w:color w:val="000000"/>
                <w:sz w:val="16"/>
                <w:szCs w:val="16"/>
                <w:lang w:eastAsia="nl-NL"/>
              </w:rPr>
            </w:pPr>
            <w:r w:rsidRPr="005F055E">
              <w:rPr>
                <w:rFonts w:cs="Calibri"/>
                <w:color w:val="000000"/>
                <w:sz w:val="16"/>
                <w:szCs w:val="16"/>
                <w:lang w:eastAsia="nl-NL"/>
              </w:rPr>
              <w:t>160%</w:t>
            </w:r>
          </w:p>
        </w:tc>
        <w:tc>
          <w:tcPr>
            <w:tcW w:w="633" w:type="dxa"/>
            <w:shd w:val="clear" w:color="auto" w:fill="auto"/>
            <w:noWrap/>
            <w:vAlign w:val="bottom"/>
            <w:hideMark/>
          </w:tcPr>
          <w:p w:rsidRPr="005F055E" w:rsidR="00630335" w:rsidP="00180EEB" w:rsidRDefault="00630335" w14:paraId="7933E8B4" w14:textId="77777777">
            <w:pPr>
              <w:suppressAutoHyphens/>
              <w:rPr>
                <w:rFonts w:cs="Calibri"/>
                <w:color w:val="000000"/>
                <w:sz w:val="16"/>
                <w:szCs w:val="16"/>
                <w:lang w:eastAsia="nl-NL"/>
              </w:rPr>
            </w:pPr>
            <w:r w:rsidRPr="005F055E">
              <w:rPr>
                <w:rFonts w:cs="Calibri"/>
                <w:color w:val="000000"/>
                <w:sz w:val="16"/>
                <w:szCs w:val="16"/>
                <w:lang w:eastAsia="nl-NL"/>
              </w:rPr>
              <w:t>145%</w:t>
            </w:r>
          </w:p>
        </w:tc>
        <w:tc>
          <w:tcPr>
            <w:tcW w:w="854" w:type="dxa"/>
            <w:shd w:val="clear" w:color="auto" w:fill="auto"/>
            <w:noWrap/>
            <w:vAlign w:val="bottom"/>
          </w:tcPr>
          <w:p w:rsidRPr="005F055E" w:rsidR="00630335" w:rsidP="00180EEB" w:rsidRDefault="00630335" w14:paraId="57732F29" w14:textId="77777777">
            <w:pPr>
              <w:suppressAutoHyphens/>
              <w:rPr>
                <w:rFonts w:cs="Calibri"/>
                <w:color w:val="000000"/>
                <w:sz w:val="16"/>
                <w:szCs w:val="16"/>
                <w:lang w:eastAsia="nl-NL"/>
              </w:rPr>
            </w:pPr>
          </w:p>
        </w:tc>
        <w:tc>
          <w:tcPr>
            <w:tcW w:w="777" w:type="dxa"/>
            <w:shd w:val="clear" w:color="auto" w:fill="auto"/>
            <w:noWrap/>
            <w:vAlign w:val="bottom"/>
            <w:hideMark/>
          </w:tcPr>
          <w:p w:rsidRPr="005F055E" w:rsidR="00630335" w:rsidP="00180EEB" w:rsidRDefault="00630335" w14:paraId="78E515C7" w14:textId="77777777">
            <w:pPr>
              <w:suppressAutoHyphens/>
              <w:rPr>
                <w:rFonts w:cs="Calibri"/>
                <w:color w:val="000000"/>
                <w:sz w:val="16"/>
                <w:szCs w:val="16"/>
                <w:lang w:eastAsia="nl-NL"/>
              </w:rPr>
            </w:pPr>
            <w:r w:rsidRPr="005F055E">
              <w:rPr>
                <w:rFonts w:cs="Calibri"/>
                <w:color w:val="000000"/>
                <w:sz w:val="16"/>
                <w:szCs w:val="16"/>
                <w:lang w:eastAsia="nl-NL"/>
              </w:rPr>
              <w:t>132%</w:t>
            </w:r>
          </w:p>
        </w:tc>
        <w:tc>
          <w:tcPr>
            <w:tcW w:w="656" w:type="dxa"/>
            <w:shd w:val="clear" w:color="auto" w:fill="auto"/>
            <w:noWrap/>
            <w:vAlign w:val="bottom"/>
            <w:hideMark/>
          </w:tcPr>
          <w:p w:rsidRPr="005F055E" w:rsidR="00630335" w:rsidP="00180EEB" w:rsidRDefault="00630335" w14:paraId="078163FD" w14:textId="77777777">
            <w:pPr>
              <w:suppressAutoHyphens/>
              <w:rPr>
                <w:rFonts w:cs="Calibri"/>
                <w:color w:val="000000"/>
                <w:sz w:val="16"/>
                <w:szCs w:val="16"/>
                <w:lang w:eastAsia="nl-NL"/>
              </w:rPr>
            </w:pPr>
            <w:r w:rsidRPr="005F055E">
              <w:rPr>
                <w:rFonts w:cs="Calibri"/>
                <w:color w:val="000000"/>
                <w:sz w:val="16"/>
                <w:szCs w:val="16"/>
                <w:lang w:eastAsia="nl-NL"/>
              </w:rPr>
              <w:t>142%</w:t>
            </w:r>
          </w:p>
        </w:tc>
        <w:tc>
          <w:tcPr>
            <w:tcW w:w="803" w:type="dxa"/>
            <w:shd w:val="clear" w:color="auto" w:fill="auto"/>
            <w:noWrap/>
            <w:vAlign w:val="bottom"/>
            <w:hideMark/>
          </w:tcPr>
          <w:p w:rsidRPr="005F055E" w:rsidR="00630335" w:rsidP="00180EEB" w:rsidRDefault="00630335" w14:paraId="09E59B95" w14:textId="77777777">
            <w:pPr>
              <w:suppressAutoHyphens/>
              <w:rPr>
                <w:rFonts w:cs="Calibri"/>
                <w:color w:val="000000"/>
                <w:sz w:val="16"/>
                <w:szCs w:val="16"/>
                <w:lang w:eastAsia="nl-NL"/>
              </w:rPr>
            </w:pPr>
            <w:r w:rsidRPr="005F055E">
              <w:rPr>
                <w:rFonts w:cs="Calibri"/>
                <w:color w:val="000000"/>
                <w:sz w:val="16"/>
                <w:szCs w:val="16"/>
                <w:lang w:eastAsia="nl-NL"/>
              </w:rPr>
              <w:t>146%</w:t>
            </w:r>
          </w:p>
        </w:tc>
        <w:tc>
          <w:tcPr>
            <w:tcW w:w="632" w:type="dxa"/>
            <w:shd w:val="clear" w:color="auto" w:fill="auto"/>
            <w:noWrap/>
            <w:vAlign w:val="bottom"/>
            <w:hideMark/>
          </w:tcPr>
          <w:p w:rsidRPr="005F055E" w:rsidR="00630335" w:rsidP="00180EEB" w:rsidRDefault="00630335" w14:paraId="488E5F39" w14:textId="77777777">
            <w:pPr>
              <w:suppressAutoHyphens/>
              <w:rPr>
                <w:rFonts w:cs="Calibri"/>
                <w:color w:val="000000"/>
                <w:sz w:val="16"/>
                <w:szCs w:val="16"/>
                <w:lang w:eastAsia="nl-NL"/>
              </w:rPr>
            </w:pPr>
            <w:r w:rsidRPr="005F055E">
              <w:rPr>
                <w:rFonts w:cs="Calibri"/>
                <w:color w:val="000000"/>
                <w:sz w:val="16"/>
                <w:szCs w:val="16"/>
                <w:lang w:eastAsia="nl-NL"/>
              </w:rPr>
              <w:t>136%</w:t>
            </w:r>
          </w:p>
        </w:tc>
        <w:tc>
          <w:tcPr>
            <w:tcW w:w="632" w:type="dxa"/>
            <w:shd w:val="clear" w:color="auto" w:fill="auto"/>
            <w:noWrap/>
            <w:vAlign w:val="bottom"/>
            <w:hideMark/>
          </w:tcPr>
          <w:p w:rsidRPr="005F055E" w:rsidR="00630335" w:rsidP="00180EEB" w:rsidRDefault="00630335" w14:paraId="18E7DB1C" w14:textId="77777777">
            <w:pPr>
              <w:suppressAutoHyphens/>
              <w:rPr>
                <w:rFonts w:cs="Calibri"/>
                <w:color w:val="000000"/>
                <w:sz w:val="16"/>
                <w:szCs w:val="16"/>
                <w:lang w:eastAsia="nl-NL"/>
              </w:rPr>
            </w:pPr>
            <w:r w:rsidRPr="005F055E">
              <w:rPr>
                <w:rFonts w:cs="Calibri"/>
                <w:color w:val="000000"/>
                <w:sz w:val="16"/>
                <w:szCs w:val="16"/>
                <w:lang w:eastAsia="nl-NL"/>
              </w:rPr>
              <w:t>158%</w:t>
            </w:r>
          </w:p>
        </w:tc>
        <w:tc>
          <w:tcPr>
            <w:tcW w:w="871" w:type="dxa"/>
            <w:shd w:val="clear" w:color="auto" w:fill="auto"/>
            <w:noWrap/>
            <w:vAlign w:val="bottom"/>
            <w:hideMark/>
          </w:tcPr>
          <w:p w:rsidRPr="005F055E" w:rsidR="00630335" w:rsidP="00180EEB" w:rsidRDefault="00630335" w14:paraId="11CD8D01" w14:textId="77777777">
            <w:pPr>
              <w:suppressAutoHyphens/>
              <w:rPr>
                <w:rFonts w:cs="Calibri"/>
                <w:color w:val="000000"/>
                <w:sz w:val="16"/>
                <w:szCs w:val="16"/>
                <w:lang w:eastAsia="nl-NL"/>
              </w:rPr>
            </w:pPr>
            <w:r w:rsidRPr="005F055E">
              <w:rPr>
                <w:rFonts w:cs="Calibri"/>
                <w:color w:val="000000"/>
                <w:sz w:val="16"/>
                <w:szCs w:val="16"/>
                <w:lang w:eastAsia="nl-NL"/>
              </w:rPr>
              <w:t>138%</w:t>
            </w:r>
          </w:p>
        </w:tc>
        <w:tc>
          <w:tcPr>
            <w:tcW w:w="707" w:type="dxa"/>
            <w:vAlign w:val="bottom"/>
          </w:tcPr>
          <w:p w:rsidRPr="005F055E" w:rsidR="00630335" w:rsidP="00180EEB" w:rsidRDefault="00630335" w14:paraId="15A70BF3" w14:textId="77777777">
            <w:pPr>
              <w:suppressAutoHyphens/>
              <w:rPr>
                <w:rFonts w:cs="Calibri"/>
                <w:color w:val="000000"/>
                <w:sz w:val="16"/>
                <w:szCs w:val="16"/>
                <w:lang w:eastAsia="nl-NL"/>
              </w:rPr>
            </w:pPr>
            <w:r w:rsidRPr="005F055E">
              <w:rPr>
                <w:rFonts w:cs="Calibri"/>
                <w:color w:val="000000"/>
                <w:sz w:val="16"/>
                <w:szCs w:val="16"/>
                <w:lang w:eastAsia="nl-NL"/>
              </w:rPr>
              <w:t>142%</w:t>
            </w:r>
          </w:p>
        </w:tc>
      </w:tr>
      <w:tr w:rsidRPr="005F055E" w:rsidR="00630335" w:rsidTr="00630335" w14:paraId="3A306BEC" w14:textId="77777777">
        <w:trPr>
          <w:trHeight w:val="300"/>
        </w:trPr>
        <w:tc>
          <w:tcPr>
            <w:tcW w:w="1193" w:type="dxa"/>
            <w:shd w:val="clear" w:color="auto" w:fill="auto"/>
            <w:noWrap/>
            <w:vAlign w:val="bottom"/>
            <w:hideMark/>
          </w:tcPr>
          <w:p w:rsidRPr="005F055E" w:rsidR="00630335" w:rsidP="00180EEB" w:rsidRDefault="00630335" w14:paraId="4F0604BE" w14:textId="77777777">
            <w:pPr>
              <w:suppressAutoHyphens/>
              <w:rPr>
                <w:rFonts w:cs="Calibri"/>
                <w:color w:val="000000"/>
                <w:sz w:val="16"/>
                <w:szCs w:val="16"/>
                <w:lang w:eastAsia="nl-NL"/>
              </w:rPr>
            </w:pPr>
            <w:r w:rsidRPr="005F055E">
              <w:rPr>
                <w:rFonts w:cs="Calibri"/>
                <w:color w:val="000000"/>
                <w:sz w:val="16"/>
                <w:szCs w:val="16"/>
                <w:lang w:eastAsia="nl-NL"/>
              </w:rPr>
              <w:t>2022</w:t>
            </w:r>
          </w:p>
        </w:tc>
        <w:tc>
          <w:tcPr>
            <w:tcW w:w="633" w:type="dxa"/>
            <w:shd w:val="clear" w:color="auto" w:fill="auto"/>
            <w:noWrap/>
            <w:vAlign w:val="bottom"/>
            <w:hideMark/>
          </w:tcPr>
          <w:p w:rsidRPr="005F055E" w:rsidR="00630335" w:rsidP="00180EEB" w:rsidRDefault="00630335" w14:paraId="34F0BF25" w14:textId="77777777">
            <w:pPr>
              <w:suppressAutoHyphens/>
              <w:rPr>
                <w:rFonts w:cs="Calibri"/>
                <w:color w:val="000000"/>
                <w:sz w:val="16"/>
                <w:szCs w:val="16"/>
                <w:lang w:eastAsia="nl-NL"/>
              </w:rPr>
            </w:pPr>
            <w:r w:rsidRPr="005F055E">
              <w:rPr>
                <w:rFonts w:cs="Calibri"/>
                <w:color w:val="000000"/>
                <w:sz w:val="16"/>
                <w:szCs w:val="16"/>
                <w:lang w:eastAsia="nl-NL"/>
              </w:rPr>
              <w:t>124%</w:t>
            </w:r>
          </w:p>
        </w:tc>
        <w:tc>
          <w:tcPr>
            <w:tcW w:w="633" w:type="dxa"/>
            <w:shd w:val="clear" w:color="auto" w:fill="auto"/>
            <w:noWrap/>
            <w:vAlign w:val="bottom"/>
            <w:hideMark/>
          </w:tcPr>
          <w:p w:rsidRPr="005F055E" w:rsidR="00630335" w:rsidP="00180EEB" w:rsidRDefault="00630335" w14:paraId="12E1CB48" w14:textId="77777777">
            <w:pPr>
              <w:suppressAutoHyphens/>
              <w:rPr>
                <w:rFonts w:cs="Calibri"/>
                <w:color w:val="000000"/>
                <w:sz w:val="16"/>
                <w:szCs w:val="16"/>
                <w:lang w:eastAsia="nl-NL"/>
              </w:rPr>
            </w:pPr>
            <w:r w:rsidRPr="005F055E">
              <w:rPr>
                <w:rFonts w:cs="Calibri"/>
                <w:color w:val="000000"/>
                <w:sz w:val="16"/>
                <w:szCs w:val="16"/>
                <w:lang w:eastAsia="nl-NL"/>
              </w:rPr>
              <w:t>145%</w:t>
            </w:r>
          </w:p>
        </w:tc>
        <w:tc>
          <w:tcPr>
            <w:tcW w:w="633" w:type="dxa"/>
            <w:shd w:val="clear" w:color="auto" w:fill="auto"/>
            <w:noWrap/>
            <w:vAlign w:val="bottom"/>
            <w:hideMark/>
          </w:tcPr>
          <w:p w:rsidRPr="005F055E" w:rsidR="00630335" w:rsidP="00180EEB" w:rsidRDefault="00630335" w14:paraId="7B403EA7" w14:textId="77777777">
            <w:pPr>
              <w:suppressAutoHyphens/>
              <w:rPr>
                <w:rFonts w:cs="Calibri"/>
                <w:color w:val="000000"/>
                <w:sz w:val="16"/>
                <w:szCs w:val="16"/>
                <w:lang w:eastAsia="nl-NL"/>
              </w:rPr>
            </w:pPr>
            <w:r w:rsidRPr="005F055E">
              <w:rPr>
                <w:rFonts w:cs="Calibri"/>
                <w:color w:val="000000"/>
                <w:sz w:val="16"/>
                <w:szCs w:val="16"/>
                <w:lang w:eastAsia="nl-NL"/>
              </w:rPr>
              <w:t>128%</w:t>
            </w:r>
          </w:p>
        </w:tc>
        <w:tc>
          <w:tcPr>
            <w:tcW w:w="854" w:type="dxa"/>
            <w:shd w:val="clear" w:color="auto" w:fill="auto"/>
            <w:noWrap/>
            <w:vAlign w:val="bottom"/>
          </w:tcPr>
          <w:p w:rsidRPr="005F055E" w:rsidR="00630335" w:rsidP="00180EEB" w:rsidRDefault="00630335" w14:paraId="6AB08108" w14:textId="77777777">
            <w:pPr>
              <w:suppressAutoHyphens/>
              <w:rPr>
                <w:rFonts w:cs="Calibri"/>
                <w:color w:val="000000"/>
                <w:sz w:val="16"/>
                <w:szCs w:val="16"/>
                <w:lang w:eastAsia="nl-NL"/>
              </w:rPr>
            </w:pPr>
          </w:p>
        </w:tc>
        <w:tc>
          <w:tcPr>
            <w:tcW w:w="777" w:type="dxa"/>
            <w:shd w:val="clear" w:color="auto" w:fill="auto"/>
            <w:noWrap/>
            <w:vAlign w:val="bottom"/>
            <w:hideMark/>
          </w:tcPr>
          <w:p w:rsidRPr="005F055E" w:rsidR="00630335" w:rsidP="00180EEB" w:rsidRDefault="00630335" w14:paraId="1052ED32" w14:textId="77777777">
            <w:pPr>
              <w:suppressAutoHyphens/>
              <w:rPr>
                <w:rFonts w:cs="Calibri"/>
                <w:color w:val="000000"/>
                <w:sz w:val="16"/>
                <w:szCs w:val="16"/>
                <w:lang w:eastAsia="nl-NL"/>
              </w:rPr>
            </w:pPr>
            <w:r w:rsidRPr="005F055E">
              <w:rPr>
                <w:rFonts w:cs="Calibri"/>
                <w:color w:val="000000"/>
                <w:sz w:val="16"/>
                <w:szCs w:val="16"/>
                <w:lang w:eastAsia="nl-NL"/>
              </w:rPr>
              <w:t>128%</w:t>
            </w:r>
          </w:p>
        </w:tc>
        <w:tc>
          <w:tcPr>
            <w:tcW w:w="656" w:type="dxa"/>
            <w:shd w:val="clear" w:color="auto" w:fill="auto"/>
            <w:noWrap/>
            <w:vAlign w:val="bottom"/>
            <w:hideMark/>
          </w:tcPr>
          <w:p w:rsidRPr="005F055E" w:rsidR="00630335" w:rsidP="00180EEB" w:rsidRDefault="00630335" w14:paraId="5862501C" w14:textId="77777777">
            <w:pPr>
              <w:suppressAutoHyphens/>
              <w:rPr>
                <w:rFonts w:cs="Calibri"/>
                <w:color w:val="000000"/>
                <w:sz w:val="16"/>
                <w:szCs w:val="16"/>
                <w:lang w:eastAsia="nl-NL"/>
              </w:rPr>
            </w:pPr>
            <w:r w:rsidRPr="005F055E">
              <w:rPr>
                <w:rFonts w:cs="Calibri"/>
                <w:color w:val="000000"/>
                <w:sz w:val="16"/>
                <w:szCs w:val="16"/>
                <w:lang w:eastAsia="nl-NL"/>
              </w:rPr>
              <w:t>128%</w:t>
            </w:r>
          </w:p>
        </w:tc>
        <w:tc>
          <w:tcPr>
            <w:tcW w:w="803" w:type="dxa"/>
            <w:shd w:val="clear" w:color="auto" w:fill="auto"/>
            <w:noWrap/>
            <w:vAlign w:val="bottom"/>
            <w:hideMark/>
          </w:tcPr>
          <w:p w:rsidRPr="005F055E" w:rsidR="00630335" w:rsidP="00180EEB" w:rsidRDefault="00630335" w14:paraId="4EA81DCF" w14:textId="77777777">
            <w:pPr>
              <w:suppressAutoHyphens/>
              <w:rPr>
                <w:rFonts w:cs="Calibri"/>
                <w:color w:val="000000"/>
                <w:sz w:val="16"/>
                <w:szCs w:val="16"/>
                <w:lang w:eastAsia="nl-NL"/>
              </w:rPr>
            </w:pPr>
            <w:r w:rsidRPr="005F055E">
              <w:rPr>
                <w:rFonts w:cs="Calibri"/>
                <w:color w:val="000000"/>
                <w:sz w:val="16"/>
                <w:szCs w:val="16"/>
                <w:lang w:eastAsia="nl-NL"/>
              </w:rPr>
              <w:t>131%</w:t>
            </w:r>
          </w:p>
        </w:tc>
        <w:tc>
          <w:tcPr>
            <w:tcW w:w="632" w:type="dxa"/>
            <w:shd w:val="clear" w:color="auto" w:fill="auto"/>
            <w:noWrap/>
            <w:vAlign w:val="bottom"/>
            <w:hideMark/>
          </w:tcPr>
          <w:p w:rsidRPr="005F055E" w:rsidR="00630335" w:rsidP="00180EEB" w:rsidRDefault="00630335" w14:paraId="228C6DA9" w14:textId="77777777">
            <w:pPr>
              <w:suppressAutoHyphens/>
              <w:rPr>
                <w:rFonts w:cs="Calibri"/>
                <w:color w:val="000000"/>
                <w:sz w:val="16"/>
                <w:szCs w:val="16"/>
                <w:lang w:eastAsia="nl-NL"/>
              </w:rPr>
            </w:pPr>
            <w:r w:rsidRPr="005F055E">
              <w:rPr>
                <w:rFonts w:cs="Calibri"/>
                <w:color w:val="000000"/>
                <w:sz w:val="16"/>
                <w:szCs w:val="16"/>
                <w:lang w:eastAsia="nl-NL"/>
              </w:rPr>
              <w:t>129%</w:t>
            </w:r>
          </w:p>
        </w:tc>
        <w:tc>
          <w:tcPr>
            <w:tcW w:w="632" w:type="dxa"/>
            <w:shd w:val="clear" w:color="auto" w:fill="auto"/>
            <w:noWrap/>
            <w:vAlign w:val="bottom"/>
            <w:hideMark/>
          </w:tcPr>
          <w:p w:rsidRPr="005F055E" w:rsidR="00630335" w:rsidP="00180EEB" w:rsidRDefault="00630335" w14:paraId="0057AF9C" w14:textId="77777777">
            <w:pPr>
              <w:suppressAutoHyphens/>
              <w:rPr>
                <w:rFonts w:cs="Calibri"/>
                <w:color w:val="000000"/>
                <w:sz w:val="16"/>
                <w:szCs w:val="16"/>
                <w:lang w:eastAsia="nl-NL"/>
              </w:rPr>
            </w:pPr>
            <w:r w:rsidRPr="005F055E">
              <w:rPr>
                <w:rFonts w:cs="Calibri"/>
                <w:color w:val="000000"/>
                <w:sz w:val="16"/>
                <w:szCs w:val="16"/>
                <w:lang w:eastAsia="nl-NL"/>
              </w:rPr>
              <w:t>151%</w:t>
            </w:r>
          </w:p>
        </w:tc>
        <w:tc>
          <w:tcPr>
            <w:tcW w:w="871" w:type="dxa"/>
            <w:shd w:val="clear" w:color="auto" w:fill="auto"/>
            <w:noWrap/>
            <w:vAlign w:val="bottom"/>
            <w:hideMark/>
          </w:tcPr>
          <w:p w:rsidRPr="005F055E" w:rsidR="00630335" w:rsidP="00180EEB" w:rsidRDefault="00630335" w14:paraId="3EF8A487" w14:textId="77777777">
            <w:pPr>
              <w:suppressAutoHyphens/>
              <w:rPr>
                <w:rFonts w:cs="Calibri"/>
                <w:color w:val="000000"/>
                <w:sz w:val="16"/>
                <w:szCs w:val="16"/>
                <w:lang w:eastAsia="nl-NL"/>
              </w:rPr>
            </w:pPr>
            <w:r w:rsidRPr="005F055E">
              <w:rPr>
                <w:rFonts w:cs="Calibri"/>
                <w:color w:val="000000"/>
                <w:sz w:val="16"/>
                <w:szCs w:val="16"/>
                <w:lang w:eastAsia="nl-NL"/>
              </w:rPr>
              <w:t>147%</w:t>
            </w:r>
          </w:p>
        </w:tc>
        <w:tc>
          <w:tcPr>
            <w:tcW w:w="707" w:type="dxa"/>
            <w:vAlign w:val="bottom"/>
          </w:tcPr>
          <w:p w:rsidRPr="005F055E" w:rsidR="00630335" w:rsidP="00180EEB" w:rsidRDefault="00630335" w14:paraId="63CC9301" w14:textId="77777777">
            <w:pPr>
              <w:suppressAutoHyphens/>
              <w:rPr>
                <w:rFonts w:cs="Calibri"/>
                <w:color w:val="000000"/>
                <w:sz w:val="16"/>
                <w:szCs w:val="16"/>
                <w:lang w:eastAsia="nl-NL"/>
              </w:rPr>
            </w:pPr>
            <w:r w:rsidRPr="005F055E">
              <w:rPr>
                <w:rFonts w:cs="Calibri"/>
                <w:color w:val="000000"/>
                <w:sz w:val="16"/>
                <w:szCs w:val="16"/>
                <w:lang w:eastAsia="nl-NL"/>
              </w:rPr>
              <w:t>138%</w:t>
            </w:r>
          </w:p>
        </w:tc>
      </w:tr>
      <w:tr w:rsidRPr="005F055E" w:rsidR="00630335" w:rsidTr="00630335" w14:paraId="340C99CE" w14:textId="77777777">
        <w:trPr>
          <w:trHeight w:val="300"/>
        </w:trPr>
        <w:tc>
          <w:tcPr>
            <w:tcW w:w="1193" w:type="dxa"/>
            <w:shd w:val="clear" w:color="auto" w:fill="auto"/>
            <w:noWrap/>
            <w:vAlign w:val="bottom"/>
            <w:hideMark/>
          </w:tcPr>
          <w:p w:rsidRPr="005F055E" w:rsidR="00630335" w:rsidP="00180EEB" w:rsidRDefault="00630335" w14:paraId="6EA91F6A" w14:textId="77777777">
            <w:pPr>
              <w:suppressAutoHyphens/>
              <w:rPr>
                <w:rFonts w:cs="Calibri"/>
                <w:color w:val="000000"/>
                <w:sz w:val="16"/>
                <w:szCs w:val="16"/>
                <w:lang w:eastAsia="nl-NL"/>
              </w:rPr>
            </w:pPr>
            <w:r w:rsidRPr="005F055E">
              <w:rPr>
                <w:rFonts w:cs="Calibri"/>
                <w:color w:val="000000"/>
                <w:sz w:val="16"/>
                <w:szCs w:val="16"/>
                <w:lang w:eastAsia="nl-NL"/>
              </w:rPr>
              <w:t>2023</w:t>
            </w:r>
          </w:p>
        </w:tc>
        <w:tc>
          <w:tcPr>
            <w:tcW w:w="633" w:type="dxa"/>
            <w:shd w:val="clear" w:color="auto" w:fill="auto"/>
            <w:noWrap/>
            <w:vAlign w:val="bottom"/>
            <w:hideMark/>
          </w:tcPr>
          <w:p w:rsidRPr="005F055E" w:rsidR="00630335" w:rsidP="00180EEB" w:rsidRDefault="00630335" w14:paraId="692707D0" w14:textId="77777777">
            <w:pPr>
              <w:suppressAutoHyphens/>
              <w:rPr>
                <w:rFonts w:cs="Calibri"/>
                <w:color w:val="000000"/>
                <w:sz w:val="16"/>
                <w:szCs w:val="16"/>
                <w:lang w:eastAsia="nl-NL"/>
              </w:rPr>
            </w:pPr>
            <w:r w:rsidRPr="005F055E">
              <w:rPr>
                <w:rFonts w:cs="Calibri"/>
                <w:color w:val="000000"/>
                <w:sz w:val="16"/>
                <w:szCs w:val="16"/>
                <w:lang w:eastAsia="nl-NL"/>
              </w:rPr>
              <w:t>133%</w:t>
            </w:r>
          </w:p>
        </w:tc>
        <w:tc>
          <w:tcPr>
            <w:tcW w:w="633" w:type="dxa"/>
            <w:shd w:val="clear" w:color="auto" w:fill="auto"/>
            <w:noWrap/>
            <w:vAlign w:val="bottom"/>
            <w:hideMark/>
          </w:tcPr>
          <w:p w:rsidRPr="005F055E" w:rsidR="00630335" w:rsidP="00180EEB" w:rsidRDefault="00630335" w14:paraId="19639C65" w14:textId="77777777">
            <w:pPr>
              <w:suppressAutoHyphens/>
              <w:rPr>
                <w:rFonts w:cs="Calibri"/>
                <w:color w:val="000000"/>
                <w:sz w:val="16"/>
                <w:szCs w:val="16"/>
                <w:lang w:eastAsia="nl-NL"/>
              </w:rPr>
            </w:pPr>
            <w:r w:rsidRPr="005F055E">
              <w:rPr>
                <w:rFonts w:cs="Calibri"/>
                <w:color w:val="000000"/>
                <w:sz w:val="16"/>
                <w:szCs w:val="16"/>
                <w:lang w:eastAsia="nl-NL"/>
              </w:rPr>
              <w:t>142%</w:t>
            </w:r>
          </w:p>
        </w:tc>
        <w:tc>
          <w:tcPr>
            <w:tcW w:w="633" w:type="dxa"/>
            <w:shd w:val="clear" w:color="auto" w:fill="auto"/>
            <w:noWrap/>
            <w:vAlign w:val="bottom"/>
            <w:hideMark/>
          </w:tcPr>
          <w:p w:rsidRPr="005F055E" w:rsidR="00630335" w:rsidP="00180EEB" w:rsidRDefault="00630335" w14:paraId="1D737C66" w14:textId="77777777">
            <w:pPr>
              <w:suppressAutoHyphens/>
              <w:rPr>
                <w:rFonts w:cs="Calibri"/>
                <w:color w:val="000000"/>
                <w:sz w:val="16"/>
                <w:szCs w:val="16"/>
                <w:lang w:eastAsia="nl-NL"/>
              </w:rPr>
            </w:pPr>
            <w:r w:rsidRPr="005F055E">
              <w:rPr>
                <w:rFonts w:cs="Calibri"/>
                <w:color w:val="000000"/>
                <w:sz w:val="16"/>
                <w:szCs w:val="16"/>
                <w:lang w:eastAsia="nl-NL"/>
              </w:rPr>
              <w:t>131%</w:t>
            </w:r>
          </w:p>
        </w:tc>
        <w:tc>
          <w:tcPr>
            <w:tcW w:w="854" w:type="dxa"/>
            <w:shd w:val="clear" w:color="auto" w:fill="auto"/>
            <w:noWrap/>
            <w:vAlign w:val="bottom"/>
          </w:tcPr>
          <w:p w:rsidRPr="005F055E" w:rsidR="00630335" w:rsidP="00180EEB" w:rsidRDefault="00630335" w14:paraId="72782740" w14:textId="77777777">
            <w:pPr>
              <w:suppressAutoHyphens/>
              <w:rPr>
                <w:rFonts w:cs="Calibri"/>
                <w:color w:val="000000"/>
                <w:sz w:val="16"/>
                <w:szCs w:val="16"/>
                <w:lang w:eastAsia="nl-NL"/>
              </w:rPr>
            </w:pPr>
            <w:r w:rsidRPr="005F055E">
              <w:rPr>
                <w:rFonts w:cs="Calibri"/>
                <w:color w:val="000000"/>
                <w:sz w:val="16"/>
                <w:szCs w:val="16"/>
                <w:lang w:eastAsia="nl-NL"/>
              </w:rPr>
              <w:t>137%</w:t>
            </w:r>
          </w:p>
        </w:tc>
        <w:tc>
          <w:tcPr>
            <w:tcW w:w="777" w:type="dxa"/>
            <w:shd w:val="clear" w:color="auto" w:fill="auto"/>
            <w:noWrap/>
            <w:vAlign w:val="bottom"/>
            <w:hideMark/>
          </w:tcPr>
          <w:p w:rsidRPr="005F055E" w:rsidR="00630335" w:rsidP="00180EEB" w:rsidRDefault="00630335" w14:paraId="0686A60F" w14:textId="77777777">
            <w:pPr>
              <w:suppressAutoHyphens/>
              <w:rPr>
                <w:rFonts w:cs="Calibri"/>
                <w:color w:val="000000"/>
                <w:sz w:val="16"/>
                <w:szCs w:val="16"/>
                <w:lang w:eastAsia="nl-NL"/>
              </w:rPr>
            </w:pPr>
            <w:r w:rsidRPr="005F055E">
              <w:rPr>
                <w:rFonts w:cs="Calibri"/>
                <w:color w:val="000000"/>
                <w:sz w:val="16"/>
                <w:szCs w:val="16"/>
                <w:lang w:eastAsia="nl-NL"/>
              </w:rPr>
              <w:t>146%</w:t>
            </w:r>
          </w:p>
        </w:tc>
        <w:tc>
          <w:tcPr>
            <w:tcW w:w="656" w:type="dxa"/>
            <w:shd w:val="clear" w:color="auto" w:fill="auto"/>
            <w:noWrap/>
            <w:vAlign w:val="bottom"/>
            <w:hideMark/>
          </w:tcPr>
          <w:p w:rsidRPr="005F055E" w:rsidR="00630335" w:rsidP="00180EEB" w:rsidRDefault="00630335" w14:paraId="769D3ED3" w14:textId="77777777">
            <w:pPr>
              <w:suppressAutoHyphens/>
              <w:rPr>
                <w:rFonts w:cs="Calibri"/>
                <w:color w:val="000000"/>
                <w:sz w:val="16"/>
                <w:szCs w:val="16"/>
                <w:lang w:eastAsia="nl-NL"/>
              </w:rPr>
            </w:pPr>
            <w:r w:rsidRPr="005F055E">
              <w:rPr>
                <w:rFonts w:cs="Calibri"/>
                <w:color w:val="000000"/>
                <w:sz w:val="16"/>
                <w:szCs w:val="16"/>
                <w:lang w:eastAsia="nl-NL"/>
              </w:rPr>
              <w:t>127%</w:t>
            </w:r>
          </w:p>
        </w:tc>
        <w:tc>
          <w:tcPr>
            <w:tcW w:w="803" w:type="dxa"/>
            <w:shd w:val="clear" w:color="auto" w:fill="auto"/>
            <w:noWrap/>
            <w:vAlign w:val="bottom"/>
            <w:hideMark/>
          </w:tcPr>
          <w:p w:rsidRPr="005F055E" w:rsidR="00630335" w:rsidP="00180EEB" w:rsidRDefault="00630335" w14:paraId="09801965" w14:textId="77777777">
            <w:pPr>
              <w:suppressAutoHyphens/>
              <w:rPr>
                <w:rFonts w:cs="Calibri"/>
                <w:color w:val="000000"/>
                <w:sz w:val="16"/>
                <w:szCs w:val="16"/>
                <w:lang w:eastAsia="nl-NL"/>
              </w:rPr>
            </w:pPr>
            <w:r w:rsidRPr="005F055E">
              <w:rPr>
                <w:rFonts w:cs="Calibri"/>
                <w:color w:val="000000"/>
                <w:sz w:val="16"/>
                <w:szCs w:val="16"/>
                <w:lang w:eastAsia="nl-NL"/>
              </w:rPr>
              <w:t>140%</w:t>
            </w:r>
          </w:p>
        </w:tc>
        <w:tc>
          <w:tcPr>
            <w:tcW w:w="632" w:type="dxa"/>
            <w:shd w:val="clear" w:color="auto" w:fill="auto"/>
            <w:noWrap/>
            <w:vAlign w:val="bottom"/>
            <w:hideMark/>
          </w:tcPr>
          <w:p w:rsidRPr="005F055E" w:rsidR="00630335" w:rsidP="00180EEB" w:rsidRDefault="00630335" w14:paraId="125AEB2C" w14:textId="77777777">
            <w:pPr>
              <w:suppressAutoHyphens/>
              <w:rPr>
                <w:rFonts w:cs="Calibri"/>
                <w:color w:val="000000"/>
                <w:sz w:val="16"/>
                <w:szCs w:val="16"/>
                <w:lang w:eastAsia="nl-NL"/>
              </w:rPr>
            </w:pPr>
            <w:r w:rsidRPr="005F055E">
              <w:rPr>
                <w:rFonts w:cs="Calibri"/>
                <w:color w:val="000000"/>
                <w:sz w:val="16"/>
                <w:szCs w:val="16"/>
                <w:lang w:eastAsia="nl-NL"/>
              </w:rPr>
              <w:t>142%</w:t>
            </w:r>
          </w:p>
        </w:tc>
        <w:tc>
          <w:tcPr>
            <w:tcW w:w="632" w:type="dxa"/>
            <w:shd w:val="clear" w:color="auto" w:fill="auto"/>
            <w:noWrap/>
            <w:vAlign w:val="bottom"/>
            <w:hideMark/>
          </w:tcPr>
          <w:p w:rsidRPr="005F055E" w:rsidR="00630335" w:rsidP="00180EEB" w:rsidRDefault="00630335" w14:paraId="44FCA24B" w14:textId="77777777">
            <w:pPr>
              <w:suppressAutoHyphens/>
              <w:rPr>
                <w:rFonts w:cs="Calibri"/>
                <w:color w:val="000000"/>
                <w:sz w:val="16"/>
                <w:szCs w:val="16"/>
                <w:lang w:eastAsia="nl-NL"/>
              </w:rPr>
            </w:pPr>
            <w:r w:rsidRPr="005F055E">
              <w:rPr>
                <w:rFonts w:cs="Calibri"/>
                <w:color w:val="000000"/>
                <w:sz w:val="16"/>
                <w:szCs w:val="16"/>
                <w:lang w:eastAsia="nl-NL"/>
              </w:rPr>
              <w:t>161%</w:t>
            </w:r>
          </w:p>
        </w:tc>
        <w:tc>
          <w:tcPr>
            <w:tcW w:w="871" w:type="dxa"/>
            <w:shd w:val="clear" w:color="auto" w:fill="auto"/>
            <w:noWrap/>
            <w:vAlign w:val="bottom"/>
            <w:hideMark/>
          </w:tcPr>
          <w:p w:rsidRPr="005F055E" w:rsidR="00630335" w:rsidP="00180EEB" w:rsidRDefault="00630335" w14:paraId="2AEAF0A3" w14:textId="77777777">
            <w:pPr>
              <w:suppressAutoHyphens/>
              <w:rPr>
                <w:rFonts w:cs="Calibri"/>
                <w:color w:val="000000"/>
                <w:sz w:val="16"/>
                <w:szCs w:val="16"/>
                <w:lang w:eastAsia="nl-NL"/>
              </w:rPr>
            </w:pPr>
            <w:r w:rsidRPr="005F055E">
              <w:rPr>
                <w:rFonts w:cs="Calibri"/>
                <w:color w:val="000000"/>
                <w:sz w:val="16"/>
                <w:szCs w:val="16"/>
                <w:lang w:eastAsia="nl-NL"/>
              </w:rPr>
              <w:t>142%</w:t>
            </w:r>
          </w:p>
        </w:tc>
        <w:tc>
          <w:tcPr>
            <w:tcW w:w="707" w:type="dxa"/>
            <w:vAlign w:val="bottom"/>
          </w:tcPr>
          <w:p w:rsidRPr="005F055E" w:rsidR="00630335" w:rsidP="00180EEB" w:rsidRDefault="00630335" w14:paraId="121E6B71" w14:textId="77777777">
            <w:pPr>
              <w:suppressAutoHyphens/>
              <w:rPr>
                <w:rFonts w:cs="Calibri"/>
                <w:color w:val="000000"/>
                <w:sz w:val="16"/>
                <w:szCs w:val="16"/>
                <w:lang w:eastAsia="nl-NL"/>
              </w:rPr>
            </w:pPr>
            <w:r w:rsidRPr="005F055E">
              <w:rPr>
                <w:rFonts w:cs="Calibri"/>
                <w:color w:val="000000"/>
                <w:sz w:val="16"/>
                <w:szCs w:val="16"/>
                <w:lang w:eastAsia="nl-NL"/>
              </w:rPr>
              <w:t>142%</w:t>
            </w:r>
          </w:p>
        </w:tc>
      </w:tr>
      <w:tr w:rsidRPr="005F055E" w:rsidR="00630335" w:rsidTr="00630335" w14:paraId="62189B77" w14:textId="77777777">
        <w:trPr>
          <w:trHeight w:val="300"/>
        </w:trPr>
        <w:tc>
          <w:tcPr>
            <w:tcW w:w="1193" w:type="dxa"/>
            <w:tcBorders>
              <w:bottom w:val="single" w:color="auto" w:sz="4" w:space="0"/>
            </w:tcBorders>
            <w:shd w:val="clear" w:color="auto" w:fill="auto"/>
            <w:noWrap/>
            <w:vAlign w:val="bottom"/>
            <w:hideMark/>
          </w:tcPr>
          <w:p w:rsidRPr="005F055E" w:rsidR="00630335" w:rsidP="00180EEB" w:rsidRDefault="00630335" w14:paraId="62753FD0" w14:textId="77777777">
            <w:pPr>
              <w:suppressAutoHyphens/>
              <w:rPr>
                <w:rFonts w:cs="Calibri"/>
                <w:color w:val="000000"/>
                <w:sz w:val="16"/>
                <w:szCs w:val="16"/>
                <w:lang w:eastAsia="nl-NL"/>
              </w:rPr>
            </w:pPr>
            <w:r w:rsidRPr="005F055E">
              <w:rPr>
                <w:rFonts w:cs="Calibri"/>
                <w:color w:val="000000"/>
                <w:sz w:val="16"/>
                <w:szCs w:val="16"/>
                <w:lang w:eastAsia="nl-NL"/>
              </w:rPr>
              <w:t>2024</w:t>
            </w:r>
          </w:p>
        </w:tc>
        <w:tc>
          <w:tcPr>
            <w:tcW w:w="633" w:type="dxa"/>
            <w:tcBorders>
              <w:bottom w:val="single" w:color="auto" w:sz="4" w:space="0"/>
            </w:tcBorders>
            <w:shd w:val="clear" w:color="auto" w:fill="auto"/>
            <w:noWrap/>
            <w:vAlign w:val="bottom"/>
            <w:hideMark/>
          </w:tcPr>
          <w:p w:rsidRPr="005F055E" w:rsidR="00630335" w:rsidP="00180EEB" w:rsidRDefault="00630335" w14:paraId="471DEF72" w14:textId="77777777">
            <w:pPr>
              <w:suppressAutoHyphens/>
              <w:rPr>
                <w:rFonts w:cs="Calibri"/>
                <w:color w:val="000000"/>
                <w:sz w:val="16"/>
                <w:szCs w:val="16"/>
                <w:lang w:eastAsia="nl-NL"/>
              </w:rPr>
            </w:pPr>
            <w:r w:rsidRPr="005F055E">
              <w:rPr>
                <w:rFonts w:cs="Calibri"/>
                <w:color w:val="000000"/>
                <w:sz w:val="16"/>
                <w:szCs w:val="16"/>
                <w:lang w:eastAsia="nl-NL"/>
              </w:rPr>
              <w:t>139%</w:t>
            </w:r>
          </w:p>
        </w:tc>
        <w:tc>
          <w:tcPr>
            <w:tcW w:w="633" w:type="dxa"/>
            <w:tcBorders>
              <w:bottom w:val="single" w:color="auto" w:sz="4" w:space="0"/>
            </w:tcBorders>
            <w:shd w:val="clear" w:color="auto" w:fill="auto"/>
            <w:noWrap/>
            <w:vAlign w:val="bottom"/>
            <w:hideMark/>
          </w:tcPr>
          <w:p w:rsidRPr="005F055E" w:rsidR="00630335" w:rsidP="00180EEB" w:rsidRDefault="00630335" w14:paraId="6277BCEE" w14:textId="77777777">
            <w:pPr>
              <w:suppressAutoHyphens/>
              <w:rPr>
                <w:rFonts w:cs="Calibri"/>
                <w:color w:val="000000"/>
                <w:sz w:val="16"/>
                <w:szCs w:val="16"/>
                <w:lang w:eastAsia="nl-NL"/>
              </w:rPr>
            </w:pPr>
            <w:r w:rsidRPr="005F055E">
              <w:rPr>
                <w:rFonts w:cs="Calibri"/>
                <w:color w:val="000000"/>
                <w:sz w:val="16"/>
                <w:szCs w:val="16"/>
                <w:lang w:eastAsia="nl-NL"/>
              </w:rPr>
              <w:t>141%</w:t>
            </w:r>
          </w:p>
        </w:tc>
        <w:tc>
          <w:tcPr>
            <w:tcW w:w="633" w:type="dxa"/>
            <w:tcBorders>
              <w:bottom w:val="single" w:color="auto" w:sz="4" w:space="0"/>
            </w:tcBorders>
            <w:shd w:val="clear" w:color="auto" w:fill="auto"/>
            <w:noWrap/>
            <w:vAlign w:val="bottom"/>
            <w:hideMark/>
          </w:tcPr>
          <w:p w:rsidRPr="005F055E" w:rsidR="00630335" w:rsidP="00180EEB" w:rsidRDefault="00630335" w14:paraId="2697F278" w14:textId="77777777">
            <w:pPr>
              <w:suppressAutoHyphens/>
              <w:rPr>
                <w:rFonts w:cs="Calibri"/>
                <w:color w:val="000000"/>
                <w:sz w:val="16"/>
                <w:szCs w:val="16"/>
                <w:lang w:eastAsia="nl-NL"/>
              </w:rPr>
            </w:pPr>
            <w:r w:rsidRPr="005F055E">
              <w:rPr>
                <w:rFonts w:cs="Calibri"/>
                <w:color w:val="000000"/>
                <w:sz w:val="16"/>
                <w:szCs w:val="16"/>
                <w:lang w:eastAsia="nl-NL"/>
              </w:rPr>
              <w:t>137%</w:t>
            </w:r>
          </w:p>
        </w:tc>
        <w:tc>
          <w:tcPr>
            <w:tcW w:w="854" w:type="dxa"/>
            <w:tcBorders>
              <w:bottom w:val="single" w:color="auto" w:sz="4" w:space="0"/>
            </w:tcBorders>
            <w:shd w:val="clear" w:color="auto" w:fill="auto"/>
            <w:noWrap/>
            <w:vAlign w:val="bottom"/>
            <w:hideMark/>
          </w:tcPr>
          <w:p w:rsidRPr="005F055E" w:rsidR="00630335" w:rsidP="00180EEB" w:rsidRDefault="00630335" w14:paraId="2E3DB0AC" w14:textId="77777777">
            <w:pPr>
              <w:suppressAutoHyphens/>
              <w:rPr>
                <w:rFonts w:cs="Calibri"/>
                <w:color w:val="000000"/>
                <w:sz w:val="16"/>
                <w:szCs w:val="16"/>
                <w:lang w:eastAsia="nl-NL"/>
              </w:rPr>
            </w:pPr>
            <w:r w:rsidRPr="005F055E">
              <w:rPr>
                <w:rFonts w:cs="Calibri"/>
                <w:color w:val="000000"/>
                <w:sz w:val="16"/>
                <w:szCs w:val="16"/>
                <w:lang w:eastAsia="nl-NL"/>
              </w:rPr>
              <w:t>130%</w:t>
            </w:r>
          </w:p>
        </w:tc>
        <w:tc>
          <w:tcPr>
            <w:tcW w:w="777" w:type="dxa"/>
            <w:tcBorders>
              <w:bottom w:val="single" w:color="auto" w:sz="4" w:space="0"/>
            </w:tcBorders>
            <w:shd w:val="clear" w:color="auto" w:fill="auto"/>
            <w:noWrap/>
            <w:vAlign w:val="bottom"/>
            <w:hideMark/>
          </w:tcPr>
          <w:p w:rsidRPr="005F055E" w:rsidR="00630335" w:rsidP="00180EEB" w:rsidRDefault="00630335" w14:paraId="0FAF907A" w14:textId="77777777">
            <w:pPr>
              <w:suppressAutoHyphens/>
              <w:rPr>
                <w:rFonts w:cs="Calibri"/>
                <w:color w:val="000000"/>
                <w:sz w:val="16"/>
                <w:szCs w:val="16"/>
                <w:lang w:eastAsia="nl-NL"/>
              </w:rPr>
            </w:pPr>
            <w:r w:rsidRPr="005F055E">
              <w:rPr>
                <w:rFonts w:cs="Calibri"/>
                <w:color w:val="000000"/>
                <w:sz w:val="16"/>
                <w:szCs w:val="16"/>
                <w:lang w:eastAsia="nl-NL"/>
              </w:rPr>
              <w:t>140%</w:t>
            </w:r>
          </w:p>
        </w:tc>
        <w:tc>
          <w:tcPr>
            <w:tcW w:w="656" w:type="dxa"/>
            <w:tcBorders>
              <w:bottom w:val="single" w:color="auto" w:sz="4" w:space="0"/>
            </w:tcBorders>
            <w:shd w:val="clear" w:color="auto" w:fill="auto"/>
            <w:noWrap/>
            <w:vAlign w:val="bottom"/>
            <w:hideMark/>
          </w:tcPr>
          <w:p w:rsidRPr="005F055E" w:rsidR="00630335" w:rsidP="00180EEB" w:rsidRDefault="00630335" w14:paraId="5D465190" w14:textId="77777777">
            <w:pPr>
              <w:suppressAutoHyphens/>
              <w:rPr>
                <w:rFonts w:cs="Calibri"/>
                <w:color w:val="000000"/>
                <w:sz w:val="16"/>
                <w:szCs w:val="16"/>
                <w:lang w:eastAsia="nl-NL"/>
              </w:rPr>
            </w:pPr>
            <w:r w:rsidRPr="005F055E">
              <w:rPr>
                <w:rFonts w:cs="Calibri"/>
                <w:color w:val="000000"/>
                <w:sz w:val="16"/>
                <w:szCs w:val="16"/>
                <w:lang w:eastAsia="nl-NL"/>
              </w:rPr>
              <w:t>135%</w:t>
            </w:r>
          </w:p>
        </w:tc>
        <w:tc>
          <w:tcPr>
            <w:tcW w:w="803" w:type="dxa"/>
            <w:tcBorders>
              <w:bottom w:val="single" w:color="auto" w:sz="4" w:space="0"/>
            </w:tcBorders>
            <w:shd w:val="clear" w:color="auto" w:fill="auto"/>
            <w:noWrap/>
            <w:vAlign w:val="bottom"/>
            <w:hideMark/>
          </w:tcPr>
          <w:p w:rsidRPr="005F055E" w:rsidR="00630335" w:rsidP="00180EEB" w:rsidRDefault="00630335" w14:paraId="6DB3F8D2" w14:textId="77777777">
            <w:pPr>
              <w:suppressAutoHyphens/>
              <w:rPr>
                <w:rFonts w:cs="Calibri"/>
                <w:color w:val="000000"/>
                <w:sz w:val="16"/>
                <w:szCs w:val="16"/>
                <w:lang w:eastAsia="nl-NL"/>
              </w:rPr>
            </w:pPr>
            <w:r w:rsidRPr="005F055E">
              <w:rPr>
                <w:rFonts w:cs="Calibri"/>
                <w:color w:val="000000"/>
                <w:sz w:val="16"/>
                <w:szCs w:val="16"/>
                <w:lang w:eastAsia="nl-NL"/>
              </w:rPr>
              <w:t>135%</w:t>
            </w:r>
          </w:p>
        </w:tc>
        <w:tc>
          <w:tcPr>
            <w:tcW w:w="632" w:type="dxa"/>
            <w:tcBorders>
              <w:bottom w:val="single" w:color="auto" w:sz="4" w:space="0"/>
            </w:tcBorders>
            <w:shd w:val="clear" w:color="auto" w:fill="auto"/>
            <w:noWrap/>
            <w:vAlign w:val="bottom"/>
            <w:hideMark/>
          </w:tcPr>
          <w:p w:rsidRPr="005F055E" w:rsidR="00630335" w:rsidP="00180EEB" w:rsidRDefault="00630335" w14:paraId="2C5D85A1" w14:textId="77777777">
            <w:pPr>
              <w:suppressAutoHyphens/>
              <w:rPr>
                <w:rFonts w:cs="Calibri"/>
                <w:color w:val="000000"/>
                <w:sz w:val="16"/>
                <w:szCs w:val="16"/>
                <w:lang w:eastAsia="nl-NL"/>
              </w:rPr>
            </w:pPr>
            <w:r w:rsidRPr="005F055E">
              <w:rPr>
                <w:rFonts w:cs="Calibri"/>
                <w:color w:val="000000"/>
                <w:sz w:val="16"/>
                <w:szCs w:val="16"/>
                <w:lang w:eastAsia="nl-NL"/>
              </w:rPr>
              <w:t>139%</w:t>
            </w:r>
          </w:p>
        </w:tc>
        <w:tc>
          <w:tcPr>
            <w:tcW w:w="632" w:type="dxa"/>
            <w:tcBorders>
              <w:bottom w:val="single" w:color="auto" w:sz="4" w:space="0"/>
            </w:tcBorders>
            <w:shd w:val="clear" w:color="auto" w:fill="auto"/>
            <w:noWrap/>
            <w:vAlign w:val="bottom"/>
            <w:hideMark/>
          </w:tcPr>
          <w:p w:rsidRPr="005F055E" w:rsidR="00630335" w:rsidP="00180EEB" w:rsidRDefault="00630335" w14:paraId="1ADC365A" w14:textId="77777777">
            <w:pPr>
              <w:suppressAutoHyphens/>
              <w:rPr>
                <w:rFonts w:cs="Calibri"/>
                <w:color w:val="000000"/>
                <w:sz w:val="16"/>
                <w:szCs w:val="16"/>
                <w:lang w:eastAsia="nl-NL"/>
              </w:rPr>
            </w:pPr>
            <w:r w:rsidRPr="005F055E">
              <w:rPr>
                <w:rFonts w:cs="Calibri"/>
                <w:color w:val="000000"/>
                <w:sz w:val="16"/>
                <w:szCs w:val="16"/>
                <w:lang w:eastAsia="nl-NL"/>
              </w:rPr>
              <w:t>154%</w:t>
            </w:r>
          </w:p>
        </w:tc>
        <w:tc>
          <w:tcPr>
            <w:tcW w:w="871" w:type="dxa"/>
            <w:tcBorders>
              <w:bottom w:val="single" w:color="auto" w:sz="4" w:space="0"/>
            </w:tcBorders>
            <w:shd w:val="clear" w:color="auto" w:fill="auto"/>
            <w:noWrap/>
            <w:vAlign w:val="bottom"/>
            <w:hideMark/>
          </w:tcPr>
          <w:p w:rsidRPr="005F055E" w:rsidR="00630335" w:rsidP="00180EEB" w:rsidRDefault="00630335" w14:paraId="0D1DCB67" w14:textId="77777777">
            <w:pPr>
              <w:suppressAutoHyphens/>
              <w:rPr>
                <w:rFonts w:cs="Calibri"/>
                <w:color w:val="000000"/>
                <w:sz w:val="16"/>
                <w:szCs w:val="16"/>
                <w:lang w:eastAsia="nl-NL"/>
              </w:rPr>
            </w:pPr>
            <w:r w:rsidRPr="005F055E">
              <w:rPr>
                <w:rFonts w:cs="Calibri"/>
                <w:color w:val="000000"/>
                <w:sz w:val="16"/>
                <w:szCs w:val="16"/>
                <w:lang w:eastAsia="nl-NL"/>
              </w:rPr>
              <w:t>138%</w:t>
            </w:r>
          </w:p>
        </w:tc>
        <w:tc>
          <w:tcPr>
            <w:tcW w:w="707" w:type="dxa"/>
            <w:tcBorders>
              <w:bottom w:val="single" w:color="auto" w:sz="4" w:space="0"/>
            </w:tcBorders>
            <w:vAlign w:val="bottom"/>
          </w:tcPr>
          <w:p w:rsidRPr="005F055E" w:rsidR="00630335" w:rsidP="00180EEB" w:rsidRDefault="00630335" w14:paraId="4B10E471" w14:textId="77777777">
            <w:pPr>
              <w:suppressAutoHyphens/>
              <w:rPr>
                <w:rFonts w:cs="Calibri"/>
                <w:color w:val="000000"/>
                <w:sz w:val="16"/>
                <w:szCs w:val="16"/>
                <w:lang w:eastAsia="nl-NL"/>
              </w:rPr>
            </w:pPr>
            <w:r w:rsidRPr="005F055E">
              <w:rPr>
                <w:rFonts w:cs="Calibri"/>
                <w:color w:val="000000"/>
                <w:sz w:val="16"/>
                <w:szCs w:val="16"/>
                <w:lang w:eastAsia="nl-NL"/>
              </w:rPr>
              <w:t>139%</w:t>
            </w:r>
          </w:p>
        </w:tc>
      </w:tr>
      <w:tr w:rsidRPr="005F055E" w:rsidR="00630335" w:rsidTr="00630335" w14:paraId="725C3854" w14:textId="77777777">
        <w:trPr>
          <w:trHeight w:val="300"/>
        </w:trPr>
        <w:tc>
          <w:tcPr>
            <w:tcW w:w="1193" w:type="dxa"/>
            <w:shd w:val="clear" w:color="auto" w:fill="auto"/>
            <w:noWrap/>
            <w:vAlign w:val="bottom"/>
          </w:tcPr>
          <w:p w:rsidRPr="005F055E" w:rsidR="00630335" w:rsidP="00180EEB" w:rsidRDefault="00630335" w14:paraId="65110AF5" w14:textId="77777777">
            <w:pPr>
              <w:suppressAutoHyphens/>
              <w:rPr>
                <w:rFonts w:cs="Calibri"/>
                <w:color w:val="000000"/>
                <w:sz w:val="16"/>
                <w:szCs w:val="16"/>
                <w:lang w:eastAsia="nl-NL"/>
              </w:rPr>
            </w:pPr>
            <w:r w:rsidRPr="005F055E">
              <w:rPr>
                <w:rFonts w:cs="Calibri"/>
                <w:color w:val="000000"/>
                <w:sz w:val="16"/>
                <w:szCs w:val="16"/>
                <w:lang w:eastAsia="nl-NL"/>
              </w:rPr>
              <w:t xml:space="preserve">Aanwezige solvabiliteit 2024 (x € 1 </w:t>
            </w:r>
            <w:proofErr w:type="spellStart"/>
            <w:r w:rsidRPr="005F055E">
              <w:rPr>
                <w:rFonts w:cs="Calibri"/>
                <w:color w:val="000000"/>
                <w:sz w:val="16"/>
                <w:szCs w:val="16"/>
                <w:lang w:eastAsia="nl-NL"/>
              </w:rPr>
              <w:t>mln</w:t>
            </w:r>
            <w:proofErr w:type="spellEnd"/>
            <w:r w:rsidRPr="005F055E">
              <w:rPr>
                <w:rFonts w:cs="Calibri"/>
                <w:color w:val="000000"/>
                <w:sz w:val="16"/>
                <w:szCs w:val="16"/>
                <w:lang w:eastAsia="nl-NL"/>
              </w:rPr>
              <w:t>)</w:t>
            </w:r>
          </w:p>
        </w:tc>
        <w:tc>
          <w:tcPr>
            <w:tcW w:w="633" w:type="dxa"/>
            <w:shd w:val="clear" w:color="auto" w:fill="auto"/>
            <w:noWrap/>
            <w:vAlign w:val="center"/>
          </w:tcPr>
          <w:p w:rsidRPr="005F055E" w:rsidR="00630335" w:rsidP="00180EEB" w:rsidRDefault="00630335" w14:paraId="59DE33F7" w14:textId="77777777">
            <w:pPr>
              <w:suppressAutoHyphens/>
              <w:rPr>
                <w:rFonts w:cs="Calibri"/>
                <w:color w:val="000000"/>
                <w:sz w:val="16"/>
                <w:szCs w:val="16"/>
                <w:lang w:eastAsia="nl-NL"/>
              </w:rPr>
            </w:pPr>
            <w:r w:rsidRPr="005F055E">
              <w:rPr>
                <w:rFonts w:cs="Calibri"/>
                <w:color w:val="000000"/>
                <w:sz w:val="16"/>
                <w:szCs w:val="16"/>
                <w:lang w:eastAsia="nl-NL"/>
              </w:rPr>
              <w:t>244</w:t>
            </w:r>
          </w:p>
        </w:tc>
        <w:tc>
          <w:tcPr>
            <w:tcW w:w="633" w:type="dxa"/>
            <w:shd w:val="clear" w:color="auto" w:fill="auto"/>
            <w:noWrap/>
            <w:vAlign w:val="center"/>
          </w:tcPr>
          <w:p w:rsidRPr="005F055E" w:rsidR="00630335" w:rsidP="00180EEB" w:rsidRDefault="00630335" w14:paraId="3C7C7834" w14:textId="77777777">
            <w:pPr>
              <w:suppressAutoHyphens/>
              <w:rPr>
                <w:rFonts w:cs="Calibri"/>
                <w:color w:val="000000"/>
                <w:sz w:val="16"/>
                <w:szCs w:val="16"/>
                <w:lang w:eastAsia="nl-NL"/>
              </w:rPr>
            </w:pPr>
            <w:r w:rsidRPr="005F055E">
              <w:rPr>
                <w:rFonts w:cs="Calibri"/>
                <w:color w:val="000000"/>
                <w:sz w:val="16"/>
                <w:szCs w:val="16"/>
                <w:lang w:eastAsia="nl-NL"/>
              </w:rPr>
              <w:t>2.521</w:t>
            </w:r>
          </w:p>
        </w:tc>
        <w:tc>
          <w:tcPr>
            <w:tcW w:w="633" w:type="dxa"/>
            <w:shd w:val="clear" w:color="auto" w:fill="auto"/>
            <w:noWrap/>
            <w:vAlign w:val="center"/>
          </w:tcPr>
          <w:p w:rsidRPr="005F055E" w:rsidR="00630335" w:rsidP="00180EEB" w:rsidRDefault="00630335" w14:paraId="0E1C24D5" w14:textId="77777777">
            <w:pPr>
              <w:suppressAutoHyphens/>
              <w:rPr>
                <w:rFonts w:cs="Calibri"/>
                <w:color w:val="000000"/>
                <w:sz w:val="16"/>
                <w:szCs w:val="16"/>
                <w:lang w:eastAsia="nl-NL"/>
              </w:rPr>
            </w:pPr>
            <w:r w:rsidRPr="005F055E">
              <w:rPr>
                <w:rFonts w:cs="Calibri"/>
                <w:color w:val="000000"/>
                <w:sz w:val="16"/>
                <w:szCs w:val="16"/>
                <w:lang w:eastAsia="nl-NL"/>
              </w:rPr>
              <w:t>495</w:t>
            </w:r>
          </w:p>
        </w:tc>
        <w:tc>
          <w:tcPr>
            <w:tcW w:w="854" w:type="dxa"/>
            <w:shd w:val="clear" w:color="auto" w:fill="auto"/>
            <w:noWrap/>
            <w:vAlign w:val="center"/>
          </w:tcPr>
          <w:p w:rsidRPr="005F055E" w:rsidR="00630335" w:rsidP="00180EEB" w:rsidRDefault="00630335" w14:paraId="68BDACDC" w14:textId="77777777">
            <w:pPr>
              <w:suppressAutoHyphens/>
              <w:rPr>
                <w:rFonts w:cs="Calibri"/>
                <w:color w:val="000000"/>
                <w:sz w:val="16"/>
                <w:szCs w:val="16"/>
                <w:lang w:eastAsia="nl-NL"/>
              </w:rPr>
            </w:pPr>
            <w:r w:rsidRPr="005F055E">
              <w:rPr>
                <w:rFonts w:cs="Calibri"/>
                <w:color w:val="000000"/>
                <w:sz w:val="16"/>
                <w:szCs w:val="16"/>
                <w:lang w:eastAsia="nl-NL"/>
              </w:rPr>
              <w:t>30</w:t>
            </w:r>
          </w:p>
        </w:tc>
        <w:tc>
          <w:tcPr>
            <w:tcW w:w="777" w:type="dxa"/>
            <w:shd w:val="clear" w:color="auto" w:fill="auto"/>
            <w:noWrap/>
            <w:vAlign w:val="center"/>
          </w:tcPr>
          <w:p w:rsidRPr="005F055E" w:rsidR="00630335" w:rsidP="00180EEB" w:rsidRDefault="00630335" w14:paraId="4F9D5793" w14:textId="77777777">
            <w:pPr>
              <w:suppressAutoHyphens/>
              <w:rPr>
                <w:rFonts w:cs="Calibri"/>
                <w:color w:val="000000"/>
                <w:sz w:val="16"/>
                <w:szCs w:val="16"/>
                <w:lang w:eastAsia="nl-NL"/>
              </w:rPr>
            </w:pPr>
            <w:r w:rsidRPr="005F055E">
              <w:rPr>
                <w:rFonts w:cs="Calibri"/>
                <w:color w:val="000000"/>
                <w:sz w:val="16"/>
                <w:szCs w:val="16"/>
                <w:lang w:eastAsia="nl-NL"/>
              </w:rPr>
              <w:t>1.362</w:t>
            </w:r>
          </w:p>
        </w:tc>
        <w:tc>
          <w:tcPr>
            <w:tcW w:w="656" w:type="dxa"/>
            <w:shd w:val="clear" w:color="auto" w:fill="auto"/>
            <w:noWrap/>
            <w:vAlign w:val="center"/>
          </w:tcPr>
          <w:p w:rsidRPr="005F055E" w:rsidR="00630335" w:rsidP="00180EEB" w:rsidRDefault="00630335" w14:paraId="62359291" w14:textId="77777777">
            <w:pPr>
              <w:suppressAutoHyphens/>
              <w:rPr>
                <w:rFonts w:cs="Calibri"/>
                <w:color w:val="000000"/>
                <w:sz w:val="16"/>
                <w:szCs w:val="16"/>
                <w:lang w:eastAsia="nl-NL"/>
              </w:rPr>
            </w:pPr>
            <w:r w:rsidRPr="005F055E">
              <w:rPr>
                <w:rFonts w:cs="Calibri"/>
                <w:color w:val="000000"/>
                <w:sz w:val="16"/>
                <w:szCs w:val="16"/>
                <w:lang w:eastAsia="nl-NL"/>
              </w:rPr>
              <w:t>255</w:t>
            </w:r>
          </w:p>
        </w:tc>
        <w:tc>
          <w:tcPr>
            <w:tcW w:w="803" w:type="dxa"/>
            <w:shd w:val="clear" w:color="auto" w:fill="auto"/>
            <w:noWrap/>
            <w:vAlign w:val="center"/>
          </w:tcPr>
          <w:p w:rsidRPr="005F055E" w:rsidR="00630335" w:rsidP="00180EEB" w:rsidRDefault="00630335" w14:paraId="3C44C1A8" w14:textId="77777777">
            <w:pPr>
              <w:suppressAutoHyphens/>
              <w:rPr>
                <w:rFonts w:cs="Calibri"/>
                <w:color w:val="000000"/>
                <w:sz w:val="16"/>
                <w:szCs w:val="16"/>
                <w:lang w:eastAsia="nl-NL"/>
              </w:rPr>
            </w:pPr>
            <w:r w:rsidRPr="005F055E">
              <w:rPr>
                <w:rFonts w:cs="Calibri"/>
                <w:color w:val="000000"/>
                <w:sz w:val="16"/>
                <w:szCs w:val="16"/>
                <w:lang w:eastAsia="nl-NL"/>
              </w:rPr>
              <w:t>91</w:t>
            </w:r>
          </w:p>
        </w:tc>
        <w:tc>
          <w:tcPr>
            <w:tcW w:w="632" w:type="dxa"/>
            <w:shd w:val="clear" w:color="auto" w:fill="auto"/>
            <w:noWrap/>
            <w:vAlign w:val="center"/>
          </w:tcPr>
          <w:p w:rsidRPr="005F055E" w:rsidR="00630335" w:rsidP="00180EEB" w:rsidRDefault="00630335" w14:paraId="34C622F9" w14:textId="77777777">
            <w:pPr>
              <w:suppressAutoHyphens/>
              <w:rPr>
                <w:rFonts w:cs="Calibri"/>
                <w:color w:val="000000"/>
                <w:sz w:val="16"/>
                <w:szCs w:val="16"/>
                <w:lang w:eastAsia="nl-NL"/>
              </w:rPr>
            </w:pPr>
            <w:r w:rsidRPr="005F055E">
              <w:rPr>
                <w:rFonts w:cs="Calibri"/>
                <w:color w:val="000000"/>
                <w:sz w:val="16"/>
                <w:szCs w:val="16"/>
                <w:lang w:eastAsia="nl-NL"/>
              </w:rPr>
              <w:t>2.810</w:t>
            </w:r>
          </w:p>
        </w:tc>
        <w:tc>
          <w:tcPr>
            <w:tcW w:w="632" w:type="dxa"/>
            <w:shd w:val="clear" w:color="auto" w:fill="auto"/>
            <w:noWrap/>
            <w:vAlign w:val="center"/>
          </w:tcPr>
          <w:p w:rsidRPr="005F055E" w:rsidR="00630335" w:rsidP="00180EEB" w:rsidRDefault="00630335" w14:paraId="3038753D" w14:textId="77777777">
            <w:pPr>
              <w:suppressAutoHyphens/>
              <w:rPr>
                <w:rFonts w:cs="Calibri"/>
                <w:color w:val="000000"/>
                <w:sz w:val="16"/>
                <w:szCs w:val="16"/>
                <w:lang w:eastAsia="nl-NL"/>
              </w:rPr>
            </w:pPr>
            <w:r w:rsidRPr="005F055E">
              <w:rPr>
                <w:rFonts w:cs="Calibri"/>
                <w:color w:val="000000"/>
                <w:sz w:val="16"/>
                <w:szCs w:val="16"/>
                <w:lang w:eastAsia="nl-NL"/>
              </w:rPr>
              <w:t>368</w:t>
            </w:r>
          </w:p>
        </w:tc>
        <w:tc>
          <w:tcPr>
            <w:tcW w:w="871" w:type="dxa"/>
            <w:shd w:val="clear" w:color="auto" w:fill="auto"/>
            <w:noWrap/>
            <w:vAlign w:val="center"/>
          </w:tcPr>
          <w:p w:rsidRPr="005F055E" w:rsidR="00630335" w:rsidP="00180EEB" w:rsidRDefault="00630335" w14:paraId="00F66348" w14:textId="77777777">
            <w:pPr>
              <w:suppressAutoHyphens/>
              <w:rPr>
                <w:rFonts w:cs="Calibri"/>
                <w:color w:val="000000"/>
                <w:sz w:val="16"/>
                <w:szCs w:val="16"/>
                <w:lang w:eastAsia="nl-NL"/>
              </w:rPr>
            </w:pPr>
            <w:r w:rsidRPr="005F055E">
              <w:rPr>
                <w:rFonts w:cs="Calibri"/>
                <w:color w:val="000000"/>
                <w:sz w:val="16"/>
                <w:szCs w:val="16"/>
                <w:lang w:eastAsia="nl-NL"/>
              </w:rPr>
              <w:t>3.252</w:t>
            </w:r>
          </w:p>
        </w:tc>
        <w:tc>
          <w:tcPr>
            <w:tcW w:w="707" w:type="dxa"/>
            <w:vAlign w:val="center"/>
          </w:tcPr>
          <w:p w:rsidRPr="005F055E" w:rsidR="00630335" w:rsidP="00180EEB" w:rsidRDefault="00630335" w14:paraId="074B6487" w14:textId="77777777">
            <w:pPr>
              <w:suppressAutoHyphens/>
              <w:rPr>
                <w:rFonts w:cs="Calibri"/>
                <w:color w:val="000000"/>
                <w:sz w:val="16"/>
                <w:szCs w:val="16"/>
                <w:lang w:eastAsia="nl-NL"/>
              </w:rPr>
            </w:pPr>
            <w:r w:rsidRPr="005F055E">
              <w:rPr>
                <w:rFonts w:cs="Calibri"/>
                <w:color w:val="000000"/>
                <w:sz w:val="16"/>
                <w:szCs w:val="16"/>
                <w:lang w:eastAsia="nl-NL"/>
              </w:rPr>
              <w:t>11.428</w:t>
            </w:r>
          </w:p>
        </w:tc>
      </w:tr>
      <w:tr w:rsidRPr="005F055E" w:rsidR="00630335" w:rsidTr="00630335" w14:paraId="1A4D5F7D" w14:textId="77777777">
        <w:trPr>
          <w:trHeight w:val="566"/>
        </w:trPr>
        <w:tc>
          <w:tcPr>
            <w:tcW w:w="1193" w:type="dxa"/>
            <w:tcBorders>
              <w:bottom w:val="single" w:color="auto" w:sz="4" w:space="0"/>
            </w:tcBorders>
            <w:shd w:val="clear" w:color="auto" w:fill="auto"/>
            <w:noWrap/>
            <w:vAlign w:val="bottom"/>
          </w:tcPr>
          <w:p w:rsidRPr="005F055E" w:rsidR="00630335" w:rsidP="00180EEB" w:rsidRDefault="00630335" w14:paraId="56E9D714" w14:textId="77777777">
            <w:pPr>
              <w:suppressAutoHyphens/>
              <w:rPr>
                <w:rFonts w:cs="Calibri"/>
                <w:color w:val="000000"/>
                <w:sz w:val="16"/>
                <w:szCs w:val="16"/>
                <w:lang w:eastAsia="nl-NL"/>
              </w:rPr>
            </w:pPr>
            <w:r w:rsidRPr="005F055E">
              <w:rPr>
                <w:rFonts w:cs="Calibri"/>
                <w:color w:val="000000"/>
                <w:sz w:val="16"/>
                <w:szCs w:val="16"/>
                <w:lang w:eastAsia="nl-NL"/>
              </w:rPr>
              <w:t xml:space="preserve">Vereiste solvabiliteit 2024 (x € 1 </w:t>
            </w:r>
            <w:proofErr w:type="spellStart"/>
            <w:r w:rsidRPr="005F055E">
              <w:rPr>
                <w:rFonts w:cs="Calibri"/>
                <w:color w:val="000000"/>
                <w:sz w:val="16"/>
                <w:szCs w:val="16"/>
                <w:lang w:eastAsia="nl-NL"/>
              </w:rPr>
              <w:t>mln</w:t>
            </w:r>
            <w:proofErr w:type="spellEnd"/>
            <w:r w:rsidRPr="005F055E">
              <w:rPr>
                <w:rFonts w:cs="Calibri"/>
                <w:color w:val="000000"/>
                <w:sz w:val="16"/>
                <w:szCs w:val="16"/>
                <w:lang w:eastAsia="nl-NL"/>
              </w:rPr>
              <w:t>)</w:t>
            </w:r>
          </w:p>
        </w:tc>
        <w:tc>
          <w:tcPr>
            <w:tcW w:w="633" w:type="dxa"/>
            <w:tcBorders>
              <w:bottom w:val="single" w:color="auto" w:sz="4" w:space="0"/>
            </w:tcBorders>
            <w:shd w:val="clear" w:color="auto" w:fill="auto"/>
            <w:noWrap/>
            <w:vAlign w:val="center"/>
          </w:tcPr>
          <w:p w:rsidRPr="005F055E" w:rsidR="00630335" w:rsidP="00180EEB" w:rsidRDefault="00630335" w14:paraId="63ECF35A" w14:textId="77777777">
            <w:pPr>
              <w:suppressAutoHyphens/>
              <w:rPr>
                <w:rFonts w:cs="Calibri"/>
                <w:color w:val="000000"/>
                <w:sz w:val="16"/>
                <w:szCs w:val="16"/>
                <w:lang w:eastAsia="nl-NL"/>
              </w:rPr>
            </w:pPr>
            <w:r w:rsidRPr="005F055E">
              <w:rPr>
                <w:rFonts w:cs="Calibri"/>
                <w:color w:val="000000"/>
                <w:sz w:val="16"/>
                <w:szCs w:val="16"/>
                <w:lang w:eastAsia="nl-NL"/>
              </w:rPr>
              <w:t>176</w:t>
            </w:r>
          </w:p>
        </w:tc>
        <w:tc>
          <w:tcPr>
            <w:tcW w:w="633" w:type="dxa"/>
            <w:tcBorders>
              <w:bottom w:val="single" w:color="auto" w:sz="4" w:space="0"/>
            </w:tcBorders>
            <w:shd w:val="clear" w:color="auto" w:fill="auto"/>
            <w:noWrap/>
            <w:vAlign w:val="center"/>
          </w:tcPr>
          <w:p w:rsidRPr="005F055E" w:rsidR="00630335" w:rsidP="00180EEB" w:rsidRDefault="00630335" w14:paraId="1440C2C7" w14:textId="77777777">
            <w:pPr>
              <w:suppressAutoHyphens/>
              <w:rPr>
                <w:rFonts w:cs="Calibri"/>
                <w:color w:val="000000"/>
                <w:sz w:val="16"/>
                <w:szCs w:val="16"/>
                <w:lang w:eastAsia="nl-NL"/>
              </w:rPr>
            </w:pPr>
            <w:r w:rsidRPr="005F055E">
              <w:rPr>
                <w:rFonts w:cs="Calibri"/>
                <w:color w:val="000000"/>
                <w:sz w:val="16"/>
                <w:szCs w:val="16"/>
                <w:lang w:eastAsia="nl-NL"/>
              </w:rPr>
              <w:t>1.782</w:t>
            </w:r>
          </w:p>
        </w:tc>
        <w:tc>
          <w:tcPr>
            <w:tcW w:w="633" w:type="dxa"/>
            <w:tcBorders>
              <w:bottom w:val="single" w:color="auto" w:sz="4" w:space="0"/>
            </w:tcBorders>
            <w:shd w:val="clear" w:color="auto" w:fill="auto"/>
            <w:noWrap/>
            <w:vAlign w:val="center"/>
          </w:tcPr>
          <w:p w:rsidRPr="005F055E" w:rsidR="00630335" w:rsidP="00180EEB" w:rsidRDefault="00630335" w14:paraId="137D022B" w14:textId="77777777">
            <w:pPr>
              <w:suppressAutoHyphens/>
              <w:rPr>
                <w:rFonts w:cs="Calibri"/>
                <w:color w:val="000000"/>
                <w:sz w:val="16"/>
                <w:szCs w:val="16"/>
                <w:lang w:eastAsia="nl-NL"/>
              </w:rPr>
            </w:pPr>
            <w:r w:rsidRPr="005F055E">
              <w:rPr>
                <w:rFonts w:cs="Calibri"/>
                <w:color w:val="000000"/>
                <w:sz w:val="16"/>
                <w:szCs w:val="16"/>
                <w:lang w:eastAsia="nl-NL"/>
              </w:rPr>
              <w:t>362</w:t>
            </w:r>
          </w:p>
        </w:tc>
        <w:tc>
          <w:tcPr>
            <w:tcW w:w="854" w:type="dxa"/>
            <w:tcBorders>
              <w:bottom w:val="single" w:color="auto" w:sz="4" w:space="0"/>
            </w:tcBorders>
            <w:shd w:val="clear" w:color="auto" w:fill="auto"/>
            <w:noWrap/>
            <w:vAlign w:val="center"/>
          </w:tcPr>
          <w:p w:rsidRPr="005F055E" w:rsidR="00630335" w:rsidP="00180EEB" w:rsidRDefault="00630335" w14:paraId="3DC8F61A" w14:textId="77777777">
            <w:pPr>
              <w:suppressAutoHyphens/>
              <w:rPr>
                <w:rFonts w:cs="Calibri"/>
                <w:color w:val="000000"/>
                <w:sz w:val="16"/>
                <w:szCs w:val="16"/>
                <w:lang w:eastAsia="nl-NL"/>
              </w:rPr>
            </w:pPr>
            <w:r w:rsidRPr="005F055E">
              <w:rPr>
                <w:rFonts w:cs="Calibri"/>
                <w:color w:val="000000"/>
                <w:sz w:val="16"/>
                <w:szCs w:val="16"/>
                <w:lang w:eastAsia="nl-NL"/>
              </w:rPr>
              <w:t>23</w:t>
            </w:r>
          </w:p>
        </w:tc>
        <w:tc>
          <w:tcPr>
            <w:tcW w:w="777" w:type="dxa"/>
            <w:tcBorders>
              <w:bottom w:val="single" w:color="auto" w:sz="4" w:space="0"/>
            </w:tcBorders>
            <w:shd w:val="clear" w:color="auto" w:fill="auto"/>
            <w:noWrap/>
            <w:vAlign w:val="center"/>
          </w:tcPr>
          <w:p w:rsidRPr="005F055E" w:rsidR="00630335" w:rsidP="00180EEB" w:rsidRDefault="00630335" w14:paraId="61960C0D" w14:textId="77777777">
            <w:pPr>
              <w:suppressAutoHyphens/>
              <w:rPr>
                <w:rFonts w:cs="Calibri"/>
                <w:color w:val="000000"/>
                <w:sz w:val="16"/>
                <w:szCs w:val="16"/>
                <w:lang w:eastAsia="nl-NL"/>
              </w:rPr>
            </w:pPr>
            <w:r w:rsidRPr="005F055E">
              <w:rPr>
                <w:rFonts w:cs="Calibri"/>
                <w:color w:val="000000"/>
                <w:sz w:val="16"/>
                <w:szCs w:val="16"/>
                <w:lang w:eastAsia="nl-NL"/>
              </w:rPr>
              <w:t>969</w:t>
            </w:r>
          </w:p>
        </w:tc>
        <w:tc>
          <w:tcPr>
            <w:tcW w:w="656" w:type="dxa"/>
            <w:tcBorders>
              <w:bottom w:val="single" w:color="auto" w:sz="4" w:space="0"/>
            </w:tcBorders>
            <w:shd w:val="clear" w:color="auto" w:fill="auto"/>
            <w:noWrap/>
            <w:vAlign w:val="center"/>
          </w:tcPr>
          <w:p w:rsidRPr="005F055E" w:rsidR="00630335" w:rsidP="00180EEB" w:rsidRDefault="00630335" w14:paraId="545928EF" w14:textId="77777777">
            <w:pPr>
              <w:suppressAutoHyphens/>
              <w:rPr>
                <w:rFonts w:cs="Calibri"/>
                <w:color w:val="000000"/>
                <w:sz w:val="16"/>
                <w:szCs w:val="16"/>
                <w:lang w:eastAsia="nl-NL"/>
              </w:rPr>
            </w:pPr>
            <w:r w:rsidRPr="005F055E">
              <w:rPr>
                <w:rFonts w:cs="Calibri"/>
                <w:color w:val="000000"/>
                <w:sz w:val="16"/>
                <w:szCs w:val="16"/>
                <w:lang w:eastAsia="nl-NL"/>
              </w:rPr>
              <w:t>189</w:t>
            </w:r>
          </w:p>
        </w:tc>
        <w:tc>
          <w:tcPr>
            <w:tcW w:w="803" w:type="dxa"/>
            <w:tcBorders>
              <w:bottom w:val="single" w:color="auto" w:sz="4" w:space="0"/>
            </w:tcBorders>
            <w:shd w:val="clear" w:color="auto" w:fill="auto"/>
            <w:noWrap/>
            <w:vAlign w:val="center"/>
          </w:tcPr>
          <w:p w:rsidRPr="005F055E" w:rsidR="00630335" w:rsidP="00180EEB" w:rsidRDefault="00630335" w14:paraId="7B844D56" w14:textId="77777777">
            <w:pPr>
              <w:suppressAutoHyphens/>
              <w:rPr>
                <w:rFonts w:cs="Calibri"/>
                <w:color w:val="000000"/>
                <w:sz w:val="16"/>
                <w:szCs w:val="16"/>
                <w:lang w:eastAsia="nl-NL"/>
              </w:rPr>
            </w:pPr>
            <w:r w:rsidRPr="005F055E">
              <w:rPr>
                <w:rFonts w:cs="Calibri"/>
                <w:color w:val="000000"/>
                <w:sz w:val="16"/>
                <w:szCs w:val="16"/>
                <w:lang w:eastAsia="nl-NL"/>
              </w:rPr>
              <w:t>67</w:t>
            </w:r>
          </w:p>
        </w:tc>
        <w:tc>
          <w:tcPr>
            <w:tcW w:w="632" w:type="dxa"/>
            <w:tcBorders>
              <w:bottom w:val="single" w:color="auto" w:sz="4" w:space="0"/>
            </w:tcBorders>
            <w:shd w:val="clear" w:color="auto" w:fill="auto"/>
            <w:noWrap/>
            <w:vAlign w:val="center"/>
          </w:tcPr>
          <w:p w:rsidRPr="005F055E" w:rsidR="00630335" w:rsidP="00180EEB" w:rsidRDefault="00630335" w14:paraId="1D97C764" w14:textId="77777777">
            <w:pPr>
              <w:suppressAutoHyphens/>
              <w:rPr>
                <w:rFonts w:cs="Calibri"/>
                <w:color w:val="000000"/>
                <w:sz w:val="16"/>
                <w:szCs w:val="16"/>
                <w:lang w:eastAsia="nl-NL"/>
              </w:rPr>
            </w:pPr>
            <w:r w:rsidRPr="005F055E">
              <w:rPr>
                <w:rFonts w:cs="Calibri"/>
                <w:color w:val="000000"/>
                <w:sz w:val="16"/>
                <w:szCs w:val="16"/>
                <w:lang w:eastAsia="nl-NL"/>
              </w:rPr>
              <w:t>2.022</w:t>
            </w:r>
          </w:p>
        </w:tc>
        <w:tc>
          <w:tcPr>
            <w:tcW w:w="632" w:type="dxa"/>
            <w:tcBorders>
              <w:bottom w:val="single" w:color="auto" w:sz="4" w:space="0"/>
            </w:tcBorders>
            <w:shd w:val="clear" w:color="auto" w:fill="auto"/>
            <w:noWrap/>
            <w:vAlign w:val="center"/>
          </w:tcPr>
          <w:p w:rsidRPr="005F055E" w:rsidR="00630335" w:rsidP="00180EEB" w:rsidRDefault="00630335" w14:paraId="62C91793" w14:textId="77777777">
            <w:pPr>
              <w:suppressAutoHyphens/>
              <w:rPr>
                <w:rFonts w:cs="Calibri"/>
                <w:color w:val="000000"/>
                <w:sz w:val="16"/>
                <w:szCs w:val="16"/>
                <w:lang w:eastAsia="nl-NL"/>
              </w:rPr>
            </w:pPr>
            <w:r w:rsidRPr="005F055E">
              <w:rPr>
                <w:rFonts w:cs="Calibri"/>
                <w:color w:val="000000"/>
                <w:sz w:val="16"/>
                <w:szCs w:val="16"/>
                <w:lang w:eastAsia="nl-NL"/>
              </w:rPr>
              <w:t>239</w:t>
            </w:r>
          </w:p>
        </w:tc>
        <w:tc>
          <w:tcPr>
            <w:tcW w:w="871" w:type="dxa"/>
            <w:tcBorders>
              <w:bottom w:val="single" w:color="auto" w:sz="4" w:space="0"/>
            </w:tcBorders>
            <w:shd w:val="clear" w:color="auto" w:fill="auto"/>
            <w:noWrap/>
            <w:vAlign w:val="center"/>
          </w:tcPr>
          <w:p w:rsidRPr="005F055E" w:rsidR="00630335" w:rsidP="00180EEB" w:rsidRDefault="00630335" w14:paraId="579A50D8" w14:textId="77777777">
            <w:pPr>
              <w:suppressAutoHyphens/>
              <w:rPr>
                <w:rFonts w:cs="Calibri"/>
                <w:color w:val="000000"/>
                <w:sz w:val="16"/>
                <w:szCs w:val="16"/>
                <w:lang w:eastAsia="nl-NL"/>
              </w:rPr>
            </w:pPr>
            <w:r w:rsidRPr="005F055E">
              <w:rPr>
                <w:rFonts w:cs="Calibri"/>
                <w:color w:val="000000"/>
                <w:sz w:val="16"/>
                <w:szCs w:val="16"/>
                <w:lang w:eastAsia="nl-NL"/>
              </w:rPr>
              <w:t>2.363</w:t>
            </w:r>
          </w:p>
        </w:tc>
        <w:tc>
          <w:tcPr>
            <w:tcW w:w="707" w:type="dxa"/>
            <w:tcBorders>
              <w:bottom w:val="single" w:color="auto" w:sz="4" w:space="0"/>
            </w:tcBorders>
            <w:vAlign w:val="center"/>
          </w:tcPr>
          <w:p w:rsidRPr="005F055E" w:rsidR="00630335" w:rsidP="00180EEB" w:rsidRDefault="00630335" w14:paraId="561C64A1" w14:textId="77777777">
            <w:pPr>
              <w:suppressAutoHyphens/>
              <w:rPr>
                <w:rFonts w:cs="Calibri"/>
                <w:color w:val="000000"/>
                <w:sz w:val="16"/>
                <w:szCs w:val="16"/>
                <w:lang w:eastAsia="nl-NL"/>
              </w:rPr>
            </w:pPr>
            <w:r w:rsidRPr="005F055E">
              <w:rPr>
                <w:rFonts w:cs="Calibri"/>
                <w:color w:val="000000"/>
                <w:sz w:val="16"/>
                <w:szCs w:val="16"/>
                <w:lang w:eastAsia="nl-NL"/>
              </w:rPr>
              <w:t>8.193</w:t>
            </w:r>
          </w:p>
        </w:tc>
      </w:tr>
    </w:tbl>
    <w:p w:rsidRPr="005F055E" w:rsidR="00630335" w:rsidP="00180EEB" w:rsidRDefault="00630335" w14:paraId="690DC2F7" w14:textId="77777777">
      <w:pPr>
        <w:suppressAutoHyphens/>
        <w:spacing w:line="240" w:lineRule="atLeast"/>
        <w:rPr>
          <w:sz w:val="14"/>
          <w:szCs w:val="14"/>
          <w:lang w:eastAsia="nl-NL"/>
        </w:rPr>
      </w:pPr>
      <w:r w:rsidRPr="005F055E">
        <w:rPr>
          <w:rFonts w:eastAsia="Verdana" w:cs="Calibri"/>
          <w:i/>
          <w:sz w:val="14"/>
          <w:szCs w:val="14"/>
          <w:lang w:eastAsia="nl-NL"/>
        </w:rPr>
        <w:t xml:space="preserve">Bron: transparantieoverzichten van de jaarcijfers basisverzekering, zoals door individuele zorgverzekeraars gepresenteerd op hun website. Zilveren Kruis betreft een optelling door VWS van de solvabiliteitcijfers van de verschillende risicodragers van Zilveren Kruis. VGZ betreft een inschatting op basis van de solvabiliteit basis- plus aanvullende verzekering van VGZ, naar rato van de schade basis- en aanvullende verzekering VGZ. </w:t>
      </w:r>
      <w:r w:rsidRPr="005F055E">
        <w:rPr>
          <w:rFonts w:eastAsia="Verdana" w:cstheme="minorHAnsi"/>
          <w:i/>
          <w:sz w:val="14"/>
          <w:szCs w:val="14"/>
          <w:lang w:eastAsia="nl-NL"/>
        </w:rPr>
        <w:t>EUCARE publiceert deze gegevens sinds 2023.</w:t>
      </w:r>
    </w:p>
    <w:p w:rsidRPr="005F055E" w:rsidR="00630335" w:rsidP="00180EEB" w:rsidRDefault="00630335" w14:paraId="2920806C" w14:textId="77777777">
      <w:pPr>
        <w:suppressAutoHyphens/>
      </w:pPr>
    </w:p>
    <w:p w:rsidRPr="005F055E" w:rsidR="00912A7D" w:rsidP="00180EEB" w:rsidRDefault="003E7003" w14:paraId="3DA634EF" w14:textId="77777777">
      <w:pPr>
        <w:suppressAutoHyphens/>
      </w:pPr>
      <w:r w:rsidRPr="005F055E">
        <w:t>Vraag 188</w:t>
      </w:r>
      <w:r w:rsidRPr="005F055E">
        <w:tab/>
      </w:r>
    </w:p>
    <w:p w:rsidRPr="005F055E" w:rsidR="00912A7D" w:rsidP="00180EEB" w:rsidRDefault="003E7003" w14:paraId="1AB11B6D" w14:textId="77777777">
      <w:pPr>
        <w:suppressAutoHyphens/>
      </w:pPr>
      <w:r w:rsidRPr="005F055E">
        <w:t xml:space="preserve">Hoeveel gezonde levensjaren worden er per jaar toegevoegd door het preventieve werk van de </w:t>
      </w:r>
      <w:proofErr w:type="spellStart"/>
      <w:r w:rsidRPr="005F055E">
        <w:t>GGD’en</w:t>
      </w:r>
      <w:proofErr w:type="spellEnd"/>
      <w:r w:rsidRPr="005F055E">
        <w:t>?</w:t>
      </w:r>
      <w:r w:rsidRPr="005F055E">
        <w:tab/>
      </w:r>
    </w:p>
    <w:p w:rsidRPr="005F055E" w:rsidR="00630335" w:rsidP="00180EEB" w:rsidRDefault="003E7003" w14:paraId="1DC3858F" w14:textId="4C07BB4B">
      <w:pPr>
        <w:suppressAutoHyphens/>
      </w:pPr>
      <w:r w:rsidRPr="005F055E">
        <w:t>Antwoord</w:t>
      </w:r>
    </w:p>
    <w:p w:rsidRPr="005F055E" w:rsidR="00630335" w:rsidP="00180EEB" w:rsidRDefault="00630335" w14:paraId="70E78EF8" w14:textId="77777777">
      <w:pPr>
        <w:suppressAutoHyphens/>
        <w:spacing w:line="240" w:lineRule="atLeast"/>
        <w:rPr>
          <w:szCs w:val="18"/>
          <w:lang w:eastAsia="nl-NL"/>
        </w:rPr>
      </w:pPr>
      <w:r w:rsidRPr="005F055E">
        <w:rPr>
          <w:szCs w:val="18"/>
          <w:lang w:eastAsia="nl-NL"/>
        </w:rPr>
        <w:t xml:space="preserve">Het preventieve werk van de </w:t>
      </w:r>
      <w:proofErr w:type="spellStart"/>
      <w:r w:rsidRPr="005F055E">
        <w:rPr>
          <w:szCs w:val="18"/>
          <w:lang w:eastAsia="nl-NL"/>
        </w:rPr>
        <w:t>GGD’en</w:t>
      </w:r>
      <w:proofErr w:type="spellEnd"/>
      <w:r w:rsidRPr="005F055E">
        <w:rPr>
          <w:szCs w:val="18"/>
          <w:lang w:eastAsia="nl-NL"/>
        </w:rPr>
        <w:t xml:space="preserve"> (of andere organisaties) kan niet één op één vertaald worden naar gezonde levensjaren. Wel draagt het preventieve werk van de GGD aantoonbaar bij aan de gezondheid van Nederlanders. Ik doel hiermee onder meer op de </w:t>
      </w:r>
      <w:proofErr w:type="spellStart"/>
      <w:r w:rsidRPr="005F055E">
        <w:rPr>
          <w:szCs w:val="18"/>
          <w:lang w:eastAsia="nl-NL"/>
        </w:rPr>
        <w:t>infectieziektenbestrijding</w:t>
      </w:r>
      <w:proofErr w:type="spellEnd"/>
      <w:r w:rsidRPr="005F055E">
        <w:rPr>
          <w:szCs w:val="18"/>
          <w:lang w:eastAsia="nl-NL"/>
        </w:rPr>
        <w:t>, de preventie en behandeling van seksueel overdraagbare aandoeningen, en de uitvoering van de jeugdgezondheidszorg (vaccinatieprogramma, gehoorscreening, hielprik), dat veelal onderdeel is van de werkzaamheden van de GGD.</w:t>
      </w:r>
    </w:p>
    <w:p w:rsidRPr="005F055E" w:rsidR="00912A7D" w:rsidP="00180EEB" w:rsidRDefault="00912A7D" w14:paraId="2244DC2B" w14:textId="77777777">
      <w:pPr>
        <w:suppressAutoHyphens/>
      </w:pPr>
    </w:p>
    <w:p w:rsidRPr="005F055E" w:rsidR="00912A7D" w:rsidP="00180EEB" w:rsidRDefault="003E7003" w14:paraId="4EB091CF" w14:textId="77777777">
      <w:pPr>
        <w:suppressAutoHyphens/>
      </w:pPr>
      <w:r w:rsidRPr="005F055E">
        <w:t>Vraag 189</w:t>
      </w:r>
      <w:r w:rsidRPr="005F055E">
        <w:tab/>
      </w:r>
    </w:p>
    <w:p w:rsidRPr="005F055E" w:rsidR="00912A7D" w:rsidP="00180EEB" w:rsidRDefault="003E7003" w14:paraId="4DF86220" w14:textId="77777777">
      <w:pPr>
        <w:suppressAutoHyphens/>
      </w:pPr>
      <w:r w:rsidRPr="005F055E">
        <w:t>Welke bezuinigingen en belastingverhogingen zullen de komende jaren gevolgen hebben voor de sport?</w:t>
      </w:r>
      <w:r w:rsidRPr="005F055E">
        <w:tab/>
      </w:r>
    </w:p>
    <w:p w:rsidRPr="005F055E" w:rsidR="003E7003" w:rsidP="00180EEB" w:rsidRDefault="003E7003" w14:paraId="7225C4EE" w14:textId="66D67FF9">
      <w:pPr>
        <w:suppressAutoHyphens/>
      </w:pPr>
      <w:r w:rsidRPr="005F055E">
        <w:t>Antwoord</w:t>
      </w:r>
    </w:p>
    <w:p w:rsidRPr="005F055E" w:rsidR="00936238" w:rsidP="00180EEB" w:rsidRDefault="00936238" w14:paraId="5BE4F717" w14:textId="77777777">
      <w:pPr>
        <w:suppressAutoHyphens/>
      </w:pPr>
      <w:r w:rsidRPr="005F055E">
        <w:t>De volgende maatregelen uit het Hoofdlijnenakkoord hebben betrekkingen op sport:</w:t>
      </w:r>
    </w:p>
    <w:p w:rsidRPr="005F055E" w:rsidR="00936238" w:rsidP="00180EEB" w:rsidRDefault="00936238" w14:paraId="79E81E92" w14:textId="77777777">
      <w:pPr>
        <w:pStyle w:val="Lijstalinea"/>
        <w:numPr>
          <w:ilvl w:val="0"/>
          <w:numId w:val="15"/>
        </w:numPr>
        <w:suppressAutoHyphens/>
      </w:pPr>
      <w:r w:rsidRPr="005F055E">
        <w:t>De 10% korting op alle Specifieke Uitkeringen (SPUKS) vanaf 2026 is reeds ingeboekt op de begroting. Dit betreft drie SPUKS op het gebied van Sport en bewegen:</w:t>
      </w:r>
    </w:p>
    <w:p w:rsidRPr="005F055E" w:rsidR="00936238" w:rsidP="00180EEB" w:rsidRDefault="00936238" w14:paraId="58E9B27C" w14:textId="77777777">
      <w:pPr>
        <w:pStyle w:val="Lijstalinea"/>
        <w:numPr>
          <w:ilvl w:val="1"/>
          <w:numId w:val="15"/>
        </w:numPr>
        <w:suppressAutoHyphens/>
      </w:pPr>
      <w:r w:rsidRPr="005F055E">
        <w:t>SPUK Stimulering Sport;</w:t>
      </w:r>
    </w:p>
    <w:p w:rsidRPr="005F055E" w:rsidR="00936238" w:rsidP="00180EEB" w:rsidRDefault="00936238" w14:paraId="18712B2C" w14:textId="77777777">
      <w:pPr>
        <w:pStyle w:val="Lijstalinea"/>
        <w:numPr>
          <w:ilvl w:val="1"/>
          <w:numId w:val="15"/>
        </w:numPr>
        <w:suppressAutoHyphens/>
      </w:pPr>
      <w:r w:rsidRPr="005F055E">
        <w:t>SPUK Brede regeling Combinatiefuncties, nu onderdeel van Brede SPUK tot en met 2026;</w:t>
      </w:r>
    </w:p>
    <w:p w:rsidRPr="005F055E" w:rsidR="00936238" w:rsidP="00180EEB" w:rsidRDefault="00936238" w14:paraId="4891EE95" w14:textId="77777777">
      <w:pPr>
        <w:pStyle w:val="Lijstalinea"/>
        <w:numPr>
          <w:ilvl w:val="1"/>
          <w:numId w:val="15"/>
        </w:numPr>
        <w:suppressAutoHyphens/>
      </w:pPr>
      <w:r w:rsidRPr="005F055E">
        <w:t>SPUK Lokale Sportakkoorden nu onderdeel van brede SPUK tot en met 2026.</w:t>
      </w:r>
    </w:p>
    <w:p w:rsidRPr="005F055E" w:rsidR="00936238" w:rsidP="00180EEB" w:rsidRDefault="00936238" w14:paraId="217A9B6E" w14:textId="77777777">
      <w:pPr>
        <w:pStyle w:val="Lijstalinea"/>
        <w:numPr>
          <w:ilvl w:val="0"/>
          <w:numId w:val="15"/>
        </w:numPr>
        <w:suppressAutoHyphens/>
      </w:pPr>
      <w:r w:rsidRPr="005F055E">
        <w:t xml:space="preserve">De ingeboekte subsidietaakstelling heeft in 2026 een omvang van circa €34 miljoen. Zo wordt bijna €6 miljoen bespaard op diverse subsidiebudgetten waaronder onderzoek en innovatie voor de sport. Ook wordt vanaf 2026 een besparing van €28 miljoen op de BOSA-regeling ingeboekt. </w:t>
      </w:r>
    </w:p>
    <w:p w:rsidRPr="005F055E" w:rsidR="00936238" w:rsidP="00180EEB" w:rsidRDefault="00936238" w14:paraId="77A98181" w14:textId="77777777">
      <w:pPr>
        <w:pStyle w:val="Lijstalinea"/>
        <w:numPr>
          <w:ilvl w:val="0"/>
          <w:numId w:val="15"/>
        </w:numPr>
        <w:suppressAutoHyphens/>
      </w:pPr>
      <w:r w:rsidRPr="005F055E">
        <w:t>De trapsgewijze verhoging kansspelbelasting (in 2025 van 30,5 naar 34,2% en in 2026 van 34,2 naar 37,8%) kan gevolgen hebben voor de afdrachten aan NOC*NSF.</w:t>
      </w:r>
    </w:p>
    <w:p w:rsidRPr="005F055E" w:rsidR="00912A7D" w:rsidP="00180EEB" w:rsidRDefault="00912A7D" w14:paraId="47055726" w14:textId="77777777">
      <w:pPr>
        <w:suppressAutoHyphens/>
      </w:pPr>
    </w:p>
    <w:p w:rsidRPr="005F055E" w:rsidR="00912A7D" w:rsidP="00180EEB" w:rsidRDefault="003E7003" w14:paraId="68E4FF9B" w14:textId="77777777">
      <w:pPr>
        <w:suppressAutoHyphens/>
      </w:pPr>
      <w:r w:rsidRPr="005F055E">
        <w:t>Vraag 190</w:t>
      </w:r>
      <w:r w:rsidRPr="005F055E">
        <w:tab/>
      </w:r>
    </w:p>
    <w:p w:rsidRPr="005F055E" w:rsidR="00912A7D" w:rsidP="00180EEB" w:rsidRDefault="003E7003" w14:paraId="00B90D06" w14:textId="77777777">
      <w:pPr>
        <w:suppressAutoHyphens/>
      </w:pPr>
      <w:r w:rsidRPr="005F055E">
        <w:t>Hoeveel zou het kosten om de btw op sport te verlagen naar nul procent? Hoeveel zou dit kosten als enkel de kosten voor het beoefenen van sport worden verlaagd naar nul procent en de btw op sport kijken op negen procent te houden?</w:t>
      </w:r>
      <w:r w:rsidRPr="005F055E">
        <w:tab/>
      </w:r>
    </w:p>
    <w:p w:rsidRPr="005F055E" w:rsidR="003E7003" w:rsidP="00180EEB" w:rsidRDefault="003E7003" w14:paraId="2E00CA5C" w14:textId="342EC144">
      <w:pPr>
        <w:suppressAutoHyphens/>
      </w:pPr>
      <w:r w:rsidRPr="005F055E">
        <w:t>Antwoord</w:t>
      </w:r>
    </w:p>
    <w:p w:rsidRPr="005F055E" w:rsidR="00912A7D" w:rsidP="00180EEB" w:rsidRDefault="00936238" w14:paraId="44D52319" w14:textId="7B8AAE19">
      <w:pPr>
        <w:suppressAutoHyphens/>
      </w:pPr>
      <w:r w:rsidRPr="005F055E">
        <w:t>Het is niet mogelijk een 0%-tarief op sport te introduceren omdat dit niet is toegestaan op grond van het Europese recht, dat geldt zowel voor het bezoeken van sportwedstrijden als het beoefenen van sport. Voor meer informatie over de mogelijkheden die de Btw-richtlijn biedt voor het introduceren van verlaagde btw-tarieven verwijst het kabinet naar de brief ‘Beleidsruimte btw-tarievenrichtlijn’</w:t>
      </w:r>
      <w:r w:rsidRPr="005F055E">
        <w:rPr>
          <w:rStyle w:val="Voetnootmarkering"/>
        </w:rPr>
        <w:footnoteReference w:id="67"/>
      </w:r>
      <w:r w:rsidRPr="005F055E">
        <w:t>. Sportverenigingen die geen winst beogen zoals voetbal-, korfbal-, volleybalverenigingen, etc., zijn vrijgesteld van btw.</w:t>
      </w:r>
    </w:p>
    <w:p w:rsidRPr="005F055E" w:rsidR="00CF1801" w:rsidP="00180EEB" w:rsidRDefault="00CF1801" w14:paraId="48B263D1" w14:textId="77777777">
      <w:pPr>
        <w:suppressAutoHyphens/>
      </w:pPr>
    </w:p>
    <w:p w:rsidRPr="005F055E" w:rsidR="00912A7D" w:rsidP="00180EEB" w:rsidRDefault="003E7003" w14:paraId="04B4A7EF" w14:textId="77777777">
      <w:pPr>
        <w:suppressAutoHyphens/>
      </w:pPr>
      <w:r w:rsidRPr="005F055E">
        <w:t>Vraag 191</w:t>
      </w:r>
      <w:r w:rsidRPr="005F055E">
        <w:tab/>
      </w:r>
    </w:p>
    <w:p w:rsidRPr="005F055E" w:rsidR="00912A7D" w:rsidP="00180EEB" w:rsidRDefault="003E7003" w14:paraId="572DC8C4" w14:textId="77777777">
      <w:pPr>
        <w:suppressAutoHyphens/>
      </w:pPr>
      <w:r w:rsidRPr="005F055E">
        <w:t>Hoeveel zou het kosten om alle sporten gratis te maken voor alle jongeren tot 23 jaar?</w:t>
      </w:r>
      <w:r w:rsidRPr="005F055E">
        <w:tab/>
      </w:r>
    </w:p>
    <w:p w:rsidRPr="005F055E" w:rsidR="003E7003" w:rsidP="00180EEB" w:rsidRDefault="003E7003" w14:paraId="6F5FF479" w14:textId="219B202B">
      <w:pPr>
        <w:suppressAutoHyphens/>
      </w:pPr>
      <w:r w:rsidRPr="005F055E">
        <w:t>Antwoord</w:t>
      </w:r>
    </w:p>
    <w:p w:rsidRPr="005F055E" w:rsidR="00912A7D" w:rsidP="00180EEB" w:rsidRDefault="00561EE2" w14:paraId="39690725" w14:textId="1A9B0BA5">
      <w:pPr>
        <w:suppressAutoHyphens/>
      </w:pPr>
      <w:r w:rsidRPr="005F055E">
        <w:t>Er zijn 4,7 miljoen kinderen/jongeren tussen de 0 en 23 jaar. De kosten voor sport lopen erg uiteen. Voor deze berekening wordt uitgegaan van de inschatting per persoon die het Jeugdfonds Sport en Cultuur eerder dit jaar hanteerde. Dit is een gemiddeld bedrag van € 291 per jaar voor één abonnement berekend over alle sporten inclusief zwemles. Dit betekent dat als alle sporten gratis worden gemaakt voor jongeren tot en met 23 jaar een bedrag van minimaal afgerond € 1,4 miljard per jaar nodig is om alle jongeren van 0 tot 23 één sport te laten beoefenen.</w:t>
      </w:r>
      <w:r w:rsidR="005A24E4">
        <w:t xml:space="preserve"> Dit is dan contributievergoeding, geen vergoeding van benodigde materialen. </w:t>
      </w:r>
    </w:p>
    <w:p w:rsidRPr="005F055E" w:rsidR="00912A7D" w:rsidP="00180EEB" w:rsidRDefault="00912A7D" w14:paraId="03688031" w14:textId="77777777">
      <w:pPr>
        <w:suppressAutoHyphens/>
      </w:pPr>
    </w:p>
    <w:p w:rsidRPr="005F055E" w:rsidR="00912A7D" w:rsidP="00180EEB" w:rsidRDefault="003E7003" w14:paraId="40655F41" w14:textId="77777777">
      <w:pPr>
        <w:suppressAutoHyphens/>
      </w:pPr>
      <w:r w:rsidRPr="005F055E">
        <w:t>Vraag 192</w:t>
      </w:r>
      <w:r w:rsidRPr="005F055E">
        <w:tab/>
      </w:r>
    </w:p>
    <w:p w:rsidRPr="005F055E" w:rsidR="00912A7D" w:rsidP="00180EEB" w:rsidRDefault="003E7003" w14:paraId="1699CD3E" w14:textId="77777777">
      <w:pPr>
        <w:suppressAutoHyphens/>
      </w:pPr>
      <w:r w:rsidRPr="005F055E">
        <w:t>Hoeveel kost een gemiddeld sportabonnement voor volwassenen?</w:t>
      </w:r>
      <w:r w:rsidRPr="005F055E">
        <w:tab/>
      </w:r>
    </w:p>
    <w:p w:rsidRPr="005F055E" w:rsidR="003E7003" w:rsidP="00180EEB" w:rsidRDefault="003E7003" w14:paraId="4F32C9FB" w14:textId="0C0428B1">
      <w:pPr>
        <w:suppressAutoHyphens/>
      </w:pPr>
      <w:r w:rsidRPr="005F055E">
        <w:t>Antwoord</w:t>
      </w:r>
    </w:p>
    <w:p w:rsidRPr="005F055E" w:rsidR="00936238" w:rsidP="00180EEB" w:rsidRDefault="00936238" w14:paraId="0BE6EB46" w14:textId="77777777">
      <w:pPr>
        <w:suppressAutoHyphens/>
      </w:pPr>
      <w:r w:rsidRPr="005F055E">
        <w:t>Onderzoek van het CBS (2023</w:t>
      </w:r>
      <w:r w:rsidRPr="005F055E">
        <w:rPr>
          <w:rStyle w:val="Voetnootmarkering"/>
        </w:rPr>
        <w:footnoteReference w:id="68"/>
      </w:r>
      <w:r w:rsidRPr="005F055E">
        <w:t>) geeft aan dat het duurste maandabonnement van een fitnesscentrum gemiddeld €61 per maand is en het goedkoopste €31. Het betreft hier een ongewogen gemiddelde van respectievelijk het maandabonnement met de laagste prijs en het maandabonnement met de hoogste prijs. Indien het gemiddelde van deze twee bedragen wordt genomen, komt dat neer op €46 per maand.</w:t>
      </w:r>
    </w:p>
    <w:p w:rsidRPr="005F055E" w:rsidR="00912A7D" w:rsidP="00180EEB" w:rsidRDefault="00912A7D" w14:paraId="2B534AB2" w14:textId="77777777">
      <w:pPr>
        <w:suppressAutoHyphens/>
      </w:pPr>
    </w:p>
    <w:p w:rsidRPr="005F055E" w:rsidR="00912A7D" w:rsidP="00180EEB" w:rsidRDefault="003E7003" w14:paraId="0C58E635" w14:textId="77777777">
      <w:pPr>
        <w:suppressAutoHyphens/>
      </w:pPr>
      <w:r w:rsidRPr="005F055E">
        <w:t>Vraag 193</w:t>
      </w:r>
      <w:r w:rsidRPr="005F055E">
        <w:tab/>
      </w:r>
    </w:p>
    <w:p w:rsidRPr="005F055E" w:rsidR="00912A7D" w:rsidP="00180EEB" w:rsidRDefault="003E7003" w14:paraId="6D92B903" w14:textId="77777777">
      <w:pPr>
        <w:suppressAutoHyphens/>
      </w:pPr>
      <w:r w:rsidRPr="005F055E">
        <w:t>Hoe hoog is de gemiddelde contributie voor het lidmaatschap van een sportvereniging voor volwassenen?</w:t>
      </w:r>
      <w:r w:rsidRPr="005F055E">
        <w:tab/>
      </w:r>
    </w:p>
    <w:p w:rsidRPr="005F055E" w:rsidR="003E7003" w:rsidP="00180EEB" w:rsidRDefault="003E7003" w14:paraId="6A7B7E1E" w14:textId="4984252B">
      <w:pPr>
        <w:suppressAutoHyphens/>
      </w:pPr>
      <w:r w:rsidRPr="005F055E">
        <w:t>Antwoord</w:t>
      </w:r>
    </w:p>
    <w:p w:rsidRPr="005F055E" w:rsidR="00936238" w:rsidP="00180EEB" w:rsidRDefault="00936238" w14:paraId="7A220904" w14:textId="3A517BDD">
      <w:pPr>
        <w:suppressAutoHyphens/>
      </w:pPr>
      <w:r w:rsidRPr="005F055E">
        <w:t xml:space="preserve">De door het </w:t>
      </w:r>
      <w:proofErr w:type="spellStart"/>
      <w:r w:rsidRPr="005F055E">
        <w:t>Mulier</w:t>
      </w:r>
      <w:proofErr w:type="spellEnd"/>
      <w:r w:rsidRPr="005F055E">
        <w:t xml:space="preserve"> Instituut gepubliceerde Contributiemonitor 2024/2025</w:t>
      </w:r>
      <w:r w:rsidRPr="005F055E">
        <w:rPr>
          <w:rStyle w:val="Voetnootmarkering"/>
        </w:rPr>
        <w:footnoteReference w:id="69"/>
      </w:r>
      <w:r w:rsidRPr="005F055E">
        <w:t xml:space="preserve"> biedt inzicht in de ontwikkeling van de contributies van verschillende sporttakken. Hierin wordt per sport onderscheiden wat de gemiddelde contributie is voor pupillen, junioren en senioren. De monitor biedt geen inzicht in de gemiddelde contributie voor volwassen over de gehele sportsector. Voor een overzicht van de gemiddelde contributies van een voetbal-, tennis-, hockey-, en atletiekvereniging verwijst de </w:t>
      </w:r>
      <w:r w:rsidR="00AC5F77">
        <w:t xml:space="preserve">staatssecretaris Jeugd, Preventie en Sport </w:t>
      </w:r>
      <w:r w:rsidRPr="005F055E">
        <w:t>u naar de beantwoording van vraag 194.</w:t>
      </w:r>
    </w:p>
    <w:p w:rsidRPr="005F055E" w:rsidR="00CF1801" w:rsidP="00180EEB" w:rsidRDefault="00CF1801" w14:paraId="2CCFCA1A" w14:textId="77777777">
      <w:pPr>
        <w:suppressAutoHyphens/>
      </w:pPr>
    </w:p>
    <w:p w:rsidRPr="005F055E" w:rsidR="00912A7D" w:rsidP="00180EEB" w:rsidRDefault="003E7003" w14:paraId="6BDAC8A9" w14:textId="77777777">
      <w:pPr>
        <w:suppressAutoHyphens/>
      </w:pPr>
      <w:r w:rsidRPr="005F055E">
        <w:t>Vraag 194</w:t>
      </w:r>
      <w:r w:rsidRPr="005F055E">
        <w:tab/>
      </w:r>
    </w:p>
    <w:p w:rsidRPr="005F055E" w:rsidR="00912A7D" w:rsidP="00180EEB" w:rsidRDefault="003E7003" w14:paraId="14AB9017" w14:textId="77777777">
      <w:pPr>
        <w:suppressAutoHyphens/>
      </w:pPr>
      <w:r w:rsidRPr="005F055E">
        <w:t>Hoe hoog is de gemiddelde contributie voor een voetbalvereniging, een tennisvereniging, een hockeyvereniging en een atletiekvereniging?</w:t>
      </w:r>
      <w:r w:rsidRPr="005F055E">
        <w:tab/>
      </w:r>
    </w:p>
    <w:p w:rsidRPr="005F055E" w:rsidR="003E7003" w:rsidP="00180EEB" w:rsidRDefault="003E7003" w14:paraId="1EA2403C" w14:textId="4350FA9F">
      <w:pPr>
        <w:suppressAutoHyphens/>
      </w:pPr>
      <w:r w:rsidRPr="005F055E">
        <w:t>Antwoord</w:t>
      </w:r>
    </w:p>
    <w:p w:rsidRPr="005F055E" w:rsidR="00936238" w:rsidP="00180EEB" w:rsidRDefault="00936238" w14:paraId="4407068E" w14:textId="77777777">
      <w:pPr>
        <w:suppressAutoHyphens/>
      </w:pPr>
      <w:r w:rsidRPr="005F055E">
        <w:t xml:space="preserve">De door het </w:t>
      </w:r>
      <w:proofErr w:type="spellStart"/>
      <w:r w:rsidRPr="005F055E">
        <w:t>Mulier</w:t>
      </w:r>
      <w:proofErr w:type="spellEnd"/>
      <w:r w:rsidRPr="005F055E">
        <w:t xml:space="preserve"> Instituut gepubliceerde Contributiemonitor 2024/2025 biedt inzicht in de gemiddelde hoogten van de contributies van verschillende sporttakken. Hierin wordt per sport onderscheiden wat de gemiddelde contributie is voor pupillen, junioren en senioren. Uit de Contributiemonitor 2024/2025 blijkt:</w:t>
      </w:r>
    </w:p>
    <w:p w:rsidRPr="005F055E" w:rsidR="00936238" w:rsidP="00180EEB" w:rsidRDefault="00936238" w14:paraId="5C935BDD" w14:textId="77777777">
      <w:pPr>
        <w:numPr>
          <w:ilvl w:val="0"/>
          <w:numId w:val="16"/>
        </w:numPr>
        <w:suppressAutoHyphens/>
      </w:pPr>
      <w:r w:rsidRPr="005F055E">
        <w:t>De gemiddelde contributie van voetbalverenigingen in het seizoen 2024/2025 bedraagt voor pupillen €142, €171 voor junioren en €223 voor senioren.</w:t>
      </w:r>
    </w:p>
    <w:p w:rsidRPr="005F055E" w:rsidR="00936238" w:rsidP="00180EEB" w:rsidRDefault="00936238" w14:paraId="1C3804CE" w14:textId="77777777">
      <w:pPr>
        <w:numPr>
          <w:ilvl w:val="0"/>
          <w:numId w:val="16"/>
        </w:numPr>
        <w:suppressAutoHyphens/>
      </w:pPr>
      <w:r w:rsidRPr="005F055E">
        <w:t>De gemiddelde contributie van hockeyverenigingen in het seizoen 2024/2025 bedraagt voor pupillen €260, €326 voor junioren en €349 voor senioren.</w:t>
      </w:r>
    </w:p>
    <w:p w:rsidRPr="005F055E" w:rsidR="00936238" w:rsidP="00180EEB" w:rsidRDefault="00936238" w14:paraId="2C1D0C4F" w14:textId="77777777">
      <w:pPr>
        <w:numPr>
          <w:ilvl w:val="0"/>
          <w:numId w:val="16"/>
        </w:numPr>
        <w:suppressAutoHyphens/>
      </w:pPr>
      <w:r w:rsidRPr="005F055E">
        <w:t>De gemiddelde contributie van atletiekverenigingen in het seizoen 2024/2025 bedraagt voor pupillen €144, €163 voor junioren en €169 voor senioren.</w:t>
      </w:r>
    </w:p>
    <w:p w:rsidRPr="005F055E" w:rsidR="00936238" w:rsidP="00180EEB" w:rsidRDefault="00936238" w14:paraId="716DF263" w14:textId="77777777">
      <w:pPr>
        <w:suppressAutoHyphens/>
      </w:pPr>
      <w:r w:rsidRPr="005F055E">
        <w:t>De meest recente cijfers van tenniscontributies komen uit de Contributiemonitor 2023/2024. Daarvoor geldt:</w:t>
      </w:r>
    </w:p>
    <w:p w:rsidRPr="005F055E" w:rsidR="00912A7D" w:rsidP="00180EEB" w:rsidRDefault="00936238" w14:paraId="28196EBC" w14:textId="20A613E6">
      <w:pPr>
        <w:numPr>
          <w:ilvl w:val="0"/>
          <w:numId w:val="17"/>
        </w:numPr>
        <w:suppressAutoHyphens/>
      </w:pPr>
      <w:r w:rsidRPr="005F055E">
        <w:t>De gemiddelde contributie van tennisverenigingen in het seizoen 2023/2024 bedraagt voor pupillen €62, €80 voor junioren en €151 voor senioren.</w:t>
      </w:r>
    </w:p>
    <w:p w:rsidRPr="005F055E" w:rsidR="00936238" w:rsidP="00180EEB" w:rsidRDefault="00936238" w14:paraId="6BBB9800" w14:textId="77777777">
      <w:pPr>
        <w:suppressAutoHyphens/>
        <w:ind w:left="720"/>
      </w:pPr>
    </w:p>
    <w:p w:rsidRPr="005F055E" w:rsidR="00912A7D" w:rsidP="00180EEB" w:rsidRDefault="003E7003" w14:paraId="5119A023" w14:textId="77777777">
      <w:pPr>
        <w:suppressAutoHyphens/>
      </w:pPr>
      <w:r w:rsidRPr="005F055E">
        <w:t>Vraag 195</w:t>
      </w:r>
      <w:r w:rsidRPr="005F055E">
        <w:tab/>
      </w:r>
    </w:p>
    <w:p w:rsidRPr="005F055E" w:rsidR="00912A7D" w:rsidP="00180EEB" w:rsidRDefault="003E7003" w14:paraId="17417FBF" w14:textId="77777777">
      <w:pPr>
        <w:suppressAutoHyphens/>
      </w:pPr>
      <w:r w:rsidRPr="005F055E">
        <w:t>Hoeveel kost een gemiddeld sportabonnement voor minderjarigen?</w:t>
      </w:r>
      <w:r w:rsidRPr="005F055E">
        <w:tab/>
      </w:r>
    </w:p>
    <w:p w:rsidRPr="005F055E" w:rsidR="003E7003" w:rsidP="00180EEB" w:rsidRDefault="003E7003" w14:paraId="5186F086" w14:textId="5F213029">
      <w:pPr>
        <w:suppressAutoHyphens/>
      </w:pPr>
      <w:r w:rsidRPr="005F055E">
        <w:t>Antwoord</w:t>
      </w:r>
    </w:p>
    <w:p w:rsidRPr="005F055E" w:rsidR="00912A7D" w:rsidP="00180EEB" w:rsidRDefault="00936238" w14:paraId="79A92FA9" w14:textId="630998BC">
      <w:pPr>
        <w:suppressAutoHyphens/>
      </w:pPr>
      <w:r w:rsidRPr="005F055E">
        <w:t xml:space="preserve">Uit onderzoek van het CBS (2023) blijkt dat van de 2,3 miljoen mensen met een sportabonnement bij een fitnesscentrum, er 250 duizend minderjarig zijn. Er zijn geen onderzoeksgegevens bekend over de gemiddelde prijs van een sportabonnement voor minderjarigen. Voor de beste benadering verwijst de </w:t>
      </w:r>
      <w:r w:rsidR="00AC5F77">
        <w:t xml:space="preserve">staatssecretaris Jeugd, Preventie en Sport </w:t>
      </w:r>
      <w:r w:rsidRPr="005F055E">
        <w:t>u naar de beantwoording van vraag 192.</w:t>
      </w:r>
    </w:p>
    <w:p w:rsidRPr="005F055E" w:rsidR="00912A7D" w:rsidP="00180EEB" w:rsidRDefault="003E7003" w14:paraId="04886590" w14:textId="77777777">
      <w:pPr>
        <w:suppressAutoHyphens/>
      </w:pPr>
      <w:r w:rsidRPr="005F055E">
        <w:t>Vraag 196</w:t>
      </w:r>
      <w:r w:rsidRPr="005F055E">
        <w:tab/>
      </w:r>
    </w:p>
    <w:p w:rsidRPr="005F055E" w:rsidR="00912A7D" w:rsidP="00180EEB" w:rsidRDefault="003E7003" w14:paraId="27FCA423" w14:textId="77777777">
      <w:pPr>
        <w:suppressAutoHyphens/>
      </w:pPr>
      <w:r w:rsidRPr="005F055E">
        <w:t>Hoe hoog is de gemiddelde contributie voor het lidmaatschap van een sportvereniging voor minderjarigen?</w:t>
      </w:r>
    </w:p>
    <w:p w:rsidRPr="005F055E" w:rsidR="003E7003" w:rsidP="00180EEB" w:rsidRDefault="003E7003" w14:paraId="40C61D65" w14:textId="22319960">
      <w:pPr>
        <w:suppressAutoHyphens/>
      </w:pPr>
      <w:r w:rsidRPr="005F055E">
        <w:t>Antwoord</w:t>
      </w:r>
    </w:p>
    <w:p w:rsidRPr="005F055E" w:rsidR="00912A7D" w:rsidP="00180EEB" w:rsidRDefault="00936238" w14:paraId="18C1FA5C" w14:textId="02356122">
      <w:pPr>
        <w:suppressAutoHyphens/>
      </w:pPr>
      <w:r w:rsidRPr="005F055E">
        <w:t xml:space="preserve">De door het </w:t>
      </w:r>
      <w:proofErr w:type="spellStart"/>
      <w:r w:rsidRPr="005F055E">
        <w:t>Mulier</w:t>
      </w:r>
      <w:proofErr w:type="spellEnd"/>
      <w:r w:rsidRPr="005F055E">
        <w:t xml:space="preserve"> Instituut gepubliceerde Contributiemonitor 2024/2025 biedt inzicht in de hoogten en ontwikkeling van de contributies van verschillende sporttakken. Hierin wordt per sport onderscheiden wat de gemiddelde contributie is voor pupillen, junioren en senioren. Hiervoor verwijst de </w:t>
      </w:r>
      <w:r w:rsidR="00AC5F77">
        <w:t xml:space="preserve">staatssecretaris Jeugd, Preventie en Sport </w:t>
      </w:r>
      <w:r w:rsidRPr="005F055E">
        <w:t>u naar de beantwoording van vraag 194. De Monitor biedt geen inzicht in de gemiddelde contributie van een sportvereniging voor minderjarigen over de gehele sportsector.</w:t>
      </w:r>
    </w:p>
    <w:p w:rsidRPr="005F055E" w:rsidR="00912A7D" w:rsidP="00180EEB" w:rsidRDefault="00912A7D" w14:paraId="0F37F22B" w14:textId="77777777">
      <w:pPr>
        <w:suppressAutoHyphens/>
      </w:pPr>
    </w:p>
    <w:p w:rsidRPr="005F055E" w:rsidR="00912A7D" w:rsidP="00180EEB" w:rsidRDefault="003E7003" w14:paraId="17E61A93" w14:textId="77777777">
      <w:pPr>
        <w:suppressAutoHyphens/>
      </w:pPr>
      <w:r w:rsidRPr="005F055E">
        <w:t>Vraag 197</w:t>
      </w:r>
      <w:r w:rsidRPr="005F055E">
        <w:tab/>
      </w:r>
    </w:p>
    <w:p w:rsidRPr="005F055E" w:rsidR="00912A7D" w:rsidP="00180EEB" w:rsidRDefault="003E7003" w14:paraId="2B5B2D5B" w14:textId="77777777">
      <w:pPr>
        <w:suppressAutoHyphens/>
      </w:pPr>
      <w:r w:rsidRPr="005F055E">
        <w:t>Hoeveel zou het kosten om iedere jongere tot 23 jaar een vrij besteedbaar sportbudget (bijvoorbeeld via een sportpas) te geven ter hoogte van de kosten van een gemiddeld sportabonnement of contributie van een sportvereniging?</w:t>
      </w:r>
      <w:r w:rsidRPr="005F055E">
        <w:tab/>
      </w:r>
    </w:p>
    <w:p w:rsidRPr="005F055E" w:rsidR="003E7003" w:rsidP="00180EEB" w:rsidRDefault="003E7003" w14:paraId="0B6287EF" w14:textId="63E7D632">
      <w:pPr>
        <w:suppressAutoHyphens/>
      </w:pPr>
      <w:r w:rsidRPr="005F055E">
        <w:t>Antwoord</w:t>
      </w:r>
    </w:p>
    <w:p w:rsidRPr="005F055E" w:rsidR="00936238" w:rsidP="00180EEB" w:rsidRDefault="00936238" w14:paraId="37881A9C" w14:textId="77777777">
      <w:pPr>
        <w:suppressAutoHyphens/>
      </w:pPr>
      <w:r w:rsidRPr="005F055E">
        <w:t>Zoals bij vraag 191 toegelicht, is een bedrag van minimaal afgerond €1,4 miljard nodig om voor iedere jongere tot en met 23 jaar een vrij besteedbaar sportbudget (bijvoorbeeld via een sportpas) te geven.</w:t>
      </w:r>
    </w:p>
    <w:p w:rsidRPr="005F055E" w:rsidR="00912A7D" w:rsidP="00180EEB" w:rsidRDefault="00912A7D" w14:paraId="05FEEE90" w14:textId="77777777">
      <w:pPr>
        <w:suppressAutoHyphens/>
      </w:pPr>
    </w:p>
    <w:p w:rsidRPr="005F055E" w:rsidR="00020B6A" w:rsidP="00180EEB" w:rsidRDefault="003E7003" w14:paraId="01F11859" w14:textId="77777777">
      <w:pPr>
        <w:suppressAutoHyphens/>
      </w:pPr>
      <w:r w:rsidRPr="005F055E">
        <w:t>Vraag 198</w:t>
      </w:r>
      <w:r w:rsidRPr="005F055E">
        <w:tab/>
      </w:r>
    </w:p>
    <w:p w:rsidRPr="005F055E" w:rsidR="00020B6A" w:rsidP="00180EEB" w:rsidRDefault="003E7003" w14:paraId="3E4B7041" w14:textId="77777777">
      <w:pPr>
        <w:suppressAutoHyphens/>
      </w:pPr>
      <w:r w:rsidRPr="005F055E">
        <w:t>Hoe lang zijn de wachtlijsten voor zwemles?</w:t>
      </w:r>
      <w:r w:rsidRPr="005F055E">
        <w:tab/>
      </w:r>
    </w:p>
    <w:p w:rsidR="006D333D" w:rsidP="00180EEB" w:rsidRDefault="006D333D" w14:paraId="4EED3705" w14:textId="77777777">
      <w:pPr>
        <w:suppressAutoHyphens/>
      </w:pPr>
    </w:p>
    <w:p w:rsidRPr="005F055E" w:rsidR="003E7003" w:rsidP="00180EEB" w:rsidRDefault="003E7003" w14:paraId="5E057FF0" w14:textId="56C4974D">
      <w:pPr>
        <w:suppressAutoHyphens/>
      </w:pPr>
      <w:r w:rsidRPr="005F055E">
        <w:t>Antwoord</w:t>
      </w:r>
    </w:p>
    <w:p w:rsidRPr="005F055E" w:rsidR="00936238" w:rsidP="00180EEB" w:rsidRDefault="00936238" w14:paraId="3AF343BF" w14:textId="77777777">
      <w:pPr>
        <w:suppressAutoHyphens/>
        <w:rPr>
          <w:szCs w:val="18"/>
        </w:rPr>
      </w:pPr>
      <w:r w:rsidRPr="005F055E">
        <w:rPr>
          <w:szCs w:val="18"/>
        </w:rPr>
        <w:t>Via de brief ‘Aanpak wachtlijsten zwemles en landelijk dekkend aanbod’ (Kamerstukken II 2022-2023, 30234, nr.366) is de Kamer geïnformeerd over het gegeven dat er geen centraal overzicht van wachttijden voor zwemles bestaat. Dit zou beperkte waarde hebben omdat ouders vaak hun kind al ruim voor de mogelijke startleeftijd (vaak 4-5 jaar) inschrijven of omdat kinderen op meerdere plekken ingeschreven staan. Vorig jaar informeerde de staatssecretaris van JPS de Kamer met de inschatting van de Nationale Raad Zwemveiligheid over de wachtlijsten voor zwemles. De raad gaf toen aan dat de wachttijd per locatie nog altijd sterk kan differentiëren van 0 tot 24 maanden, maar dat kinderen en hun ouders rekening kunnen houden met een gemiddelde wachttijd van circa 6 maanden. Op dit moment is er geen reden om aan te nemen dat deze wachttijd sterk gewijzigd is.</w:t>
      </w:r>
    </w:p>
    <w:p w:rsidRPr="005F055E" w:rsidR="00020B6A" w:rsidP="00180EEB" w:rsidRDefault="00020B6A" w14:paraId="391EC538" w14:textId="77777777">
      <w:pPr>
        <w:suppressAutoHyphens/>
      </w:pPr>
    </w:p>
    <w:p w:rsidRPr="005F055E" w:rsidR="00020B6A" w:rsidP="00180EEB" w:rsidRDefault="003E7003" w14:paraId="2165D49B" w14:textId="77777777">
      <w:pPr>
        <w:suppressAutoHyphens/>
      </w:pPr>
      <w:r w:rsidRPr="005F055E">
        <w:t>Vraag 199</w:t>
      </w:r>
      <w:r w:rsidRPr="005F055E">
        <w:tab/>
      </w:r>
    </w:p>
    <w:p w:rsidRPr="005F055E" w:rsidR="00020B6A" w:rsidP="00180EEB" w:rsidRDefault="003E7003" w14:paraId="62589599" w14:textId="77777777">
      <w:pPr>
        <w:suppressAutoHyphens/>
      </w:pPr>
      <w:r w:rsidRPr="005F055E">
        <w:t>Hoe groot is het tekort aan zwemdocenten?</w:t>
      </w:r>
      <w:r w:rsidRPr="005F055E">
        <w:tab/>
      </w:r>
    </w:p>
    <w:p w:rsidRPr="005F055E" w:rsidR="003E7003" w:rsidP="00180EEB" w:rsidRDefault="003E7003" w14:paraId="140A0929" w14:textId="5A9A0903">
      <w:pPr>
        <w:suppressAutoHyphens/>
      </w:pPr>
      <w:r w:rsidRPr="005F055E">
        <w:t>Antwoord</w:t>
      </w:r>
    </w:p>
    <w:p w:rsidRPr="005F055E" w:rsidR="00936238" w:rsidP="00180EEB" w:rsidRDefault="00936238" w14:paraId="16AB72BF" w14:textId="77777777">
      <w:pPr>
        <w:suppressAutoHyphens/>
        <w:rPr>
          <w:szCs w:val="18"/>
        </w:rPr>
      </w:pPr>
      <w:r w:rsidRPr="005F055E">
        <w:t xml:space="preserve">In het najaar van 2025 staan ongeveer 80 vacatures open voor zwemdocenten via het platform ‘Werken in het water’. In de zomer van 2024 is de Vereniging Werkgevers in Zwembaden en Zwemscholen een arbeidsmarktcampagne gestart via de website </w:t>
      </w:r>
      <w:hyperlink w:history="1" r:id="rId23">
        <w:r w:rsidRPr="005F055E">
          <w:t>www.werkeninhetwater.nl</w:t>
        </w:r>
      </w:hyperlink>
      <w:r w:rsidRPr="005F055E">
        <w:t xml:space="preserve"> om werken in zwembaden aantrekkelijker te maken.</w:t>
      </w:r>
    </w:p>
    <w:p w:rsidRPr="005F055E" w:rsidR="00CF1801" w:rsidP="00180EEB" w:rsidRDefault="00CF1801" w14:paraId="3608EAA5" w14:textId="77777777">
      <w:pPr>
        <w:suppressAutoHyphens/>
      </w:pPr>
    </w:p>
    <w:p w:rsidRPr="005F055E" w:rsidR="00020B6A" w:rsidP="00180EEB" w:rsidRDefault="003E7003" w14:paraId="4B421076" w14:textId="77777777">
      <w:pPr>
        <w:suppressAutoHyphens/>
      </w:pPr>
      <w:r w:rsidRPr="005F055E">
        <w:t>Vraag 200</w:t>
      </w:r>
      <w:r w:rsidRPr="005F055E">
        <w:tab/>
      </w:r>
    </w:p>
    <w:p w:rsidRPr="005F055E" w:rsidR="00020B6A" w:rsidP="00180EEB" w:rsidRDefault="003E7003" w14:paraId="4B31DD03" w14:textId="77777777">
      <w:pPr>
        <w:suppressAutoHyphens/>
      </w:pPr>
      <w:r w:rsidRPr="005F055E">
        <w:t>Hoeveel houden mensen die intramuraal wonen met een Wet langdurige zorg (</w:t>
      </w:r>
      <w:proofErr w:type="spellStart"/>
      <w:r w:rsidRPr="005F055E">
        <w:t>Wlz</w:t>
      </w:r>
      <w:proofErr w:type="spellEnd"/>
      <w:r w:rsidRPr="005F055E">
        <w:t>)-indicatie met een hoge eigen bijdrage maandelijks gemiddeld over na betaling daarvan?</w:t>
      </w:r>
      <w:r w:rsidRPr="005F055E">
        <w:tab/>
      </w:r>
    </w:p>
    <w:p w:rsidRPr="005F055E" w:rsidR="003E7003" w:rsidP="00180EEB" w:rsidRDefault="003E7003" w14:paraId="600E1DBE" w14:textId="407E5FE6">
      <w:pPr>
        <w:suppressAutoHyphens/>
      </w:pPr>
      <w:r w:rsidRPr="005F055E">
        <w:t>Antwoord</w:t>
      </w:r>
    </w:p>
    <w:p w:rsidRPr="005F055E" w:rsidR="00020B6A" w:rsidP="00180EEB" w:rsidRDefault="00936238" w14:paraId="23BF729A" w14:textId="1CAFAA8B">
      <w:pPr>
        <w:suppressAutoHyphens/>
      </w:pPr>
      <w:r w:rsidRPr="005F055E">
        <w:t xml:space="preserve">De hoogte van de intramurale eigen bijdrage </w:t>
      </w:r>
      <w:proofErr w:type="spellStart"/>
      <w:r w:rsidRPr="005F055E">
        <w:t>Wlz</w:t>
      </w:r>
      <w:proofErr w:type="spellEnd"/>
      <w:r w:rsidRPr="005F055E">
        <w:t xml:space="preserve"> hangt van veel factoren af, zoals het inkomen, het vermogen, de betaalde belasting, de leeftijd, en de huishoudsamenstelling. Het bedrag dat de cliënt uiteindelijk overhoudt hangt dan ook sterk af van de individuele situatie. De variatie tussen de cliënten is daarom ook groot en de waarde die het gemiddelde bedrag dat overblijft na eigen betalingen representeert, is daarom beperkt. Wel is het mogelijk een versimpelde berekening te maken voor de grootste groep die verblijft in een intramurale instelling, namelijk de alleenstaande zonder vermogen. Op basis van de gegevens van de CBS microdata is het gemiddelde bedrag dat deze groep overhoudt € 942 per maand na betaling van de eigen bijdrage </w:t>
      </w:r>
      <w:proofErr w:type="spellStart"/>
      <w:r w:rsidRPr="005F055E">
        <w:t>Wlz</w:t>
      </w:r>
      <w:proofErr w:type="spellEnd"/>
      <w:r w:rsidRPr="005F055E">
        <w:t xml:space="preserve"> in 2023. De systematiek van de eigen bijdrage </w:t>
      </w:r>
      <w:proofErr w:type="spellStart"/>
      <w:r w:rsidRPr="005F055E">
        <w:t>Wlz</w:t>
      </w:r>
      <w:proofErr w:type="spellEnd"/>
      <w:r w:rsidRPr="005F055E">
        <w:t xml:space="preserve"> waarborgt dat cliënten altijd tenminste het zak- en kleedgeld overhouden na betaling van de eigen bijdrage. De hoogte van het zak- en kleedgeld is in 2025 € 426 per maand voor een alleenstaande.</w:t>
      </w:r>
    </w:p>
    <w:p w:rsidRPr="005F055E" w:rsidR="00936238" w:rsidP="00180EEB" w:rsidRDefault="00936238" w14:paraId="59DF9574" w14:textId="77777777">
      <w:pPr>
        <w:suppressAutoHyphens/>
      </w:pPr>
    </w:p>
    <w:p w:rsidRPr="005F055E" w:rsidR="00020B6A" w:rsidP="00180EEB" w:rsidRDefault="003E7003" w14:paraId="1F0E3EE0" w14:textId="77777777">
      <w:pPr>
        <w:suppressAutoHyphens/>
      </w:pPr>
      <w:r w:rsidRPr="005F055E">
        <w:t>Vraag 201</w:t>
      </w:r>
      <w:r w:rsidRPr="005F055E">
        <w:tab/>
      </w:r>
    </w:p>
    <w:p w:rsidRPr="005F055E" w:rsidR="00020B6A" w:rsidP="00180EEB" w:rsidRDefault="003E7003" w14:paraId="05DFC722" w14:textId="77777777">
      <w:pPr>
        <w:suppressAutoHyphens/>
      </w:pPr>
      <w:r w:rsidRPr="005F055E">
        <w:t xml:space="preserve">Hoeveel houden mensen met een beperking die intramuraal wonen met een </w:t>
      </w:r>
      <w:proofErr w:type="spellStart"/>
      <w:r w:rsidRPr="005F055E">
        <w:t>Wlz</w:t>
      </w:r>
      <w:proofErr w:type="spellEnd"/>
      <w:r w:rsidRPr="005F055E">
        <w:t>-indicatie met een hoge eigen bijdrage maandelijks gemiddeld over na betaling daarvan?</w:t>
      </w:r>
      <w:r w:rsidRPr="005F055E">
        <w:tab/>
      </w:r>
    </w:p>
    <w:p w:rsidRPr="005F055E" w:rsidR="003E7003" w:rsidP="00180EEB" w:rsidRDefault="003E7003" w14:paraId="1897F68A" w14:textId="008EEB26">
      <w:pPr>
        <w:suppressAutoHyphens/>
      </w:pPr>
      <w:r w:rsidRPr="005F055E">
        <w:t>Antwoord</w:t>
      </w:r>
    </w:p>
    <w:p w:rsidRPr="005F055E" w:rsidR="00936238" w:rsidP="00180EEB" w:rsidRDefault="00936238" w14:paraId="57E3D85A" w14:textId="790BA62D">
      <w:pPr>
        <w:suppressAutoHyphens/>
      </w:pPr>
      <w:r w:rsidRPr="005F055E">
        <w:t xml:space="preserve">De hoogte van de intramurale eigen bijdrage </w:t>
      </w:r>
      <w:proofErr w:type="spellStart"/>
      <w:r w:rsidRPr="005F055E">
        <w:t>Wlz</w:t>
      </w:r>
      <w:proofErr w:type="spellEnd"/>
      <w:r w:rsidRPr="005F055E">
        <w:t xml:space="preserve"> hangt van veel factoren af, zoals het inkomen, het vermogen, de betaalde belasting, de leeftijd, en de huishoudsamenstelling. Het bedrag dat de cliënt uiteindelijk overhoudt hangt dan ook sterk af van de individuele situatie. De variatie tussen de cliënten is daarom ook groot en de waarde die het </w:t>
      </w:r>
      <w:r w:rsidRPr="005F055E">
        <w:rPr>
          <w:i/>
          <w:iCs/>
        </w:rPr>
        <w:t>gemiddelde</w:t>
      </w:r>
      <w:r w:rsidRPr="005F055E">
        <w:t xml:space="preserve"> bedrag dat overblijft na eigen betalingen representeert, is daarom beperkt.</w:t>
      </w:r>
    </w:p>
    <w:p w:rsidR="006D333D" w:rsidP="00180EEB" w:rsidRDefault="006D333D" w14:paraId="160F698F" w14:textId="77777777">
      <w:pPr>
        <w:suppressAutoHyphens/>
      </w:pPr>
    </w:p>
    <w:p w:rsidRPr="005F055E" w:rsidR="00020B6A" w:rsidP="00180EEB" w:rsidRDefault="00936238" w14:paraId="5E9A94BF" w14:textId="7D6490AE">
      <w:pPr>
        <w:suppressAutoHyphens/>
      </w:pPr>
      <w:r w:rsidRPr="005F055E">
        <w:t xml:space="preserve">Wel is het mogelijk een versimpelde berekening te maken voor de grootste groep die verblijft in de intramurale gehandicaptenzorg, nl. een alleenstaande zonder vermogen. Op basis van microdata van het CBS uit 2023 hielden deze cliënten gemiddeld </w:t>
      </w:r>
      <w:r w:rsidRPr="005F055E">
        <w:rPr>
          <w:rFonts w:cstheme="minorHAnsi"/>
        </w:rPr>
        <w:t xml:space="preserve">€ </w:t>
      </w:r>
      <w:r w:rsidRPr="005F055E">
        <w:t xml:space="preserve">897 per maand over na betaling van de eigen bijdrage </w:t>
      </w:r>
      <w:proofErr w:type="spellStart"/>
      <w:r w:rsidRPr="005F055E">
        <w:t>Wlz</w:t>
      </w:r>
      <w:proofErr w:type="spellEnd"/>
      <w:r w:rsidRPr="005F055E">
        <w:t xml:space="preserve"> in 2023. </w:t>
      </w:r>
    </w:p>
    <w:p w:rsidRPr="005F055E" w:rsidR="00020B6A" w:rsidP="00180EEB" w:rsidRDefault="00020B6A" w14:paraId="75345AED" w14:textId="77777777">
      <w:pPr>
        <w:suppressAutoHyphens/>
      </w:pPr>
    </w:p>
    <w:p w:rsidRPr="005F055E" w:rsidR="00020B6A" w:rsidP="00180EEB" w:rsidRDefault="003E7003" w14:paraId="01FF782C" w14:textId="77777777">
      <w:pPr>
        <w:suppressAutoHyphens/>
      </w:pPr>
      <w:r w:rsidRPr="005F055E">
        <w:t>Vraag 202</w:t>
      </w:r>
      <w:r w:rsidRPr="005F055E">
        <w:tab/>
      </w:r>
    </w:p>
    <w:p w:rsidRPr="005F055E" w:rsidR="00020B6A" w:rsidP="00180EEB" w:rsidRDefault="003E7003" w14:paraId="02C37F4E" w14:textId="77777777">
      <w:pPr>
        <w:suppressAutoHyphens/>
      </w:pPr>
      <w:r w:rsidRPr="005F055E">
        <w:t xml:space="preserve">Hoeveel houden ouderen die intramuraal wonen met een </w:t>
      </w:r>
      <w:proofErr w:type="spellStart"/>
      <w:r w:rsidRPr="005F055E">
        <w:t>Wlz</w:t>
      </w:r>
      <w:proofErr w:type="spellEnd"/>
      <w:r w:rsidRPr="005F055E">
        <w:t>-indicatie met een hoge eigen bijdrage maandelijks gemiddeld over na betaling daarvan?</w:t>
      </w:r>
      <w:r w:rsidRPr="005F055E">
        <w:tab/>
      </w:r>
    </w:p>
    <w:p w:rsidRPr="005F055E" w:rsidR="003E7003" w:rsidP="00180EEB" w:rsidRDefault="003E7003" w14:paraId="18D9D0EB" w14:textId="40B1DEF7">
      <w:pPr>
        <w:suppressAutoHyphens/>
      </w:pPr>
      <w:r w:rsidRPr="005F055E">
        <w:t>Antwoord</w:t>
      </w:r>
    </w:p>
    <w:p w:rsidRPr="005F055E" w:rsidR="00D07289" w:rsidP="00180EEB" w:rsidRDefault="00D07289" w14:paraId="0E9A57DC" w14:textId="77777777">
      <w:pPr>
        <w:suppressAutoHyphens/>
      </w:pPr>
      <w:r w:rsidRPr="005F055E">
        <w:t xml:space="preserve">De hoogte van de intramurale eigen bijdrage </w:t>
      </w:r>
      <w:proofErr w:type="spellStart"/>
      <w:r w:rsidRPr="005F055E">
        <w:t>Wlz</w:t>
      </w:r>
      <w:proofErr w:type="spellEnd"/>
      <w:r w:rsidRPr="005F055E">
        <w:t xml:space="preserve"> hangt van veel factoren af, zoals het inkomen, het vermogen, de betaalde belasting, de leeftijd, en de huishoudsamenstelling. Het bedrag dat de cliënt uiteindelijk overhoudt hangt dan ook sterk af van de individuele situatie. De variatie tussen de cliënten is daarom ook groot en de waarde die het </w:t>
      </w:r>
      <w:r w:rsidRPr="005F055E">
        <w:rPr>
          <w:i/>
          <w:iCs/>
        </w:rPr>
        <w:t>gemiddelde</w:t>
      </w:r>
      <w:r w:rsidRPr="005F055E">
        <w:t xml:space="preserve"> bedrag dat overblijft na eigen betalingen representeert, is daarom beperkt.</w:t>
      </w:r>
    </w:p>
    <w:p w:rsidRPr="005F055E" w:rsidR="00D07289" w:rsidP="00180EEB" w:rsidRDefault="00D07289" w14:paraId="52293C48" w14:textId="77777777">
      <w:pPr>
        <w:suppressAutoHyphens/>
      </w:pPr>
    </w:p>
    <w:p w:rsidRPr="005F055E" w:rsidR="00D07289" w:rsidP="00180EEB" w:rsidRDefault="00D07289" w14:paraId="12FA7A30" w14:textId="77777777">
      <w:pPr>
        <w:suppressAutoHyphens/>
      </w:pPr>
      <w:r w:rsidRPr="005F055E">
        <w:t xml:space="preserve">Wel is het mogelijk een versimpelde berekening te maken voor de grootste groep die verblijft in de intramurale verpleging &amp; verzorging, nl. een alleenstaande zonder vermogen. Op basis van microdata van het CBS uit 2023 hielden deze cliënten gemiddeld </w:t>
      </w:r>
      <w:r w:rsidRPr="005F055E">
        <w:rPr>
          <w:rFonts w:cstheme="minorHAnsi"/>
        </w:rPr>
        <w:t xml:space="preserve">€ </w:t>
      </w:r>
      <w:r w:rsidRPr="005F055E">
        <w:t xml:space="preserve">992 per maand over na betaling van de eigen bijdrage </w:t>
      </w:r>
      <w:proofErr w:type="spellStart"/>
      <w:r w:rsidRPr="005F055E">
        <w:t>Wlz</w:t>
      </w:r>
      <w:proofErr w:type="spellEnd"/>
      <w:r w:rsidRPr="005F055E">
        <w:t xml:space="preserve"> in 2023. </w:t>
      </w:r>
    </w:p>
    <w:p w:rsidRPr="005F055E" w:rsidR="00020B6A" w:rsidP="00180EEB" w:rsidRDefault="00020B6A" w14:paraId="75492967" w14:textId="77777777">
      <w:pPr>
        <w:suppressAutoHyphens/>
      </w:pPr>
    </w:p>
    <w:p w:rsidRPr="005F055E" w:rsidR="00020B6A" w:rsidP="00180EEB" w:rsidRDefault="003E7003" w14:paraId="5E33234D" w14:textId="77777777">
      <w:pPr>
        <w:suppressAutoHyphens/>
      </w:pPr>
      <w:r w:rsidRPr="005F055E">
        <w:t>Vraag 203</w:t>
      </w:r>
      <w:r w:rsidRPr="005F055E">
        <w:tab/>
      </w:r>
    </w:p>
    <w:p w:rsidRPr="005F055E" w:rsidR="00020B6A" w:rsidP="00180EEB" w:rsidRDefault="003E7003" w14:paraId="65CB8E54" w14:textId="4EC05F31">
      <w:pPr>
        <w:suppressAutoHyphens/>
      </w:pPr>
      <w:r w:rsidRPr="005F055E">
        <w:t xml:space="preserve">Hoeveel houden mensen met een minimuminkomen die intramuraal wonen met een </w:t>
      </w:r>
      <w:proofErr w:type="spellStart"/>
      <w:r w:rsidRPr="005F055E">
        <w:t>Wlz</w:t>
      </w:r>
      <w:proofErr w:type="spellEnd"/>
      <w:r w:rsidRPr="005F055E">
        <w:t>-indicatie met een hoge eigen bijdrage maandelijks gemiddeld over na betaling daarvan?</w:t>
      </w:r>
      <w:r w:rsidRPr="005F055E">
        <w:tab/>
      </w:r>
    </w:p>
    <w:p w:rsidRPr="005F055E" w:rsidR="003E7003" w:rsidP="00180EEB" w:rsidRDefault="003E7003" w14:paraId="77309777" w14:textId="6ADE1B55">
      <w:pPr>
        <w:suppressAutoHyphens/>
      </w:pPr>
      <w:r w:rsidRPr="005F055E">
        <w:t>Antwoord</w:t>
      </w:r>
    </w:p>
    <w:p w:rsidRPr="005F055E" w:rsidR="00020B6A" w:rsidP="00180EEB" w:rsidRDefault="00D07289" w14:paraId="2EB4F4D1" w14:textId="13495735">
      <w:pPr>
        <w:suppressAutoHyphens/>
      </w:pPr>
      <w:r w:rsidRPr="005F055E">
        <w:t xml:space="preserve">AOW-gerechtigde cliënten en niet AOW-gerechtigde cliënten hebben een verschillend minimuminkomen. Een alleenstaande </w:t>
      </w:r>
      <w:r w:rsidRPr="005F055E" w:rsidR="00E043BF">
        <w:t>AOW’er</w:t>
      </w:r>
      <w:r w:rsidRPr="005F055E">
        <w:t xml:space="preserve">, met alleen AOW en geen vermogen houdt na betaling van de eigen bijdrage </w:t>
      </w:r>
      <w:proofErr w:type="spellStart"/>
      <w:r w:rsidRPr="005F055E">
        <w:t>Wlz</w:t>
      </w:r>
      <w:proofErr w:type="spellEnd"/>
      <w:r w:rsidRPr="005F055E">
        <w:t xml:space="preserve">, de nominale </w:t>
      </w:r>
      <w:proofErr w:type="spellStart"/>
      <w:r w:rsidRPr="005F055E">
        <w:t>Zvw</w:t>
      </w:r>
      <w:proofErr w:type="spellEnd"/>
      <w:r w:rsidRPr="005F055E">
        <w:t xml:space="preserve">-premie, het (gemiddelde) eigen risico </w:t>
      </w:r>
      <w:proofErr w:type="spellStart"/>
      <w:r w:rsidRPr="005F055E">
        <w:t>Zvw</w:t>
      </w:r>
      <w:proofErr w:type="spellEnd"/>
      <w:r w:rsidRPr="005F055E">
        <w:t xml:space="preserve"> en de</w:t>
      </w:r>
      <w:r w:rsidRPr="005F055E" w:rsidR="00D73F76">
        <w:t xml:space="preserve"> </w:t>
      </w:r>
      <w:r w:rsidRPr="005F055E">
        <w:t xml:space="preserve">ontvangst van de zorgtoeslag </w:t>
      </w:r>
      <w:r w:rsidRPr="005F055E">
        <w:rPr>
          <w:rFonts w:cstheme="minorHAnsi"/>
        </w:rPr>
        <w:t xml:space="preserve">€ </w:t>
      </w:r>
      <w:r w:rsidRPr="005F055E">
        <w:t xml:space="preserve">748 per maand over. Bij een alleenstaande met alleen een Wajong-uitkering en geen vermogen is dit </w:t>
      </w:r>
      <w:r w:rsidRPr="005F055E">
        <w:rPr>
          <w:rFonts w:cstheme="minorHAnsi"/>
        </w:rPr>
        <w:t xml:space="preserve">€ </w:t>
      </w:r>
      <w:r w:rsidRPr="005F055E">
        <w:t xml:space="preserve">731 per maand. Hierbij is er van uitgegaan dat er in beide gevallen loonbelasting is betaald en er geen gebruik is gemaakt van aftrekposten. </w:t>
      </w:r>
    </w:p>
    <w:p w:rsidRPr="005F055E" w:rsidR="00020B6A" w:rsidP="00180EEB" w:rsidRDefault="00020B6A" w14:paraId="58E662D7" w14:textId="77777777">
      <w:pPr>
        <w:suppressAutoHyphens/>
        <w:rPr>
          <w:highlight w:val="yellow"/>
        </w:rPr>
      </w:pPr>
    </w:p>
    <w:p w:rsidRPr="005F055E" w:rsidR="00020B6A" w:rsidP="00180EEB" w:rsidRDefault="003E7003" w14:paraId="2D16ABCB" w14:textId="77777777">
      <w:pPr>
        <w:suppressAutoHyphens/>
      </w:pPr>
      <w:r w:rsidRPr="005F055E">
        <w:t>Vraag 204</w:t>
      </w:r>
      <w:r w:rsidRPr="005F055E">
        <w:tab/>
      </w:r>
    </w:p>
    <w:p w:rsidRPr="005F055E" w:rsidR="00020B6A" w:rsidP="00180EEB" w:rsidRDefault="003E7003" w14:paraId="1C52F51E" w14:textId="3592425C">
      <w:pPr>
        <w:suppressAutoHyphens/>
      </w:pPr>
      <w:r w:rsidRPr="005F055E">
        <w:t xml:space="preserve">Hoeveel houden mensen met een beperking en een minimuminkomen die intramuraal wonen met een </w:t>
      </w:r>
      <w:proofErr w:type="spellStart"/>
      <w:r w:rsidRPr="005F055E">
        <w:t>Wlz</w:t>
      </w:r>
      <w:proofErr w:type="spellEnd"/>
      <w:r w:rsidRPr="005F055E">
        <w:t>-indicatie met een hoge eigen bijdrage maandelijks gemiddeld over na betaling daarvan?</w:t>
      </w:r>
    </w:p>
    <w:p w:rsidRPr="005F055E" w:rsidR="003E7003" w:rsidP="00180EEB" w:rsidRDefault="003E7003" w14:paraId="1E2FB71B" w14:textId="59C95872">
      <w:pPr>
        <w:suppressAutoHyphens/>
      </w:pPr>
      <w:r w:rsidRPr="005F055E">
        <w:t>Antwoord</w:t>
      </w:r>
    </w:p>
    <w:p w:rsidRPr="005F055E" w:rsidR="00020B6A" w:rsidP="00180EEB" w:rsidRDefault="00D07289" w14:paraId="312F7D62" w14:textId="3111510B">
      <w:pPr>
        <w:suppressAutoHyphens/>
        <w:rPr>
          <w:b/>
          <w:bCs/>
        </w:rPr>
      </w:pPr>
      <w:r w:rsidRPr="005F055E">
        <w:t xml:space="preserve">Onder de aanname dat een cliënt in de gehandicaptenzorg nog niet AOW-gerechtigd is en geen partner en geen vermogen heeft, wordt een minimuminkomen gelijk gesteld aan de Wajong-uitkering. De cliënt houdt na betaling van de eigen bijdrage </w:t>
      </w:r>
      <w:proofErr w:type="spellStart"/>
      <w:r w:rsidRPr="005F055E">
        <w:t>Wlz</w:t>
      </w:r>
      <w:proofErr w:type="spellEnd"/>
      <w:r w:rsidRPr="005F055E">
        <w:t xml:space="preserve">, de nominale </w:t>
      </w:r>
      <w:proofErr w:type="spellStart"/>
      <w:r w:rsidRPr="005F055E">
        <w:t>Zvw</w:t>
      </w:r>
      <w:proofErr w:type="spellEnd"/>
      <w:r w:rsidRPr="005F055E">
        <w:t xml:space="preserve">-premie, het (gemiddelde) eigen risico </w:t>
      </w:r>
      <w:proofErr w:type="spellStart"/>
      <w:r w:rsidRPr="005F055E">
        <w:t>Zvw</w:t>
      </w:r>
      <w:proofErr w:type="spellEnd"/>
      <w:r w:rsidRPr="005F055E">
        <w:t xml:space="preserve"> en na ontvangst van de zorgtoeslag </w:t>
      </w:r>
      <w:r w:rsidRPr="005F055E">
        <w:rPr>
          <w:rFonts w:cstheme="minorHAnsi"/>
        </w:rPr>
        <w:t xml:space="preserve">€ </w:t>
      </w:r>
      <w:r w:rsidRPr="005F055E">
        <w:t>731 per maand over.</w:t>
      </w:r>
    </w:p>
    <w:p w:rsidRPr="005F055E" w:rsidR="00020B6A" w:rsidP="00180EEB" w:rsidRDefault="00020B6A" w14:paraId="790421DE" w14:textId="77777777">
      <w:pPr>
        <w:suppressAutoHyphens/>
      </w:pPr>
    </w:p>
    <w:p w:rsidRPr="005F055E" w:rsidR="00020B6A" w:rsidP="00180EEB" w:rsidRDefault="003E7003" w14:paraId="09EE2BAA" w14:textId="77777777">
      <w:pPr>
        <w:suppressAutoHyphens/>
      </w:pPr>
      <w:r w:rsidRPr="005F055E">
        <w:t>Vraag 205</w:t>
      </w:r>
      <w:r w:rsidRPr="005F055E">
        <w:tab/>
      </w:r>
    </w:p>
    <w:p w:rsidRPr="005F055E" w:rsidR="00020B6A" w:rsidP="00180EEB" w:rsidRDefault="003E7003" w14:paraId="5BD66F25" w14:textId="77777777">
      <w:pPr>
        <w:suppressAutoHyphens/>
      </w:pPr>
      <w:r w:rsidRPr="005F055E">
        <w:t xml:space="preserve">Hoeveel houden ouderen met een minimuminkomen die intramuraal wonen met een </w:t>
      </w:r>
      <w:proofErr w:type="spellStart"/>
      <w:r w:rsidRPr="005F055E">
        <w:t>Wlz</w:t>
      </w:r>
      <w:proofErr w:type="spellEnd"/>
      <w:r w:rsidRPr="005F055E">
        <w:t>-indicatie met een hoge eigen bijdrage maandelijks gemiddeld over na betaling daarvan?</w:t>
      </w:r>
      <w:r w:rsidRPr="005F055E">
        <w:tab/>
      </w:r>
    </w:p>
    <w:p w:rsidR="006D333D" w:rsidP="00180EEB" w:rsidRDefault="006D333D" w14:paraId="14F5A802" w14:textId="77777777">
      <w:pPr>
        <w:suppressAutoHyphens/>
      </w:pPr>
    </w:p>
    <w:p w:rsidRPr="005F055E" w:rsidR="003E7003" w:rsidP="00180EEB" w:rsidRDefault="003E7003" w14:paraId="2790387D" w14:textId="685160A6">
      <w:pPr>
        <w:suppressAutoHyphens/>
      </w:pPr>
      <w:r w:rsidRPr="005F055E">
        <w:t>Antwoord</w:t>
      </w:r>
    </w:p>
    <w:p w:rsidRPr="005F055E" w:rsidR="00D07289" w:rsidP="00180EEB" w:rsidRDefault="00D07289" w14:paraId="00E3D40B" w14:textId="77777777">
      <w:pPr>
        <w:suppressAutoHyphens/>
      </w:pPr>
      <w:r w:rsidRPr="005F055E">
        <w:t xml:space="preserve">Onder de aanname dat een cliënt in de verpleging &amp; verzorging AOW-gerechtigd is en geen partner en geen vermogen heeft, wordt een minimuminkomen gelijk gesteld aan de AOW-uitkering. De cliënt houdt na betaling van de eigen bijdrage </w:t>
      </w:r>
      <w:proofErr w:type="spellStart"/>
      <w:r w:rsidRPr="005F055E">
        <w:t>Wlz</w:t>
      </w:r>
      <w:proofErr w:type="spellEnd"/>
      <w:r w:rsidRPr="005F055E">
        <w:t xml:space="preserve">, de nominale </w:t>
      </w:r>
      <w:proofErr w:type="spellStart"/>
      <w:r w:rsidRPr="005F055E">
        <w:t>Zvw</w:t>
      </w:r>
      <w:proofErr w:type="spellEnd"/>
      <w:r w:rsidRPr="005F055E">
        <w:t xml:space="preserve">-premie, het (gemiddelde) eigen risico </w:t>
      </w:r>
      <w:proofErr w:type="spellStart"/>
      <w:r w:rsidRPr="005F055E">
        <w:t>Zvw</w:t>
      </w:r>
      <w:proofErr w:type="spellEnd"/>
      <w:r w:rsidRPr="005F055E">
        <w:t xml:space="preserve"> en na ontvangst van de zorgtoeslag </w:t>
      </w:r>
      <w:r w:rsidRPr="005F055E">
        <w:rPr>
          <w:rFonts w:cstheme="minorHAnsi"/>
        </w:rPr>
        <w:t xml:space="preserve">€ </w:t>
      </w:r>
      <w:r w:rsidRPr="005F055E">
        <w:t>748 per maand over.</w:t>
      </w:r>
    </w:p>
    <w:p w:rsidRPr="005F055E" w:rsidR="00020B6A" w:rsidP="00180EEB" w:rsidRDefault="00020B6A" w14:paraId="6ABDB52D" w14:textId="77777777">
      <w:pPr>
        <w:suppressAutoHyphens/>
      </w:pPr>
    </w:p>
    <w:p w:rsidRPr="005F055E" w:rsidR="00020B6A" w:rsidP="00180EEB" w:rsidRDefault="003E7003" w14:paraId="7281607C" w14:textId="77777777">
      <w:pPr>
        <w:suppressAutoHyphens/>
      </w:pPr>
      <w:r w:rsidRPr="005F055E">
        <w:t>Vraag 206</w:t>
      </w:r>
      <w:r w:rsidRPr="005F055E">
        <w:tab/>
      </w:r>
    </w:p>
    <w:p w:rsidRPr="005F055E" w:rsidR="00020B6A" w:rsidP="00180EEB" w:rsidRDefault="003E7003" w14:paraId="2FBA9A3D" w14:textId="77777777">
      <w:pPr>
        <w:suppressAutoHyphens/>
      </w:pPr>
      <w:r w:rsidRPr="005F055E">
        <w:t>Hoe heeft het aantal onverzekerde Nederlanders zich de afgelopen jaren ontwikkeld?</w:t>
      </w:r>
      <w:r w:rsidRPr="005F055E">
        <w:tab/>
      </w:r>
    </w:p>
    <w:p w:rsidRPr="005F055E" w:rsidR="003E7003" w:rsidP="00180EEB" w:rsidRDefault="003E7003" w14:paraId="62D3D74B" w14:textId="685F6BE2">
      <w:pPr>
        <w:suppressAutoHyphens/>
      </w:pPr>
      <w:r w:rsidRPr="005F055E">
        <w:t>Antwoord</w:t>
      </w:r>
    </w:p>
    <w:p w:rsidRPr="005F055E" w:rsidR="00020B6A" w:rsidP="00180EEB" w:rsidRDefault="00020B6A" w14:paraId="56799A47" w14:textId="768A70D5">
      <w:pPr>
        <w:suppressAutoHyphens/>
        <w:spacing w:line="240" w:lineRule="atLeast"/>
        <w:rPr>
          <w:szCs w:val="18"/>
          <w:lang w:eastAsia="nl-NL"/>
        </w:rPr>
      </w:pPr>
      <w:r w:rsidRPr="005F055E">
        <w:rPr>
          <w:szCs w:val="18"/>
          <w:lang w:eastAsia="nl-NL"/>
        </w:rPr>
        <w:t xml:space="preserve">Het precieze aantal onverzekerde Nederlanders en de ontwikkeling daarvan, is onbekend. Veel onverzekerde Nederlanders zijn niet zichtbaar in overheidssystemen. Zij kunnen daarom niet worden opgespoord door de SVB, niet worden aangeschreven door het CAK, en niet worden beboet en ambtshalve verzekerd door het CAK. Deze werkwijze betreft de regeling Opsporing en verzekering onverzekerden zorgverzekering. In dit proces zitten doorgaans circa 25.000 mensen, waarvan een groot deel arbeidsmigranten en buitenlandse studenten. Een onbekend deel van dit aantal is een Nederlandse ingezetene. </w:t>
      </w:r>
    </w:p>
    <w:p w:rsidRPr="005F055E" w:rsidR="00020B6A" w:rsidP="00180EEB" w:rsidRDefault="00020B6A" w14:paraId="3CA984B0" w14:textId="005EE605">
      <w:pPr>
        <w:suppressAutoHyphens/>
        <w:spacing w:line="240" w:lineRule="atLeast"/>
      </w:pPr>
      <w:r w:rsidRPr="005F055E">
        <w:rPr>
          <w:szCs w:val="18"/>
          <w:lang w:eastAsia="nl-NL"/>
        </w:rPr>
        <w:t>Voor een indicatie van het aantal onverzekerde Nederlanders kan ook gekeken worden naar de subsidieregeling medisch noodzakelijke zorg aan onverzekerden (SOV). Zorgaanbieders kunnen de kosten van zorg aan onverzekerden declareren bij het CAK ten laste van de SOV. Het CAK stelt dat ongeveer 30% van de zorgkosten van de SOV (het totaal bedraagt circa € 100 m</w:t>
      </w:r>
      <w:r w:rsidRPr="005F055E" w:rsidR="000D3B9D">
        <w:rPr>
          <w:szCs w:val="18"/>
          <w:lang w:eastAsia="nl-NL"/>
        </w:rPr>
        <w:t>iljoen</w:t>
      </w:r>
      <w:r w:rsidRPr="005F055E">
        <w:rPr>
          <w:szCs w:val="18"/>
          <w:lang w:eastAsia="nl-NL"/>
        </w:rPr>
        <w:t xml:space="preserve"> in 2025) wordt gemaakt voor mensen met een Nederlandse nationaliteit. Gemiddeld genomen wordt er voor circa 32.000 patiënten per jaar gedeclareerd. Dit zou betekenen dat de zorg aan circa 10.000 onverzekerde Nederlanders ten laste komt van de SOV. Het totale aantal onverzekerde Nederlanders - inclusief de onverzekerde Nederlanders aan wie geen zorg wordt geleverd ten laste van de SOV - is onbekend. </w:t>
      </w:r>
    </w:p>
    <w:p w:rsidRPr="005F055E" w:rsidR="00D07289" w:rsidP="00180EEB" w:rsidRDefault="00D07289" w14:paraId="2520DAA2" w14:textId="77777777">
      <w:pPr>
        <w:suppressAutoHyphens/>
      </w:pPr>
    </w:p>
    <w:p w:rsidRPr="005F055E" w:rsidR="00020B6A" w:rsidP="00180EEB" w:rsidRDefault="003E7003" w14:paraId="29DC4D94" w14:textId="77777777">
      <w:pPr>
        <w:suppressAutoHyphens/>
      </w:pPr>
      <w:r w:rsidRPr="005F055E">
        <w:t>Vraag 207</w:t>
      </w:r>
      <w:r w:rsidRPr="005F055E">
        <w:tab/>
      </w:r>
    </w:p>
    <w:p w:rsidRPr="005F055E" w:rsidR="00020B6A" w:rsidP="00180EEB" w:rsidRDefault="003E7003" w14:paraId="1F7F8E92" w14:textId="77777777">
      <w:pPr>
        <w:suppressAutoHyphens/>
      </w:pPr>
      <w:r w:rsidRPr="005F055E">
        <w:t>Hoeveel zou het kosten om het aantal plaatsen in de vrouwenopvang te verhogen naar 1.800, in lijn met het verdrag van Istanbul?</w:t>
      </w:r>
      <w:r w:rsidRPr="005F055E">
        <w:tab/>
      </w:r>
    </w:p>
    <w:p w:rsidRPr="005F055E" w:rsidR="003E7003" w:rsidP="00180EEB" w:rsidRDefault="003E7003" w14:paraId="73F747D0" w14:textId="0398FF1C">
      <w:pPr>
        <w:suppressAutoHyphens/>
      </w:pPr>
      <w:r w:rsidRPr="005F055E">
        <w:t>Antwoord</w:t>
      </w:r>
    </w:p>
    <w:p w:rsidRPr="005F055E" w:rsidR="00630335" w:rsidP="00180EEB" w:rsidRDefault="00630335" w14:paraId="3F777C11" w14:textId="77777777">
      <w:pPr>
        <w:suppressAutoHyphens/>
        <w:spacing w:line="240" w:lineRule="atLeast"/>
        <w:rPr>
          <w:szCs w:val="18"/>
          <w:lang w:eastAsia="nl-NL"/>
        </w:rPr>
      </w:pPr>
      <w:bookmarkStart w:name="_Hlk210736689" w:id="40"/>
      <w:r w:rsidRPr="005F055E">
        <w:rPr>
          <w:szCs w:val="18"/>
          <w:lang w:eastAsia="nl-NL"/>
        </w:rPr>
        <w:t xml:space="preserve">Branchevereniging </w:t>
      </w:r>
      <w:proofErr w:type="spellStart"/>
      <w:r w:rsidRPr="005F055E">
        <w:rPr>
          <w:szCs w:val="18"/>
          <w:lang w:eastAsia="nl-NL"/>
        </w:rPr>
        <w:t>Valente</w:t>
      </w:r>
      <w:proofErr w:type="spellEnd"/>
      <w:r w:rsidRPr="005F055E">
        <w:rPr>
          <w:szCs w:val="18"/>
          <w:lang w:eastAsia="nl-NL"/>
        </w:rPr>
        <w:t xml:space="preserve"> heeft in het kader van het huidige capaciteitstekort een berekening gemaakt waarbij geldt dat voor de realisatie van 153 extra opvangplaatsen (30 crisisplekken en 123 vervolgplekken) structureel € 12 miljoen nodig is. Gemiddeld genomen is daarmee 78.431 euro benodigd voor de financiering van één opvangplaats in de vrouwenopvang. De verantwoordelijkheid voor het organiseren en financieren van de vrouwenopvang is een gemeentelijke verantwoordelijkheid op grond van de Wmo2015. Er kunnen regionale verschillen bestaan in kostprijzen die gelden voor de vrouwenopvang en er bestaat geen landelijk inzicht in deze kostprijzen. In het Verdrag van Istanbul is de aanbeveling opgenomen de norm van 1 opvangplaats per 10.000 inwoners te hanteren. Daarbij wordt gesteld dat het daadwerkelijk aantal opvangplaatsen moet worden afgestemd op de nationale context van de lidstaat; de norm is daarmee geen verplichting. Voor de Nederlandse context is met de Vereniging Nederlandse Gemeenten (VNG) en branchevereniging </w:t>
      </w:r>
      <w:proofErr w:type="spellStart"/>
      <w:r w:rsidRPr="005F055E">
        <w:rPr>
          <w:szCs w:val="18"/>
          <w:lang w:eastAsia="nl-NL"/>
        </w:rPr>
        <w:t>Valente</w:t>
      </w:r>
      <w:proofErr w:type="spellEnd"/>
      <w:r w:rsidRPr="005F055E">
        <w:rPr>
          <w:szCs w:val="18"/>
          <w:lang w:eastAsia="nl-NL"/>
        </w:rPr>
        <w:t xml:space="preserve"> besproken dat 1.800 opvangplaatsen niet passend is in verhouding tot het aantal slachtoffers met een opvangbehoefte; het is echter lastig te bepalen welk aantal wel passend is voor de Nederlandse context. </w:t>
      </w:r>
      <w:bookmarkEnd w:id="40"/>
      <w:r w:rsidRPr="005F055E">
        <w:rPr>
          <w:szCs w:val="18"/>
          <w:lang w:eastAsia="nl-NL"/>
        </w:rPr>
        <w:t>Hierover vinden continu gesprekken plaats.</w:t>
      </w:r>
    </w:p>
    <w:p w:rsidRPr="005F055E" w:rsidR="00605490" w:rsidP="00180EEB" w:rsidRDefault="00605490" w14:paraId="63D8DAD9" w14:textId="77777777">
      <w:pPr>
        <w:suppressAutoHyphens/>
      </w:pPr>
    </w:p>
    <w:p w:rsidRPr="005F055E" w:rsidR="00020B6A" w:rsidP="00180EEB" w:rsidRDefault="003E7003" w14:paraId="0E39F68D" w14:textId="53AB0B2F">
      <w:pPr>
        <w:suppressAutoHyphens/>
      </w:pPr>
      <w:r w:rsidRPr="005F055E">
        <w:t>Vraag 208</w:t>
      </w:r>
      <w:r w:rsidRPr="005F055E">
        <w:tab/>
      </w:r>
    </w:p>
    <w:p w:rsidRPr="005F055E" w:rsidR="00020B6A" w:rsidP="00180EEB" w:rsidRDefault="003E7003" w14:paraId="7F8D8637" w14:textId="72DA665D">
      <w:pPr>
        <w:suppressAutoHyphens/>
      </w:pPr>
      <w:r w:rsidRPr="005F055E">
        <w:t>Hoeveel zou het kosten om het eigen risico voor slachtoffers van seksueel geweld af te schaffe</w:t>
      </w:r>
      <w:r w:rsidRPr="005F055E" w:rsidR="00020B6A">
        <w:t>n?</w:t>
      </w:r>
    </w:p>
    <w:p w:rsidR="004916E9" w:rsidP="00180EEB" w:rsidRDefault="004916E9" w14:paraId="0E3CAC4E" w14:textId="77777777">
      <w:pPr>
        <w:suppressAutoHyphens/>
      </w:pPr>
    </w:p>
    <w:p w:rsidR="004916E9" w:rsidP="00180EEB" w:rsidRDefault="004916E9" w14:paraId="60CBA40A" w14:textId="77777777">
      <w:pPr>
        <w:suppressAutoHyphens/>
      </w:pPr>
    </w:p>
    <w:p w:rsidRPr="005F055E" w:rsidR="003E7003" w:rsidP="00180EEB" w:rsidRDefault="003E7003" w14:paraId="708AE228" w14:textId="48AAF025">
      <w:pPr>
        <w:suppressAutoHyphens/>
      </w:pPr>
      <w:r w:rsidRPr="005F055E">
        <w:t>Antwoord</w:t>
      </w:r>
    </w:p>
    <w:p w:rsidRPr="005F055E" w:rsidR="00020B6A" w:rsidP="00180EEB" w:rsidRDefault="00020B6A" w14:paraId="372629B9" w14:textId="54DBF9FE">
      <w:pPr>
        <w:suppressAutoHyphens/>
        <w:spacing w:line="240" w:lineRule="atLeast"/>
        <w:rPr>
          <w:szCs w:val="18"/>
          <w:lang w:eastAsia="nl-NL"/>
        </w:rPr>
      </w:pPr>
      <w:r w:rsidRPr="005F055E">
        <w:rPr>
          <w:szCs w:val="18"/>
          <w:lang w:eastAsia="nl-NL"/>
        </w:rPr>
        <w:t xml:space="preserve">Slachtoffers van seksueel geweld kunnen kosteloos hulp zoeken bij het Centrum Seksueel Geweld. Op basis van de situatie en behoeften van het slachtoffer wordt bepaald welke zorg nodig is. Het is niet voor alle slachtoffers van seksueel geweld noodzakelijk om medische zorg en/of psychologische zorg te ontvangen, maar zo nodig wordt forensische en medische zorg geboden. Bijvoorbeeld medisch onderzoek en behandeling als er letsel is. indien sprake is van ernstig psychische klachten wordt vanuit het CSG doorverwezen naar de reguliere </w:t>
      </w:r>
      <w:r w:rsidR="00D55762">
        <w:rPr>
          <w:szCs w:val="18"/>
          <w:lang w:eastAsia="nl-NL"/>
        </w:rPr>
        <w:t>GGZ</w:t>
      </w:r>
      <w:r w:rsidRPr="005F055E">
        <w:rPr>
          <w:szCs w:val="18"/>
          <w:lang w:eastAsia="nl-NL"/>
        </w:rPr>
        <w:t>. Er is daarmee niet een standaard pakket aan zorg dat wordt geboden, maar maatwerk dat wordt geleverd per slachtoffer op basis van zijn of haar behoeftes.</w:t>
      </w:r>
    </w:p>
    <w:p w:rsidRPr="005F055E" w:rsidR="00020B6A" w:rsidP="00180EEB" w:rsidRDefault="00020B6A" w14:paraId="4E1B73B3" w14:textId="77777777">
      <w:pPr>
        <w:suppressAutoHyphens/>
        <w:spacing w:line="240" w:lineRule="atLeast"/>
        <w:rPr>
          <w:szCs w:val="18"/>
          <w:lang w:eastAsia="nl-NL"/>
        </w:rPr>
      </w:pPr>
      <w:r w:rsidRPr="005F055E">
        <w:rPr>
          <w:szCs w:val="18"/>
          <w:lang w:eastAsia="nl-NL"/>
        </w:rPr>
        <w:t xml:space="preserve">Voor sommige medische zorg geldt het eigen risico. De hoogte van het eigen risico wat in rekening wordt gebracht is afhankelijk van welke </w:t>
      </w:r>
      <w:proofErr w:type="spellStart"/>
      <w:r w:rsidRPr="005F055E">
        <w:rPr>
          <w:szCs w:val="18"/>
          <w:lang w:eastAsia="nl-NL"/>
        </w:rPr>
        <w:t>Zvw</w:t>
      </w:r>
      <w:proofErr w:type="spellEnd"/>
      <w:r w:rsidRPr="005F055E">
        <w:rPr>
          <w:szCs w:val="18"/>
          <w:lang w:eastAsia="nl-NL"/>
        </w:rPr>
        <w:t>-zorg iemand nodig heeft en/of het eigen risico al volledig of deels is verbruikt aan andere vormen van zorg op het moment dat iemand na seksueel geweld medische zorg ontvangt.</w:t>
      </w:r>
    </w:p>
    <w:p w:rsidRPr="005F055E" w:rsidR="00020B6A" w:rsidP="00180EEB" w:rsidRDefault="00020B6A" w14:paraId="0E327D89" w14:textId="77777777">
      <w:pPr>
        <w:suppressAutoHyphens/>
        <w:spacing w:line="240" w:lineRule="atLeast"/>
        <w:rPr>
          <w:szCs w:val="18"/>
          <w:lang w:eastAsia="nl-NL"/>
        </w:rPr>
      </w:pPr>
      <w:r w:rsidRPr="005F055E">
        <w:rPr>
          <w:szCs w:val="18"/>
          <w:lang w:eastAsia="nl-NL"/>
        </w:rPr>
        <w:t>Het Nederlandse zorgstelsel is zo ingericht dat op iedere verzekerde van 18 jaar of ouder het verplicht eigen risico van toepassing is. Daarbij is niet relevant of de medische noodzaak voor zorg ontstaat door ziekte, een aandoening of een externe oorzaak zoals geweld. Uitzonderingen gelden alleen voor bepaalde zorgvormen zoals de huisartsenzorg en verloskundige zorg.</w:t>
      </w:r>
    </w:p>
    <w:p w:rsidRPr="005F055E" w:rsidR="00020B6A" w:rsidP="00180EEB" w:rsidRDefault="00020B6A" w14:paraId="786302E6" w14:textId="15EFBF8B">
      <w:pPr>
        <w:suppressAutoHyphens/>
        <w:spacing w:line="240" w:lineRule="atLeast"/>
        <w:rPr>
          <w:szCs w:val="18"/>
          <w:lang w:eastAsia="nl-NL"/>
        </w:rPr>
      </w:pPr>
      <w:r w:rsidRPr="005F055E">
        <w:rPr>
          <w:szCs w:val="18"/>
          <w:lang w:eastAsia="nl-NL"/>
        </w:rPr>
        <w:t>De medische handelingen worden gedeclareerd bij zorgverzekeraars via de reguliere prestatie- en declaratiecodes. In deze declaratiecodes is niet opgenomen wat de aanleiding voor de medische zorg is. Het is daarmee niet te herleiden op basis van declaraties of medische zorg wordt verleend vanwege seksueel geweld en hoeveel kosten hiermee gemoeid zijn. We hebben dan ook geen inzicht in om hoeveel slachtoffers het gaat, hoeveel behandelingen het betreft en wat het zou kosten om deze zorg uit te sluiten van het eigen risico.</w:t>
      </w:r>
    </w:p>
    <w:p w:rsidRPr="005F055E" w:rsidR="00020B6A" w:rsidP="00180EEB" w:rsidRDefault="00020B6A" w14:paraId="20EFEC54" w14:textId="77777777">
      <w:pPr>
        <w:suppressAutoHyphens/>
      </w:pPr>
    </w:p>
    <w:p w:rsidRPr="005F055E" w:rsidR="00020B6A" w:rsidP="00180EEB" w:rsidRDefault="003E7003" w14:paraId="2CAF8CDA" w14:textId="77777777">
      <w:pPr>
        <w:suppressAutoHyphens/>
      </w:pPr>
      <w:r w:rsidRPr="005F055E">
        <w:t>Vraag 209</w:t>
      </w:r>
      <w:r w:rsidRPr="005F055E">
        <w:tab/>
      </w:r>
    </w:p>
    <w:p w:rsidRPr="005F055E" w:rsidR="00020B6A" w:rsidP="00180EEB" w:rsidRDefault="003E7003" w14:paraId="4F1A1D97" w14:textId="77777777">
      <w:pPr>
        <w:suppressAutoHyphens/>
      </w:pPr>
      <w:r w:rsidRPr="005F055E">
        <w:t>Hoeveel zou het kosten om het Centrum Seksueel Geweld uit te zonderen van het eigen risico?</w:t>
      </w:r>
    </w:p>
    <w:p w:rsidRPr="005F055E" w:rsidR="003E7003" w:rsidP="00180EEB" w:rsidRDefault="003E7003" w14:paraId="1B131271" w14:textId="50790DFA">
      <w:pPr>
        <w:suppressAutoHyphens/>
      </w:pPr>
      <w:r w:rsidRPr="005F055E">
        <w:t>Antwoord</w:t>
      </w:r>
    </w:p>
    <w:p w:rsidRPr="005F055E" w:rsidR="0075578D" w:rsidP="00180EEB" w:rsidRDefault="0075578D" w14:paraId="7DD6B650" w14:textId="1612584D">
      <w:pPr>
        <w:suppressAutoHyphens/>
        <w:spacing w:line="240" w:lineRule="atLeast"/>
        <w:rPr>
          <w:szCs w:val="18"/>
          <w:lang w:eastAsia="nl-NL"/>
        </w:rPr>
      </w:pPr>
      <w:r w:rsidRPr="005F055E">
        <w:rPr>
          <w:szCs w:val="18"/>
          <w:lang w:eastAsia="nl-NL"/>
        </w:rPr>
        <w:t xml:space="preserve">Slachtoffers van seksueel geweld kunnen kosteloos hulp zoeken bij het Centrum Seksueel Geweld. Op basis van de situatie en behoeften van het slachtoffer wordt bepaald welke zorg nodig is. Het is niet voor alle slachtoffers van seksueel geweld noodzakelijk om medische zorg en/of psychologische zorg te ontvangen, maar zo nodig wordt forensische en medische zorg geboden. Bijvoorbeeld medisch onderzoek en behandeling als er letsel is. indien sprake is van ernstig psychische klachten wordt vanuit het CSG doorverwezen naar de reguliere </w:t>
      </w:r>
      <w:r w:rsidR="00D55762">
        <w:rPr>
          <w:szCs w:val="18"/>
          <w:lang w:eastAsia="nl-NL"/>
        </w:rPr>
        <w:t>GGZ</w:t>
      </w:r>
      <w:r w:rsidRPr="005F055E">
        <w:rPr>
          <w:szCs w:val="18"/>
          <w:lang w:eastAsia="nl-NL"/>
        </w:rPr>
        <w:t>. Er is daarmee niet een standaard pakket aan zorg dat wordt geboden, maar maatwerk dat wordt geleverd per slachtoffer op basis van zijn of haar behoeftes.</w:t>
      </w:r>
    </w:p>
    <w:p w:rsidRPr="005F055E" w:rsidR="0075578D" w:rsidP="00180EEB" w:rsidRDefault="0075578D" w14:paraId="311D2229" w14:textId="77777777">
      <w:pPr>
        <w:suppressAutoHyphens/>
        <w:spacing w:line="240" w:lineRule="atLeast"/>
        <w:rPr>
          <w:szCs w:val="18"/>
          <w:lang w:eastAsia="nl-NL"/>
        </w:rPr>
      </w:pPr>
      <w:r w:rsidRPr="005F055E">
        <w:rPr>
          <w:szCs w:val="18"/>
          <w:lang w:eastAsia="nl-NL"/>
        </w:rPr>
        <w:t xml:space="preserve">Voor sommige medische zorg geldt het eigen risico. De hoogte van het eigen risico wat in rekening wordt gebracht is afhankelijk van welke </w:t>
      </w:r>
      <w:proofErr w:type="spellStart"/>
      <w:r w:rsidRPr="005F055E">
        <w:rPr>
          <w:szCs w:val="18"/>
          <w:lang w:eastAsia="nl-NL"/>
        </w:rPr>
        <w:t>Zvw</w:t>
      </w:r>
      <w:proofErr w:type="spellEnd"/>
      <w:r w:rsidRPr="005F055E">
        <w:rPr>
          <w:szCs w:val="18"/>
          <w:lang w:eastAsia="nl-NL"/>
        </w:rPr>
        <w:t>-zorg iemand nodig heeft en/of het eigen risico al volledig of deels is verbruikt aan andere vormen van zorg op het moment dat iemand na seksueel geweld medische zorg ontvangt.</w:t>
      </w:r>
    </w:p>
    <w:p w:rsidRPr="005F055E" w:rsidR="0075578D" w:rsidP="00180EEB" w:rsidRDefault="0075578D" w14:paraId="45B4458D" w14:textId="77777777">
      <w:pPr>
        <w:suppressAutoHyphens/>
        <w:spacing w:line="240" w:lineRule="atLeast"/>
        <w:rPr>
          <w:szCs w:val="18"/>
          <w:lang w:eastAsia="nl-NL"/>
        </w:rPr>
      </w:pPr>
      <w:r w:rsidRPr="005F055E">
        <w:rPr>
          <w:szCs w:val="18"/>
          <w:lang w:eastAsia="nl-NL"/>
        </w:rPr>
        <w:t>Het Nederlandse zorgstelsel is zo ingericht dat op iedere verzekerde van 18 jaar of ouder het verplicht eigen risico van toepassing is. Daarbij is niet relevant of de medische noodzaak voor zorg ontstaat door ziekte, een aandoening of een externe oorzaak zoals geweld. Uitzonderingen gelden alleen voor bepaalde zorgvormen zoals de huisartsenzorg en verloskundige zorg.</w:t>
      </w:r>
    </w:p>
    <w:p w:rsidRPr="005F055E" w:rsidR="0075578D" w:rsidP="00180EEB" w:rsidRDefault="0075578D" w14:paraId="2FDD1714" w14:textId="77777777">
      <w:pPr>
        <w:suppressAutoHyphens/>
        <w:spacing w:line="240" w:lineRule="atLeast"/>
        <w:rPr>
          <w:szCs w:val="18"/>
          <w:lang w:eastAsia="nl-NL"/>
        </w:rPr>
      </w:pPr>
      <w:r w:rsidRPr="005F055E">
        <w:rPr>
          <w:szCs w:val="18"/>
          <w:lang w:eastAsia="nl-NL"/>
        </w:rPr>
        <w:t>De medische handelingen worden gedeclareerd bij zorgverzekeraars via de reguliere prestatie- en declaratiecodes. In deze declaratiecodes is niet opgenomen wat de aanleiding voor de medische zorg is. Het is daarmee niet te herleiden op basis van declaraties of medische zorg wordt verleend vanwege seksueel geweld en hoeveel kosten hiermee gemoeid zijn. We hebben dan ook geen inzicht in om hoeveel slachtoffers het gaat, hoeveel behandelingen het betreft en wat het zou kosten om deze zorg uit te sluiten van het eigen risico.</w:t>
      </w:r>
    </w:p>
    <w:p w:rsidRPr="005F055E" w:rsidR="0075578D" w:rsidP="00180EEB" w:rsidRDefault="003E7003" w14:paraId="3214619E" w14:textId="77777777">
      <w:pPr>
        <w:suppressAutoHyphens/>
      </w:pPr>
      <w:r w:rsidRPr="005F055E">
        <w:t>Vraag 210</w:t>
      </w:r>
      <w:r w:rsidRPr="005F055E">
        <w:tab/>
      </w:r>
    </w:p>
    <w:p w:rsidRPr="005F055E" w:rsidR="0075578D" w:rsidP="00180EEB" w:rsidRDefault="003E7003" w14:paraId="3AFCE960" w14:textId="77777777">
      <w:pPr>
        <w:suppressAutoHyphens/>
      </w:pPr>
      <w:r w:rsidRPr="005F055E">
        <w:t>Hoe groot zijn de verschillen tussen gemeenten in de uitgaven aan jeugdzorg?</w:t>
      </w:r>
    </w:p>
    <w:p w:rsidRPr="005F055E" w:rsidR="003E7003" w:rsidP="00180EEB" w:rsidRDefault="003E7003" w14:paraId="45B740E8" w14:textId="1391EE88">
      <w:pPr>
        <w:suppressAutoHyphens/>
      </w:pPr>
      <w:r w:rsidRPr="005F055E">
        <w:t>Antwoord</w:t>
      </w:r>
    </w:p>
    <w:p w:rsidRPr="005F055E" w:rsidR="00D07289" w:rsidP="00180EEB" w:rsidRDefault="00D07289" w14:paraId="73FEC388" w14:textId="77777777">
      <w:pPr>
        <w:suppressAutoHyphens/>
      </w:pPr>
      <w:r w:rsidRPr="005F055E">
        <w:t>De verschillen tussen uitgaven van gemeenten aan jeugdzorg worden niet landelijk gemonitord. Met een eerder onderzoek</w:t>
      </w:r>
      <w:r w:rsidRPr="005F055E">
        <w:rPr>
          <w:rStyle w:val="Voetnootmarkering"/>
        </w:rPr>
        <w:footnoteReference w:id="70"/>
      </w:r>
      <w:r w:rsidRPr="005F055E">
        <w:t xml:space="preserve"> zijn de totale uitgaven van gemeenten aan jeugdzorg voor 2023 en een prognose voor 2024 in beeld gebracht. Er is via de Iv3-cijfers (gemeentelijke jaarverantwoording) wel inzicht in de uitgaven van gemeenten aan maatwerkvoorzieningen in de jeugdzorg. Dit geeft echter geen volledig beeld van de totale uitgaven aan jeugdzorg. </w:t>
      </w:r>
    </w:p>
    <w:p w:rsidRPr="005F055E" w:rsidR="0075578D" w:rsidP="00180EEB" w:rsidRDefault="0075578D" w14:paraId="0A949BDD" w14:textId="77777777">
      <w:pPr>
        <w:suppressAutoHyphens/>
      </w:pPr>
    </w:p>
    <w:p w:rsidRPr="005F055E" w:rsidR="0075578D" w:rsidP="00180EEB" w:rsidRDefault="003E7003" w14:paraId="7C014300" w14:textId="77777777">
      <w:pPr>
        <w:suppressAutoHyphens/>
      </w:pPr>
      <w:r w:rsidRPr="005F055E">
        <w:t>Vraag 211</w:t>
      </w:r>
      <w:r w:rsidRPr="005F055E">
        <w:tab/>
      </w:r>
    </w:p>
    <w:p w:rsidRPr="005F055E" w:rsidR="0075578D" w:rsidP="00180EEB" w:rsidRDefault="003E7003" w14:paraId="23708C97" w14:textId="77777777">
      <w:pPr>
        <w:suppressAutoHyphens/>
      </w:pPr>
      <w:r w:rsidRPr="005F055E">
        <w:t>Hoe groot zijn de verschillen tussen gemeenten als het gaat om de tekorten op het jeugdzorgbudget?</w:t>
      </w:r>
      <w:r w:rsidRPr="005F055E">
        <w:tab/>
      </w:r>
    </w:p>
    <w:p w:rsidRPr="005F055E" w:rsidR="003E7003" w:rsidP="00180EEB" w:rsidRDefault="003E7003" w14:paraId="2241E58A" w14:textId="57744B10">
      <w:pPr>
        <w:suppressAutoHyphens/>
      </w:pPr>
      <w:r w:rsidRPr="005F055E">
        <w:t>Antwoord</w:t>
      </w:r>
    </w:p>
    <w:p w:rsidRPr="005F055E" w:rsidR="00D07289" w:rsidP="00180EEB" w:rsidRDefault="00D07289" w14:paraId="71C60AF5" w14:textId="77777777">
      <w:pPr>
        <w:suppressAutoHyphens/>
      </w:pPr>
      <w:r w:rsidRPr="005F055E">
        <w:t xml:space="preserve">Het ministerie van Volksgezondheid, Welzijn en Sport heeft geen landelijk overzicht van welke gemeenten een tekort op jeugdzorg hebben. De middelen uit de Algemene Uitkering van het Gemeentefonds zijn beleids- en bestedingsvrij voor gemeenten. Het is aan individuele gemeenten hoe zij hun ontvangsten uit het gemeentefonds inzetten. De gemeenteraad stelt jaarlijks een begroting vast en de gemeente dient ervoor te zorgen dat deze structureel en reëel in evenwicht is. </w:t>
      </w:r>
    </w:p>
    <w:p w:rsidRPr="005F055E" w:rsidR="00D07289" w:rsidP="00180EEB" w:rsidRDefault="00D07289" w14:paraId="559F4307" w14:textId="77777777">
      <w:pPr>
        <w:suppressAutoHyphens/>
      </w:pPr>
    </w:p>
    <w:p w:rsidRPr="005F055E" w:rsidR="00D07289" w:rsidP="00180EEB" w:rsidRDefault="00D07289" w14:paraId="59DB3E48" w14:textId="77777777">
      <w:pPr>
        <w:suppressAutoHyphens/>
      </w:pPr>
      <w:r w:rsidRPr="005F055E">
        <w:t>Met een eerder onderzoek</w:t>
      </w:r>
      <w:r w:rsidRPr="005F055E">
        <w:rPr>
          <w:rStyle w:val="Voetnootmarkering"/>
        </w:rPr>
        <w:footnoteReference w:id="71"/>
      </w:r>
      <w:r w:rsidRPr="005F055E">
        <w:t xml:space="preserve"> naar de uitgaven in 2023 en 2024 is geconstateerd dat het Meerjarig Financieel Kader uit de Hervormingsagenda en de totale uitgaven van gemeenten aan jeugdzorg niet in lijn waren met elkaar. De tekorten die hierin naar voren komen, respectievelijk €628 miljoen in 2023 en €828 miljoen in 2024, zijn dit jaar bij de Voorjaarsnota en de augustusbesluitvorming betrokken. </w:t>
      </w:r>
    </w:p>
    <w:p w:rsidRPr="005F055E" w:rsidR="00D07289" w:rsidP="00180EEB" w:rsidRDefault="00D07289" w14:paraId="4AF128B9" w14:textId="77777777">
      <w:pPr>
        <w:suppressAutoHyphens/>
      </w:pPr>
    </w:p>
    <w:p w:rsidRPr="005F055E" w:rsidR="00D07289" w:rsidP="00180EEB" w:rsidRDefault="00D07289" w14:paraId="20B40F82" w14:textId="77777777">
      <w:pPr>
        <w:suppressAutoHyphens/>
      </w:pPr>
      <w:r w:rsidRPr="005F055E">
        <w:t>Om toch een indicatief beeld te krijgen in hoeverre gemeenten uitkomen met het budget voor jeugdzorg, is in 2024 een analyse gemaakt op basis van de Iv3-data (gemeentelijke jaarverantwoording) en het Meerjarig Financieel Kader van de Hervormingsagenda Jeugd. Op basis hiervan blijkt dat er grote verschillen tussen gemeenten zijn</w:t>
      </w:r>
      <w:r w:rsidRPr="005F055E">
        <w:rPr>
          <w:rStyle w:val="Voetnootmarkering"/>
        </w:rPr>
        <w:footnoteReference w:id="72"/>
      </w:r>
      <w:r w:rsidRPr="005F055E">
        <w:t>.</w:t>
      </w:r>
    </w:p>
    <w:p w:rsidRPr="005F055E" w:rsidR="0075578D" w:rsidP="00180EEB" w:rsidRDefault="0075578D" w14:paraId="735D60AB" w14:textId="77777777">
      <w:pPr>
        <w:suppressAutoHyphens/>
      </w:pPr>
    </w:p>
    <w:p w:rsidRPr="005F055E" w:rsidR="00274792" w:rsidP="00180EEB" w:rsidRDefault="003E7003" w14:paraId="3F065138" w14:textId="77777777">
      <w:pPr>
        <w:suppressAutoHyphens/>
      </w:pPr>
      <w:r w:rsidRPr="005F055E">
        <w:t>Vraag 212</w:t>
      </w:r>
      <w:r w:rsidRPr="005F055E">
        <w:tab/>
      </w:r>
    </w:p>
    <w:p w:rsidRPr="005F055E" w:rsidR="00274792" w:rsidP="00180EEB" w:rsidRDefault="003E7003" w14:paraId="2BB6D349" w14:textId="77777777">
      <w:pPr>
        <w:suppressAutoHyphens/>
      </w:pPr>
      <w:r w:rsidRPr="005F055E">
        <w:t>Hoe groot zijn de verschillen tussen gemeenten als het gaat om de voorzieningen voor mensen met een beperking?</w:t>
      </w:r>
      <w:r w:rsidRPr="005F055E">
        <w:tab/>
      </w:r>
    </w:p>
    <w:p w:rsidRPr="005F055E" w:rsidR="003E7003" w:rsidP="00180EEB" w:rsidRDefault="003E7003" w14:paraId="550FB021" w14:textId="70669D8B">
      <w:pPr>
        <w:suppressAutoHyphens/>
      </w:pPr>
      <w:r w:rsidRPr="005F055E">
        <w:t>Antwoord</w:t>
      </w:r>
    </w:p>
    <w:p w:rsidRPr="005F055E" w:rsidR="00630335" w:rsidP="00180EEB" w:rsidRDefault="00630335" w14:paraId="53059722" w14:textId="77777777">
      <w:pPr>
        <w:suppressAutoHyphens/>
        <w:spacing w:line="240" w:lineRule="atLeast"/>
        <w:rPr>
          <w:szCs w:val="20"/>
          <w:lang w:eastAsia="nl-NL"/>
        </w:rPr>
      </w:pPr>
      <w:r w:rsidRPr="005F055E">
        <w:rPr>
          <w:szCs w:val="20"/>
          <w:lang w:eastAsia="nl-NL"/>
        </w:rPr>
        <w:t>Er bestaan verschillen tussen gemeenten als het gaat om voorzieningen voor mensen met een beperking. Dit is inherent aan een gedecentraliseerd stelsel met gemeentelijke beleidsvrijheid. In de werkagenda VN-Verdrag Handicap staat een maatregel om onderzoek te doen naar deze verschillen tussen gemeenten. Het gaat daarbij om de vraag welke verschillen er worden ervaren, zijn deze verschillen verklaarbaar binnen het decentrale stelsel en hoe kan er waar mogelijk en wenselijk meer harmonisatie in het lokale beleid worden aangebracht. De uitkomsten van dit onderzoek - dat de VNG zal doen samen met ervaringsdeskundigen - zal de Staatssecretaris van Langdurige en Maatschappelijke Zorg met uw Kamer delen.</w:t>
      </w:r>
    </w:p>
    <w:p w:rsidRPr="005F055E" w:rsidR="00274792" w:rsidP="00180EEB" w:rsidRDefault="00274792" w14:paraId="225D628C" w14:textId="77777777">
      <w:pPr>
        <w:suppressAutoHyphens/>
      </w:pPr>
    </w:p>
    <w:p w:rsidRPr="005F055E" w:rsidR="00274792" w:rsidP="00180EEB" w:rsidRDefault="003E7003" w14:paraId="028AC943" w14:textId="77777777">
      <w:pPr>
        <w:suppressAutoHyphens/>
      </w:pPr>
      <w:r w:rsidRPr="005F055E">
        <w:t>Vraag 213</w:t>
      </w:r>
      <w:r w:rsidRPr="005F055E">
        <w:tab/>
      </w:r>
    </w:p>
    <w:p w:rsidRPr="005F055E" w:rsidR="00274792" w:rsidP="00180EEB" w:rsidRDefault="003E7003" w14:paraId="3CEB33D8" w14:textId="77777777">
      <w:pPr>
        <w:suppressAutoHyphens/>
      </w:pPr>
      <w:r w:rsidRPr="005F055E">
        <w:t>Kunt u per begrotingsartikel een overzicht geven van waar de niet-juridisch verplichte uitgaven voor bestemd zijn? Kunt u daarbij ook expliciet aangeven voor welk bedrag nog geen specifieke bestemming bestaat?</w:t>
      </w:r>
      <w:r w:rsidRPr="005F055E">
        <w:tab/>
      </w:r>
    </w:p>
    <w:p w:rsidRPr="005F055E" w:rsidR="003E7003" w:rsidP="00180EEB" w:rsidRDefault="003E7003" w14:paraId="55E4C963" w14:textId="2157B5EE">
      <w:pPr>
        <w:suppressAutoHyphens/>
      </w:pPr>
      <w:r w:rsidRPr="005F055E">
        <w:t>Antwoord</w:t>
      </w:r>
    </w:p>
    <w:p w:rsidRPr="005F055E" w:rsidR="00D07289" w:rsidP="00180EEB" w:rsidRDefault="00D07289" w14:paraId="4117A8AC" w14:textId="77777777">
      <w:pPr>
        <w:suppressAutoHyphens/>
        <w:rPr>
          <w:szCs w:val="18"/>
        </w:rPr>
      </w:pPr>
      <w:r w:rsidRPr="005F055E">
        <w:rPr>
          <w:szCs w:val="18"/>
        </w:rPr>
        <w:t xml:space="preserve">In de Ontwerpbegroting 2026 staat onder “budgettaire gevolgen van beleid” toegelicht welk aandeel van de middelen wel of niet juridisch verplicht zijn. Dit noemen we de budgetflexibiliteit. Dit is voor ieder artikel per instrument inzichtelijk gemaakt. Ook is per artikel het percentage van de totaalomvang weergegeven van de middelen die nog niet ingevuld, en daarmee vrij te besteden is. </w:t>
      </w:r>
    </w:p>
    <w:p w:rsidRPr="005F055E" w:rsidR="00274792" w:rsidP="00180EEB" w:rsidRDefault="00274792" w14:paraId="798A06D5" w14:textId="77777777">
      <w:pPr>
        <w:suppressAutoHyphens/>
      </w:pPr>
    </w:p>
    <w:p w:rsidRPr="005F055E" w:rsidR="00274792" w:rsidP="00180EEB" w:rsidRDefault="003E7003" w14:paraId="70DBB50D" w14:textId="77777777">
      <w:pPr>
        <w:suppressAutoHyphens/>
      </w:pPr>
      <w:r w:rsidRPr="005F055E">
        <w:t>Vraag 214</w:t>
      </w:r>
      <w:r w:rsidRPr="005F055E">
        <w:tab/>
      </w:r>
    </w:p>
    <w:p w:rsidRPr="005F055E" w:rsidR="00274792" w:rsidP="00180EEB" w:rsidRDefault="003E7003" w14:paraId="027E8A81" w14:textId="77777777">
      <w:pPr>
        <w:suppressAutoHyphens/>
      </w:pPr>
      <w:r w:rsidRPr="005F055E">
        <w:t xml:space="preserve">In hoeverre deelt u de vrees dat het aantal weesgeneesmiddelen dat de komende tijd niet aan de criteria van kosteneffectiviteit voldoen, toeneemt. Hoe wilt u waarborgen dat deze weesgeneesmiddelen wel beschikbaar komen? Denkt u dat dit kan binnen de huidige regelgeving of dat alternatieve procedures zoals </w:t>
      </w:r>
      <w:proofErr w:type="spellStart"/>
      <w:r w:rsidRPr="005F055E">
        <w:t>Orphan</w:t>
      </w:r>
      <w:proofErr w:type="spellEnd"/>
      <w:r w:rsidRPr="005F055E">
        <w:t xml:space="preserve"> Drug Access Protocol (ODAP) noodzakelijk zijn?</w:t>
      </w:r>
      <w:r w:rsidRPr="005F055E">
        <w:tab/>
      </w:r>
    </w:p>
    <w:p w:rsidRPr="005F055E" w:rsidR="00605490" w:rsidP="00180EEB" w:rsidRDefault="00605490" w14:paraId="5BD91C00" w14:textId="77777777">
      <w:pPr>
        <w:suppressAutoHyphens/>
      </w:pPr>
    </w:p>
    <w:p w:rsidRPr="005F055E" w:rsidR="003E7003" w:rsidP="00180EEB" w:rsidRDefault="003E7003" w14:paraId="450ECE48" w14:textId="115097B8">
      <w:pPr>
        <w:suppressAutoHyphens/>
      </w:pPr>
      <w:r w:rsidRPr="005F055E">
        <w:t>Antwoord</w:t>
      </w:r>
    </w:p>
    <w:p w:rsidRPr="005F055E" w:rsidR="00D07289" w:rsidP="00180EEB" w:rsidRDefault="00D07289" w14:paraId="14257368" w14:textId="77777777">
      <w:pPr>
        <w:numPr>
          <w:ilvl w:val="0"/>
          <w:numId w:val="18"/>
        </w:numPr>
        <w:suppressAutoHyphens/>
        <w:spacing w:after="0" w:line="240" w:lineRule="atLeast"/>
        <w:rPr>
          <w:szCs w:val="18"/>
        </w:rPr>
      </w:pPr>
      <w:r w:rsidRPr="005F055E">
        <w:rPr>
          <w:szCs w:val="18"/>
        </w:rPr>
        <w:t xml:space="preserve">Op basis van de prijs die de leverancier vaststelt, komt het steeds vaker voor dat weesgeneesmiddelen niet kosteneffectief zijn. </w:t>
      </w:r>
    </w:p>
    <w:p w:rsidRPr="005F055E" w:rsidR="00D07289" w:rsidP="00180EEB" w:rsidRDefault="00D07289" w14:paraId="7BC92B74" w14:textId="77777777">
      <w:pPr>
        <w:numPr>
          <w:ilvl w:val="0"/>
          <w:numId w:val="18"/>
        </w:numPr>
        <w:suppressAutoHyphens/>
        <w:spacing w:after="0" w:line="240" w:lineRule="atLeast"/>
        <w:rPr>
          <w:szCs w:val="18"/>
        </w:rPr>
      </w:pPr>
      <w:r w:rsidRPr="005F055E">
        <w:rPr>
          <w:szCs w:val="18"/>
        </w:rPr>
        <w:t xml:space="preserve">De balans tussen de gezondheidswinst voor de patiënt en de prijs van het geneesmiddel is dan ongunstig </w:t>
      </w:r>
    </w:p>
    <w:p w:rsidRPr="005F055E" w:rsidR="00D07289" w:rsidP="00180EEB" w:rsidRDefault="00D07289" w14:paraId="6F94F6B3" w14:textId="77777777">
      <w:pPr>
        <w:numPr>
          <w:ilvl w:val="0"/>
          <w:numId w:val="18"/>
        </w:numPr>
        <w:suppressAutoHyphens/>
        <w:spacing w:after="0" w:line="240" w:lineRule="atLeast"/>
        <w:rPr>
          <w:szCs w:val="18"/>
        </w:rPr>
      </w:pPr>
      <w:r w:rsidRPr="005F055E">
        <w:rPr>
          <w:szCs w:val="18"/>
        </w:rPr>
        <w:t xml:space="preserve">De minister van VWS kan dan door het Zorginstituut worden geadviseerd om te onderhandelen over de prijs van een weesgeneesmiddel om zodoende te grote financiële risico’s af te dekken, zodat ook deze niet-kosteneffectieve weesgeneesmiddelen na een succesvolle prijsonderhandeling beschikbaar kunnen komen voor patiënten. </w:t>
      </w:r>
    </w:p>
    <w:p w:rsidRPr="005F055E" w:rsidR="00D07289" w:rsidP="00180EEB" w:rsidRDefault="00D07289" w14:paraId="40C93114" w14:textId="77777777">
      <w:pPr>
        <w:numPr>
          <w:ilvl w:val="0"/>
          <w:numId w:val="18"/>
        </w:numPr>
        <w:suppressAutoHyphens/>
        <w:spacing w:after="0" w:line="240" w:lineRule="atLeast"/>
        <w:rPr>
          <w:szCs w:val="18"/>
        </w:rPr>
      </w:pPr>
      <w:r w:rsidRPr="005F055E">
        <w:rPr>
          <w:szCs w:val="18"/>
        </w:rPr>
        <w:t xml:space="preserve">Daarnaast bekijkt de minister momenteel, in vervolg op de beleidsmatige evaluatie ervan, of het instrument van de Voorwaardelijke Toelating, dat momenteel specifiek bedoeld is om patiënten onder voorwaarden toegang te geven tot weesgeneesmiddelen waarvan de effectiviteit (laat staan de kosteneffectiviteit) nog niet vaststaat, kan en moet worden aangepast. Hierbij betrekt hij ook vergelijkbare initiatieven als DAP en ODAP. De minister wil er daarbij wel op wijzen dat deze initiatieven zich richten op de beoordeling van effectiviteit (en niet kosteneffectiviteit) en dat in eerste instantie beoordelen op uitkomsten in een individuele patiënt, hoewel uiteindelijk gestreefd wordt naar effectiviteit op groepsniveau. </w:t>
      </w:r>
    </w:p>
    <w:p w:rsidRPr="005F055E" w:rsidR="00D07289" w:rsidP="00180EEB" w:rsidRDefault="00D07289" w14:paraId="016CB671" w14:textId="77777777">
      <w:pPr>
        <w:numPr>
          <w:ilvl w:val="0"/>
          <w:numId w:val="18"/>
        </w:numPr>
        <w:suppressAutoHyphens/>
        <w:spacing w:after="0" w:line="240" w:lineRule="atLeast"/>
        <w:rPr>
          <w:szCs w:val="18"/>
        </w:rPr>
      </w:pPr>
      <w:r w:rsidRPr="005F055E">
        <w:rPr>
          <w:szCs w:val="18"/>
        </w:rPr>
        <w:t>Het vraagstuk van beperkte data en dus grote onzekerheid bij dit type geneesmiddelen, is ook onderdeel van de inzet van de minister voor een toekomstbestendig stelsel geneesmiddelen (TSG). Hierover informeert hij uw Kamer voor het einde van dit jaar.</w:t>
      </w:r>
    </w:p>
    <w:p w:rsidRPr="005F055E" w:rsidR="00D07289" w:rsidP="00180EEB" w:rsidRDefault="00D07289" w14:paraId="1E007F6E" w14:textId="48CDCDAD">
      <w:pPr>
        <w:numPr>
          <w:ilvl w:val="0"/>
          <w:numId w:val="18"/>
        </w:numPr>
        <w:suppressAutoHyphens/>
        <w:spacing w:after="0" w:line="240" w:lineRule="atLeast"/>
        <w:rPr>
          <w:szCs w:val="18"/>
        </w:rPr>
      </w:pPr>
      <w:r w:rsidRPr="005F055E">
        <w:rPr>
          <w:szCs w:val="18"/>
        </w:rPr>
        <w:t>In de situaties waarin een leverancier niet bereid is een bod te doen dat maatschappelijk aanvaardbaar is, blijft het geneesmiddel niet beschikbaar voor de patiënten. Elke euro kan maar één keer worden uitgeven. Met het beschikbare budget dient de meeste gezondheidswinst behaald te worden. Meer betalen dan de maatschappelijk vastgestelde waarde betekent dat die euro’s niet meer aan iets anders uitgegeven kan worden dat potentieel meer gezondheidswinst oplevert.</w:t>
      </w:r>
      <w:r w:rsidRPr="005F055E" w:rsidR="00D73F76">
        <w:rPr>
          <w:szCs w:val="18"/>
        </w:rPr>
        <w:t xml:space="preserve"> </w:t>
      </w:r>
    </w:p>
    <w:p w:rsidRPr="005F055E" w:rsidR="00274792" w:rsidP="00180EEB" w:rsidRDefault="00274792" w14:paraId="0C09D5BA" w14:textId="77777777">
      <w:pPr>
        <w:suppressAutoHyphens/>
      </w:pPr>
    </w:p>
    <w:p w:rsidRPr="005F055E" w:rsidR="00274792" w:rsidP="00180EEB" w:rsidRDefault="00274792" w14:paraId="1EF64947" w14:textId="77777777">
      <w:pPr>
        <w:suppressAutoHyphens/>
      </w:pPr>
    </w:p>
    <w:p w:rsidRPr="005F055E" w:rsidR="00274792" w:rsidP="00180EEB" w:rsidRDefault="003E7003" w14:paraId="03CB943A" w14:textId="77777777">
      <w:pPr>
        <w:suppressAutoHyphens/>
      </w:pPr>
      <w:r w:rsidRPr="005F055E">
        <w:t>Vraag 215</w:t>
      </w:r>
      <w:r w:rsidRPr="005F055E">
        <w:tab/>
      </w:r>
    </w:p>
    <w:p w:rsidRPr="005F055E" w:rsidR="00274792" w:rsidP="00180EEB" w:rsidRDefault="003E7003" w14:paraId="4F50B1C2" w14:textId="77777777">
      <w:pPr>
        <w:suppressAutoHyphens/>
      </w:pPr>
      <w:r w:rsidRPr="005F055E">
        <w:t>Vindt u het gerechtvaardigd dat mannen wel toegang hebben tot een extern en vergoede externe katheter, maar vrouwen niet? Ziet u hierin een risico op (onbedoelde) discriminatie op basis van gender? Bent u bereid te onderzoeken hoe externe katheters voor vrouwen opgenomen kunnen worden in het basispakket?</w:t>
      </w:r>
      <w:r w:rsidRPr="005F055E">
        <w:tab/>
      </w:r>
    </w:p>
    <w:p w:rsidRPr="005F055E" w:rsidR="003E7003" w:rsidP="00180EEB" w:rsidRDefault="003E7003" w14:paraId="640C6889" w14:textId="3402179D">
      <w:pPr>
        <w:suppressAutoHyphens/>
      </w:pPr>
      <w:r w:rsidRPr="005F055E">
        <w:t>Antwoord</w:t>
      </w:r>
    </w:p>
    <w:p w:rsidRPr="005F055E" w:rsidR="00630335" w:rsidP="00180EEB" w:rsidRDefault="00630335" w14:paraId="3F6CA16F" w14:textId="22A841EF">
      <w:pPr>
        <w:suppressAutoHyphens/>
        <w:spacing w:line="240" w:lineRule="atLeast"/>
        <w:rPr>
          <w:szCs w:val="18"/>
          <w:lang w:eastAsia="nl-NL"/>
        </w:rPr>
      </w:pPr>
      <w:r w:rsidRPr="005F055E">
        <w:rPr>
          <w:szCs w:val="18"/>
          <w:lang w:eastAsia="nl-NL"/>
        </w:rPr>
        <w:t xml:space="preserve">Het geschetste beeld in de vraag herken ik niet. Externe katheters kunnen namelijk vergoed worden uit het basispakket als een verzekerde daar redelijkerwijs op is aangewezen. Voor de vergoeding van katheters maakt de wet- en regelgeving geen onderscheid in geslacht, en ook niet of het een externe of interne katheter betreft. </w:t>
      </w:r>
    </w:p>
    <w:p w:rsidRPr="005F055E" w:rsidR="00630335" w:rsidP="00180EEB" w:rsidRDefault="00630335" w14:paraId="457A0035" w14:textId="77777777">
      <w:pPr>
        <w:suppressAutoHyphens/>
        <w:spacing w:line="240" w:lineRule="atLeast"/>
        <w:rPr>
          <w:szCs w:val="18"/>
          <w:lang w:eastAsia="nl-NL"/>
        </w:rPr>
      </w:pPr>
      <w:r w:rsidRPr="005F055E">
        <w:rPr>
          <w:szCs w:val="18"/>
          <w:lang w:eastAsia="nl-NL"/>
        </w:rPr>
        <w:t>Wel kan het zijn dat de aangevraagde externe katheter voor een individuele verzekerde niet vergoed wordt. Redenen hiervoor kunnen zijn dat onduidelijk is of de katheter voldoet aan het wettelijk criterium de 'stand van de wetenschap en praktijk'. Of omdat vergoeding van de katheter volgens de beoordeling van de zorgverzekeraar niet gerechtvaardigd is. Dat kan als er geen medische noodzaak is voor de katheter, de aangevraagde katheter niet de meest geschikte oplossing is, of omdat het onnodig duur is. Ik zie geen reden om dit verder te onderzoeken.</w:t>
      </w:r>
    </w:p>
    <w:p w:rsidRPr="005F055E" w:rsidR="00274792" w:rsidP="00180EEB" w:rsidRDefault="00274792" w14:paraId="4A033DC2" w14:textId="77777777">
      <w:pPr>
        <w:suppressAutoHyphens/>
      </w:pPr>
    </w:p>
    <w:p w:rsidRPr="005F055E" w:rsidR="00274792" w:rsidP="00180EEB" w:rsidRDefault="003E7003" w14:paraId="36CA0C45" w14:textId="77777777">
      <w:pPr>
        <w:suppressAutoHyphens/>
      </w:pPr>
      <w:r w:rsidRPr="005F055E">
        <w:t>Vraag 216</w:t>
      </w:r>
      <w:r w:rsidRPr="005F055E">
        <w:tab/>
      </w:r>
    </w:p>
    <w:p w:rsidRPr="005F055E" w:rsidR="00274792" w:rsidP="00180EEB" w:rsidRDefault="003E7003" w14:paraId="063E7D56" w14:textId="77777777">
      <w:pPr>
        <w:suppressAutoHyphens/>
      </w:pPr>
      <w:r w:rsidRPr="005F055E">
        <w:t>Hoe staat het met de uitvoering van het amendement-Dobbe over het oprichten van een team dat actief ondersteunt bij het opzetten van zorgbuurthuizen en vergelijkbare woonzorgvormen voor ouderen (Kamerstuk 36725-XVI-7)? Hoe kunnen mensen of organisaties die een zorgbuurthuis willen oprichten hier toegang toe krijgen?</w:t>
      </w:r>
      <w:r w:rsidRPr="005F055E">
        <w:tab/>
      </w:r>
    </w:p>
    <w:p w:rsidRPr="005F055E" w:rsidR="003E7003" w:rsidP="00180EEB" w:rsidRDefault="003E7003" w14:paraId="4B133B71" w14:textId="00458651">
      <w:pPr>
        <w:suppressAutoHyphens/>
      </w:pPr>
      <w:r w:rsidRPr="005F055E">
        <w:t>Antwoord</w:t>
      </w:r>
    </w:p>
    <w:p w:rsidRPr="005F055E" w:rsidR="00630335" w:rsidP="00180EEB" w:rsidRDefault="00630335" w14:paraId="20116E7D" w14:textId="77777777">
      <w:pPr>
        <w:suppressAutoHyphens/>
        <w:spacing w:line="240" w:lineRule="atLeast"/>
        <w:rPr>
          <w:szCs w:val="18"/>
          <w:lang w:eastAsia="nl-NL"/>
        </w:rPr>
      </w:pPr>
      <w:r w:rsidRPr="005F055E">
        <w:rPr>
          <w:szCs w:val="18"/>
          <w:lang w:eastAsia="nl-NL"/>
        </w:rPr>
        <w:t>De staatssecretaris Langdurige en Maatschappelijke Zorg is in gesprek met het Aanjaagteam Wonen Welzijn en Zorg voor ouderen om de komende maanden te gaan verkennen hoe we dat ondersteuningsteam het beste kunnen inrichten.</w:t>
      </w:r>
    </w:p>
    <w:p w:rsidRPr="005F055E" w:rsidR="00274792" w:rsidP="00180EEB" w:rsidRDefault="00274792" w14:paraId="1BE4D12F" w14:textId="77777777">
      <w:pPr>
        <w:suppressAutoHyphens/>
      </w:pPr>
    </w:p>
    <w:p w:rsidRPr="005F055E" w:rsidR="00274792" w:rsidP="00180EEB" w:rsidRDefault="003E7003" w14:paraId="23ECEC98" w14:textId="77777777">
      <w:pPr>
        <w:suppressAutoHyphens/>
      </w:pPr>
      <w:r w:rsidRPr="005F055E">
        <w:t>Vraag 217</w:t>
      </w:r>
      <w:r w:rsidRPr="005F055E">
        <w:tab/>
      </w:r>
    </w:p>
    <w:p w:rsidRPr="005F055E" w:rsidR="00274792" w:rsidP="00180EEB" w:rsidRDefault="003E7003" w14:paraId="71C395AA" w14:textId="77777777">
      <w:pPr>
        <w:suppressAutoHyphens/>
      </w:pPr>
      <w:r w:rsidRPr="005F055E">
        <w:t>Worden de middelen die zijn vrijgemaakt via het amendement-Dobbe over het oprichten van een team dat actief ondersteunt bij het opzetten van zorgbuurthuizen en vergelijkbare woonzorgvormen voor ouderen (Kamerstuk 36725-XVI-7) ook in 2026 hiervoor beschikbaar gesteld?</w:t>
      </w:r>
      <w:r w:rsidRPr="005F055E">
        <w:tab/>
      </w:r>
    </w:p>
    <w:p w:rsidRPr="005F055E" w:rsidR="003E7003" w:rsidP="00180EEB" w:rsidRDefault="003E7003" w14:paraId="3BDC3891" w14:textId="533D4D19">
      <w:pPr>
        <w:suppressAutoHyphens/>
      </w:pPr>
      <w:r w:rsidRPr="005F055E">
        <w:t>Antwoord</w:t>
      </w:r>
    </w:p>
    <w:p w:rsidRPr="005F055E" w:rsidR="00274792" w:rsidP="00180EEB" w:rsidRDefault="00630335" w14:paraId="4FA154B1" w14:textId="331401A5">
      <w:pPr>
        <w:suppressAutoHyphens/>
        <w:spacing w:line="240" w:lineRule="atLeast"/>
        <w:rPr>
          <w:szCs w:val="20"/>
          <w:lang w:eastAsia="nl-NL"/>
        </w:rPr>
      </w:pPr>
      <w:r w:rsidRPr="005F055E">
        <w:rPr>
          <w:szCs w:val="20"/>
          <w:lang w:eastAsia="nl-NL"/>
        </w:rPr>
        <w:t>Het Aanjaagteam Wonen Welzijn en Zorg voor Ouderen gaat de komende maanden verkennen hoe we het ondersteuningsteam het beste kunnen inrichten. Aan de hand van deze verkenning bekijkt de staatssecretaris Langdurige en Maatschappelijke Zorg of hiervoor de komende jaren middelen nodig en</w:t>
      </w:r>
      <w:r w:rsidRPr="005F055E" w:rsidR="00D73F76">
        <w:rPr>
          <w:szCs w:val="20"/>
          <w:lang w:eastAsia="nl-NL"/>
        </w:rPr>
        <w:t xml:space="preserve"> </w:t>
      </w:r>
      <w:r w:rsidRPr="005F055E">
        <w:rPr>
          <w:szCs w:val="20"/>
          <w:lang w:eastAsia="nl-NL"/>
        </w:rPr>
        <w:t>beschikbaar zijn. Voor 2026 zijn hiervoor geen middelen gereserveerd op de begroting van VWS. Wel zet het Aanjaagteam Wonen Welzijn en Zorg voor Ouderen zich tot juli 2026 in voor het opzetten van nieuwe woonzorgvormen.</w:t>
      </w:r>
    </w:p>
    <w:p w:rsidRPr="005F055E" w:rsidR="00D07289" w:rsidP="00180EEB" w:rsidRDefault="00D07289" w14:paraId="3E229E32" w14:textId="77777777">
      <w:pPr>
        <w:suppressAutoHyphens/>
      </w:pPr>
    </w:p>
    <w:p w:rsidRPr="005F055E" w:rsidR="00274792" w:rsidP="00180EEB" w:rsidRDefault="003E7003" w14:paraId="1B71E038" w14:textId="77777777">
      <w:pPr>
        <w:suppressAutoHyphens/>
      </w:pPr>
      <w:r w:rsidRPr="005F055E">
        <w:t>Vraag 218</w:t>
      </w:r>
      <w:r w:rsidRPr="005F055E">
        <w:tab/>
      </w:r>
    </w:p>
    <w:p w:rsidRPr="005F055E" w:rsidR="00274792" w:rsidP="00180EEB" w:rsidRDefault="003E7003" w14:paraId="56BFCEA5" w14:textId="77777777">
      <w:pPr>
        <w:suppressAutoHyphens/>
      </w:pPr>
      <w:r w:rsidRPr="005F055E">
        <w:t>Hoe wordt de overgenomen motie over afspraken over een regionaal budget uitgevoerd?</w:t>
      </w:r>
      <w:r w:rsidRPr="005F055E">
        <w:tab/>
      </w:r>
    </w:p>
    <w:p w:rsidRPr="005F055E" w:rsidR="003E7003" w:rsidP="00180EEB" w:rsidRDefault="003E7003" w14:paraId="0A72D657" w14:textId="7AB39749">
      <w:pPr>
        <w:suppressAutoHyphens/>
      </w:pPr>
      <w:r w:rsidRPr="005F055E">
        <w:t>Antwoord</w:t>
      </w:r>
    </w:p>
    <w:p w:rsidRPr="005F055E" w:rsidR="00D07289" w:rsidP="00180EEB" w:rsidRDefault="00D07289" w14:paraId="224165DD" w14:textId="77777777">
      <w:pPr>
        <w:suppressAutoHyphens/>
        <w:rPr>
          <w:szCs w:val="18"/>
        </w:rPr>
      </w:pPr>
      <w:r w:rsidRPr="005F055E">
        <w:rPr>
          <w:szCs w:val="18"/>
        </w:rPr>
        <w:t>De motie verzoekt de regering ervoor te zorgen dat de verschillende financiers van de verschillende wetten op regionaal niveau afspraken maken over een regionaal budget en daarbij ook afspraken maken over de verantwoording van deze middelen.</w:t>
      </w:r>
      <w:r w:rsidRPr="005F055E">
        <w:rPr>
          <w:rStyle w:val="Voetnootmarkering"/>
          <w:szCs w:val="18"/>
        </w:rPr>
        <w:footnoteReference w:id="73"/>
      </w:r>
      <w:r w:rsidRPr="005F055E">
        <w:rPr>
          <w:szCs w:val="18"/>
        </w:rPr>
        <w:t xml:space="preserve"> Dit verzoek is in lijn met verschillende mogelijkheden die er op dit moment al zijn (zoals de IZA </w:t>
      </w:r>
      <w:proofErr w:type="spellStart"/>
      <w:r w:rsidRPr="005F055E">
        <w:rPr>
          <w:szCs w:val="18"/>
        </w:rPr>
        <w:t>SPUK’s</w:t>
      </w:r>
      <w:proofErr w:type="spellEnd"/>
      <w:r w:rsidRPr="005F055E">
        <w:rPr>
          <w:szCs w:val="18"/>
        </w:rPr>
        <w:t xml:space="preserve"> en de transformatiemiddelen) en de verschillende (landelijke) initiatieven die erop gericht zijn om wetgeving beter op elkaar aan te laten sluiten. Een voorbeeld hiervan is de verkenning naar het beter op elkaar afstemmen en mogelijk samenvoegen van zorgwetten. </w:t>
      </w:r>
    </w:p>
    <w:p w:rsidRPr="005F055E" w:rsidR="00D07289" w:rsidP="00180EEB" w:rsidRDefault="00D07289" w14:paraId="41ED9BF0" w14:textId="77777777">
      <w:pPr>
        <w:suppressAutoHyphens/>
        <w:rPr>
          <w:szCs w:val="18"/>
        </w:rPr>
      </w:pPr>
    </w:p>
    <w:p w:rsidRPr="005F055E" w:rsidR="00274792" w:rsidP="00180EEB" w:rsidRDefault="00D07289" w14:paraId="7499F79A" w14:textId="218FE206">
      <w:pPr>
        <w:suppressAutoHyphens/>
        <w:rPr>
          <w:szCs w:val="18"/>
        </w:rPr>
      </w:pPr>
      <w:r w:rsidRPr="005F055E">
        <w:rPr>
          <w:szCs w:val="18"/>
        </w:rPr>
        <w:t>De komende tijd worden er met de uitvoering van het AZWA (zoals hoofdstuk D5 en D6 en de doorbraakmiddelen) verdere stappen gezet. Ik blijf deze ontwikkelingen en de praktijkervaringen nauwgezet volgen om uiteindelijk te bepalen of op termijn aanvullende maatregelen nodig zijn. Mocht dit het geval zijn, dan zal ik uw Kamer hierover informeren via de voortgangsbrieven rondom het IZA en het AZWA.</w:t>
      </w:r>
      <w:r w:rsidRPr="005F055E" w:rsidR="00D73F76">
        <w:rPr>
          <w:szCs w:val="18"/>
        </w:rPr>
        <w:t xml:space="preserve">    </w:t>
      </w:r>
      <w:r w:rsidRPr="005F055E">
        <w:rPr>
          <w:szCs w:val="18"/>
        </w:rPr>
        <w:t xml:space="preserve"> </w:t>
      </w:r>
    </w:p>
    <w:p w:rsidRPr="005F055E" w:rsidR="00274792" w:rsidP="00180EEB" w:rsidRDefault="00274792" w14:paraId="529A7F9A" w14:textId="77777777">
      <w:pPr>
        <w:suppressAutoHyphens/>
      </w:pPr>
    </w:p>
    <w:p w:rsidRPr="005F055E" w:rsidR="00274792" w:rsidP="00180EEB" w:rsidRDefault="003E7003" w14:paraId="7C6D7309" w14:textId="77777777">
      <w:pPr>
        <w:suppressAutoHyphens/>
      </w:pPr>
      <w:r w:rsidRPr="005F055E">
        <w:t>Vraag 219</w:t>
      </w:r>
      <w:r w:rsidRPr="005F055E">
        <w:tab/>
      </w:r>
    </w:p>
    <w:p w:rsidRPr="005F055E" w:rsidR="00274792" w:rsidP="00180EEB" w:rsidRDefault="003E7003" w14:paraId="6B6832D1" w14:textId="17727730">
      <w:pPr>
        <w:suppressAutoHyphens/>
      </w:pPr>
      <w:r w:rsidRPr="005F055E">
        <w:t>Worden zorgboerderijen en andere kleinschalige zorgaanbieders expliciet meegenomen in de uitbreiding van de veldbevraging over zinnige administratie en verslaglegging naar overige zorgsectoren?</w:t>
      </w:r>
    </w:p>
    <w:p w:rsidRPr="005F055E" w:rsidR="003E7003" w:rsidP="00180EEB" w:rsidRDefault="003E7003" w14:paraId="72957BE7" w14:textId="42F4B57D">
      <w:pPr>
        <w:suppressAutoHyphens/>
      </w:pPr>
      <w:r w:rsidRPr="005F055E">
        <w:t>Antwoord</w:t>
      </w:r>
    </w:p>
    <w:p w:rsidRPr="005F055E" w:rsidR="00274792" w:rsidP="00180EEB" w:rsidRDefault="00630335" w14:paraId="17D6F2E0" w14:textId="4DE42F22">
      <w:pPr>
        <w:suppressAutoHyphens/>
      </w:pPr>
      <w:r w:rsidRPr="005F055E">
        <w:rPr>
          <w:szCs w:val="18"/>
          <w:lang w:eastAsia="nl-NL"/>
        </w:rPr>
        <w:t xml:space="preserve">Zorgprofessionals in de wijkverpleging, huisartsenzorg en </w:t>
      </w:r>
      <w:r w:rsidR="00D55762">
        <w:rPr>
          <w:szCs w:val="18"/>
          <w:lang w:eastAsia="nl-NL"/>
        </w:rPr>
        <w:t>GGZ</w:t>
      </w:r>
      <w:r w:rsidRPr="005F055E">
        <w:rPr>
          <w:szCs w:val="18"/>
          <w:lang w:eastAsia="nl-NL"/>
        </w:rPr>
        <w:t xml:space="preserve"> doen al mee met de veldbevraging administratieve lasten in de zorg. Daarin wordt de zorgprofessional bevraagd over hoe we in praktijk kunnen komen tot zinnige administratie die past binnen maximaal 20 procent administratietijd. Brancheorganisaties en beroepsverenigingen van de overige sectoren die lid zijn van de Regiegroep Aanpak Regeldruk, zullen gevraagd worden om deel te nemen aan de tweede tranche van de veldbevraging die plaatsvindt in 2026. Brancheorganisaties en beroepsverenigingen selecteren zelf de teams binnen de eigen sector voor deelname aan de veldbevraging. Dit is belangrijk omdat deze organisaties het best weten waar de grootste knelpunten zitten. Doorgaans richt de veldbevraging zich op een mix van diverse zorgprofessionals en aanbieders. De brancheorganisaties en beroepsverenigingen kunnen ook bepalen hoe kleine zorgaanbieders en zorgboerderijen betrokken worden.</w:t>
      </w:r>
    </w:p>
    <w:p w:rsidRPr="005F055E" w:rsidR="00274792" w:rsidP="00180EEB" w:rsidRDefault="00274792" w14:paraId="4F31B67D" w14:textId="77777777">
      <w:pPr>
        <w:suppressAutoHyphens/>
      </w:pPr>
    </w:p>
    <w:p w:rsidRPr="005F055E" w:rsidR="00274792" w:rsidP="00180EEB" w:rsidRDefault="003E7003" w14:paraId="510DB02E" w14:textId="77777777">
      <w:pPr>
        <w:suppressAutoHyphens/>
      </w:pPr>
      <w:r w:rsidRPr="005F055E">
        <w:t>Vraag 220</w:t>
      </w:r>
      <w:r w:rsidRPr="005F055E">
        <w:tab/>
      </w:r>
    </w:p>
    <w:p w:rsidRPr="005F055E" w:rsidR="00274792" w:rsidP="00180EEB" w:rsidRDefault="003E7003" w14:paraId="6F5C1B71" w14:textId="77777777">
      <w:pPr>
        <w:suppressAutoHyphens/>
      </w:pPr>
      <w:r w:rsidRPr="005F055E">
        <w:t xml:space="preserve">In hoeverre is er inzicht in de specifieke administratieve lasten die zorgboeren ervaren, bijvoorbeeld bij het voldoen aan eisen vanuit meerdere domeinen (landbouw, welzijn, </w:t>
      </w:r>
      <w:proofErr w:type="spellStart"/>
      <w:r w:rsidRPr="005F055E">
        <w:t>Wlz</w:t>
      </w:r>
      <w:proofErr w:type="spellEnd"/>
      <w:r w:rsidRPr="005F055E">
        <w:t xml:space="preserve">, </w:t>
      </w:r>
      <w:proofErr w:type="spellStart"/>
      <w:r w:rsidRPr="005F055E">
        <w:t>Wmo</w:t>
      </w:r>
      <w:proofErr w:type="spellEnd"/>
      <w:r w:rsidRPr="005F055E">
        <w:t xml:space="preserve"> 2015, Jeugdwet)?</w:t>
      </w:r>
      <w:r w:rsidRPr="005F055E">
        <w:tab/>
      </w:r>
    </w:p>
    <w:p w:rsidRPr="005F055E" w:rsidR="003E7003" w:rsidP="00180EEB" w:rsidRDefault="003E7003" w14:paraId="6BBF44E0" w14:textId="152CB658">
      <w:pPr>
        <w:suppressAutoHyphens/>
      </w:pPr>
      <w:r w:rsidRPr="005F055E">
        <w:t>Antwoord</w:t>
      </w:r>
    </w:p>
    <w:p w:rsidRPr="005F055E" w:rsidR="00274792" w:rsidP="00180EEB" w:rsidRDefault="00630335" w14:paraId="79A26183" w14:textId="2A25C96A">
      <w:pPr>
        <w:suppressAutoHyphens/>
        <w:spacing w:line="240" w:lineRule="atLeast"/>
        <w:rPr>
          <w:szCs w:val="20"/>
          <w:lang w:eastAsia="nl-NL"/>
        </w:rPr>
      </w:pPr>
      <w:r w:rsidRPr="005F055E">
        <w:rPr>
          <w:szCs w:val="20"/>
          <w:lang w:eastAsia="nl-NL"/>
        </w:rPr>
        <w:t xml:space="preserve">Het is bekend dat zorgboeren administratieve lasten ervaren. Hierover hebben zorgboeren de afgelopen jaren meerdere gesprekken gevoerd met het ministerie van VWS. Waar mogelijk wordt ingezet op synergie in wet- en regelgeving van het ministerie van VWS en het terugdringen van administratieve lasten. Zo </w:t>
      </w:r>
      <w:r w:rsidRPr="005F055E">
        <w:rPr>
          <w:szCs w:val="18"/>
          <w:lang w:eastAsia="nl-NL"/>
        </w:rPr>
        <w:t xml:space="preserve">is per 1 januari 2025 een wijziging van de </w:t>
      </w:r>
      <w:r w:rsidRPr="005F055E">
        <w:rPr>
          <w:rFonts w:cs="Arial"/>
          <w:szCs w:val="18"/>
          <w:lang w:eastAsia="nl-NL"/>
        </w:rPr>
        <w:t>Regeling openbare jaarverantwoording WMG in werking getreden. Deze wijziging maakt het mogelijk dat</w:t>
      </w:r>
      <w:r w:rsidRPr="005F055E">
        <w:rPr>
          <w:rFonts w:cs="Calibri"/>
          <w:szCs w:val="18"/>
          <w:lang w:eastAsia="nl-NL"/>
        </w:rPr>
        <w:t xml:space="preserve"> micro-zorgaanbieders zich volgens een lichter verantwoordingsregime kunnen verantwoorden</w:t>
      </w:r>
      <w:r w:rsidRPr="005F055E">
        <w:rPr>
          <w:szCs w:val="20"/>
          <w:lang w:eastAsia="nl-NL"/>
        </w:rPr>
        <w:t>. Verder werkt het ministerie van VWS met de Regiegroep Aanpak Regeldruk gezamenlijk aan regeldrukvermindering in de gehele zorgsector.</w:t>
      </w:r>
    </w:p>
    <w:p w:rsidRPr="005F055E" w:rsidR="00274792" w:rsidP="00180EEB" w:rsidRDefault="00274792" w14:paraId="1090B1B4" w14:textId="77777777">
      <w:pPr>
        <w:suppressAutoHyphens/>
      </w:pPr>
    </w:p>
    <w:p w:rsidRPr="005F055E" w:rsidR="00274792" w:rsidP="00180EEB" w:rsidRDefault="003E7003" w14:paraId="40F71958" w14:textId="77777777">
      <w:pPr>
        <w:suppressAutoHyphens/>
      </w:pPr>
      <w:r w:rsidRPr="005F055E">
        <w:t>Vraag 221</w:t>
      </w:r>
      <w:r w:rsidRPr="005F055E">
        <w:tab/>
      </w:r>
    </w:p>
    <w:p w:rsidRPr="005F055E" w:rsidR="00274792" w:rsidP="00180EEB" w:rsidRDefault="003E7003" w14:paraId="67C2191E" w14:textId="77777777">
      <w:pPr>
        <w:suppressAutoHyphens/>
      </w:pPr>
      <w:r w:rsidRPr="005F055E">
        <w:t>Hoe wordt geborgd dat de effecten van de regeldrukaanpak ook daadwerkelijk merkbaar worden bij kleinschalige zorgaanbieders, en niet alleen bij grote organisaties?</w:t>
      </w:r>
      <w:r w:rsidRPr="005F055E">
        <w:tab/>
      </w:r>
    </w:p>
    <w:p w:rsidRPr="005F055E" w:rsidR="003E7003" w:rsidP="00180EEB" w:rsidRDefault="003E7003" w14:paraId="23C23E3D" w14:textId="629420FB">
      <w:pPr>
        <w:suppressAutoHyphens/>
      </w:pPr>
      <w:r w:rsidRPr="005F055E">
        <w:t>Antwoord</w:t>
      </w:r>
    </w:p>
    <w:p w:rsidRPr="005F055E" w:rsidR="00630335" w:rsidP="00180EEB" w:rsidRDefault="00630335" w14:paraId="2BCA4D48" w14:textId="77777777">
      <w:pPr>
        <w:suppressAutoHyphens/>
        <w:spacing w:line="240" w:lineRule="atLeast"/>
        <w:rPr>
          <w:szCs w:val="18"/>
          <w:lang w:eastAsia="nl-NL"/>
        </w:rPr>
      </w:pPr>
      <w:r w:rsidRPr="005F055E">
        <w:rPr>
          <w:szCs w:val="20"/>
          <w:lang w:eastAsia="nl-NL"/>
        </w:rPr>
        <w:t xml:space="preserve">De aanpak voor regeldrukvermindering richt zich op het schrappen, versoepelen, uniformeren of anderszins aanpassen van (de toepassing van) regels in de zorg. Dat is in het belang van zowel grote als kleine zorgorganisaties. Doel is dat zorgverleners gemiddeld maximaal 20% van hun tijd per week kwijt zijn aan administratie. Bij concrete projecten rond regeldrukvermindering, bijvoorbeeld rond de afspraken gemaakt in het AZWA, zullen de aangesloten partijen ermee rekening houden dat regeldrukvermindering evenredig verdeeld is. Zo is het aan branche- en beroepsorganisaties in de zorg om ervoor te zorgen dat hun inbreng binnen bijvoorbeeld de Regiegroep Aanpak Regeldruk representatief is voor hun hele achterban, waaronder kleinschalige zorgaanbieders. </w:t>
      </w:r>
    </w:p>
    <w:p w:rsidRPr="005F055E" w:rsidR="00274792" w:rsidP="00180EEB" w:rsidRDefault="00274792" w14:paraId="1A6412EE" w14:textId="77777777">
      <w:pPr>
        <w:suppressAutoHyphens/>
      </w:pPr>
    </w:p>
    <w:p w:rsidRPr="005F055E" w:rsidR="00274792" w:rsidP="00180EEB" w:rsidRDefault="003E7003" w14:paraId="34DF2C28" w14:textId="77777777">
      <w:pPr>
        <w:suppressAutoHyphens/>
      </w:pPr>
      <w:r w:rsidRPr="005F055E">
        <w:t>Vraag 222</w:t>
      </w:r>
      <w:r w:rsidRPr="005F055E">
        <w:tab/>
      </w:r>
    </w:p>
    <w:p w:rsidRPr="005F055E" w:rsidR="00274792" w:rsidP="00180EEB" w:rsidRDefault="003E7003" w14:paraId="57C77189" w14:textId="77777777">
      <w:pPr>
        <w:suppressAutoHyphens/>
      </w:pPr>
      <w:r w:rsidRPr="005F055E">
        <w:t>Hoe gaat u om met innovatieve medicijntrajecten voor Long-Covid? Zijn er al medicijntrajecten in zicht en welke rol ligt hier voor zorgverzekeraars?</w:t>
      </w:r>
      <w:r w:rsidRPr="005F055E">
        <w:tab/>
      </w:r>
    </w:p>
    <w:p w:rsidRPr="005F055E" w:rsidR="003E7003" w:rsidP="00180EEB" w:rsidRDefault="003E7003" w14:paraId="6DDA5D2F" w14:textId="70ADD4BE">
      <w:pPr>
        <w:suppressAutoHyphens/>
      </w:pPr>
      <w:r w:rsidRPr="005F055E">
        <w:t>Antwoord</w:t>
      </w:r>
    </w:p>
    <w:p w:rsidRPr="005F055E" w:rsidR="00D07289" w:rsidP="00180EEB" w:rsidRDefault="00D07289" w14:paraId="5610795B" w14:textId="1DDC1F3F">
      <w:pPr>
        <w:suppressAutoHyphens/>
        <w:rPr>
          <w:szCs w:val="18"/>
        </w:rPr>
      </w:pPr>
      <w:r w:rsidRPr="005F055E">
        <w:rPr>
          <w:szCs w:val="18"/>
        </w:rPr>
        <w:t xml:space="preserve">Vanuit het </w:t>
      </w:r>
      <w:proofErr w:type="spellStart"/>
      <w:r w:rsidRPr="005F055E">
        <w:rPr>
          <w:szCs w:val="18"/>
        </w:rPr>
        <w:t>ZonMw</w:t>
      </w:r>
      <w:proofErr w:type="spellEnd"/>
      <w:r w:rsidRPr="005F055E">
        <w:rPr>
          <w:szCs w:val="18"/>
        </w:rPr>
        <w:t xml:space="preserve"> onderzoeksprogramma voor post-COVID</w:t>
      </w:r>
      <w:bookmarkStart w:name="_Ref211327056" w:id="41"/>
      <w:r w:rsidRPr="005F055E">
        <w:rPr>
          <w:rStyle w:val="Voetnootmarkering"/>
          <w:szCs w:val="18"/>
        </w:rPr>
        <w:footnoteReference w:id="74"/>
      </w:r>
      <w:bookmarkEnd w:id="41"/>
      <w:r w:rsidRPr="005F055E">
        <w:rPr>
          <w:szCs w:val="18"/>
        </w:rPr>
        <w:t xml:space="preserve"> worden verschillende studies naar medicijnen gefinancierd, zowel voor kinderen als volwassenen. Een deel van deze studies vindt plaats in de post-COVID expertisecentra. Daarbij gaat het met name om onderzoek naar bestaande medicijnen die al gebruikt worden bij andere ziektes of vergelijkbare klachten. </w:t>
      </w:r>
    </w:p>
    <w:p w:rsidRPr="005F055E" w:rsidR="00D07289" w:rsidP="00180EEB" w:rsidRDefault="00D07289" w14:paraId="66B3A821" w14:textId="11077957">
      <w:pPr>
        <w:suppressAutoHyphens/>
        <w:rPr>
          <w:szCs w:val="18"/>
        </w:rPr>
      </w:pPr>
      <w:r w:rsidRPr="005F055E">
        <w:rPr>
          <w:szCs w:val="18"/>
        </w:rPr>
        <w:t xml:space="preserve">De ontwikkeling van nieuwe, post-COVID specifieke medicijnen zal naar verwachting nog even op zich laten wachten, omdat nog veel onduidelijk is over de oorzaken van post-COVID. De hoop is dat inzichten uit biomedisch onderzoek die ontwikkeling een stapje dichterbij brengt. Daarom wordt hier binnen het </w:t>
      </w:r>
      <w:proofErr w:type="spellStart"/>
      <w:r w:rsidRPr="005F055E">
        <w:rPr>
          <w:szCs w:val="18"/>
        </w:rPr>
        <w:t>ZonMw</w:t>
      </w:r>
      <w:proofErr w:type="spellEnd"/>
      <w:r w:rsidRPr="005F055E">
        <w:rPr>
          <w:szCs w:val="18"/>
        </w:rPr>
        <w:t xml:space="preserve"> post-COVID programma</w:t>
      </w:r>
      <w:r w:rsidRPr="005F055E">
        <w:rPr>
          <w:rStyle w:val="Voetnootmarkering"/>
        </w:rPr>
        <w:fldChar w:fldCharType="begin"/>
      </w:r>
      <w:r w:rsidRPr="005F055E">
        <w:rPr>
          <w:rStyle w:val="Voetnootmarkering"/>
        </w:rPr>
        <w:instrText xml:space="preserve"> NOTEREF _Ref211327056 \h  \* MERGEFORMAT </w:instrText>
      </w:r>
      <w:r w:rsidRPr="005F055E">
        <w:rPr>
          <w:rStyle w:val="Voetnootmarkering"/>
        </w:rPr>
      </w:r>
      <w:r w:rsidRPr="005F055E">
        <w:rPr>
          <w:rStyle w:val="Voetnootmarkering"/>
        </w:rPr>
        <w:fldChar w:fldCharType="separate"/>
      </w:r>
      <w:r w:rsidR="00180EEB">
        <w:rPr>
          <w:rStyle w:val="Voetnootmarkering"/>
        </w:rPr>
        <w:t>73</w:t>
      </w:r>
      <w:r w:rsidRPr="005F055E">
        <w:rPr>
          <w:rStyle w:val="Voetnootmarkering"/>
        </w:rPr>
        <w:fldChar w:fldCharType="end"/>
      </w:r>
      <w:r w:rsidRPr="005F055E">
        <w:rPr>
          <w:szCs w:val="18"/>
        </w:rPr>
        <w:t xml:space="preserve"> op ingezet. Een voorbeeld voor specifiek het testen van medicijnen voor post-COVID patiënten is de RECLAIM studie</w:t>
      </w:r>
      <w:r w:rsidRPr="005F055E">
        <w:rPr>
          <w:szCs w:val="18"/>
          <w:vertAlign w:val="superscript"/>
        </w:rPr>
        <w:footnoteReference w:id="75"/>
      </w:r>
      <w:r w:rsidRPr="005F055E">
        <w:rPr>
          <w:szCs w:val="18"/>
        </w:rPr>
        <w:t>.</w:t>
      </w:r>
    </w:p>
    <w:p w:rsidRPr="005F055E" w:rsidR="00D07289" w:rsidP="00180EEB" w:rsidRDefault="00D07289" w14:paraId="1545DE8C" w14:textId="77777777">
      <w:pPr>
        <w:suppressAutoHyphens/>
        <w:rPr>
          <w:szCs w:val="18"/>
        </w:rPr>
      </w:pPr>
      <w:r w:rsidRPr="005F055E">
        <w:rPr>
          <w:szCs w:val="18"/>
        </w:rPr>
        <w:t xml:space="preserve">Om de resultaten uit de medicijnstudies door te geleiden naar de praktijk zullen deze moeten worden opgenomen in richtlijnen. Deze worden op basis van publicaties ontwikkeld door de beroepsgroepen. In het door </w:t>
      </w:r>
      <w:proofErr w:type="spellStart"/>
      <w:r w:rsidRPr="005F055E">
        <w:rPr>
          <w:szCs w:val="18"/>
        </w:rPr>
        <w:t>ZonMw</w:t>
      </w:r>
      <w:proofErr w:type="spellEnd"/>
      <w:r w:rsidRPr="005F055E">
        <w:rPr>
          <w:szCs w:val="18"/>
        </w:rPr>
        <w:t xml:space="preserve"> gefinancierde post-COVID Netwerk Nederland (PCNN) is een kennisinfrastructuur ontworpen om onderzoeksresultaten te laten landen in de praktijk en dit is ook expliciet onderdeel van de opdracht van de post-COVID expertisecentra. Zorgverzekeraars zijn bij de totstandkoming van deze post-COVID expertisecentra nauw betrokken.</w:t>
      </w:r>
    </w:p>
    <w:p w:rsidRPr="005F055E" w:rsidR="00274792" w:rsidP="00180EEB" w:rsidRDefault="003E7003" w14:paraId="62F08DB8" w14:textId="77777777">
      <w:pPr>
        <w:suppressAutoHyphens/>
      </w:pPr>
      <w:r w:rsidRPr="005F055E">
        <w:t>Vraag 223</w:t>
      </w:r>
      <w:r w:rsidRPr="005F055E">
        <w:tab/>
      </w:r>
    </w:p>
    <w:p w:rsidRPr="005F055E" w:rsidR="00274792" w:rsidP="00180EEB" w:rsidRDefault="003E7003" w14:paraId="75C71A5C" w14:textId="77777777">
      <w:pPr>
        <w:suppressAutoHyphens/>
      </w:pPr>
      <w:r w:rsidRPr="005F055E">
        <w:t>Wat is de exacte instellingssubsidie die u heeft toegekend aan de Nederlandse Transplantatie Stichting voor 2026?</w:t>
      </w:r>
      <w:r w:rsidRPr="005F055E">
        <w:tab/>
      </w:r>
    </w:p>
    <w:p w:rsidRPr="005F055E" w:rsidR="003E7003" w:rsidP="00180EEB" w:rsidRDefault="003E7003" w14:paraId="6D35C8A9" w14:textId="4179B950">
      <w:pPr>
        <w:suppressAutoHyphens/>
      </w:pPr>
      <w:r w:rsidRPr="005F055E">
        <w:t>Antwoord</w:t>
      </w:r>
    </w:p>
    <w:p w:rsidRPr="005F055E" w:rsidR="00630335" w:rsidP="00180EEB" w:rsidRDefault="00630335" w14:paraId="3EF086D8" w14:textId="77777777">
      <w:pPr>
        <w:suppressAutoHyphens/>
        <w:spacing w:line="240" w:lineRule="atLeast"/>
        <w:rPr>
          <w:szCs w:val="18"/>
          <w:lang w:eastAsia="nl-NL"/>
        </w:rPr>
      </w:pPr>
      <w:r w:rsidRPr="005F055E">
        <w:rPr>
          <w:szCs w:val="18"/>
          <w:lang w:eastAsia="nl-NL"/>
        </w:rPr>
        <w:t>Voor 2026 kan de NTS € 17.465.355 aan instellingssubsidie aanvragen.</w:t>
      </w:r>
    </w:p>
    <w:p w:rsidRPr="005F055E" w:rsidR="00274792" w:rsidP="00180EEB" w:rsidRDefault="00274792" w14:paraId="638A9F43" w14:textId="77777777">
      <w:pPr>
        <w:suppressAutoHyphens/>
      </w:pPr>
    </w:p>
    <w:p w:rsidRPr="005F055E" w:rsidR="00274792" w:rsidP="00180EEB" w:rsidRDefault="003E7003" w14:paraId="7D83E72F" w14:textId="77777777">
      <w:pPr>
        <w:suppressAutoHyphens/>
      </w:pPr>
      <w:r w:rsidRPr="005F055E">
        <w:t>Vraag 224</w:t>
      </w:r>
      <w:r w:rsidRPr="005F055E">
        <w:tab/>
      </w:r>
    </w:p>
    <w:p w:rsidRPr="005F055E" w:rsidR="00274792" w:rsidP="00180EEB" w:rsidRDefault="003E7003" w14:paraId="30176AD2" w14:textId="77777777">
      <w:pPr>
        <w:suppressAutoHyphens/>
      </w:pPr>
      <w:r w:rsidRPr="005F055E">
        <w:t>Heeft u een impactanalyse voor de orgaan- en weefselketen gedaan van het gevolg van de korting die aan de Nederlandse Transplantatie Stichting is opgelegd?</w:t>
      </w:r>
      <w:r w:rsidRPr="005F055E">
        <w:tab/>
      </w:r>
    </w:p>
    <w:p w:rsidRPr="005F055E" w:rsidR="003E7003" w:rsidP="00180EEB" w:rsidRDefault="003E7003" w14:paraId="435FED83" w14:textId="4848E8CA">
      <w:pPr>
        <w:suppressAutoHyphens/>
      </w:pPr>
      <w:r w:rsidRPr="005F055E">
        <w:t>Antwoord</w:t>
      </w:r>
    </w:p>
    <w:p w:rsidRPr="005F055E" w:rsidR="00630335" w:rsidP="00180EEB" w:rsidRDefault="00630335" w14:paraId="0319ACED" w14:textId="77777777">
      <w:pPr>
        <w:suppressAutoHyphens/>
        <w:spacing w:line="240" w:lineRule="atLeast"/>
        <w:rPr>
          <w:szCs w:val="18"/>
          <w:lang w:eastAsia="nl-NL"/>
        </w:rPr>
      </w:pPr>
      <w:r w:rsidRPr="005F055E">
        <w:rPr>
          <w:szCs w:val="18"/>
          <w:lang w:eastAsia="nl-NL"/>
        </w:rPr>
        <w:t>Nee. Omdat inmiddels is besloten dat de instellingssubsidie voor de NTS wordt opgehoogd om rekening te houden met de loon- en prijsontwikkeling (OVA) voor 2026 is deze vraag niet langer aan de orde.</w:t>
      </w:r>
    </w:p>
    <w:p w:rsidRPr="005F055E" w:rsidR="00274792" w:rsidP="00180EEB" w:rsidRDefault="003E7003" w14:paraId="027E541A" w14:textId="77777777">
      <w:pPr>
        <w:suppressAutoHyphens/>
      </w:pPr>
      <w:r w:rsidRPr="005F055E">
        <w:t>Vraag 225</w:t>
      </w:r>
      <w:r w:rsidRPr="005F055E">
        <w:tab/>
      </w:r>
    </w:p>
    <w:p w:rsidRPr="005F055E" w:rsidR="00274792" w:rsidP="00180EEB" w:rsidRDefault="003E7003" w14:paraId="4A632DC6" w14:textId="77777777">
      <w:pPr>
        <w:suppressAutoHyphens/>
      </w:pPr>
      <w:r w:rsidRPr="005F055E">
        <w:t>Kunnen alle ombuigingen voor het jaar 2026 in een tabel worden weergegeven?</w:t>
      </w:r>
      <w:r w:rsidRPr="005F055E">
        <w:tab/>
      </w:r>
    </w:p>
    <w:p w:rsidRPr="005F055E" w:rsidR="003E7003" w:rsidP="00180EEB" w:rsidRDefault="003E7003" w14:paraId="522786A4" w14:textId="436D1248">
      <w:pPr>
        <w:suppressAutoHyphens/>
      </w:pPr>
      <w:r w:rsidRPr="005F055E">
        <w:t>Antwoord</w:t>
      </w:r>
    </w:p>
    <w:p w:rsidRPr="005F055E" w:rsidR="00274792" w:rsidP="00180EEB" w:rsidRDefault="00D07289" w14:paraId="7B8927B6" w14:textId="363E3848">
      <w:pPr>
        <w:suppressAutoHyphens/>
      </w:pPr>
      <w:r w:rsidRPr="005F055E">
        <w:t>In het antwoord op vraag 73 staan alle ombuigingen en taakstellingen meerjarig in een tabel toegelicht.</w:t>
      </w:r>
    </w:p>
    <w:p w:rsidRPr="005F055E" w:rsidR="00D07289" w:rsidP="00180EEB" w:rsidRDefault="00D07289" w14:paraId="241A0212" w14:textId="77777777">
      <w:pPr>
        <w:suppressAutoHyphens/>
      </w:pPr>
    </w:p>
    <w:p w:rsidRPr="005F055E" w:rsidR="00274792" w:rsidP="00180EEB" w:rsidRDefault="003E7003" w14:paraId="7FC0B1F5" w14:textId="77777777">
      <w:pPr>
        <w:suppressAutoHyphens/>
      </w:pPr>
      <w:r w:rsidRPr="005F055E">
        <w:t>Vraag 226</w:t>
      </w:r>
      <w:r w:rsidRPr="005F055E">
        <w:tab/>
      </w:r>
    </w:p>
    <w:p w:rsidRPr="005F055E" w:rsidR="00274792" w:rsidP="00180EEB" w:rsidRDefault="003E7003" w14:paraId="7E9687CB" w14:textId="77777777">
      <w:pPr>
        <w:suppressAutoHyphens/>
      </w:pPr>
      <w:r w:rsidRPr="005F055E">
        <w:t>Kunnen alle taakstellingen voor 2026 in een tabel worden weergegeven?</w:t>
      </w:r>
      <w:r w:rsidRPr="005F055E">
        <w:tab/>
      </w:r>
    </w:p>
    <w:p w:rsidRPr="005F055E" w:rsidR="003E7003" w:rsidP="00180EEB" w:rsidRDefault="003E7003" w14:paraId="5165296E" w14:textId="1E780CFA">
      <w:pPr>
        <w:suppressAutoHyphens/>
      </w:pPr>
      <w:r w:rsidRPr="005F055E">
        <w:t>Antwoord</w:t>
      </w:r>
    </w:p>
    <w:p w:rsidRPr="005F055E" w:rsidR="00274792" w:rsidP="00180EEB" w:rsidRDefault="00D07289" w14:paraId="275E6083" w14:textId="27742D5A">
      <w:pPr>
        <w:suppressAutoHyphens/>
        <w:rPr>
          <w:szCs w:val="18"/>
        </w:rPr>
      </w:pPr>
      <w:r w:rsidRPr="005F055E">
        <w:rPr>
          <w:szCs w:val="18"/>
        </w:rPr>
        <w:t xml:space="preserve">In het antwoord op vraag 73 staan alle ombuigingen en taakstellingen meerjarig in een tabel toegelicht. </w:t>
      </w:r>
    </w:p>
    <w:p w:rsidRPr="005F055E" w:rsidR="00274792" w:rsidP="00180EEB" w:rsidRDefault="00274792" w14:paraId="79E10DC6" w14:textId="77777777">
      <w:pPr>
        <w:suppressAutoHyphens/>
      </w:pPr>
    </w:p>
    <w:p w:rsidRPr="005F055E" w:rsidR="00274792" w:rsidP="00180EEB" w:rsidRDefault="003E7003" w14:paraId="594CE7C5" w14:textId="77777777">
      <w:pPr>
        <w:suppressAutoHyphens/>
      </w:pPr>
      <w:r w:rsidRPr="005F055E">
        <w:t>Vraag 227</w:t>
      </w:r>
      <w:r w:rsidRPr="005F055E">
        <w:tab/>
      </w:r>
    </w:p>
    <w:p w:rsidRPr="005F055E" w:rsidR="00274792" w:rsidP="00180EEB" w:rsidRDefault="003E7003" w14:paraId="04897B4A" w14:textId="77777777">
      <w:pPr>
        <w:suppressAutoHyphens/>
      </w:pPr>
      <w:r w:rsidRPr="005F055E">
        <w:t xml:space="preserve">Kan nader worden toegelicht hoe het kan dat de </w:t>
      </w:r>
      <w:proofErr w:type="spellStart"/>
      <w:r w:rsidRPr="005F055E">
        <w:t>Wlz</w:t>
      </w:r>
      <w:proofErr w:type="spellEnd"/>
      <w:r w:rsidRPr="005F055E">
        <w:t xml:space="preserve">-premie gelijk blijft, maar de </w:t>
      </w:r>
      <w:proofErr w:type="spellStart"/>
      <w:r w:rsidRPr="005F055E">
        <w:t>Wlz</w:t>
      </w:r>
      <w:proofErr w:type="spellEnd"/>
      <w:r w:rsidRPr="005F055E">
        <w:t>-kosten stijgen?</w:t>
      </w:r>
      <w:r w:rsidRPr="005F055E">
        <w:tab/>
      </w:r>
    </w:p>
    <w:p w:rsidRPr="005F055E" w:rsidR="003E7003" w:rsidP="00180EEB" w:rsidRDefault="003E7003" w14:paraId="30F3315C" w14:textId="76646527">
      <w:pPr>
        <w:suppressAutoHyphens/>
      </w:pPr>
      <w:r w:rsidRPr="005F055E">
        <w:t>Antwoord</w:t>
      </w:r>
    </w:p>
    <w:p w:rsidRPr="005F055E" w:rsidR="00274792" w:rsidP="00180EEB" w:rsidRDefault="00630335" w14:paraId="4D6AA7E4" w14:textId="03EB6D5E">
      <w:pPr>
        <w:suppressAutoHyphens/>
        <w:spacing w:line="240" w:lineRule="atLeast"/>
        <w:rPr>
          <w:szCs w:val="20"/>
          <w:lang w:eastAsia="nl-NL"/>
        </w:rPr>
      </w:pPr>
      <w:r w:rsidRPr="005F055E">
        <w:rPr>
          <w:szCs w:val="20"/>
          <w:lang w:eastAsia="nl-NL"/>
        </w:rPr>
        <w:t xml:space="preserve">De </w:t>
      </w:r>
      <w:proofErr w:type="spellStart"/>
      <w:r w:rsidRPr="005F055E">
        <w:rPr>
          <w:szCs w:val="20"/>
          <w:lang w:eastAsia="nl-NL"/>
        </w:rPr>
        <w:t>Wlz</w:t>
      </w:r>
      <w:proofErr w:type="spellEnd"/>
      <w:r w:rsidRPr="005F055E">
        <w:rPr>
          <w:szCs w:val="20"/>
          <w:lang w:eastAsia="nl-NL"/>
        </w:rPr>
        <w:t xml:space="preserve">-premie wordt niet </w:t>
      </w:r>
      <w:proofErr w:type="spellStart"/>
      <w:r w:rsidRPr="005F055E">
        <w:rPr>
          <w:szCs w:val="20"/>
          <w:lang w:eastAsia="nl-NL"/>
        </w:rPr>
        <w:t>lastendekkend</w:t>
      </w:r>
      <w:proofErr w:type="spellEnd"/>
      <w:r w:rsidRPr="005F055E">
        <w:rPr>
          <w:szCs w:val="20"/>
          <w:lang w:eastAsia="nl-NL"/>
        </w:rPr>
        <w:t xml:space="preserve"> vastgesteld. Het premiepercentage wordt sinds de invoering van de </w:t>
      </w:r>
      <w:proofErr w:type="spellStart"/>
      <w:r w:rsidRPr="005F055E">
        <w:rPr>
          <w:szCs w:val="20"/>
          <w:lang w:eastAsia="nl-NL"/>
        </w:rPr>
        <w:t>Wlz</w:t>
      </w:r>
      <w:proofErr w:type="spellEnd"/>
      <w:r w:rsidRPr="005F055E">
        <w:rPr>
          <w:szCs w:val="20"/>
          <w:lang w:eastAsia="nl-NL"/>
        </w:rPr>
        <w:t xml:space="preserve"> in 2015 constant gehouden op 9,65% van de premiegrondslag in de eerste schijf van de inkomstenbelasting. De premieontvangsten groeien daardoor mee met de inkomsten van burgers, niet met de </w:t>
      </w:r>
      <w:proofErr w:type="spellStart"/>
      <w:r w:rsidRPr="005F055E">
        <w:rPr>
          <w:szCs w:val="20"/>
          <w:lang w:eastAsia="nl-NL"/>
        </w:rPr>
        <w:t>Wlz</w:t>
      </w:r>
      <w:proofErr w:type="spellEnd"/>
      <w:r w:rsidRPr="005F055E">
        <w:rPr>
          <w:szCs w:val="20"/>
          <w:lang w:eastAsia="nl-NL"/>
        </w:rPr>
        <w:t xml:space="preserve">-uitgaven. De groei van de uitgaven hangt samen met de groei van de zorgbehoefte. De zorgbehoefte neemt sneller toe dan het inkomen. Voor een belangrijk deel is dit het gevolg van een vergrijzende bevolking waardoor vooral de vraag naar ouderenzorg toeneemt. Het verschil tussen de premieontvangsten en de </w:t>
      </w:r>
      <w:proofErr w:type="spellStart"/>
      <w:r w:rsidRPr="005F055E">
        <w:rPr>
          <w:szCs w:val="20"/>
          <w:lang w:eastAsia="nl-NL"/>
        </w:rPr>
        <w:t>Wlz</w:t>
      </w:r>
      <w:proofErr w:type="spellEnd"/>
      <w:r w:rsidRPr="005F055E">
        <w:rPr>
          <w:szCs w:val="20"/>
          <w:lang w:eastAsia="nl-NL"/>
        </w:rPr>
        <w:t xml:space="preserve">-uitgaven wordt aangevuld met rijksbijdragen aan het Fonds langdurige zorg, zodat er geen tekorten ontstaan in de financiering van de </w:t>
      </w:r>
      <w:proofErr w:type="spellStart"/>
      <w:r w:rsidRPr="005F055E">
        <w:rPr>
          <w:szCs w:val="20"/>
          <w:lang w:eastAsia="nl-NL"/>
        </w:rPr>
        <w:t>Wlz</w:t>
      </w:r>
      <w:proofErr w:type="spellEnd"/>
      <w:r w:rsidRPr="005F055E">
        <w:rPr>
          <w:szCs w:val="20"/>
          <w:lang w:eastAsia="nl-NL"/>
        </w:rPr>
        <w:t>. De rijksbijdragen worden betaald uit de algemene middelen.</w:t>
      </w:r>
      <w:r w:rsidRPr="005F055E" w:rsidR="00D73F76">
        <w:rPr>
          <w:szCs w:val="20"/>
          <w:lang w:eastAsia="nl-NL"/>
        </w:rPr>
        <w:t xml:space="preserve">  </w:t>
      </w:r>
    </w:p>
    <w:p w:rsidRPr="005F055E" w:rsidR="00274792" w:rsidP="00180EEB" w:rsidRDefault="00274792" w14:paraId="1370D517" w14:textId="77777777">
      <w:pPr>
        <w:suppressAutoHyphens/>
      </w:pPr>
    </w:p>
    <w:p w:rsidRPr="005F055E" w:rsidR="00274792" w:rsidP="00180EEB" w:rsidRDefault="003E7003" w14:paraId="5462C864" w14:textId="77777777">
      <w:pPr>
        <w:suppressAutoHyphens/>
      </w:pPr>
      <w:r w:rsidRPr="005F055E">
        <w:t>Vraag 228</w:t>
      </w:r>
      <w:r w:rsidRPr="005F055E">
        <w:tab/>
      </w:r>
    </w:p>
    <w:p w:rsidRPr="005F055E" w:rsidR="00274792" w:rsidP="00180EEB" w:rsidRDefault="003E7003" w14:paraId="7E503C19" w14:textId="77777777">
      <w:pPr>
        <w:suppressAutoHyphens/>
      </w:pPr>
      <w:r w:rsidRPr="005F055E">
        <w:t>Wat wordt er op (ziekte)preventie bezuinigd?</w:t>
      </w:r>
      <w:r w:rsidRPr="005F055E">
        <w:tab/>
      </w:r>
    </w:p>
    <w:p w:rsidRPr="005F055E" w:rsidR="003E7003" w:rsidP="00180EEB" w:rsidRDefault="003E7003" w14:paraId="7CB96C70" w14:textId="6CAE85CF">
      <w:pPr>
        <w:suppressAutoHyphens/>
      </w:pPr>
      <w:r w:rsidRPr="005F055E">
        <w:t>Antwoord</w:t>
      </w:r>
    </w:p>
    <w:p w:rsidRPr="005F055E" w:rsidR="00274792" w:rsidP="00180EEB" w:rsidRDefault="00E6339E" w14:paraId="1A003F33" w14:textId="52429598">
      <w:pPr>
        <w:suppressAutoHyphens/>
        <w:spacing w:line="240" w:lineRule="atLeast"/>
        <w:rPr>
          <w:szCs w:val="18"/>
          <w:lang w:eastAsia="nl-NL"/>
        </w:rPr>
      </w:pPr>
      <w:r w:rsidRPr="005F055E">
        <w:rPr>
          <w:szCs w:val="18"/>
          <w:lang w:eastAsia="nl-NL"/>
        </w:rPr>
        <w:t>De VWS-begroting voor 2026 bevat enkele bezuinigingen die voor een deel betrekking hebben op preventie. Zo is er een taakstelling van € 300 miljoen op publieke gezondheid in het hoofdlijnenakkoord opgenomen</w:t>
      </w:r>
      <w:r w:rsidR="00AC5F77">
        <w:rPr>
          <w:szCs w:val="18"/>
          <w:lang w:eastAsia="nl-NL"/>
        </w:rPr>
        <w:t>,</w:t>
      </w:r>
      <w:r w:rsidRPr="005F055E">
        <w:rPr>
          <w:szCs w:val="18"/>
          <w:lang w:eastAsia="nl-NL"/>
        </w:rPr>
        <w:t xml:space="preserve"> wat betekent dat de middelen rondom pandemische paraatheid worden afgebouwd tot nul in 2029. Daarnaast zijn ook subsidies op o.a. het terrein van preventie met 10% gekort en zijn de gelden voor </w:t>
      </w:r>
      <w:proofErr w:type="spellStart"/>
      <w:r w:rsidRPr="005F055E">
        <w:rPr>
          <w:szCs w:val="18"/>
          <w:lang w:eastAsia="nl-NL"/>
        </w:rPr>
        <w:t>SPUKs</w:t>
      </w:r>
      <w:proofErr w:type="spellEnd"/>
      <w:r w:rsidRPr="005F055E">
        <w:rPr>
          <w:szCs w:val="18"/>
          <w:lang w:eastAsia="nl-NL"/>
        </w:rPr>
        <w:t xml:space="preserve"> waaronder de Brede SPUK met preventiemiddelen met 10% gekort. </w:t>
      </w:r>
      <w:r w:rsidRPr="005F055E" w:rsidR="00B90292">
        <w:rPr>
          <w:szCs w:val="18"/>
          <w:lang w:eastAsia="nl-NL"/>
        </w:rPr>
        <w:t xml:space="preserve">De VWS-begroting kent onder artikel 1 het </w:t>
      </w:r>
      <w:r w:rsidRPr="005F055E">
        <w:rPr>
          <w:szCs w:val="18"/>
          <w:lang w:eastAsia="nl-NL"/>
        </w:rPr>
        <w:t xml:space="preserve">specifieke </w:t>
      </w:r>
      <w:r w:rsidRPr="005F055E" w:rsidR="00B90292">
        <w:rPr>
          <w:szCs w:val="18"/>
          <w:lang w:eastAsia="nl-NL"/>
        </w:rPr>
        <w:t>artikelonderdeel ziektepreventie. Dit onderdeel bevat meerdere instrumenten waaronder bijdrages aan het RIVM en subsidies. Het budget bij dit artikelonderdeel loopt af, echter is niet de volledige afloop een bezuiniging. De budgetten in de begroting die zijn gereserveerd voor het RIVM bestaan uit structurele en tijdelijke budgetten. Daardoor lopen de budgetten voor een deel af. Wel is een taakstelling doorgevoerd op de budgetten voor het RIVM voor € 29 miljoen structureel waardoor over de hele breedte van het portfolio keuzes moeten worden gemaakt in de programmering. Deze keuzes zullen met uw Kamer worden gedeeld via de beleidsinhoudelijke brieven waar deze programma’s aan bijdragen. Daarnaast staat een deel van de middelen voor het voormalige programma pandemische paraatheid op dit artikelonderdeel. Deze middelen lopen</w:t>
      </w:r>
      <w:r w:rsidRPr="005F055E">
        <w:rPr>
          <w:szCs w:val="18"/>
          <w:lang w:eastAsia="nl-NL"/>
        </w:rPr>
        <w:t xml:space="preserve"> zoals eerder benoemd</w:t>
      </w:r>
      <w:r w:rsidRPr="005F055E" w:rsidR="00B90292">
        <w:rPr>
          <w:szCs w:val="18"/>
          <w:lang w:eastAsia="nl-NL"/>
        </w:rPr>
        <w:t xml:space="preserve"> af vanwege de taakstelling van € 300 miljoen op publieke gezondheid in het hoofdlijnenakkoord. Tevens staan op dit artikelonderdeel middelen voor de bestrijding van </w:t>
      </w:r>
      <w:r w:rsidR="004916E9">
        <w:rPr>
          <w:szCs w:val="18"/>
          <w:lang w:eastAsia="nl-NL"/>
        </w:rPr>
        <w:t>C</w:t>
      </w:r>
      <w:r w:rsidRPr="005F055E" w:rsidR="00B90292">
        <w:rPr>
          <w:szCs w:val="18"/>
          <w:lang w:eastAsia="nl-NL"/>
        </w:rPr>
        <w:t xml:space="preserve">ovid-19. Over de beschikbaarheid van deze middelen wordt tot nu toe jaarlijks besloten waardoor deze middelen vanaf 2027 en verder niet structureel in het budget zitten. Als laatste bevat dit artikelonderdeel subsidies, die met het hoofdlijnenakkoord </w:t>
      </w:r>
      <w:r w:rsidRPr="005F055E">
        <w:rPr>
          <w:szCs w:val="18"/>
          <w:lang w:eastAsia="nl-NL"/>
        </w:rPr>
        <w:t xml:space="preserve">zoals eerder benoemd </w:t>
      </w:r>
      <w:r w:rsidRPr="005F055E" w:rsidR="00B90292">
        <w:rPr>
          <w:szCs w:val="18"/>
          <w:lang w:eastAsia="nl-NL"/>
        </w:rPr>
        <w:t xml:space="preserve">10% zijn gekort vanaf 2026 wat terug is te zien in de budgetten. </w:t>
      </w:r>
    </w:p>
    <w:p w:rsidRPr="005F055E" w:rsidR="00274792" w:rsidP="00180EEB" w:rsidRDefault="00274792" w14:paraId="12CD692A" w14:textId="77777777">
      <w:pPr>
        <w:suppressAutoHyphens/>
      </w:pPr>
    </w:p>
    <w:p w:rsidRPr="005F055E" w:rsidR="00274792" w:rsidP="00180EEB" w:rsidRDefault="003E7003" w14:paraId="048F8976" w14:textId="77777777">
      <w:pPr>
        <w:suppressAutoHyphens/>
      </w:pPr>
      <w:r w:rsidRPr="005F055E">
        <w:t>Vraag 229</w:t>
      </w:r>
      <w:r w:rsidRPr="005F055E">
        <w:tab/>
      </w:r>
    </w:p>
    <w:p w:rsidRPr="005F055E" w:rsidR="00274792" w:rsidP="00180EEB" w:rsidRDefault="003E7003" w14:paraId="3DFF9030" w14:textId="77777777">
      <w:pPr>
        <w:suppressAutoHyphens/>
      </w:pPr>
      <w:r w:rsidRPr="005F055E">
        <w:t>Hoeveel minder vacatures worden er naar verwachting vervuld in de zorg door het wegvallen van de arbeidsmarktmiddelen?</w:t>
      </w:r>
      <w:r w:rsidRPr="005F055E">
        <w:tab/>
      </w:r>
    </w:p>
    <w:p w:rsidRPr="005F055E" w:rsidR="003E7003" w:rsidP="00180EEB" w:rsidRDefault="003E7003" w14:paraId="7081F29B" w14:textId="119937D5">
      <w:pPr>
        <w:suppressAutoHyphens/>
      </w:pPr>
      <w:r w:rsidRPr="005F055E">
        <w:t>Antwoord</w:t>
      </w:r>
    </w:p>
    <w:p w:rsidRPr="005F055E" w:rsidR="00630335" w:rsidP="00180EEB" w:rsidRDefault="00630335" w14:paraId="16EFAB8A" w14:textId="54D5C1E9">
      <w:pPr>
        <w:suppressAutoHyphens/>
        <w:rPr>
          <w:szCs w:val="18"/>
          <w:lang w:eastAsia="nl-NL"/>
        </w:rPr>
      </w:pPr>
      <w:r w:rsidRPr="005F055E">
        <w:rPr>
          <w:szCs w:val="18"/>
          <w:lang w:eastAsia="nl-NL"/>
        </w:rPr>
        <w:t xml:space="preserve">De genoemde arbeidsmarktmiddelen dienden ter tijdelijke ondersteuning van de werkgevers en zijn deels ingezet voor het opleiden van medewerkers in de sector zorg en welzijn. Verder zijn onder andere middelen beschikbaar gesteld voor instrumenten gericht op het behoud van medewerkers. </w:t>
      </w:r>
    </w:p>
    <w:p w:rsidRPr="005F055E" w:rsidR="00630335" w:rsidP="00180EEB" w:rsidRDefault="00630335" w14:paraId="757DD6AA" w14:textId="0DCFEA87">
      <w:pPr>
        <w:suppressAutoHyphens/>
        <w:rPr>
          <w:szCs w:val="18"/>
          <w:lang w:eastAsia="nl-NL"/>
        </w:rPr>
      </w:pPr>
      <w:r w:rsidRPr="005F055E">
        <w:rPr>
          <w:szCs w:val="18"/>
          <w:lang w:eastAsia="nl-NL"/>
        </w:rPr>
        <w:t>In september 2024 is een eindevaluatie gedaan van Sectorplanplus over de periode van 2017 tot en met 2022. Een van de conclusies was dat op basis van de arbeidsmarktcijfers niet concreet is vast te stellen hoe groot het effect is van Sectorplanplus op bijvoorbeeld de instroom en het behoud van personeel. Ook voor de werkgever is dit vaak niet goed mogelijk. Het is voor werkgevers lastig om de invloed van Sectorplanplus los te zien van andere ontwikkelingen en beleid dat ze voeren. Ook houden werkgevers zich veelal (nog) niet bezig met het meten en bepalen van de mogelijke effecten. Het is derhalve niet goed mogelijk om een concreet aantal te koppelen aan het positieve effect noch het effect door het wegvallen van de middelen.</w:t>
      </w:r>
    </w:p>
    <w:p w:rsidRPr="005F055E" w:rsidR="00630335" w:rsidP="00180EEB" w:rsidRDefault="00630335" w14:paraId="7EECAA1C" w14:textId="7C650772">
      <w:pPr>
        <w:suppressAutoHyphens/>
        <w:rPr>
          <w:szCs w:val="18"/>
          <w:lang w:eastAsia="nl-NL"/>
        </w:rPr>
      </w:pPr>
      <w:r w:rsidRPr="005F055E">
        <w:rPr>
          <w:szCs w:val="18"/>
          <w:lang w:eastAsia="nl-NL"/>
        </w:rPr>
        <w:t>Daarnaast is het goed om op te merken dat er momenteel gesprekken gaande zijn met veldpartijen over de invulling van de structurele financiering van opleidingskosten. Voor het opleiden buiten het ziekenhuis is in 2026 € 53 miljoen beschikbaar oplopend tot € 185 miljoen in 2029. Voor het opleiden in het ziekenhuis is hetzelfde budget als voorheen beschikbaar.</w:t>
      </w:r>
    </w:p>
    <w:p w:rsidRPr="005F055E" w:rsidR="00630335" w:rsidP="00180EEB" w:rsidRDefault="00630335" w14:paraId="5846FAF7" w14:textId="77777777">
      <w:pPr>
        <w:suppressAutoHyphens/>
        <w:rPr>
          <w:szCs w:val="18"/>
          <w:lang w:eastAsia="nl-NL"/>
        </w:rPr>
      </w:pPr>
      <w:r w:rsidRPr="005F055E">
        <w:rPr>
          <w:szCs w:val="18"/>
          <w:lang w:eastAsia="nl-NL"/>
        </w:rPr>
        <w:t xml:space="preserve">Het is primair de verantwoordelijkheid van werkgevers om het vakmanschap en werkplezier van hun werknemers te borgen. Hetzelfde geldt voor het vervullen van vacatures binnen hun organisatie. Het is aan werkgevers om met een passend HR-beleid uitvoering te geven aan deze aspecten. </w:t>
      </w:r>
    </w:p>
    <w:p w:rsidRPr="005F055E" w:rsidR="00274792" w:rsidP="00180EEB" w:rsidRDefault="003E7003" w14:paraId="541D2AC8" w14:textId="77777777">
      <w:pPr>
        <w:suppressAutoHyphens/>
      </w:pPr>
      <w:r w:rsidRPr="005F055E">
        <w:t>Vraag 230</w:t>
      </w:r>
      <w:r w:rsidRPr="005F055E">
        <w:tab/>
      </w:r>
    </w:p>
    <w:p w:rsidRPr="005F055E" w:rsidR="00274792" w:rsidP="00180EEB" w:rsidRDefault="003E7003" w14:paraId="3F34ED20" w14:textId="77777777">
      <w:pPr>
        <w:suppressAutoHyphens/>
      </w:pPr>
      <w:r w:rsidRPr="005F055E">
        <w:t>Kan precies worden toegelicht worden welke ombuigingen op de pandemische paraatheid niet worden teruggedraaid?</w:t>
      </w:r>
      <w:r w:rsidRPr="005F055E">
        <w:tab/>
      </w:r>
    </w:p>
    <w:p w:rsidRPr="005F055E" w:rsidR="003E7003" w:rsidP="00180EEB" w:rsidRDefault="003E7003" w14:paraId="44451021" w14:textId="7DFF1E28">
      <w:pPr>
        <w:suppressAutoHyphens/>
      </w:pPr>
      <w:r w:rsidRPr="005F055E">
        <w:t>Antwoord</w:t>
      </w:r>
    </w:p>
    <w:p w:rsidRPr="005F055E" w:rsidR="00274792" w:rsidP="00180EEB" w:rsidRDefault="00C279FC" w14:paraId="01BAF975" w14:textId="2263B8AE">
      <w:pPr>
        <w:suppressAutoHyphens/>
      </w:pPr>
      <w:r w:rsidRPr="005F055E">
        <w:t>Zoals ik uw Kamer in juli heb geïnformeerd heeft binnen het weerbare zorg programma een herschikking plaatsgevonden om deze bezuiniging op een aantal onderdelen incidenteel op te vangen.</w:t>
      </w:r>
      <w:r w:rsidRPr="005F055E" w:rsidR="00D73F76">
        <w:t xml:space="preserve"> </w:t>
      </w:r>
      <w:r w:rsidRPr="005F055E">
        <w:t xml:space="preserve">Daarmee wordt voorkomen dat op korte termijn onomkeerbare schade ontstaat op een aantal posten die van groot belang zijn voor weerbare zorg. Dit biedt (nog) geen structurele oplossing en er zijn daarmee maar enkele ombuigingen structureel teruggedraaid. Voor het overige deel zoek ik nog naar alternatieve structurele middelen. Concreet zijn voor de versterkingen van de </w:t>
      </w:r>
      <w:proofErr w:type="spellStart"/>
      <w:r w:rsidRPr="005F055E">
        <w:t>GGD’en</w:t>
      </w:r>
      <w:proofErr w:type="spellEnd"/>
      <w:r w:rsidRPr="005F055E">
        <w:t xml:space="preserve">, het RIVM (inclusief de Landelijke Functie Opschaling Infectieziektebestrijding (LFI)) en inzicht in </w:t>
      </w:r>
      <w:proofErr w:type="spellStart"/>
      <w:r w:rsidRPr="005F055E">
        <w:t>patiëntenspreiding</w:t>
      </w:r>
      <w:proofErr w:type="spellEnd"/>
      <w:r w:rsidRPr="005F055E">
        <w:t xml:space="preserve"> en capaciteit voor het Regionaal Overleg Acute Zorg (ROAZ) extra middelen gevonden. Deze financiering loopt tot en met 2028. De uitzondering hierop vorm de post -Inzicht in zorgcapaciteit / patiëntspreiding en Regionaal Overleg Acute Zorgketen (ROAZ). Vanwege de verplichte afbouwperiode van drie jaar wordt deze post incidenteel tot en met 2029 voor een klein deel gedekt. </w:t>
      </w:r>
    </w:p>
    <w:p w:rsidR="00D07289" w:rsidP="00180EEB" w:rsidRDefault="00D07289" w14:paraId="7EA222F8" w14:textId="77777777">
      <w:pPr>
        <w:suppressAutoHyphens/>
        <w:rPr>
          <w:highlight w:val="yellow"/>
        </w:rPr>
      </w:pPr>
    </w:p>
    <w:p w:rsidR="004916E9" w:rsidP="00180EEB" w:rsidRDefault="004916E9" w14:paraId="3664A1EA" w14:textId="77777777">
      <w:pPr>
        <w:suppressAutoHyphens/>
        <w:rPr>
          <w:highlight w:val="yellow"/>
        </w:rPr>
      </w:pPr>
    </w:p>
    <w:p w:rsidRPr="005F055E" w:rsidR="004916E9" w:rsidP="00180EEB" w:rsidRDefault="004916E9" w14:paraId="34F79B1D" w14:textId="77777777">
      <w:pPr>
        <w:suppressAutoHyphens/>
        <w:rPr>
          <w:highlight w:val="yellow"/>
        </w:rPr>
      </w:pPr>
    </w:p>
    <w:p w:rsidRPr="005F055E" w:rsidR="00274792" w:rsidP="00180EEB" w:rsidRDefault="003E7003" w14:paraId="1F951339" w14:textId="77777777">
      <w:pPr>
        <w:suppressAutoHyphens/>
      </w:pPr>
      <w:r w:rsidRPr="005F055E">
        <w:t>Vraag 231</w:t>
      </w:r>
      <w:r w:rsidRPr="005F055E">
        <w:tab/>
      </w:r>
    </w:p>
    <w:p w:rsidRPr="005F055E" w:rsidR="00274792" w:rsidP="00180EEB" w:rsidRDefault="003E7003" w14:paraId="209F52EC" w14:textId="77777777">
      <w:pPr>
        <w:suppressAutoHyphens/>
      </w:pPr>
      <w:r w:rsidRPr="005F055E">
        <w:t>Wat zijn de consequenties van het maar deels terugdraaien van de ombuigingen op de pandemische paraatheid?</w:t>
      </w:r>
      <w:r w:rsidRPr="005F055E">
        <w:tab/>
      </w:r>
    </w:p>
    <w:p w:rsidRPr="005F055E" w:rsidR="003E7003" w:rsidP="00180EEB" w:rsidRDefault="003E7003" w14:paraId="2888AA84" w14:textId="350F2230">
      <w:pPr>
        <w:suppressAutoHyphens/>
      </w:pPr>
      <w:r w:rsidRPr="005F055E">
        <w:t>Antwoord</w:t>
      </w:r>
    </w:p>
    <w:p w:rsidRPr="005F055E" w:rsidR="00274792" w:rsidP="00180EEB" w:rsidRDefault="00C279FC" w14:paraId="0A562569" w14:textId="5387B027">
      <w:pPr>
        <w:suppressAutoHyphens/>
        <w:spacing w:line="240" w:lineRule="atLeast"/>
        <w:rPr>
          <w:szCs w:val="20"/>
          <w:lang w:eastAsia="nl-NL"/>
        </w:rPr>
      </w:pPr>
      <w:r w:rsidRPr="005F055E">
        <w:t>Het maar deels en overigens ook voornamelijk tijdelijk</w:t>
      </w:r>
      <w:r w:rsidR="00E043BF">
        <w:t xml:space="preserve"> </w:t>
      </w:r>
      <w:r w:rsidRPr="005F055E">
        <w:t>terugdraaien van de ombuigingen betekent dat er nog steeds onzekerheid is voor een groot deel van de maatregelen pandemische paraatheid met name in de publieke gezondheid. Concreet kan ik door deze onzekerheid bijvoorbeeld de aanbesteding van het IV IZB systeem niet in de markt zetten terwijl - binnen de reikwijdte van het advies van de Adviescommissie ICT</w:t>
      </w:r>
      <w:r w:rsidRPr="005F055E">
        <w:rPr>
          <w:rStyle w:val="Voetnootmarkering"/>
        </w:rPr>
        <w:footnoteReference w:id="76"/>
      </w:r>
      <w:r w:rsidRPr="005F055E">
        <w:t xml:space="preserve"> – wel aan de verdere voorbereidingen wordt doorgewerkt.</w:t>
      </w:r>
      <w:r w:rsidRPr="005F055E" w:rsidR="00D73F76">
        <w:t xml:space="preserve"> </w:t>
      </w:r>
      <w:r w:rsidRPr="005F055E">
        <w:t xml:space="preserve">Ook is er grote onzekerheid bij </w:t>
      </w:r>
      <w:proofErr w:type="spellStart"/>
      <w:r w:rsidRPr="005F055E">
        <w:t>GGD’en</w:t>
      </w:r>
      <w:proofErr w:type="spellEnd"/>
      <w:r w:rsidRPr="005F055E">
        <w:t xml:space="preserve"> en RIVM over de continuering van investeringen in personeel en infrastructuur die zijn gedaan met de middelen voor pandemische paraatheid. Denk aan de LFI, de rioolwatersurveillance en het extra personeel dat is aangetrokken bij de </w:t>
      </w:r>
      <w:proofErr w:type="spellStart"/>
      <w:r w:rsidRPr="005F055E">
        <w:t>GGD’en</w:t>
      </w:r>
      <w:proofErr w:type="spellEnd"/>
      <w:r w:rsidRPr="005F055E">
        <w:t>. Indien er komend voorjaar geen structurele middelen vrij worden gemaakt, dan moeten de maatregelen pandemische paraatheid stapsgewijs worden afgebouwd. Daarbij geldt dat de afbouw</w:t>
      </w:r>
      <w:r w:rsidRPr="005F055E">
        <w:rPr>
          <w:b/>
          <w:bCs/>
        </w:rPr>
        <w:t xml:space="preserve"> </w:t>
      </w:r>
      <w:r w:rsidRPr="005F055E">
        <w:t>al</w:t>
      </w:r>
      <w:r w:rsidRPr="005F055E">
        <w:rPr>
          <w:b/>
          <w:bCs/>
        </w:rPr>
        <w:t xml:space="preserve"> </w:t>
      </w:r>
      <w:r w:rsidRPr="005F055E">
        <w:t>veel eerder moet starten dan dat de financiering stopt. Afbouw van maatregelen behelst immers reorganisaties. Deze afbouw gaat ten koste van de paraatheid en weerbaarheid van de Nederlandse zorg tegen grootschalige gezondheidscrises.</w:t>
      </w:r>
    </w:p>
    <w:p w:rsidRPr="005F055E" w:rsidR="00274792" w:rsidP="00180EEB" w:rsidRDefault="00274792" w14:paraId="00A77143" w14:textId="77777777">
      <w:pPr>
        <w:suppressAutoHyphens/>
      </w:pPr>
    </w:p>
    <w:p w:rsidRPr="005F055E" w:rsidR="00274792" w:rsidP="00180EEB" w:rsidRDefault="003E7003" w14:paraId="44B4B657" w14:textId="77777777">
      <w:pPr>
        <w:suppressAutoHyphens/>
      </w:pPr>
      <w:r w:rsidRPr="005F055E">
        <w:t>Vraag 232</w:t>
      </w:r>
      <w:r w:rsidRPr="005F055E">
        <w:tab/>
      </w:r>
    </w:p>
    <w:p w:rsidRPr="005F055E" w:rsidR="00274792" w:rsidP="00180EEB" w:rsidRDefault="003E7003" w14:paraId="6F3DADCB" w14:textId="77777777">
      <w:pPr>
        <w:suppressAutoHyphens/>
      </w:pPr>
      <w:r w:rsidRPr="005F055E">
        <w:t>Voor hoeveel jaar zijn de teruggedraaide ombuigingen op pandemische paraatheid geborgd?</w:t>
      </w:r>
      <w:r w:rsidRPr="005F055E">
        <w:tab/>
      </w:r>
    </w:p>
    <w:p w:rsidRPr="005F055E" w:rsidR="003E7003" w:rsidP="00180EEB" w:rsidRDefault="003E7003" w14:paraId="1E024C58" w14:textId="63C3F292">
      <w:pPr>
        <w:suppressAutoHyphens/>
      </w:pPr>
      <w:r w:rsidRPr="005F055E">
        <w:t>Antwoord</w:t>
      </w:r>
    </w:p>
    <w:p w:rsidRPr="005F055E" w:rsidR="00274792" w:rsidP="00180EEB" w:rsidRDefault="00C279FC" w14:paraId="5B8F5799" w14:textId="2DAA24C2">
      <w:pPr>
        <w:suppressAutoHyphens/>
        <w:spacing w:line="240" w:lineRule="atLeast"/>
        <w:rPr>
          <w:szCs w:val="20"/>
          <w:lang w:eastAsia="nl-NL"/>
        </w:rPr>
      </w:pPr>
      <w:r w:rsidRPr="005F055E">
        <w:t xml:space="preserve">Voor de versterkingen van de </w:t>
      </w:r>
      <w:proofErr w:type="spellStart"/>
      <w:r w:rsidRPr="005F055E">
        <w:t>GGD’en</w:t>
      </w:r>
      <w:proofErr w:type="spellEnd"/>
      <w:r w:rsidRPr="005F055E">
        <w:t>, het RIVM (inclusief de Landelijke Functie Opschaling Infectieziektebestrijding (LFI) zijn t/m 2028 middelen gevonden. Dat betekent dat die maatregelen tot eind 2028 geborgd zijn, waarbij de afbouw , als er geen structurele middelen beschikbaar komen in het voorjaar van 2026, wel circa 2 jaar eerder dient te beginnen. De post -Inzicht in zorgcapaciteit / patiëntspreiding en Regionaal Overleg Acute Zorgketen (ROAZ) is vanwege de verplichte afbouwperiode van drie jaar incidenteel tot en met 2029 gedekt.</w:t>
      </w:r>
      <w:r w:rsidRPr="005F055E" w:rsidR="00D73F76">
        <w:t xml:space="preserve"> </w:t>
      </w:r>
    </w:p>
    <w:p w:rsidRPr="005F055E" w:rsidR="00274792" w:rsidP="00180EEB" w:rsidRDefault="00274792" w14:paraId="66A8F830" w14:textId="77777777">
      <w:pPr>
        <w:suppressAutoHyphens/>
      </w:pPr>
    </w:p>
    <w:p w:rsidRPr="005F055E" w:rsidR="00274792" w:rsidP="00180EEB" w:rsidRDefault="003E7003" w14:paraId="50FA1BF8" w14:textId="77777777">
      <w:pPr>
        <w:suppressAutoHyphens/>
      </w:pPr>
      <w:r w:rsidRPr="005F055E">
        <w:t>Vraag 233</w:t>
      </w:r>
      <w:r w:rsidRPr="005F055E">
        <w:tab/>
      </w:r>
    </w:p>
    <w:p w:rsidRPr="005F055E" w:rsidR="00274792" w:rsidP="00180EEB" w:rsidRDefault="003E7003" w14:paraId="466CBFE5" w14:textId="77777777">
      <w:pPr>
        <w:suppressAutoHyphens/>
      </w:pPr>
      <w:r w:rsidRPr="005F055E">
        <w:t>Hoeveel geld wat gereserveerd was voor het remgeld effect gaat er naar het AZWA?</w:t>
      </w:r>
      <w:r w:rsidRPr="005F055E">
        <w:tab/>
      </w:r>
    </w:p>
    <w:p w:rsidRPr="005F055E" w:rsidR="003E7003" w:rsidP="00180EEB" w:rsidRDefault="003E7003" w14:paraId="59377CE5" w14:textId="260FC7B2">
      <w:pPr>
        <w:suppressAutoHyphens/>
      </w:pPr>
      <w:r w:rsidRPr="005F055E">
        <w:t>Antwoord</w:t>
      </w:r>
    </w:p>
    <w:p w:rsidRPr="005F055E" w:rsidR="00630335" w:rsidP="00180EEB" w:rsidRDefault="00630335" w14:paraId="5376FA87" w14:textId="42BCE005">
      <w:pPr>
        <w:suppressAutoHyphens/>
        <w:spacing w:line="240" w:lineRule="atLeast"/>
        <w:rPr>
          <w:szCs w:val="20"/>
          <w:lang w:eastAsia="nl-NL"/>
        </w:rPr>
      </w:pPr>
      <w:r w:rsidRPr="005F055E">
        <w:rPr>
          <w:szCs w:val="20"/>
          <w:lang w:eastAsia="nl-NL"/>
        </w:rPr>
        <w:t>Voor het remgeldeffect is in 2027 € 2,174 miljard oplopend tot € 2,358 miljard vanaf 2029 beschikbaar gesteld. In het AZWA zijn de volgende afspraken gefinancierd vanuit de remgelden</w:t>
      </w:r>
      <w:r w:rsidRPr="005F055E">
        <w:rPr>
          <w:szCs w:val="20"/>
          <w:vertAlign w:val="superscript"/>
          <w:lang w:eastAsia="nl-NL"/>
        </w:rPr>
        <w:footnoteReference w:id="77"/>
      </w:r>
      <w:r w:rsidRPr="005F055E">
        <w:rPr>
          <w:szCs w:val="20"/>
          <w:lang w:eastAsia="nl-NL"/>
        </w:rPr>
        <w:t>:</w:t>
      </w:r>
    </w:p>
    <w:tbl>
      <w:tblPr>
        <w:tblW w:w="5980" w:type="dxa"/>
        <w:tblCellMar>
          <w:left w:w="70" w:type="dxa"/>
          <w:right w:w="70" w:type="dxa"/>
        </w:tblCellMar>
        <w:tblLook w:val="04A0" w:firstRow="1" w:lastRow="0" w:firstColumn="1" w:lastColumn="0" w:noHBand="0" w:noVBand="1"/>
      </w:tblPr>
      <w:tblGrid>
        <w:gridCol w:w="4060"/>
        <w:gridCol w:w="960"/>
        <w:gridCol w:w="960"/>
      </w:tblGrid>
      <w:tr w:rsidRPr="005F055E" w:rsidR="007468AB" w:rsidTr="00CF1801" w14:paraId="4E525FD9" w14:textId="77777777">
        <w:trPr>
          <w:trHeight w:val="29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916E9" w:rsidR="007468AB" w:rsidP="00180EEB" w:rsidRDefault="007468AB" w14:paraId="1675FC04" w14:textId="77777777">
            <w:pPr>
              <w:suppressAutoHyphens/>
              <w:spacing w:after="0"/>
              <w:rPr>
                <w:i/>
                <w:iCs/>
                <w:color w:val="000000"/>
                <w:sz w:val="20"/>
                <w:szCs w:val="18"/>
                <w:lang w:eastAsia="nl-NL"/>
              </w:rPr>
            </w:pPr>
            <w:bookmarkStart w:name="_Hlk212133416" w:id="42"/>
            <w:r w:rsidRPr="004916E9">
              <w:rPr>
                <w:color w:val="000000"/>
                <w:sz w:val="20"/>
                <w:szCs w:val="18"/>
                <w:lang w:eastAsia="nl-NL"/>
              </w:rPr>
              <w:t> </w:t>
            </w:r>
            <w:r w:rsidRPr="004916E9">
              <w:rPr>
                <w:i/>
                <w:iCs/>
                <w:color w:val="000000"/>
                <w:sz w:val="20"/>
                <w:szCs w:val="18"/>
                <w:lang w:eastAsia="nl-NL"/>
              </w:rPr>
              <w:t>Bedragen in miljoenen</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4916E9" w:rsidR="007468AB" w:rsidP="00180EEB" w:rsidRDefault="007468AB" w14:paraId="4751D94E" w14:textId="77777777">
            <w:pPr>
              <w:suppressAutoHyphens/>
              <w:spacing w:after="0"/>
              <w:rPr>
                <w:b/>
                <w:bCs/>
                <w:color w:val="000000"/>
                <w:sz w:val="20"/>
                <w:szCs w:val="18"/>
                <w:lang w:eastAsia="nl-NL"/>
              </w:rPr>
            </w:pPr>
            <w:r w:rsidRPr="004916E9">
              <w:rPr>
                <w:b/>
                <w:bCs/>
                <w:color w:val="000000"/>
                <w:sz w:val="20"/>
                <w:szCs w:val="18"/>
                <w:lang w:eastAsia="nl-NL"/>
              </w:rPr>
              <w:t>2027</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4916E9" w:rsidR="007468AB" w:rsidP="00180EEB" w:rsidRDefault="007468AB" w14:paraId="2A0A537D" w14:textId="77777777">
            <w:pPr>
              <w:suppressAutoHyphens/>
              <w:spacing w:after="0"/>
              <w:rPr>
                <w:b/>
                <w:bCs/>
                <w:color w:val="000000"/>
                <w:sz w:val="20"/>
                <w:szCs w:val="18"/>
                <w:lang w:eastAsia="nl-NL"/>
              </w:rPr>
            </w:pPr>
            <w:r w:rsidRPr="004916E9">
              <w:rPr>
                <w:b/>
                <w:bCs/>
                <w:color w:val="000000"/>
                <w:sz w:val="20"/>
                <w:szCs w:val="18"/>
                <w:lang w:eastAsia="nl-NL"/>
              </w:rPr>
              <w:t>2028</w:t>
            </w:r>
          </w:p>
        </w:tc>
      </w:tr>
      <w:tr w:rsidRPr="005F055E" w:rsidR="007468AB" w:rsidTr="00CF1801" w14:paraId="0170027E" w14:textId="77777777">
        <w:trPr>
          <w:trHeight w:val="290"/>
        </w:trPr>
        <w:tc>
          <w:tcPr>
            <w:tcW w:w="4060" w:type="dxa"/>
            <w:tcBorders>
              <w:top w:val="nil"/>
              <w:left w:val="single" w:color="auto" w:sz="4" w:space="0"/>
              <w:bottom w:val="single" w:color="auto" w:sz="4" w:space="0"/>
              <w:right w:val="single" w:color="auto" w:sz="4" w:space="0"/>
            </w:tcBorders>
            <w:shd w:val="clear" w:color="auto" w:fill="auto"/>
            <w:noWrap/>
            <w:vAlign w:val="bottom"/>
            <w:hideMark/>
          </w:tcPr>
          <w:p w:rsidRPr="004916E9" w:rsidR="007468AB" w:rsidP="00180EEB" w:rsidRDefault="007468AB" w14:paraId="4933DFDF" w14:textId="77777777">
            <w:pPr>
              <w:suppressAutoHyphens/>
              <w:spacing w:after="0"/>
              <w:rPr>
                <w:color w:val="000000"/>
                <w:sz w:val="20"/>
                <w:szCs w:val="18"/>
                <w:lang w:eastAsia="nl-NL"/>
              </w:rPr>
            </w:pPr>
            <w:r w:rsidRPr="004916E9">
              <w:rPr>
                <w:color w:val="000000"/>
                <w:sz w:val="20"/>
                <w:szCs w:val="18"/>
                <w:lang w:eastAsia="nl-NL"/>
              </w:rPr>
              <w:t xml:space="preserve">Inzet t.b.v. de </w:t>
            </w:r>
            <w:proofErr w:type="spellStart"/>
            <w:r w:rsidRPr="004916E9">
              <w:rPr>
                <w:color w:val="000000"/>
                <w:sz w:val="20"/>
                <w:szCs w:val="18"/>
                <w:lang w:eastAsia="nl-NL"/>
              </w:rPr>
              <w:t>contractering</w:t>
            </w:r>
            <w:proofErr w:type="spellEnd"/>
            <w:r w:rsidRPr="004916E9">
              <w:rPr>
                <w:color w:val="000000"/>
                <w:sz w:val="20"/>
                <w:szCs w:val="18"/>
                <w:lang w:eastAsia="nl-NL"/>
              </w:rPr>
              <w:t xml:space="preserve"> AZWA-sectoren</w:t>
            </w:r>
          </w:p>
        </w:tc>
        <w:tc>
          <w:tcPr>
            <w:tcW w:w="960" w:type="dxa"/>
            <w:tcBorders>
              <w:top w:val="nil"/>
              <w:left w:val="nil"/>
              <w:bottom w:val="single" w:color="auto" w:sz="4" w:space="0"/>
              <w:right w:val="single" w:color="auto" w:sz="4" w:space="0"/>
            </w:tcBorders>
            <w:shd w:val="clear" w:color="auto" w:fill="auto"/>
            <w:noWrap/>
            <w:vAlign w:val="bottom"/>
            <w:hideMark/>
          </w:tcPr>
          <w:p w:rsidRPr="004916E9" w:rsidR="007468AB" w:rsidP="00180EEB" w:rsidRDefault="007468AB" w14:paraId="66205842" w14:textId="77777777">
            <w:pPr>
              <w:suppressAutoHyphens/>
              <w:spacing w:after="0"/>
              <w:rPr>
                <w:color w:val="000000"/>
                <w:sz w:val="20"/>
                <w:szCs w:val="18"/>
                <w:lang w:eastAsia="nl-NL"/>
              </w:rPr>
            </w:pPr>
            <w:r w:rsidRPr="004916E9">
              <w:rPr>
                <w:color w:val="000000"/>
                <w:sz w:val="20"/>
                <w:szCs w:val="18"/>
                <w:lang w:eastAsia="nl-NL"/>
              </w:rPr>
              <w:t>958</w:t>
            </w:r>
          </w:p>
        </w:tc>
        <w:tc>
          <w:tcPr>
            <w:tcW w:w="960" w:type="dxa"/>
            <w:tcBorders>
              <w:top w:val="nil"/>
              <w:left w:val="nil"/>
              <w:bottom w:val="single" w:color="auto" w:sz="4" w:space="0"/>
              <w:right w:val="single" w:color="auto" w:sz="4" w:space="0"/>
            </w:tcBorders>
            <w:shd w:val="clear" w:color="auto" w:fill="auto"/>
            <w:noWrap/>
            <w:vAlign w:val="bottom"/>
            <w:hideMark/>
          </w:tcPr>
          <w:p w:rsidRPr="004916E9" w:rsidR="007468AB" w:rsidP="00180EEB" w:rsidRDefault="007468AB" w14:paraId="01E6CB8D" w14:textId="77777777">
            <w:pPr>
              <w:suppressAutoHyphens/>
              <w:spacing w:after="0"/>
              <w:rPr>
                <w:color w:val="000000"/>
                <w:sz w:val="20"/>
                <w:szCs w:val="18"/>
                <w:lang w:eastAsia="nl-NL"/>
              </w:rPr>
            </w:pPr>
            <w:r w:rsidRPr="004916E9">
              <w:rPr>
                <w:color w:val="000000"/>
                <w:sz w:val="20"/>
                <w:szCs w:val="18"/>
                <w:lang w:eastAsia="nl-NL"/>
              </w:rPr>
              <w:t>1.081</w:t>
            </w:r>
          </w:p>
        </w:tc>
      </w:tr>
      <w:tr w:rsidRPr="005F055E" w:rsidR="007468AB" w:rsidTr="00CF1801" w14:paraId="6D369DED" w14:textId="77777777">
        <w:trPr>
          <w:trHeight w:val="290"/>
        </w:trPr>
        <w:tc>
          <w:tcPr>
            <w:tcW w:w="4060" w:type="dxa"/>
            <w:tcBorders>
              <w:top w:val="nil"/>
              <w:left w:val="single" w:color="auto" w:sz="4" w:space="0"/>
              <w:bottom w:val="single" w:color="auto" w:sz="4" w:space="0"/>
              <w:right w:val="single" w:color="auto" w:sz="4" w:space="0"/>
            </w:tcBorders>
            <w:shd w:val="clear" w:color="auto" w:fill="auto"/>
            <w:noWrap/>
            <w:vAlign w:val="bottom"/>
            <w:hideMark/>
          </w:tcPr>
          <w:p w:rsidRPr="004916E9" w:rsidR="007468AB" w:rsidP="00180EEB" w:rsidRDefault="007468AB" w14:paraId="411C46A2" w14:textId="77777777">
            <w:pPr>
              <w:suppressAutoHyphens/>
              <w:spacing w:after="0"/>
              <w:rPr>
                <w:color w:val="000000"/>
                <w:sz w:val="20"/>
                <w:szCs w:val="18"/>
                <w:lang w:eastAsia="nl-NL"/>
              </w:rPr>
            </w:pPr>
            <w:r w:rsidRPr="004916E9">
              <w:rPr>
                <w:color w:val="000000"/>
                <w:sz w:val="20"/>
                <w:szCs w:val="18"/>
                <w:lang w:eastAsia="nl-NL"/>
              </w:rPr>
              <w:t>Inzet voor AZWA-afspraken</w:t>
            </w:r>
          </w:p>
        </w:tc>
        <w:tc>
          <w:tcPr>
            <w:tcW w:w="960" w:type="dxa"/>
            <w:tcBorders>
              <w:top w:val="nil"/>
              <w:left w:val="nil"/>
              <w:bottom w:val="single" w:color="auto" w:sz="4" w:space="0"/>
              <w:right w:val="single" w:color="auto" w:sz="4" w:space="0"/>
            </w:tcBorders>
            <w:shd w:val="clear" w:color="auto" w:fill="auto"/>
            <w:noWrap/>
            <w:vAlign w:val="bottom"/>
            <w:hideMark/>
          </w:tcPr>
          <w:p w:rsidRPr="004916E9" w:rsidR="007468AB" w:rsidP="00180EEB" w:rsidRDefault="007468AB" w14:paraId="74CE8ACB" w14:textId="77777777">
            <w:pPr>
              <w:suppressAutoHyphens/>
              <w:spacing w:after="0"/>
              <w:rPr>
                <w:color w:val="000000"/>
                <w:sz w:val="20"/>
                <w:szCs w:val="18"/>
                <w:lang w:eastAsia="nl-NL"/>
              </w:rPr>
            </w:pPr>
            <w:r w:rsidRPr="004916E9">
              <w:rPr>
                <w:color w:val="000000"/>
                <w:sz w:val="20"/>
                <w:szCs w:val="18"/>
                <w:lang w:eastAsia="nl-NL"/>
              </w:rPr>
              <w:t>188</w:t>
            </w:r>
          </w:p>
        </w:tc>
        <w:tc>
          <w:tcPr>
            <w:tcW w:w="960" w:type="dxa"/>
            <w:tcBorders>
              <w:top w:val="nil"/>
              <w:left w:val="nil"/>
              <w:bottom w:val="single" w:color="auto" w:sz="4" w:space="0"/>
              <w:right w:val="single" w:color="auto" w:sz="4" w:space="0"/>
            </w:tcBorders>
            <w:shd w:val="clear" w:color="auto" w:fill="auto"/>
            <w:noWrap/>
            <w:vAlign w:val="bottom"/>
            <w:hideMark/>
          </w:tcPr>
          <w:p w:rsidRPr="004916E9" w:rsidR="007468AB" w:rsidP="00180EEB" w:rsidRDefault="007468AB" w14:paraId="32AF802A" w14:textId="77777777">
            <w:pPr>
              <w:suppressAutoHyphens/>
              <w:spacing w:after="0"/>
              <w:rPr>
                <w:color w:val="000000"/>
                <w:sz w:val="20"/>
                <w:szCs w:val="18"/>
                <w:lang w:eastAsia="nl-NL"/>
              </w:rPr>
            </w:pPr>
            <w:r w:rsidRPr="004916E9">
              <w:rPr>
                <w:color w:val="000000"/>
                <w:sz w:val="20"/>
                <w:szCs w:val="18"/>
                <w:lang w:eastAsia="nl-NL"/>
              </w:rPr>
              <w:t>206</w:t>
            </w:r>
          </w:p>
        </w:tc>
      </w:tr>
      <w:tr w:rsidRPr="005F055E" w:rsidR="007468AB" w:rsidTr="00CF1801" w14:paraId="2734BA86" w14:textId="77777777">
        <w:trPr>
          <w:trHeight w:val="290"/>
        </w:trPr>
        <w:tc>
          <w:tcPr>
            <w:tcW w:w="4060" w:type="dxa"/>
            <w:tcBorders>
              <w:top w:val="nil"/>
              <w:left w:val="single" w:color="auto" w:sz="4" w:space="0"/>
              <w:bottom w:val="single" w:color="auto" w:sz="4" w:space="0"/>
              <w:right w:val="single" w:color="auto" w:sz="4" w:space="0"/>
            </w:tcBorders>
            <w:shd w:val="clear" w:color="auto" w:fill="auto"/>
            <w:noWrap/>
            <w:vAlign w:val="bottom"/>
            <w:hideMark/>
          </w:tcPr>
          <w:p w:rsidRPr="004916E9" w:rsidR="007468AB" w:rsidP="00180EEB" w:rsidRDefault="007468AB" w14:paraId="63557B64" w14:textId="277CE322">
            <w:pPr>
              <w:suppressAutoHyphens/>
              <w:spacing w:after="0"/>
              <w:rPr>
                <w:color w:val="000000"/>
                <w:sz w:val="20"/>
                <w:szCs w:val="18"/>
                <w:lang w:eastAsia="nl-NL"/>
              </w:rPr>
            </w:pPr>
            <w:r w:rsidRPr="004916E9">
              <w:rPr>
                <w:color w:val="000000"/>
                <w:sz w:val="20"/>
                <w:szCs w:val="18"/>
                <w:lang w:eastAsia="nl-NL"/>
              </w:rPr>
              <w:t xml:space="preserve">Doorbraakmiddelen </w:t>
            </w:r>
          </w:p>
        </w:tc>
        <w:tc>
          <w:tcPr>
            <w:tcW w:w="960" w:type="dxa"/>
            <w:tcBorders>
              <w:top w:val="nil"/>
              <w:left w:val="nil"/>
              <w:bottom w:val="single" w:color="auto" w:sz="4" w:space="0"/>
              <w:right w:val="single" w:color="auto" w:sz="4" w:space="0"/>
            </w:tcBorders>
            <w:shd w:val="clear" w:color="auto" w:fill="auto"/>
            <w:noWrap/>
            <w:vAlign w:val="bottom"/>
            <w:hideMark/>
          </w:tcPr>
          <w:p w:rsidRPr="004916E9" w:rsidR="007468AB" w:rsidP="00180EEB" w:rsidRDefault="007468AB" w14:paraId="616B938D" w14:textId="77777777">
            <w:pPr>
              <w:suppressAutoHyphens/>
              <w:spacing w:after="0"/>
              <w:rPr>
                <w:color w:val="000000"/>
                <w:sz w:val="20"/>
                <w:szCs w:val="18"/>
                <w:lang w:eastAsia="nl-NL"/>
              </w:rPr>
            </w:pPr>
            <w:r w:rsidRPr="004916E9">
              <w:rPr>
                <w:color w:val="000000"/>
                <w:sz w:val="20"/>
                <w:szCs w:val="18"/>
                <w:lang w:eastAsia="nl-NL"/>
              </w:rPr>
              <w:t>400</w:t>
            </w:r>
          </w:p>
        </w:tc>
        <w:tc>
          <w:tcPr>
            <w:tcW w:w="960" w:type="dxa"/>
            <w:tcBorders>
              <w:top w:val="nil"/>
              <w:left w:val="nil"/>
              <w:bottom w:val="single" w:color="auto" w:sz="4" w:space="0"/>
              <w:right w:val="single" w:color="auto" w:sz="4" w:space="0"/>
            </w:tcBorders>
            <w:shd w:val="clear" w:color="auto" w:fill="auto"/>
            <w:noWrap/>
            <w:vAlign w:val="bottom"/>
            <w:hideMark/>
          </w:tcPr>
          <w:p w:rsidRPr="004916E9" w:rsidR="007468AB" w:rsidP="00180EEB" w:rsidRDefault="007468AB" w14:paraId="77087B76" w14:textId="77777777">
            <w:pPr>
              <w:suppressAutoHyphens/>
              <w:spacing w:after="0"/>
              <w:rPr>
                <w:color w:val="000000"/>
                <w:sz w:val="20"/>
                <w:szCs w:val="18"/>
                <w:lang w:eastAsia="nl-NL"/>
              </w:rPr>
            </w:pPr>
            <w:r w:rsidRPr="004916E9">
              <w:rPr>
                <w:color w:val="000000"/>
                <w:sz w:val="20"/>
                <w:szCs w:val="18"/>
                <w:lang w:eastAsia="nl-NL"/>
              </w:rPr>
              <w:t>400</w:t>
            </w:r>
          </w:p>
        </w:tc>
      </w:tr>
      <w:tr w:rsidRPr="005F055E" w:rsidR="007468AB" w:rsidTr="00CF1801" w14:paraId="613F28A6" w14:textId="77777777">
        <w:trPr>
          <w:trHeight w:val="290"/>
        </w:trPr>
        <w:tc>
          <w:tcPr>
            <w:tcW w:w="4060" w:type="dxa"/>
            <w:tcBorders>
              <w:top w:val="nil"/>
              <w:left w:val="single" w:color="auto" w:sz="4" w:space="0"/>
              <w:bottom w:val="single" w:color="auto" w:sz="4" w:space="0"/>
              <w:right w:val="single" w:color="auto" w:sz="4" w:space="0"/>
            </w:tcBorders>
            <w:shd w:val="clear" w:color="auto" w:fill="auto"/>
            <w:noWrap/>
            <w:vAlign w:val="bottom"/>
            <w:hideMark/>
          </w:tcPr>
          <w:p w:rsidRPr="004916E9" w:rsidR="007468AB" w:rsidP="00180EEB" w:rsidRDefault="007468AB" w14:paraId="2CE469BE" w14:textId="77777777">
            <w:pPr>
              <w:suppressAutoHyphens/>
              <w:spacing w:after="0"/>
              <w:rPr>
                <w:color w:val="000000"/>
                <w:sz w:val="20"/>
                <w:szCs w:val="18"/>
                <w:lang w:eastAsia="nl-NL"/>
              </w:rPr>
            </w:pPr>
            <w:r w:rsidRPr="004916E9">
              <w:rPr>
                <w:color w:val="000000"/>
                <w:sz w:val="20"/>
                <w:szCs w:val="18"/>
                <w:lang w:eastAsia="nl-NL"/>
              </w:rPr>
              <w:t> </w:t>
            </w:r>
          </w:p>
        </w:tc>
        <w:tc>
          <w:tcPr>
            <w:tcW w:w="960" w:type="dxa"/>
            <w:tcBorders>
              <w:top w:val="nil"/>
              <w:left w:val="nil"/>
              <w:bottom w:val="single" w:color="auto" w:sz="4" w:space="0"/>
              <w:right w:val="single" w:color="auto" w:sz="4" w:space="0"/>
            </w:tcBorders>
            <w:shd w:val="clear" w:color="auto" w:fill="auto"/>
            <w:noWrap/>
            <w:vAlign w:val="bottom"/>
            <w:hideMark/>
          </w:tcPr>
          <w:p w:rsidRPr="004916E9" w:rsidR="007468AB" w:rsidP="00180EEB" w:rsidRDefault="007468AB" w14:paraId="51B9674D" w14:textId="77777777">
            <w:pPr>
              <w:suppressAutoHyphens/>
              <w:spacing w:after="0"/>
              <w:rPr>
                <w:color w:val="000000"/>
                <w:sz w:val="20"/>
                <w:szCs w:val="18"/>
                <w:lang w:eastAsia="nl-NL"/>
              </w:rPr>
            </w:pPr>
            <w:r w:rsidRPr="004916E9">
              <w:rPr>
                <w:color w:val="000000"/>
                <w:sz w:val="20"/>
                <w:szCs w:val="18"/>
                <w:lang w:eastAsia="nl-NL"/>
              </w:rPr>
              <w:t> </w:t>
            </w:r>
          </w:p>
        </w:tc>
        <w:tc>
          <w:tcPr>
            <w:tcW w:w="960" w:type="dxa"/>
            <w:tcBorders>
              <w:top w:val="nil"/>
              <w:left w:val="nil"/>
              <w:bottom w:val="single" w:color="auto" w:sz="4" w:space="0"/>
              <w:right w:val="single" w:color="auto" w:sz="4" w:space="0"/>
            </w:tcBorders>
            <w:shd w:val="clear" w:color="auto" w:fill="auto"/>
            <w:noWrap/>
            <w:vAlign w:val="bottom"/>
            <w:hideMark/>
          </w:tcPr>
          <w:p w:rsidRPr="004916E9" w:rsidR="007468AB" w:rsidP="00180EEB" w:rsidRDefault="007468AB" w14:paraId="50BCE78A" w14:textId="77777777">
            <w:pPr>
              <w:suppressAutoHyphens/>
              <w:spacing w:after="0"/>
              <w:rPr>
                <w:color w:val="000000"/>
                <w:sz w:val="20"/>
                <w:szCs w:val="18"/>
                <w:lang w:eastAsia="nl-NL"/>
              </w:rPr>
            </w:pPr>
            <w:r w:rsidRPr="004916E9">
              <w:rPr>
                <w:color w:val="000000"/>
                <w:sz w:val="20"/>
                <w:szCs w:val="18"/>
                <w:lang w:eastAsia="nl-NL"/>
              </w:rPr>
              <w:t> </w:t>
            </w:r>
          </w:p>
        </w:tc>
      </w:tr>
      <w:tr w:rsidRPr="005F055E" w:rsidR="007468AB" w:rsidTr="00CF1801" w14:paraId="38752547" w14:textId="77777777">
        <w:trPr>
          <w:trHeight w:val="290"/>
        </w:trPr>
        <w:tc>
          <w:tcPr>
            <w:tcW w:w="4060" w:type="dxa"/>
            <w:tcBorders>
              <w:top w:val="nil"/>
              <w:left w:val="single" w:color="auto" w:sz="4" w:space="0"/>
              <w:bottom w:val="single" w:color="auto" w:sz="4" w:space="0"/>
              <w:right w:val="single" w:color="auto" w:sz="4" w:space="0"/>
            </w:tcBorders>
            <w:shd w:val="clear" w:color="auto" w:fill="auto"/>
            <w:noWrap/>
            <w:vAlign w:val="bottom"/>
            <w:hideMark/>
          </w:tcPr>
          <w:p w:rsidRPr="004916E9" w:rsidR="007468AB" w:rsidP="00180EEB" w:rsidRDefault="007468AB" w14:paraId="4F075626" w14:textId="77777777">
            <w:pPr>
              <w:suppressAutoHyphens/>
              <w:spacing w:after="0"/>
              <w:rPr>
                <w:b/>
                <w:bCs/>
                <w:color w:val="000000"/>
                <w:sz w:val="20"/>
                <w:szCs w:val="18"/>
                <w:lang w:eastAsia="nl-NL"/>
              </w:rPr>
            </w:pPr>
            <w:r w:rsidRPr="004916E9">
              <w:rPr>
                <w:b/>
                <w:bCs/>
                <w:color w:val="000000"/>
                <w:sz w:val="20"/>
                <w:szCs w:val="18"/>
                <w:lang w:eastAsia="nl-NL"/>
              </w:rPr>
              <w:t>Totaal</w:t>
            </w:r>
          </w:p>
        </w:tc>
        <w:tc>
          <w:tcPr>
            <w:tcW w:w="960" w:type="dxa"/>
            <w:tcBorders>
              <w:top w:val="nil"/>
              <w:left w:val="nil"/>
              <w:bottom w:val="single" w:color="auto" w:sz="4" w:space="0"/>
              <w:right w:val="single" w:color="auto" w:sz="4" w:space="0"/>
            </w:tcBorders>
            <w:shd w:val="clear" w:color="auto" w:fill="auto"/>
            <w:noWrap/>
            <w:vAlign w:val="bottom"/>
            <w:hideMark/>
          </w:tcPr>
          <w:p w:rsidRPr="004916E9" w:rsidR="007468AB" w:rsidP="00180EEB" w:rsidRDefault="007468AB" w14:paraId="6780D495" w14:textId="77777777">
            <w:pPr>
              <w:suppressAutoHyphens/>
              <w:spacing w:after="0"/>
              <w:rPr>
                <w:b/>
                <w:bCs/>
                <w:color w:val="000000"/>
                <w:sz w:val="20"/>
                <w:szCs w:val="18"/>
                <w:lang w:eastAsia="nl-NL"/>
              </w:rPr>
            </w:pPr>
            <w:r w:rsidRPr="004916E9">
              <w:rPr>
                <w:b/>
                <w:bCs/>
                <w:color w:val="000000"/>
                <w:sz w:val="20"/>
                <w:szCs w:val="18"/>
                <w:lang w:eastAsia="nl-NL"/>
              </w:rPr>
              <w:t>1.546</w:t>
            </w:r>
          </w:p>
        </w:tc>
        <w:tc>
          <w:tcPr>
            <w:tcW w:w="960" w:type="dxa"/>
            <w:tcBorders>
              <w:top w:val="nil"/>
              <w:left w:val="nil"/>
              <w:bottom w:val="single" w:color="auto" w:sz="4" w:space="0"/>
              <w:right w:val="single" w:color="auto" w:sz="4" w:space="0"/>
            </w:tcBorders>
            <w:shd w:val="clear" w:color="auto" w:fill="auto"/>
            <w:noWrap/>
            <w:vAlign w:val="bottom"/>
            <w:hideMark/>
          </w:tcPr>
          <w:p w:rsidRPr="004916E9" w:rsidR="007468AB" w:rsidP="00180EEB" w:rsidRDefault="007468AB" w14:paraId="54683DBB" w14:textId="77777777">
            <w:pPr>
              <w:suppressAutoHyphens/>
              <w:spacing w:after="0"/>
              <w:rPr>
                <w:b/>
                <w:bCs/>
                <w:color w:val="000000"/>
                <w:sz w:val="20"/>
                <w:szCs w:val="18"/>
                <w:lang w:eastAsia="nl-NL"/>
              </w:rPr>
            </w:pPr>
            <w:r w:rsidRPr="004916E9">
              <w:rPr>
                <w:b/>
                <w:bCs/>
                <w:color w:val="000000"/>
                <w:sz w:val="20"/>
                <w:szCs w:val="18"/>
                <w:lang w:eastAsia="nl-NL"/>
              </w:rPr>
              <w:t>1.687</w:t>
            </w:r>
          </w:p>
        </w:tc>
      </w:tr>
    </w:tbl>
    <w:bookmarkEnd w:id="42"/>
    <w:p w:rsidRPr="005F055E" w:rsidR="00630335" w:rsidP="00180EEB" w:rsidRDefault="00630335" w14:paraId="2A84E724" w14:textId="58D22FFA">
      <w:pPr>
        <w:suppressAutoHyphens/>
        <w:spacing w:line="240" w:lineRule="atLeast"/>
        <w:rPr>
          <w:szCs w:val="20"/>
          <w:lang w:eastAsia="nl-NL"/>
        </w:rPr>
      </w:pPr>
      <w:r w:rsidRPr="005F055E">
        <w:rPr>
          <w:i/>
          <w:iCs/>
          <w:szCs w:val="20"/>
          <w:lang w:eastAsia="nl-NL"/>
        </w:rPr>
        <w:t xml:space="preserve">Inzet remgeldmiddelen ten behoeve van </w:t>
      </w:r>
      <w:proofErr w:type="spellStart"/>
      <w:r w:rsidRPr="005F055E">
        <w:rPr>
          <w:i/>
          <w:iCs/>
          <w:szCs w:val="20"/>
          <w:lang w:eastAsia="nl-NL"/>
        </w:rPr>
        <w:t>contractering</w:t>
      </w:r>
      <w:proofErr w:type="spellEnd"/>
      <w:r w:rsidRPr="005F055E">
        <w:rPr>
          <w:i/>
          <w:iCs/>
          <w:szCs w:val="20"/>
          <w:lang w:eastAsia="nl-NL"/>
        </w:rPr>
        <w:t xml:space="preserve"> IZA-sectoren</w:t>
      </w:r>
      <w:r w:rsidRPr="005F055E">
        <w:rPr>
          <w:i/>
          <w:iCs/>
          <w:szCs w:val="20"/>
          <w:lang w:eastAsia="nl-NL"/>
        </w:rPr>
        <w:br/>
      </w:r>
      <w:r w:rsidRPr="005F055E">
        <w:rPr>
          <w:szCs w:val="20"/>
          <w:lang w:eastAsia="nl-NL"/>
        </w:rPr>
        <w:t xml:space="preserve">Op grond van het AZWA is een deel van het remgeld toegevoegd aan de kaders van de sectoren MSZ, </w:t>
      </w:r>
      <w:r w:rsidR="00D55762">
        <w:rPr>
          <w:szCs w:val="20"/>
          <w:lang w:eastAsia="nl-NL"/>
        </w:rPr>
        <w:t>GGZ</w:t>
      </w:r>
      <w:r w:rsidRPr="005F055E">
        <w:rPr>
          <w:szCs w:val="20"/>
          <w:lang w:eastAsia="nl-NL"/>
        </w:rPr>
        <w:t>, wijkverpleging, huisartsenzorg en multidisciplinaire zorg.</w:t>
      </w:r>
      <w:r w:rsidRPr="005F055E">
        <w:rPr>
          <w:szCs w:val="20"/>
          <w:lang w:eastAsia="nl-NL"/>
        </w:rPr>
        <w:br/>
      </w:r>
    </w:p>
    <w:p w:rsidRPr="005F055E" w:rsidR="00630335" w:rsidP="00180EEB" w:rsidRDefault="00630335" w14:paraId="5927B68B" w14:textId="3586257F">
      <w:pPr>
        <w:suppressAutoHyphens/>
        <w:spacing w:line="240" w:lineRule="atLeast"/>
        <w:rPr>
          <w:szCs w:val="20"/>
          <w:lang w:eastAsia="nl-NL"/>
        </w:rPr>
      </w:pPr>
      <w:r w:rsidRPr="005F055E">
        <w:rPr>
          <w:i/>
          <w:iCs/>
          <w:szCs w:val="20"/>
          <w:lang w:eastAsia="nl-NL"/>
        </w:rPr>
        <w:t>Inzet remgeldmiddelen voor AZWA-afspraken</w:t>
      </w:r>
      <w:r w:rsidRPr="005F055E">
        <w:rPr>
          <w:i/>
          <w:iCs/>
          <w:szCs w:val="20"/>
          <w:lang w:eastAsia="nl-NL"/>
        </w:rPr>
        <w:br/>
      </w:r>
      <w:r w:rsidRPr="005F055E">
        <w:rPr>
          <w:szCs w:val="20"/>
          <w:lang w:eastAsia="nl-NL"/>
        </w:rPr>
        <w:t>In het kader van het AZWA wordt structureel € 235 miljoen van het remgeldeffect door het verlagen van het eigen risico ingezet voor investeringen in o.a. het sociaal domein, medische preventie en opleiden.</w:t>
      </w:r>
      <w:r w:rsidRPr="005F055E">
        <w:rPr>
          <w:szCs w:val="20"/>
          <w:lang w:eastAsia="nl-NL"/>
        </w:rPr>
        <w:br/>
      </w:r>
    </w:p>
    <w:p w:rsidRPr="005F055E" w:rsidR="00274792" w:rsidP="00180EEB" w:rsidRDefault="00630335" w14:paraId="118D13DB" w14:textId="62EAF575">
      <w:pPr>
        <w:suppressAutoHyphens/>
        <w:spacing w:line="240" w:lineRule="atLeast"/>
        <w:rPr>
          <w:szCs w:val="20"/>
          <w:lang w:eastAsia="nl-NL"/>
        </w:rPr>
      </w:pPr>
      <w:r w:rsidRPr="005F055E">
        <w:rPr>
          <w:i/>
          <w:iCs/>
          <w:szCs w:val="20"/>
          <w:lang w:eastAsia="nl-NL"/>
        </w:rPr>
        <w:t>Reservering remgeld</w:t>
      </w:r>
      <w:r w:rsidRPr="005F055E">
        <w:rPr>
          <w:i/>
          <w:iCs/>
          <w:szCs w:val="20"/>
          <w:lang w:eastAsia="nl-NL"/>
        </w:rPr>
        <w:br/>
      </w:r>
      <w:r w:rsidRPr="005F055E">
        <w:rPr>
          <w:szCs w:val="20"/>
          <w:lang w:eastAsia="nl-NL"/>
        </w:rPr>
        <w:t>Conform de inhoudelijke afspraken in het AZWA worden in 2027 en 2028 vanuit het remgeld doorbraakmiddelen beschikbaar gesteld. Deze staan momenteel gereserveerd op de Aanvullende Post bij het ministerie van Financiën. Dit startpakket wordt vervolgens geëvalueerd, op basis waarvan wordt besloten of en hoe deze reservering binnen het remgeld vanaf 2029 wordt ingezet.</w:t>
      </w:r>
    </w:p>
    <w:p w:rsidRPr="005F055E" w:rsidR="00274792" w:rsidP="00180EEB" w:rsidRDefault="00274792" w14:paraId="5A708C4D" w14:textId="77777777">
      <w:pPr>
        <w:suppressAutoHyphens/>
      </w:pPr>
    </w:p>
    <w:p w:rsidRPr="005F055E" w:rsidR="00274792" w:rsidP="00180EEB" w:rsidRDefault="003E7003" w14:paraId="1EA4E98C" w14:textId="77777777">
      <w:pPr>
        <w:suppressAutoHyphens/>
      </w:pPr>
      <w:r w:rsidRPr="005F055E">
        <w:t>Vraag 234</w:t>
      </w:r>
      <w:r w:rsidRPr="005F055E">
        <w:tab/>
      </w:r>
    </w:p>
    <w:p w:rsidRPr="005F055E" w:rsidR="00274792" w:rsidP="00180EEB" w:rsidRDefault="003E7003" w14:paraId="20D16C11" w14:textId="77777777">
      <w:pPr>
        <w:suppressAutoHyphens/>
      </w:pPr>
      <w:r w:rsidRPr="005F055E">
        <w:t>Is er te weinig budget beschikbaar voor het verwachte remgeldeffect door het verlagen van het eigen risico?</w:t>
      </w:r>
      <w:r w:rsidRPr="005F055E">
        <w:tab/>
      </w:r>
    </w:p>
    <w:p w:rsidRPr="005F055E" w:rsidR="003E7003" w:rsidP="00180EEB" w:rsidRDefault="003E7003" w14:paraId="40BF4E7C" w14:textId="37A06F0F">
      <w:pPr>
        <w:suppressAutoHyphens/>
      </w:pPr>
      <w:r w:rsidRPr="005F055E">
        <w:t>Antwoord</w:t>
      </w:r>
    </w:p>
    <w:p w:rsidRPr="005F055E" w:rsidR="00630335" w:rsidP="00180EEB" w:rsidRDefault="00630335" w14:paraId="67946FE7" w14:textId="77777777">
      <w:pPr>
        <w:suppressAutoHyphens/>
        <w:spacing w:line="240" w:lineRule="atLeast"/>
        <w:rPr>
          <w:szCs w:val="18"/>
          <w:lang w:eastAsia="nl-NL"/>
        </w:rPr>
      </w:pPr>
      <w:r w:rsidRPr="005F055E">
        <w:rPr>
          <w:szCs w:val="18"/>
          <w:lang w:eastAsia="nl-NL"/>
        </w:rPr>
        <w:t>Nee er is niet te weinig budget beschikbaar voor het verwachte remgeldeffect. VWS neemt de raming van het CPB over voor het totaalbedrag aan remgeld. CPB maakt een onafhankelijke inschatting op basis van hun gegevens en modellen.</w:t>
      </w:r>
    </w:p>
    <w:p w:rsidRPr="005F055E" w:rsidR="00274792" w:rsidP="00180EEB" w:rsidRDefault="00274792" w14:paraId="383CF701" w14:textId="77777777">
      <w:pPr>
        <w:suppressAutoHyphens/>
      </w:pPr>
    </w:p>
    <w:p w:rsidRPr="005F055E" w:rsidR="00274792" w:rsidP="00180EEB" w:rsidRDefault="003E7003" w14:paraId="51767B02" w14:textId="77777777">
      <w:pPr>
        <w:suppressAutoHyphens/>
      </w:pPr>
      <w:r w:rsidRPr="005F055E">
        <w:t>Vraag 235</w:t>
      </w:r>
      <w:r w:rsidRPr="005F055E">
        <w:tab/>
      </w:r>
    </w:p>
    <w:p w:rsidRPr="005F055E" w:rsidR="00274792" w:rsidP="00180EEB" w:rsidRDefault="003E7003" w14:paraId="17C19D93" w14:textId="77777777">
      <w:pPr>
        <w:suppressAutoHyphens/>
      </w:pPr>
      <w:r w:rsidRPr="005F055E">
        <w:t>Kan de post 'AZWA: Effect eigen risico' nader worden toegelicht?</w:t>
      </w:r>
      <w:r w:rsidRPr="005F055E">
        <w:tab/>
      </w:r>
    </w:p>
    <w:p w:rsidRPr="005F055E" w:rsidR="003E7003" w:rsidP="00180EEB" w:rsidRDefault="003E7003" w14:paraId="0632B71A" w14:textId="4959DEB5">
      <w:pPr>
        <w:suppressAutoHyphens/>
      </w:pPr>
      <w:r w:rsidRPr="005F055E">
        <w:t>Antwoord</w:t>
      </w:r>
    </w:p>
    <w:p w:rsidRPr="005F055E" w:rsidR="00D07289" w:rsidP="00180EEB" w:rsidRDefault="00D07289" w14:paraId="17E7BB18" w14:textId="3D5839D0">
      <w:pPr>
        <w:suppressAutoHyphens/>
        <w:spacing w:line="276" w:lineRule="auto"/>
        <w:rPr>
          <w:szCs w:val="18"/>
        </w:rPr>
      </w:pPr>
      <w:r w:rsidRPr="005F055E">
        <w:rPr>
          <w:szCs w:val="18"/>
        </w:rPr>
        <w:t xml:space="preserve">De </w:t>
      </w:r>
      <w:r w:rsidR="00885DD3">
        <w:rPr>
          <w:szCs w:val="18"/>
        </w:rPr>
        <w:t xml:space="preserve">uiteindelijke </w:t>
      </w:r>
      <w:r w:rsidRPr="005F055E">
        <w:rPr>
          <w:szCs w:val="18"/>
        </w:rPr>
        <w:t>verdeling van het remgeld van de</w:t>
      </w:r>
      <w:r w:rsidR="00885DD3">
        <w:rPr>
          <w:szCs w:val="18"/>
        </w:rPr>
        <w:t xml:space="preserve"> in het Hoofdlijnenakkoord voorgenomen</w:t>
      </w:r>
      <w:r w:rsidRPr="005F055E">
        <w:rPr>
          <w:szCs w:val="18"/>
        </w:rPr>
        <w:t xml:space="preserve"> verlaging van het eigen risico over de verschillende sectoren wijkt iets af ten opzichte van eerdere veronderstellingen. De verdeling van de remgelden over </w:t>
      </w:r>
      <w:proofErr w:type="spellStart"/>
      <w:r w:rsidRPr="005F055E">
        <w:rPr>
          <w:szCs w:val="18"/>
        </w:rPr>
        <w:t>Zvw</w:t>
      </w:r>
      <w:proofErr w:type="spellEnd"/>
      <w:r w:rsidRPr="005F055E">
        <w:rPr>
          <w:szCs w:val="18"/>
        </w:rPr>
        <w:t>-sectoren heeft ook effect op de opbrengsten van het eigen risico. Omdat de daadwerkelijke verdeling iets afwijkt van eerdere veronderstellingen, ontstaat een kleine structurele tegenvaller bij de opbrengsten eigen risico vanaf 2027.</w:t>
      </w:r>
    </w:p>
    <w:p w:rsidRPr="005F055E" w:rsidR="00D07289" w:rsidP="00180EEB" w:rsidRDefault="00D07289" w14:paraId="34284100" w14:textId="77777777">
      <w:pPr>
        <w:suppressAutoHyphens/>
      </w:pPr>
    </w:p>
    <w:p w:rsidRPr="005F055E" w:rsidR="00274792" w:rsidP="00180EEB" w:rsidRDefault="003E7003" w14:paraId="38ACCA92" w14:textId="77777777">
      <w:pPr>
        <w:suppressAutoHyphens/>
      </w:pPr>
      <w:r w:rsidRPr="005F055E">
        <w:t>Vraag 236</w:t>
      </w:r>
      <w:r w:rsidRPr="005F055E">
        <w:tab/>
      </w:r>
    </w:p>
    <w:p w:rsidRPr="005F055E" w:rsidR="00274792" w:rsidP="00180EEB" w:rsidRDefault="003E7003" w14:paraId="64C77A53" w14:textId="77777777">
      <w:pPr>
        <w:suppressAutoHyphens/>
      </w:pPr>
      <w:r w:rsidRPr="005F055E">
        <w:t>Is er al een verwachting met hoeveel de zorgpremie in 2027 stijgt ten opzichte van 2026?</w:t>
      </w:r>
      <w:r w:rsidRPr="005F055E">
        <w:tab/>
      </w:r>
    </w:p>
    <w:p w:rsidRPr="005F055E" w:rsidR="003E7003" w:rsidP="00180EEB" w:rsidRDefault="003E7003" w14:paraId="62A721EE" w14:textId="57E41A08">
      <w:pPr>
        <w:suppressAutoHyphens/>
      </w:pPr>
      <w:r w:rsidRPr="005F055E">
        <w:t>Antwoord</w:t>
      </w:r>
    </w:p>
    <w:p w:rsidRPr="005F055E" w:rsidR="00D07289" w:rsidP="00180EEB" w:rsidRDefault="00D07289" w14:paraId="224EA23E" w14:textId="472A4BDB">
      <w:pPr>
        <w:suppressAutoHyphens/>
      </w:pPr>
      <w:r w:rsidRPr="005F055E">
        <w:t>De verwachting voor de stijging van de nominale premie in 2027 wordt bekend gemaakt bij de VWS-begroting 2027. Het komende jaar verwachten we de realisaties in de zorguitgaven en realisaties van de inkomsten en uitgaven van het zorgverzekeringsfonds. Deze zijn medebepalend voor de verwachtingen rondom de premiestijging voor 2027.</w:t>
      </w:r>
    </w:p>
    <w:p w:rsidRPr="005F055E" w:rsidR="00274792" w:rsidP="00180EEB" w:rsidRDefault="00D07289" w14:paraId="2050AC4B" w14:textId="41CC72EE">
      <w:pPr>
        <w:suppressAutoHyphens/>
      </w:pPr>
      <w:r w:rsidRPr="005F055E">
        <w:t>Wel zien we al twee ontwikkelingen die leiden tot een hogere verwachte premiestijging voor 2027 dan we in 2026 verwachten. Ten eerste wordt de premie 2026 gedempt door een eenmalige meevaller in het zorgverzekeringsfonds ter hoogte van € 73 per premiebetaler per jaar. Deze meevaller vervalt in 2027 waardoor de jaarpremie naar verwachting alsnog met € 73 zal stijgen. Ten tweede leidt de voorgenomen bevriezing van het eigen risico in 2026 en de verlaging in 2027 ook tot een hogere premie. Dit effect wordt geschat op € 199 in 2027. Deze twee bedragen komen boven op de reguliere premiestijging (bijvoorbeeld als gevolg van de ontwikkeling van lonen en prijzen in de zorg). Hoe de verwachte premieontwikkeling van 2026 op 2027 er daadwerkelijk uitziet, wordt in de VWS-begroting van 2027 bekend gemaakt.</w:t>
      </w:r>
    </w:p>
    <w:p w:rsidRPr="005F055E" w:rsidR="00274792" w:rsidP="00180EEB" w:rsidRDefault="003E7003" w14:paraId="49BC4FC9" w14:textId="77777777">
      <w:pPr>
        <w:suppressAutoHyphens/>
      </w:pPr>
      <w:r w:rsidRPr="005F055E">
        <w:t>Vraag 237</w:t>
      </w:r>
      <w:r w:rsidRPr="005F055E">
        <w:tab/>
      </w:r>
    </w:p>
    <w:p w:rsidRPr="005F055E" w:rsidR="00274792" w:rsidP="00180EEB" w:rsidRDefault="003E7003" w14:paraId="3670AC79" w14:textId="77777777">
      <w:pPr>
        <w:suppressAutoHyphens/>
      </w:pPr>
      <w:r w:rsidRPr="005F055E">
        <w:t>Waar gaan de volgende gelden 'grond van het AZWA wordt structureel €230 miljoen van het remgeldeffect door het verlagen van het eigen risico ingezet voor investeringen in het sociaal domein, medische preventie en opleiden' precies heen?</w:t>
      </w:r>
    </w:p>
    <w:p w:rsidRPr="005F055E" w:rsidR="003E7003" w:rsidP="00180EEB" w:rsidRDefault="003E7003" w14:paraId="40CD9E39" w14:textId="13E90C19">
      <w:pPr>
        <w:suppressAutoHyphens/>
      </w:pPr>
      <w:r w:rsidRPr="005F055E">
        <w:t>Antwoord</w:t>
      </w:r>
    </w:p>
    <w:p w:rsidRPr="005F055E" w:rsidR="00274792" w:rsidP="00180EEB" w:rsidRDefault="004203EE" w14:paraId="515810D0" w14:textId="3CACE90D">
      <w:pPr>
        <w:suppressAutoHyphens/>
        <w:spacing w:line="240" w:lineRule="atLeast"/>
        <w:rPr>
          <w:szCs w:val="18"/>
          <w:lang w:eastAsia="nl-NL"/>
        </w:rPr>
      </w:pPr>
      <w:r w:rsidRPr="005F055E">
        <w:rPr>
          <w:szCs w:val="18"/>
          <w:lang w:eastAsia="nl-NL"/>
        </w:rPr>
        <w:t xml:space="preserve">Deze € 230 miljoen vanuit het remgeld is één van de dekkingsbronnen die is ingezet het AZWA. Andere dekkingsbronnen betreffen de inzet van enkele posten binnen de VWS begroting, en verschuivingen van </w:t>
      </w:r>
      <w:proofErr w:type="spellStart"/>
      <w:r w:rsidRPr="005F055E">
        <w:rPr>
          <w:szCs w:val="18"/>
          <w:lang w:eastAsia="nl-NL"/>
        </w:rPr>
        <w:t>premiegefinancierde</w:t>
      </w:r>
      <w:proofErr w:type="spellEnd"/>
      <w:r w:rsidRPr="005F055E">
        <w:rPr>
          <w:szCs w:val="18"/>
          <w:lang w:eastAsia="nl-NL"/>
        </w:rPr>
        <w:t xml:space="preserve"> uitgaven. Deze dekkingsbronnen gezamenlijk zorgen voor de financiering van de totale set aan afspraken in het AZWA; de individuele dekkingsbronnen zijn om die reden niet gekoppeld aan specifieke afspraken. De investeringen die lopen via de VWS begroting zijn te vinden in bijlage 2 van het AZWA (Kamerstuk 31 765, nr. 943). Dit betreft o.a. uitgaven aan het gordelroosvaccin, middelen voor opleiden buiten het ziekenhuis, fraudebestrijding en middelen voor het sociaal domein. Daarnaast zijn er middelen gereserveerd voor o.a. de Regionale samenwerkingsverbanden (</w:t>
      </w:r>
      <w:proofErr w:type="spellStart"/>
      <w:r w:rsidRPr="005F055E">
        <w:rPr>
          <w:szCs w:val="18"/>
          <w:lang w:eastAsia="nl-NL"/>
        </w:rPr>
        <w:t>RESV’s</w:t>
      </w:r>
      <w:proofErr w:type="spellEnd"/>
      <w:r w:rsidRPr="005F055E">
        <w:rPr>
          <w:szCs w:val="18"/>
          <w:lang w:eastAsia="nl-NL"/>
        </w:rPr>
        <w:t xml:space="preserve">) in de eerstelijnszorg. Voor bepaalde investeringen, zoals de vaccinatie gordelroos, is al duidelijk waar de middelen precies aan besteed zullen worden. Voor andere investeringen, zoals opleiden buiten het ziekenhuis, zal dit in samenwerking met de veldpartijen de komende jaren worden uitgewerkt. </w:t>
      </w:r>
    </w:p>
    <w:p w:rsidRPr="005F055E" w:rsidR="00274792" w:rsidP="00180EEB" w:rsidRDefault="00274792" w14:paraId="5705C87B" w14:textId="77777777">
      <w:pPr>
        <w:suppressAutoHyphens/>
      </w:pPr>
    </w:p>
    <w:p w:rsidRPr="005F055E" w:rsidR="00274792" w:rsidP="00180EEB" w:rsidRDefault="003E7003" w14:paraId="087E8BDA" w14:textId="77777777">
      <w:pPr>
        <w:suppressAutoHyphens/>
      </w:pPr>
      <w:r w:rsidRPr="005F055E">
        <w:t>Vraag 238</w:t>
      </w:r>
      <w:r w:rsidRPr="005F055E">
        <w:tab/>
      </w:r>
    </w:p>
    <w:p w:rsidRPr="005F055E" w:rsidR="00274792" w:rsidP="00180EEB" w:rsidRDefault="003E7003" w14:paraId="053F0DC3" w14:textId="77777777">
      <w:pPr>
        <w:suppressAutoHyphens/>
      </w:pPr>
      <w:r w:rsidRPr="005F055E">
        <w:t>Waar wordt het geld 'meer tijd voor huisartsen' precies aan besteed?</w:t>
      </w:r>
      <w:r w:rsidRPr="005F055E">
        <w:tab/>
      </w:r>
    </w:p>
    <w:p w:rsidRPr="005F055E" w:rsidR="003E7003" w:rsidP="00180EEB" w:rsidRDefault="003E7003" w14:paraId="2B3BC6BA" w14:textId="79C7E8E8">
      <w:pPr>
        <w:suppressAutoHyphens/>
      </w:pPr>
      <w:r w:rsidRPr="005F055E">
        <w:t>Antwoord</w:t>
      </w:r>
    </w:p>
    <w:p w:rsidRPr="005F055E" w:rsidR="00D07289" w:rsidP="00180EEB" w:rsidRDefault="00D07289" w14:paraId="01E53219" w14:textId="50755F0E">
      <w:pPr>
        <w:suppressAutoHyphens/>
        <w:rPr>
          <w:szCs w:val="18"/>
        </w:rPr>
      </w:pPr>
      <w:bookmarkStart w:name="_Hlk211264414" w:id="43"/>
      <w:r w:rsidRPr="005F055E">
        <w:rPr>
          <w:szCs w:val="18"/>
        </w:rPr>
        <w:t xml:space="preserve">Voor ‘Meer tijd voor huisartsen’ is een oplopende reeks van € 4 miljoen tot structureel € 120 miljoen beschikbaar gesteld in het coalitieakkoord van Rutte IV (2022). Van dit bedrag is structureel € 64 miljoen gereserveerd voor meer opleidingsplaatsen voor huisartsen (en een beperkt aantal opleidingsplaatsen voor verpleegkundig specialisten en </w:t>
      </w:r>
      <w:proofErr w:type="spellStart"/>
      <w:r w:rsidRPr="005F055E">
        <w:rPr>
          <w:szCs w:val="18"/>
        </w:rPr>
        <w:t>physician</w:t>
      </w:r>
      <w:proofErr w:type="spellEnd"/>
      <w:r w:rsidRPr="005F055E">
        <w:rPr>
          <w:szCs w:val="18"/>
        </w:rPr>
        <w:t xml:space="preserve"> </w:t>
      </w:r>
      <w:proofErr w:type="spellStart"/>
      <w:r w:rsidRPr="005F055E">
        <w:rPr>
          <w:szCs w:val="18"/>
        </w:rPr>
        <w:t>assistants</w:t>
      </w:r>
      <w:proofErr w:type="spellEnd"/>
      <w:r w:rsidRPr="005F055E">
        <w:rPr>
          <w:szCs w:val="18"/>
        </w:rPr>
        <w:t xml:space="preserve">). </w:t>
      </w:r>
    </w:p>
    <w:p w:rsidRPr="005F055E" w:rsidR="00D07289" w:rsidP="00180EEB" w:rsidRDefault="00D07289" w14:paraId="50BF9909" w14:textId="3CCCCBE1">
      <w:pPr>
        <w:suppressAutoHyphens/>
        <w:rPr>
          <w:szCs w:val="18"/>
        </w:rPr>
      </w:pPr>
      <w:r w:rsidRPr="005F055E">
        <w:rPr>
          <w:szCs w:val="18"/>
        </w:rPr>
        <w:t xml:space="preserve">Het restant van de middelen (structureel € 56 miljoen) was in principe bestemd voor de opschaling van Meer Tijd voor de Patiënt (MTVP), maar bleek niet meer nodig: de versnelde landelijke opschaling is reeds structureel vanuit het huisartsenkader gefinancierd en gerealiseerd. Hiervoor was in het Integraal Zorgakkoord (IZA) namelijk voldoende volumegroei beschikbaar gesteld. Deze middelen waren dus niet meer nodig voor de opschaling en </w:t>
      </w:r>
      <w:r w:rsidRPr="005F055E" w:rsidR="009C0ACD">
        <w:rPr>
          <w:szCs w:val="18"/>
        </w:rPr>
        <w:t xml:space="preserve">zijn </w:t>
      </w:r>
      <w:r w:rsidRPr="005F055E">
        <w:rPr>
          <w:szCs w:val="18"/>
        </w:rPr>
        <w:t>alternatief ingezet voor o.a. de financiering van afspraken in het AZWA en om knelpunten op de VWS-begroting op te vangen.</w:t>
      </w:r>
      <w:bookmarkEnd w:id="43"/>
    </w:p>
    <w:p w:rsidRPr="005F055E" w:rsidR="00274792" w:rsidP="00180EEB" w:rsidRDefault="00274792" w14:paraId="2501B135" w14:textId="77777777">
      <w:pPr>
        <w:suppressAutoHyphens/>
      </w:pPr>
    </w:p>
    <w:p w:rsidRPr="005F055E" w:rsidR="00274792" w:rsidP="00180EEB" w:rsidRDefault="003E7003" w14:paraId="61ECC2FB" w14:textId="77777777">
      <w:pPr>
        <w:suppressAutoHyphens/>
      </w:pPr>
      <w:r w:rsidRPr="005F055E">
        <w:t>Vraag 239</w:t>
      </w:r>
      <w:r w:rsidRPr="005F055E">
        <w:tab/>
      </w:r>
    </w:p>
    <w:p w:rsidRPr="005F055E" w:rsidR="00274792" w:rsidP="00180EEB" w:rsidRDefault="003E7003" w14:paraId="668180F8" w14:textId="774BF676">
      <w:pPr>
        <w:suppressAutoHyphens/>
      </w:pPr>
      <w:r w:rsidRPr="005F055E">
        <w:t>Kan nader worden toegelicht waar de ombuiging op ‘</w:t>
      </w:r>
      <w:proofErr w:type="spellStart"/>
      <w:r w:rsidRPr="005F055E">
        <w:t>ZonMw</w:t>
      </w:r>
      <w:proofErr w:type="spellEnd"/>
      <w:r w:rsidRPr="005F055E">
        <w:t>: Programmering’ precies terechtkomt?</w:t>
      </w:r>
    </w:p>
    <w:p w:rsidRPr="005F055E" w:rsidR="003E7003" w:rsidP="00180EEB" w:rsidRDefault="003E7003" w14:paraId="2F439521" w14:textId="5300F345">
      <w:pPr>
        <w:suppressAutoHyphens/>
      </w:pPr>
      <w:r w:rsidRPr="005F055E">
        <w:t>Antwoord</w:t>
      </w:r>
    </w:p>
    <w:p w:rsidRPr="005F055E" w:rsidR="00855C28" w:rsidP="00180EEB" w:rsidRDefault="00855C28" w14:paraId="6991FCDF" w14:textId="77E81314">
      <w:pPr>
        <w:suppressAutoHyphens/>
        <w:spacing w:line="240" w:lineRule="atLeast"/>
        <w:rPr>
          <w:szCs w:val="18"/>
          <w:lang w:eastAsia="nl-NL"/>
        </w:rPr>
      </w:pPr>
      <w:r w:rsidRPr="005F055E">
        <w:rPr>
          <w:szCs w:val="18"/>
          <w:lang w:eastAsia="nl-NL"/>
        </w:rPr>
        <w:t>Zoals in bijlage 1 bij de Nota van Wijziging op de ontwerpbegroting 2025 te zien is, komt de ombuiging terecht op de volgende programma’s:</w:t>
      </w:r>
    </w:p>
    <w:tbl>
      <w:tblPr>
        <w:tblW w:w="0" w:type="auto"/>
        <w:tblLayout w:type="fixed"/>
        <w:tblCellMar>
          <w:left w:w="0" w:type="dxa"/>
          <w:right w:w="0" w:type="dxa"/>
        </w:tblCellMar>
        <w:tblLook w:val="04A0" w:firstRow="1" w:lastRow="0" w:firstColumn="1" w:lastColumn="0" w:noHBand="0" w:noVBand="1"/>
      </w:tblPr>
      <w:tblGrid>
        <w:gridCol w:w="2258"/>
        <w:gridCol w:w="1276"/>
        <w:gridCol w:w="1418"/>
        <w:gridCol w:w="1275"/>
        <w:gridCol w:w="1287"/>
      </w:tblGrid>
      <w:tr w:rsidRPr="005F055E" w:rsidR="00855C28" w:rsidTr="00EC7257" w14:paraId="05DF7512" w14:textId="77777777">
        <w:tc>
          <w:tcPr>
            <w:tcW w:w="22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F055E" w:rsidR="00855C28" w:rsidP="00180EEB" w:rsidRDefault="00855C28" w14:paraId="209ED978" w14:textId="77777777">
            <w:pPr>
              <w:suppressAutoHyphens/>
              <w:spacing w:line="240" w:lineRule="atLeast"/>
              <w:rPr>
                <w:szCs w:val="18"/>
                <w:lang w:eastAsia="nl-NL"/>
              </w:rPr>
            </w:pP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09099E00" w14:textId="77777777">
            <w:pPr>
              <w:suppressAutoHyphens/>
              <w:spacing w:line="240" w:lineRule="atLeast"/>
              <w:rPr>
                <w:b/>
                <w:bCs/>
                <w:szCs w:val="18"/>
                <w:lang w:eastAsia="nl-NL"/>
              </w:rPr>
            </w:pPr>
            <w:r w:rsidRPr="005F055E">
              <w:rPr>
                <w:b/>
                <w:bCs/>
                <w:szCs w:val="18"/>
                <w:lang w:eastAsia="nl-NL"/>
              </w:rPr>
              <w:t>2026</w:t>
            </w:r>
          </w:p>
        </w:tc>
        <w:tc>
          <w:tcPr>
            <w:tcW w:w="141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50FF0B77" w14:textId="77777777">
            <w:pPr>
              <w:suppressAutoHyphens/>
              <w:spacing w:line="240" w:lineRule="atLeast"/>
              <w:rPr>
                <w:b/>
                <w:bCs/>
                <w:szCs w:val="18"/>
                <w:lang w:eastAsia="nl-NL"/>
              </w:rPr>
            </w:pPr>
            <w:r w:rsidRPr="005F055E">
              <w:rPr>
                <w:b/>
                <w:bCs/>
                <w:szCs w:val="18"/>
                <w:lang w:eastAsia="nl-NL"/>
              </w:rPr>
              <w:t>2027</w:t>
            </w:r>
          </w:p>
        </w:tc>
        <w:tc>
          <w:tcPr>
            <w:tcW w:w="127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6367A72D" w14:textId="77777777">
            <w:pPr>
              <w:suppressAutoHyphens/>
              <w:spacing w:line="240" w:lineRule="atLeast"/>
              <w:rPr>
                <w:b/>
                <w:bCs/>
                <w:szCs w:val="18"/>
                <w:lang w:eastAsia="nl-NL"/>
              </w:rPr>
            </w:pPr>
            <w:r w:rsidRPr="005F055E">
              <w:rPr>
                <w:b/>
                <w:bCs/>
                <w:szCs w:val="18"/>
                <w:lang w:eastAsia="nl-NL"/>
              </w:rPr>
              <w:t>2028</w:t>
            </w:r>
          </w:p>
        </w:tc>
        <w:tc>
          <w:tcPr>
            <w:tcW w:w="128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1A85461D" w14:textId="77777777">
            <w:pPr>
              <w:suppressAutoHyphens/>
              <w:spacing w:line="240" w:lineRule="atLeast"/>
              <w:rPr>
                <w:b/>
                <w:bCs/>
                <w:szCs w:val="18"/>
                <w:lang w:eastAsia="nl-NL"/>
              </w:rPr>
            </w:pPr>
            <w:r w:rsidRPr="005F055E">
              <w:rPr>
                <w:b/>
                <w:bCs/>
                <w:szCs w:val="18"/>
                <w:lang w:eastAsia="nl-NL"/>
              </w:rPr>
              <w:t>2029</w:t>
            </w:r>
          </w:p>
        </w:tc>
      </w:tr>
      <w:tr w:rsidRPr="005F055E" w:rsidR="00855C28" w:rsidTr="00EC7257" w14:paraId="5DFDD858" w14:textId="77777777">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689ADF4C" w14:textId="1F037EE9">
            <w:pPr>
              <w:suppressAutoHyphens/>
              <w:spacing w:line="240" w:lineRule="atLeast"/>
              <w:rPr>
                <w:szCs w:val="18"/>
                <w:lang w:eastAsia="nl-NL"/>
              </w:rPr>
            </w:pPr>
            <w:r w:rsidRPr="005F055E">
              <w:rPr>
                <w:szCs w:val="18"/>
                <w:lang w:eastAsia="nl-NL"/>
              </w:rPr>
              <w:t xml:space="preserve">Personen met verward gedrag en onderzoek </w:t>
            </w:r>
            <w:r w:rsidR="00D55762">
              <w:rPr>
                <w:szCs w:val="18"/>
                <w:lang w:eastAsia="nl-NL"/>
              </w:rPr>
              <w:t>GGZ</w:t>
            </w:r>
          </w:p>
        </w:tc>
        <w:tc>
          <w:tcPr>
            <w:tcW w:w="1276"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18754373" w14:textId="77777777">
            <w:pPr>
              <w:suppressAutoHyphens/>
              <w:spacing w:line="240" w:lineRule="atLeast"/>
              <w:rPr>
                <w:szCs w:val="18"/>
                <w:lang w:eastAsia="nl-NL"/>
              </w:rPr>
            </w:pPr>
            <w:r w:rsidRPr="005F055E">
              <w:rPr>
                <w:szCs w:val="18"/>
                <w:lang w:eastAsia="nl-NL"/>
              </w:rPr>
              <w:t>-2.120.000</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65A94846" w14:textId="77777777">
            <w:pPr>
              <w:suppressAutoHyphens/>
              <w:spacing w:line="240" w:lineRule="atLeast"/>
              <w:rPr>
                <w:szCs w:val="18"/>
                <w:lang w:eastAsia="nl-NL"/>
              </w:rPr>
            </w:pPr>
            <w:r w:rsidRPr="005F055E">
              <w:rPr>
                <w:szCs w:val="18"/>
                <w:lang w:eastAsia="nl-NL"/>
              </w:rPr>
              <w:t>-2.270.000</w:t>
            </w:r>
          </w:p>
        </w:tc>
        <w:tc>
          <w:tcPr>
            <w:tcW w:w="1275"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2A4699CC" w14:textId="77777777">
            <w:pPr>
              <w:suppressAutoHyphens/>
              <w:spacing w:line="240" w:lineRule="atLeast"/>
              <w:rPr>
                <w:szCs w:val="18"/>
                <w:lang w:eastAsia="nl-NL"/>
              </w:rPr>
            </w:pPr>
            <w:r w:rsidRPr="005F055E">
              <w:rPr>
                <w:szCs w:val="18"/>
                <w:lang w:eastAsia="nl-NL"/>
              </w:rPr>
              <w:t>-2.270.000</w:t>
            </w:r>
          </w:p>
        </w:tc>
        <w:tc>
          <w:tcPr>
            <w:tcW w:w="1287"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7186DDF4" w14:textId="77777777">
            <w:pPr>
              <w:suppressAutoHyphens/>
              <w:spacing w:line="240" w:lineRule="atLeast"/>
              <w:rPr>
                <w:szCs w:val="18"/>
                <w:lang w:eastAsia="nl-NL"/>
              </w:rPr>
            </w:pPr>
            <w:r w:rsidRPr="005F055E">
              <w:rPr>
                <w:szCs w:val="18"/>
                <w:lang w:eastAsia="nl-NL"/>
              </w:rPr>
              <w:t>-2.270.000</w:t>
            </w:r>
          </w:p>
        </w:tc>
      </w:tr>
      <w:tr w:rsidRPr="005F055E" w:rsidR="00855C28" w:rsidTr="00EC7257" w14:paraId="1934AE91" w14:textId="77777777">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6E6187CD" w14:textId="77777777">
            <w:pPr>
              <w:suppressAutoHyphens/>
              <w:spacing w:line="240" w:lineRule="atLeast"/>
              <w:rPr>
                <w:szCs w:val="18"/>
                <w:lang w:eastAsia="nl-NL"/>
              </w:rPr>
            </w:pPr>
            <w:r w:rsidRPr="005F055E">
              <w:rPr>
                <w:szCs w:val="18"/>
                <w:lang w:eastAsia="nl-NL"/>
              </w:rPr>
              <w:t>Kwaliteitsgelden</w:t>
            </w:r>
          </w:p>
        </w:tc>
        <w:tc>
          <w:tcPr>
            <w:tcW w:w="1276"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2EA3A987" w14:textId="77777777">
            <w:pPr>
              <w:suppressAutoHyphens/>
              <w:spacing w:line="240" w:lineRule="atLeast"/>
              <w:rPr>
                <w:szCs w:val="18"/>
                <w:lang w:eastAsia="nl-NL"/>
              </w:rPr>
            </w:pPr>
            <w:r w:rsidRPr="005F055E">
              <w:rPr>
                <w:szCs w:val="18"/>
                <w:lang w:eastAsia="nl-NL"/>
              </w:rPr>
              <w:t>0</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57AB62CE" w14:textId="77777777">
            <w:pPr>
              <w:suppressAutoHyphens/>
              <w:spacing w:line="240" w:lineRule="atLeast"/>
              <w:rPr>
                <w:szCs w:val="18"/>
                <w:lang w:eastAsia="nl-NL"/>
              </w:rPr>
            </w:pPr>
            <w:r w:rsidRPr="005F055E">
              <w:rPr>
                <w:szCs w:val="18"/>
                <w:lang w:eastAsia="nl-NL"/>
              </w:rPr>
              <w:t>-4.730.000</w:t>
            </w:r>
          </w:p>
        </w:tc>
        <w:tc>
          <w:tcPr>
            <w:tcW w:w="1275"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64FA4C9B" w14:textId="77777777">
            <w:pPr>
              <w:suppressAutoHyphens/>
              <w:spacing w:line="240" w:lineRule="atLeast"/>
              <w:rPr>
                <w:szCs w:val="18"/>
                <w:lang w:eastAsia="nl-NL"/>
              </w:rPr>
            </w:pPr>
            <w:r w:rsidRPr="005F055E">
              <w:rPr>
                <w:szCs w:val="18"/>
                <w:lang w:eastAsia="nl-NL"/>
              </w:rPr>
              <w:t>-4.730.000</w:t>
            </w:r>
          </w:p>
        </w:tc>
        <w:tc>
          <w:tcPr>
            <w:tcW w:w="1287"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7159B2FE" w14:textId="77777777">
            <w:pPr>
              <w:suppressAutoHyphens/>
              <w:spacing w:line="240" w:lineRule="atLeast"/>
              <w:rPr>
                <w:szCs w:val="18"/>
                <w:lang w:eastAsia="nl-NL"/>
              </w:rPr>
            </w:pPr>
            <w:r w:rsidRPr="005F055E">
              <w:rPr>
                <w:szCs w:val="18"/>
                <w:lang w:eastAsia="nl-NL"/>
              </w:rPr>
              <w:t>-4.730.000</w:t>
            </w:r>
          </w:p>
        </w:tc>
      </w:tr>
      <w:tr w:rsidRPr="005F055E" w:rsidR="00855C28" w:rsidTr="00EC7257" w14:paraId="20FB059A" w14:textId="77777777">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1519A08F" w14:textId="77777777">
            <w:pPr>
              <w:suppressAutoHyphens/>
              <w:spacing w:line="240" w:lineRule="atLeast"/>
              <w:rPr>
                <w:szCs w:val="18"/>
                <w:lang w:eastAsia="nl-NL"/>
              </w:rPr>
            </w:pPr>
            <w:r w:rsidRPr="005F055E">
              <w:rPr>
                <w:szCs w:val="18"/>
                <w:lang w:eastAsia="nl-NL"/>
              </w:rPr>
              <w:t>Doelmatigheid, passende zorg, ZEGG en doelmatigheids-onderzoek</w:t>
            </w:r>
          </w:p>
        </w:tc>
        <w:tc>
          <w:tcPr>
            <w:tcW w:w="1276"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1331440D" w14:textId="77777777">
            <w:pPr>
              <w:suppressAutoHyphens/>
              <w:spacing w:line="240" w:lineRule="atLeast"/>
              <w:rPr>
                <w:szCs w:val="18"/>
                <w:lang w:eastAsia="nl-NL"/>
              </w:rPr>
            </w:pPr>
            <w:r w:rsidRPr="005F055E">
              <w:rPr>
                <w:szCs w:val="18"/>
                <w:lang w:eastAsia="nl-NL"/>
              </w:rPr>
              <w:t>-654.000</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640C5FBE" w14:textId="77777777">
            <w:pPr>
              <w:suppressAutoHyphens/>
              <w:spacing w:line="240" w:lineRule="atLeast"/>
              <w:rPr>
                <w:szCs w:val="18"/>
                <w:lang w:eastAsia="nl-NL"/>
              </w:rPr>
            </w:pPr>
            <w:r w:rsidRPr="005F055E">
              <w:rPr>
                <w:szCs w:val="18"/>
                <w:lang w:eastAsia="nl-NL"/>
              </w:rPr>
              <w:t>-20.275.000</w:t>
            </w:r>
          </w:p>
        </w:tc>
        <w:tc>
          <w:tcPr>
            <w:tcW w:w="1275"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49C1DEA1" w14:textId="77777777">
            <w:pPr>
              <w:suppressAutoHyphens/>
              <w:spacing w:line="240" w:lineRule="atLeast"/>
              <w:rPr>
                <w:szCs w:val="18"/>
                <w:lang w:eastAsia="nl-NL"/>
              </w:rPr>
            </w:pPr>
            <w:r w:rsidRPr="005F055E">
              <w:rPr>
                <w:szCs w:val="18"/>
                <w:lang w:eastAsia="nl-NL"/>
              </w:rPr>
              <w:t>-6.541.000</w:t>
            </w:r>
          </w:p>
        </w:tc>
        <w:tc>
          <w:tcPr>
            <w:tcW w:w="1287"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2D86A1D4" w14:textId="77777777">
            <w:pPr>
              <w:suppressAutoHyphens/>
              <w:spacing w:line="240" w:lineRule="atLeast"/>
              <w:rPr>
                <w:szCs w:val="18"/>
                <w:lang w:eastAsia="nl-NL"/>
              </w:rPr>
            </w:pPr>
            <w:r w:rsidRPr="005F055E">
              <w:rPr>
                <w:szCs w:val="18"/>
                <w:lang w:eastAsia="nl-NL"/>
              </w:rPr>
              <w:t>-9.407.000</w:t>
            </w:r>
          </w:p>
        </w:tc>
      </w:tr>
      <w:tr w:rsidRPr="005F055E" w:rsidR="00855C28" w:rsidTr="00EC7257" w14:paraId="1CAEC2C3" w14:textId="77777777">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5912B8A4" w14:textId="77777777">
            <w:pPr>
              <w:suppressAutoHyphens/>
              <w:spacing w:line="240" w:lineRule="atLeast"/>
              <w:rPr>
                <w:szCs w:val="18"/>
                <w:lang w:eastAsia="nl-NL"/>
              </w:rPr>
            </w:pPr>
            <w:r w:rsidRPr="005F055E">
              <w:rPr>
                <w:szCs w:val="18"/>
                <w:lang w:eastAsia="nl-NL"/>
              </w:rPr>
              <w:t>Basisbudget (incidenteel niet uitkeren)</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rsidRPr="005F055E" w:rsidR="00855C28" w:rsidP="00180EEB" w:rsidRDefault="00855C28" w14:paraId="3E42414C" w14:textId="77777777">
            <w:pPr>
              <w:suppressAutoHyphens/>
              <w:spacing w:line="240" w:lineRule="atLeast"/>
              <w:rPr>
                <w:szCs w:val="18"/>
                <w:lang w:eastAsia="nl-NL"/>
              </w:rPr>
            </w:pP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855C28" w:rsidP="00180EEB" w:rsidRDefault="00855C28" w14:paraId="0ECFD2A9" w14:textId="77777777">
            <w:pPr>
              <w:suppressAutoHyphens/>
              <w:spacing w:line="240" w:lineRule="atLeast"/>
              <w:rPr>
                <w:szCs w:val="18"/>
                <w:lang w:eastAsia="nl-NL"/>
              </w:rPr>
            </w:pPr>
            <w:r w:rsidRPr="005F055E">
              <w:rPr>
                <w:szCs w:val="18"/>
                <w:lang w:eastAsia="nl-NL"/>
              </w:rPr>
              <w:t>-5.872.000</w:t>
            </w:r>
          </w:p>
        </w:tc>
        <w:tc>
          <w:tcPr>
            <w:tcW w:w="1275" w:type="dxa"/>
            <w:tcBorders>
              <w:top w:val="nil"/>
              <w:left w:val="nil"/>
              <w:bottom w:val="single" w:color="auto" w:sz="8" w:space="0"/>
              <w:right w:val="single" w:color="auto" w:sz="8" w:space="0"/>
            </w:tcBorders>
            <w:tcMar>
              <w:top w:w="0" w:type="dxa"/>
              <w:left w:w="108" w:type="dxa"/>
              <w:bottom w:w="0" w:type="dxa"/>
              <w:right w:w="108" w:type="dxa"/>
            </w:tcMar>
          </w:tcPr>
          <w:p w:rsidRPr="005F055E" w:rsidR="00855C28" w:rsidP="00180EEB" w:rsidRDefault="00855C28" w14:paraId="55D14CE6" w14:textId="77777777">
            <w:pPr>
              <w:suppressAutoHyphens/>
              <w:spacing w:line="240" w:lineRule="atLeast"/>
              <w:rPr>
                <w:szCs w:val="18"/>
                <w:lang w:eastAsia="nl-NL"/>
              </w:rPr>
            </w:pPr>
          </w:p>
        </w:tc>
        <w:tc>
          <w:tcPr>
            <w:tcW w:w="1287" w:type="dxa"/>
            <w:tcBorders>
              <w:top w:val="nil"/>
              <w:left w:val="nil"/>
              <w:bottom w:val="single" w:color="auto" w:sz="8" w:space="0"/>
              <w:right w:val="single" w:color="auto" w:sz="8" w:space="0"/>
            </w:tcBorders>
            <w:tcMar>
              <w:top w:w="0" w:type="dxa"/>
              <w:left w:w="108" w:type="dxa"/>
              <w:bottom w:w="0" w:type="dxa"/>
              <w:right w:w="108" w:type="dxa"/>
            </w:tcMar>
          </w:tcPr>
          <w:p w:rsidRPr="005F055E" w:rsidR="00855C28" w:rsidP="00180EEB" w:rsidRDefault="00855C28" w14:paraId="597FF389" w14:textId="77777777">
            <w:pPr>
              <w:suppressAutoHyphens/>
              <w:spacing w:line="240" w:lineRule="atLeast"/>
              <w:rPr>
                <w:szCs w:val="18"/>
                <w:lang w:eastAsia="nl-NL"/>
              </w:rPr>
            </w:pPr>
          </w:p>
        </w:tc>
      </w:tr>
    </w:tbl>
    <w:p w:rsidRPr="005F055E" w:rsidR="00274792" w:rsidP="00180EEB" w:rsidRDefault="00274792" w14:paraId="4CF85748" w14:textId="77777777">
      <w:pPr>
        <w:suppressAutoHyphens/>
      </w:pPr>
    </w:p>
    <w:p w:rsidRPr="005F055E" w:rsidR="00274792" w:rsidP="00180EEB" w:rsidRDefault="003E7003" w14:paraId="15E71DE2" w14:textId="68EAC909">
      <w:pPr>
        <w:suppressAutoHyphens/>
      </w:pPr>
      <w:r w:rsidRPr="005F055E">
        <w:t>Vraag 240</w:t>
      </w:r>
      <w:r w:rsidRPr="005F055E">
        <w:tab/>
      </w:r>
    </w:p>
    <w:p w:rsidRPr="005F055E" w:rsidR="00274792" w:rsidP="00180EEB" w:rsidRDefault="003E7003" w14:paraId="5C275DC7" w14:textId="77777777">
      <w:pPr>
        <w:suppressAutoHyphens/>
      </w:pPr>
      <w:r w:rsidRPr="005F055E">
        <w:t>Wat wordt er precies omgebogen dat de uitgaven van artikel 6 Sport en Bewegen van €465.864 in het jaar 2025 naar €366.759 in het jaar 2026 dalen?</w:t>
      </w:r>
      <w:r w:rsidRPr="005F055E">
        <w:tab/>
      </w:r>
    </w:p>
    <w:p w:rsidRPr="005F055E" w:rsidR="003E7003" w:rsidP="00180EEB" w:rsidRDefault="003E7003" w14:paraId="4EBCD85F" w14:textId="5E7225F7">
      <w:pPr>
        <w:suppressAutoHyphens/>
      </w:pPr>
      <w:r w:rsidRPr="005F055E">
        <w:t>Antwoord</w:t>
      </w:r>
    </w:p>
    <w:p w:rsidRPr="005F055E" w:rsidR="00D07289" w:rsidP="00180EEB" w:rsidRDefault="00D07289" w14:paraId="63AFC89C" w14:textId="128777E5">
      <w:pPr>
        <w:suppressAutoHyphens/>
      </w:pPr>
      <w:r w:rsidRPr="005F055E">
        <w:t>De daling van het uitgavenkader 2026 ten opzichte van 2025 heeft een omvang van circa €99 miljoen en is een optelsom van</w:t>
      </w:r>
      <w:r w:rsidR="00AC5F77">
        <w:t xml:space="preserve"> </w:t>
      </w:r>
      <w:r w:rsidRPr="005F055E">
        <w:t>verschillende structurele en incidentele budgetmutaties.</w:t>
      </w:r>
    </w:p>
    <w:p w:rsidRPr="005F055E" w:rsidR="00D07289" w:rsidP="00180EEB" w:rsidRDefault="00D07289" w14:paraId="20EF8F72" w14:textId="720F3925">
      <w:pPr>
        <w:suppressAutoHyphens/>
      </w:pPr>
      <w:r w:rsidRPr="005F055E">
        <w:t xml:space="preserve">De </w:t>
      </w:r>
      <w:r w:rsidR="00AC5F77">
        <w:t>grootste</w:t>
      </w:r>
      <w:r w:rsidRPr="005F055E" w:rsidR="00AC5F77">
        <w:t xml:space="preserve"> </w:t>
      </w:r>
      <w:r w:rsidRPr="005F055E">
        <w:t xml:space="preserve">structurele mutaties komen voort uit de subsidietaakstelling van circa - €34 miljoen vanuit het Regeerakkoord Schoof I (onder andere de BOSA-regeling, Kennis en Innovatie), de 10% taakstelling op </w:t>
      </w:r>
      <w:proofErr w:type="spellStart"/>
      <w:r w:rsidRPr="005F055E">
        <w:t>SPUK’s</w:t>
      </w:r>
      <w:proofErr w:type="spellEnd"/>
      <w:r w:rsidRPr="005F055E">
        <w:t xml:space="preserve"> van circa - €20 miljoen en daarnaast het vervallen van incidenteel beschikbaar gestelde middelen vanuit het Regeerakkoord Rutte IV van circa - €22 miljoen.</w:t>
      </w:r>
    </w:p>
    <w:p w:rsidRPr="005F055E" w:rsidR="00274792" w:rsidP="00180EEB" w:rsidRDefault="00D07289" w14:paraId="2076FF50" w14:textId="4D10400B">
      <w:pPr>
        <w:suppressAutoHyphens/>
        <w:rPr>
          <w:szCs w:val="18"/>
        </w:rPr>
      </w:pPr>
      <w:r w:rsidRPr="005F055E">
        <w:t xml:space="preserve">De </w:t>
      </w:r>
      <w:r w:rsidR="00AC5F77">
        <w:t>grootste</w:t>
      </w:r>
      <w:r w:rsidRPr="005F055E">
        <w:t xml:space="preserve"> incidentele mutaties komen voort uit de nabetaling op de vaststelling van de regeling SPUK Stimulering Sport 2023 (circa - €33 miljoen) en het eindigen van het uitvoeren van een incidentele motie per 2026 (circa + €10 miljoen).</w:t>
      </w:r>
    </w:p>
    <w:p w:rsidRPr="005F055E" w:rsidR="00274792" w:rsidP="00180EEB" w:rsidRDefault="00274792" w14:paraId="39D2F9CD" w14:textId="77777777">
      <w:pPr>
        <w:suppressAutoHyphens/>
      </w:pPr>
    </w:p>
    <w:p w:rsidRPr="005F055E" w:rsidR="00274792" w:rsidP="00180EEB" w:rsidRDefault="003E7003" w14:paraId="5ECEB3DB" w14:textId="77777777">
      <w:pPr>
        <w:suppressAutoHyphens/>
      </w:pPr>
      <w:r w:rsidRPr="005F055E">
        <w:t>Vraag 241</w:t>
      </w:r>
      <w:r w:rsidRPr="005F055E">
        <w:tab/>
      </w:r>
    </w:p>
    <w:p w:rsidRPr="005F055E" w:rsidR="00274792" w:rsidP="00180EEB" w:rsidRDefault="003E7003" w14:paraId="5D7A9734" w14:textId="77777777">
      <w:pPr>
        <w:suppressAutoHyphens/>
      </w:pPr>
      <w:r w:rsidRPr="005F055E">
        <w:t>Hoeveel minder sportverenigingen kunnen er naar verwachting worden verduurzaamd door de bezuiniging op de subsidieregeling Duurzaam Maatschappelijk Vastgoed (DUMAVA)?</w:t>
      </w:r>
      <w:r w:rsidRPr="005F055E">
        <w:tab/>
      </w:r>
    </w:p>
    <w:p w:rsidRPr="005F055E" w:rsidR="003E7003" w:rsidP="00180EEB" w:rsidRDefault="003E7003" w14:paraId="3DC595FE" w14:textId="3AD6CCC6">
      <w:pPr>
        <w:suppressAutoHyphens/>
      </w:pPr>
      <w:r w:rsidRPr="005F055E">
        <w:t>Antwoord</w:t>
      </w:r>
    </w:p>
    <w:p w:rsidRPr="005F055E" w:rsidR="0014318A" w:rsidP="00180EEB" w:rsidRDefault="0014318A" w14:paraId="40BABA15" w14:textId="77777777">
      <w:pPr>
        <w:suppressAutoHyphens/>
      </w:pPr>
      <w:r w:rsidRPr="005F055E">
        <w:t>Er is geen sprake van een bezuiniging op de DUMAVA. Wat nu op de begroting staat is het beschikbare kasbudget. Dat is niet hetzelfde als het beschikbare subsidieplafond voor de DUMAVA. Met het beschikbare kasbudget wordt niet alleen de bevoorschotting betaald van de nieuwe aanvragen uit dat jaar, maar ook eventuele vaststellingen uit eerdere subsidierondes.</w:t>
      </w:r>
    </w:p>
    <w:p w:rsidRPr="005F055E" w:rsidR="0014318A" w:rsidP="00180EEB" w:rsidRDefault="0014318A" w14:paraId="56818720" w14:textId="77777777">
      <w:pPr>
        <w:suppressAutoHyphens/>
      </w:pPr>
      <w:r w:rsidRPr="005F055E">
        <w:t xml:space="preserve"> </w:t>
      </w:r>
    </w:p>
    <w:p w:rsidRPr="005F055E" w:rsidR="0014318A" w:rsidP="00180EEB" w:rsidRDefault="0014318A" w14:paraId="79D8771B" w14:textId="725AB928">
      <w:pPr>
        <w:suppressAutoHyphens/>
      </w:pPr>
      <w:r w:rsidRPr="005F055E">
        <w:t xml:space="preserve">Uit het klimaatfonds is in de periode 2024-2030 in totaal €1,9 miljard ter beschikking gekomen voor de verduurzaming van maatschappelijk vastgoed. Elk jaar wordt het subsidieplafond opnieuw vastgesteld, mede op basis van de behoefte in het veld en een spreiding van de beschikbare middelen over de jaren heen. Hiermee kiest het kabinet voor een optimale besteding van de beschikbare middelen. Het subsidieplafond voor 2026 wordt nog vastgesteld door het ministerie van Volkshuisvesting en Ruimtelijke Ordening. Dit gebeurt op basis van de evaluatie die nu gaande is en op basis van het verloop van de huidige tranche. Bij de Voorjaarsnota 2026 wordt zo nodig het bedrag aangepast. </w:t>
      </w:r>
    </w:p>
    <w:p w:rsidRPr="005F055E" w:rsidR="00274792" w:rsidP="00180EEB" w:rsidRDefault="00274792" w14:paraId="35120481" w14:textId="77777777">
      <w:pPr>
        <w:suppressAutoHyphens/>
      </w:pPr>
    </w:p>
    <w:p w:rsidRPr="005F055E" w:rsidR="00274792" w:rsidP="00180EEB" w:rsidRDefault="003E7003" w14:paraId="2D280EB5" w14:textId="77777777">
      <w:pPr>
        <w:suppressAutoHyphens/>
      </w:pPr>
      <w:r w:rsidRPr="005F055E">
        <w:t>Vraag 242</w:t>
      </w:r>
      <w:r w:rsidRPr="005F055E">
        <w:tab/>
      </w:r>
    </w:p>
    <w:p w:rsidRPr="005F055E" w:rsidR="00274792" w:rsidP="00180EEB" w:rsidRDefault="003E7003" w14:paraId="5DFB27D3" w14:textId="77777777">
      <w:pPr>
        <w:suppressAutoHyphens/>
      </w:pPr>
      <w:r w:rsidRPr="005F055E">
        <w:t>Hoeveel sportverenigingen konden afgelopen jaar niet verduurzamen doordat de pot van de DUMAVA al leeg was?</w:t>
      </w:r>
      <w:r w:rsidRPr="005F055E">
        <w:tab/>
      </w:r>
    </w:p>
    <w:p w:rsidRPr="005F055E" w:rsidR="0014318A" w:rsidP="00180EEB" w:rsidRDefault="003E7003" w14:paraId="72314FBF" w14:textId="3101147A">
      <w:pPr>
        <w:suppressAutoHyphens/>
      </w:pPr>
      <w:r w:rsidRPr="005F055E">
        <w:t>Antwoord</w:t>
      </w:r>
    </w:p>
    <w:p w:rsidRPr="005F055E" w:rsidR="00274792" w:rsidP="00180EEB" w:rsidRDefault="0014318A" w14:paraId="64335D83" w14:textId="0375CCBA">
      <w:pPr>
        <w:suppressAutoHyphens/>
      </w:pPr>
      <w:r w:rsidRPr="005F055E">
        <w:t xml:space="preserve">Er is nog steeds geld beschikbaar in de subsidieronde van 2025. Tot op heden zijn alle aanvragen gehonoreerd die aan de voorwaarden voldeden. De regeling </w:t>
      </w:r>
      <w:r w:rsidR="00AC5F77">
        <w:t xml:space="preserve">stond </w:t>
      </w:r>
      <w:r w:rsidRPr="005F055E">
        <w:t>open tot 31 oktober 2025.</w:t>
      </w:r>
    </w:p>
    <w:p w:rsidRPr="005F055E" w:rsidR="00274792" w:rsidP="00180EEB" w:rsidRDefault="003E7003" w14:paraId="59D0FB4C" w14:textId="77777777">
      <w:pPr>
        <w:suppressAutoHyphens/>
      </w:pPr>
      <w:r w:rsidRPr="005F055E">
        <w:t>Vraag 243</w:t>
      </w:r>
      <w:r w:rsidRPr="005F055E">
        <w:tab/>
      </w:r>
    </w:p>
    <w:p w:rsidRPr="005F055E" w:rsidR="00274792" w:rsidP="00180EEB" w:rsidRDefault="003E7003" w14:paraId="1FC0050E" w14:textId="77777777">
      <w:pPr>
        <w:suppressAutoHyphens/>
      </w:pPr>
      <w:r w:rsidRPr="005F055E">
        <w:t>Waar komt de ombuiging op duurzame en toegankelijke sportaccommodaties precies terecht?</w:t>
      </w:r>
      <w:r w:rsidRPr="005F055E">
        <w:tab/>
      </w:r>
    </w:p>
    <w:p w:rsidRPr="005F055E" w:rsidR="003E7003" w:rsidP="00180EEB" w:rsidRDefault="003E7003" w14:paraId="173DF463" w14:textId="41456EFF">
      <w:pPr>
        <w:suppressAutoHyphens/>
      </w:pPr>
      <w:r w:rsidRPr="005F055E">
        <w:t>Antwoord</w:t>
      </w:r>
    </w:p>
    <w:p w:rsidRPr="005F055E" w:rsidR="0014318A" w:rsidP="00180EEB" w:rsidRDefault="0014318A" w14:paraId="291F3AA3" w14:textId="54189AC7">
      <w:pPr>
        <w:suppressAutoHyphens/>
      </w:pPr>
      <w:r w:rsidRPr="005F055E">
        <w:t xml:space="preserve">Onderdeel van het Hoofdlijnenakkoord is het doorvoeren van een bezuiniging op subsidies. Hierbij is de insteek geweest om </w:t>
      </w:r>
      <w:r w:rsidRPr="005F055E">
        <w:rPr>
          <w:szCs w:val="18"/>
        </w:rPr>
        <w:t>medische en preventieve zorg en ondersteuning die mensen direct raakt te voorkomen. Een generieke korting op alle subsidiebudgetten was daardoor niet mogelijk en niet wenselijk. Door het ontzien van deze subsidies is het automatische gevolg dat de opgave voor het overige subsidielandschap groter is geworden.</w:t>
      </w:r>
      <w:r w:rsidRPr="005F055E">
        <w:t xml:space="preserve"> De ombuiging op duurzame en toegankelijke sportaccommodaties is hier het gevolg van. </w:t>
      </w:r>
    </w:p>
    <w:p w:rsidRPr="005F055E" w:rsidR="00274792" w:rsidP="00180EEB" w:rsidRDefault="0014318A" w14:paraId="102DD8BE" w14:textId="593BB02B">
      <w:pPr>
        <w:suppressAutoHyphens/>
      </w:pPr>
      <w:r w:rsidRPr="005F055E">
        <w:t xml:space="preserve">Zoals aangegeven in de Toelichting bij de Nota van wijziging op Ontwerpbegroting van het Ministerie van Volksgezondheid, Welzijn en Sport voor het jaar 2025 is vanaf 2026 een besparing van €28 miljoen op de BOSA-regeling ingeboekt. Deze korting voorkomt dat de </w:t>
      </w:r>
      <w:r w:rsidR="00AC5F77">
        <w:t xml:space="preserve">staatssecretaris Jeugd, Preventie en Sport </w:t>
      </w:r>
      <w:r w:rsidRPr="005F055E">
        <w:t xml:space="preserve">bijvoorbeeld moet korten op andere subsidies, zoals het jeugd- en cultuursportfonds. Voor de jaren 2028 en 2029 is een verder oplopende korting ingeboekt op de BOSA-regeling tot €53 miljoen. </w:t>
      </w:r>
    </w:p>
    <w:p w:rsidRPr="005F055E" w:rsidR="00274792" w:rsidP="00180EEB" w:rsidRDefault="00274792" w14:paraId="4D04B24A" w14:textId="77777777">
      <w:pPr>
        <w:suppressAutoHyphens/>
      </w:pPr>
    </w:p>
    <w:p w:rsidRPr="005F055E" w:rsidR="00274792" w:rsidP="00180EEB" w:rsidRDefault="003E7003" w14:paraId="3DAE873A" w14:textId="77777777">
      <w:pPr>
        <w:suppressAutoHyphens/>
      </w:pPr>
      <w:r w:rsidRPr="005F055E">
        <w:t>Vraag 244</w:t>
      </w:r>
      <w:r w:rsidRPr="005F055E">
        <w:tab/>
      </w:r>
    </w:p>
    <w:p w:rsidRPr="005F055E" w:rsidR="00274792" w:rsidP="00180EEB" w:rsidRDefault="003E7003" w14:paraId="22CAB8FF" w14:textId="77777777">
      <w:pPr>
        <w:suppressAutoHyphens/>
      </w:pPr>
      <w:r w:rsidRPr="005F055E">
        <w:t>Wat wordt er precies gefinancierd uit de pot duurzame en toegankelijke sportaccommodaties?</w:t>
      </w:r>
      <w:r w:rsidRPr="005F055E">
        <w:tab/>
      </w:r>
    </w:p>
    <w:p w:rsidRPr="005F055E" w:rsidR="003E7003" w:rsidP="00180EEB" w:rsidRDefault="003E7003" w14:paraId="3ED5480A" w14:textId="6B8685DF">
      <w:pPr>
        <w:suppressAutoHyphens/>
      </w:pPr>
      <w:r w:rsidRPr="005F055E">
        <w:t>Antwoord</w:t>
      </w:r>
    </w:p>
    <w:p w:rsidRPr="005F055E" w:rsidR="0014318A" w:rsidP="00180EEB" w:rsidRDefault="0014318A" w14:paraId="1CFFA8F5" w14:textId="61E24F17">
      <w:pPr>
        <w:suppressAutoHyphens/>
      </w:pPr>
      <w:r w:rsidRPr="005F055E">
        <w:t xml:space="preserve">Het </w:t>
      </w:r>
      <w:proofErr w:type="spellStart"/>
      <w:r w:rsidRPr="005F055E">
        <w:t>Rĳk</w:t>
      </w:r>
      <w:proofErr w:type="spellEnd"/>
      <w:r w:rsidRPr="005F055E">
        <w:t xml:space="preserve"> zet zich met gemeenten in om investeringen in sportaccommodaties en sportmaterialen te ondersteunen. Dat gaat onder andere via de subsidieregeling bouw en onderhoud sportaccommodaties. Amateursportorganisaties kunnen een subsidie aanvragen voor de bouw of het onderhoud van sportaccommodaties of voor de aanschaf of het onderhoud van sportmaterialen. </w:t>
      </w:r>
      <w:proofErr w:type="spellStart"/>
      <w:r w:rsidRPr="005F055E">
        <w:t>Hierbĳ</w:t>
      </w:r>
      <w:proofErr w:type="spellEnd"/>
      <w:r w:rsidRPr="005F055E">
        <w:t xml:space="preserve"> is er in 2026 een </w:t>
      </w:r>
      <w:proofErr w:type="spellStart"/>
      <w:r w:rsidRPr="005F055E">
        <w:t>mogelĳkheid</w:t>
      </w:r>
      <w:proofErr w:type="spellEnd"/>
      <w:r w:rsidRPr="005F055E">
        <w:t xml:space="preserve"> tot een aanvullende subsidie voor investeringen in circulariteit, klimaatadaptatie en toegankelijkheid van sportaccommodaties. Hiervoor is in 2026 een bedrag van maximaal €46,0 miljoen beschikbaar. Daarnaast zet de </w:t>
      </w:r>
      <w:r w:rsidR="00AC5F77">
        <w:t xml:space="preserve">staatssecretaris Jeugd, Preventie en Sport </w:t>
      </w:r>
      <w:r w:rsidRPr="005F055E">
        <w:t xml:space="preserve">in op het </w:t>
      </w:r>
      <w:proofErr w:type="spellStart"/>
      <w:r w:rsidRPr="005F055E">
        <w:t>toegankelĳk</w:t>
      </w:r>
      <w:proofErr w:type="spellEnd"/>
      <w:r w:rsidRPr="005F055E">
        <w:t xml:space="preserve"> maken van verduurzaming. Voor het vervolg van het </w:t>
      </w:r>
      <w:proofErr w:type="spellStart"/>
      <w:r w:rsidRPr="005F055E">
        <w:t>ontzorgingsprogramma</w:t>
      </w:r>
      <w:proofErr w:type="spellEnd"/>
      <w:r w:rsidRPr="005F055E">
        <w:t xml:space="preserve"> waarmee eigenaren van sportaccommodaties de </w:t>
      </w:r>
      <w:proofErr w:type="spellStart"/>
      <w:r w:rsidRPr="005F055E">
        <w:t>mogelĳkheid</w:t>
      </w:r>
      <w:proofErr w:type="spellEnd"/>
      <w:r w:rsidRPr="005F055E">
        <w:t xml:space="preserve"> krijgen voor begeleiding om kennis- en capaciteitsdrempels weg te nemen is in 2026 een bedrag van €4,0 miljoen beschikbaar.</w:t>
      </w:r>
    </w:p>
    <w:p w:rsidRPr="005F055E" w:rsidR="00274792" w:rsidP="00180EEB" w:rsidRDefault="0014318A" w14:paraId="4E2C25C2" w14:textId="092CB7BE">
      <w:pPr>
        <w:suppressAutoHyphens/>
      </w:pPr>
      <w:r w:rsidRPr="005F055E">
        <w:t xml:space="preserve">Via de Specifieke Uitkering Stimulering Sport is de afgelopen jaren beoogd om de ontwikkeling en instandhouding van sportaccommodaties en de aanschaf van sportmaterialen door gemeenten te stimuleren, daar waar de </w:t>
      </w:r>
      <w:proofErr w:type="spellStart"/>
      <w:r w:rsidRPr="005F055E">
        <w:t>mogelĳkheid</w:t>
      </w:r>
      <w:proofErr w:type="spellEnd"/>
      <w:r w:rsidRPr="005F055E">
        <w:t xml:space="preserve"> tot btw-aftrek is vervallen.</w:t>
      </w:r>
    </w:p>
    <w:p w:rsidRPr="005F055E" w:rsidR="00274792" w:rsidP="00180EEB" w:rsidRDefault="00274792" w14:paraId="46EDEBBC" w14:textId="77777777">
      <w:pPr>
        <w:suppressAutoHyphens/>
      </w:pPr>
    </w:p>
    <w:p w:rsidRPr="005F055E" w:rsidR="00274792" w:rsidP="00180EEB" w:rsidRDefault="003E7003" w14:paraId="3AA2D2FA" w14:textId="77777777">
      <w:pPr>
        <w:suppressAutoHyphens/>
      </w:pPr>
      <w:r w:rsidRPr="005F055E">
        <w:t>Vraag 245</w:t>
      </w:r>
      <w:r w:rsidRPr="005F055E">
        <w:tab/>
      </w:r>
    </w:p>
    <w:p w:rsidRPr="005F055E" w:rsidR="00274792" w:rsidP="00180EEB" w:rsidRDefault="003E7003" w14:paraId="5EDDF1B5" w14:textId="77777777">
      <w:pPr>
        <w:suppressAutoHyphens/>
      </w:pPr>
      <w:r w:rsidRPr="005F055E">
        <w:t>Wat houdt de Actualisatie wijkverpleging precies in?</w:t>
      </w:r>
      <w:r w:rsidRPr="005F055E">
        <w:tab/>
      </w:r>
    </w:p>
    <w:p w:rsidRPr="005F055E" w:rsidR="003E7003" w:rsidP="00180EEB" w:rsidRDefault="003E7003" w14:paraId="17398BD1" w14:textId="13848B3A">
      <w:pPr>
        <w:suppressAutoHyphens/>
      </w:pPr>
      <w:r w:rsidRPr="005F055E">
        <w:t>Antwoord</w:t>
      </w:r>
    </w:p>
    <w:p w:rsidRPr="005F055E" w:rsidR="00630335" w:rsidP="00180EEB" w:rsidRDefault="00630335" w14:paraId="7EC859DE" w14:textId="10426D6F">
      <w:pPr>
        <w:suppressAutoHyphens/>
        <w:spacing w:line="240" w:lineRule="atLeast"/>
        <w:rPr>
          <w:szCs w:val="18"/>
          <w:lang w:eastAsia="nl-NL"/>
        </w:rPr>
      </w:pPr>
      <w:r w:rsidRPr="005F055E">
        <w:rPr>
          <w:szCs w:val="18"/>
          <w:lang w:eastAsia="nl-NL"/>
        </w:rPr>
        <w:t xml:space="preserve">Alle </w:t>
      </w:r>
      <w:proofErr w:type="spellStart"/>
      <w:r w:rsidRPr="005F055E">
        <w:rPr>
          <w:szCs w:val="18"/>
          <w:lang w:eastAsia="nl-NL"/>
        </w:rPr>
        <w:t>Zvw</w:t>
      </w:r>
      <w:proofErr w:type="spellEnd"/>
      <w:r w:rsidRPr="005F055E">
        <w:rPr>
          <w:szCs w:val="18"/>
          <w:lang w:eastAsia="nl-NL"/>
        </w:rPr>
        <w:t>-uitgaven worden geactualiseerd op basis van de uitvoeringsinformatie van het Zorginstituut. Daarin wordt een inschatting van de totale zorguitgaven in het desbetreffende jaar weergegeven. Deze komt tot stand met behulp van gegevens van zorgverzekeraars over de bij hen gedeclareerde zorg.</w:t>
      </w:r>
    </w:p>
    <w:p w:rsidRPr="005F055E" w:rsidR="00630335" w:rsidP="00180EEB" w:rsidRDefault="00630335" w14:paraId="32739043" w14:textId="5F6CE49C">
      <w:pPr>
        <w:suppressAutoHyphens/>
        <w:spacing w:line="240" w:lineRule="atLeast"/>
        <w:rPr>
          <w:szCs w:val="18"/>
          <w:lang w:eastAsia="nl-NL"/>
        </w:rPr>
      </w:pPr>
      <w:r w:rsidRPr="005F055E">
        <w:rPr>
          <w:szCs w:val="18"/>
          <w:lang w:eastAsia="nl-NL"/>
        </w:rPr>
        <w:t xml:space="preserve">De uitgaven aan de wijkverpleging vallen o.b.v. deze uitvoeringsinformatie lager uit dan eerder was geraamd. Deze lagere uitgaven worden structureel verondersteld. Het financieel kader wijkverpleging wordt daarop aangepast. </w:t>
      </w:r>
    </w:p>
    <w:p w:rsidRPr="005F055E" w:rsidR="00274792" w:rsidP="00180EEB" w:rsidRDefault="00630335" w14:paraId="164768BD" w14:textId="1391B238">
      <w:pPr>
        <w:suppressAutoHyphens/>
        <w:spacing w:line="240" w:lineRule="atLeast"/>
        <w:rPr>
          <w:szCs w:val="18"/>
          <w:lang w:eastAsia="nl-NL"/>
        </w:rPr>
      </w:pPr>
      <w:r w:rsidRPr="005F055E">
        <w:rPr>
          <w:szCs w:val="18"/>
          <w:lang w:eastAsia="nl-NL"/>
        </w:rPr>
        <w:t xml:space="preserve">De bijstelling is conform de afspraken hierover in het AZWA. </w:t>
      </w:r>
    </w:p>
    <w:p w:rsidRPr="005F055E" w:rsidR="0014318A" w:rsidP="00180EEB" w:rsidRDefault="0014318A" w14:paraId="1B2FDCCC" w14:textId="77777777">
      <w:pPr>
        <w:suppressAutoHyphens/>
      </w:pPr>
    </w:p>
    <w:p w:rsidRPr="005F055E" w:rsidR="00274792" w:rsidP="00180EEB" w:rsidRDefault="003E7003" w14:paraId="5E6DDE1C" w14:textId="77777777">
      <w:pPr>
        <w:suppressAutoHyphens/>
      </w:pPr>
      <w:r w:rsidRPr="005F055E">
        <w:t>Vraag 246</w:t>
      </w:r>
      <w:r w:rsidRPr="005F055E">
        <w:tab/>
      </w:r>
    </w:p>
    <w:p w:rsidRPr="005F055E" w:rsidR="00274792" w:rsidP="00180EEB" w:rsidRDefault="003E7003" w14:paraId="5BD6A742" w14:textId="77777777">
      <w:pPr>
        <w:suppressAutoHyphens/>
      </w:pPr>
      <w:r w:rsidRPr="005F055E">
        <w:t>Wat is er qua maatregelen en financiële middelen nodig om de doelen uit het preventieakkoord te halen?</w:t>
      </w:r>
    </w:p>
    <w:p w:rsidRPr="005F055E" w:rsidR="003E7003" w:rsidP="00180EEB" w:rsidRDefault="003E7003" w14:paraId="15B57EC9" w14:textId="54DB85E3">
      <w:pPr>
        <w:suppressAutoHyphens/>
      </w:pPr>
      <w:r w:rsidRPr="005F055E">
        <w:t>Antwoord</w:t>
      </w:r>
    </w:p>
    <w:p w:rsidRPr="005F055E" w:rsidR="0014318A" w:rsidP="00180EEB" w:rsidRDefault="0014318A" w14:paraId="584FA2BA" w14:textId="5C8D7C03">
      <w:pPr>
        <w:suppressAutoHyphens/>
        <w:rPr>
          <w:szCs w:val="18"/>
        </w:rPr>
      </w:pPr>
      <w:r w:rsidRPr="005F055E">
        <w:rPr>
          <w:szCs w:val="18"/>
        </w:rPr>
        <w:t xml:space="preserve">In 2024 heeft het RIVM een doorrekening gemaakt van de impact van het Nationaal Preventieakkoord (hierna: NPA) voor roken, overgewicht en problematisch alcoholgebruik. Uit de doorrekening blijkt dat om tot een gezonde generatie in 2040 te komen het nodig is de bestaande afspraken nog breder en beter te implementeren en verder te intensiveren. Daarnaast zijn aanvullende maatregelen nodig. </w:t>
      </w:r>
    </w:p>
    <w:p w:rsidRPr="005F055E" w:rsidR="0014318A" w:rsidP="00180EEB" w:rsidRDefault="0014318A" w14:paraId="0615F6F2" w14:textId="3ADB6B83">
      <w:pPr>
        <w:suppressAutoHyphens/>
        <w:rPr>
          <w:szCs w:val="18"/>
        </w:rPr>
      </w:pPr>
      <w:r w:rsidRPr="005F055E">
        <w:rPr>
          <w:szCs w:val="18"/>
        </w:rPr>
        <w:t xml:space="preserve">Mede gezien deze doorrekening heeft het kabinet in juni 2025 de Samenhangende preventiestrategie (hierna: preventiestrategie) gelanceerd. Met de preventiestrategie borduren we voort op het NPA. Het kabinet houdt vast aan de ambities uit het NPA, maar hanteert een andere aanpak gericht op leefomgevingen en verbreedt de aanpak naar 11 preventiethema’s. Hiermee zet het kabinet in op het verbreden van afspraken en aanvullende maatregelen om de impact van ons preventiebeleid te vergroten. </w:t>
      </w:r>
    </w:p>
    <w:p w:rsidRPr="005F055E" w:rsidR="0014318A" w:rsidP="00180EEB" w:rsidRDefault="0014318A" w14:paraId="13AF5C10" w14:textId="42010DA8">
      <w:pPr>
        <w:suppressAutoHyphens/>
        <w:rPr>
          <w:szCs w:val="18"/>
        </w:rPr>
      </w:pPr>
      <w:r w:rsidRPr="005F055E">
        <w:rPr>
          <w:szCs w:val="18"/>
        </w:rPr>
        <w:t xml:space="preserve">Structurele en duurzame investering in preventie en gezondheidsbevordering is nodig om ingezet beleid voort te zetten en bestaande maatregelen te versterken. Alleen de maatregelen uit de preventiestrategie zijn onvoldoende. Het is aan een nieuw kabinet om te besluiten over aanvullende maatregelen en financiering. Het kabinet werkt aan een investeringsmodel voor preventie/gezondheid. Hiermee </w:t>
      </w:r>
      <w:r w:rsidR="00AC5F77">
        <w:rPr>
          <w:szCs w:val="18"/>
        </w:rPr>
        <w:t>hoopt het</w:t>
      </w:r>
      <w:r w:rsidRPr="005F055E">
        <w:rPr>
          <w:szCs w:val="18"/>
        </w:rPr>
        <w:t xml:space="preserve"> meer inzicht</w:t>
      </w:r>
      <w:r w:rsidRPr="005F055E" w:rsidR="00656369">
        <w:rPr>
          <w:szCs w:val="18"/>
        </w:rPr>
        <w:t xml:space="preserve"> te krijgen</w:t>
      </w:r>
      <w:r w:rsidRPr="005F055E">
        <w:rPr>
          <w:szCs w:val="18"/>
        </w:rPr>
        <w:t xml:space="preserve"> in de effecten van preventie en de kostenbesparingen door preventie.</w:t>
      </w:r>
      <w:r w:rsidRPr="005F055E" w:rsidR="00656369">
        <w:rPr>
          <w:szCs w:val="18"/>
        </w:rPr>
        <w:t xml:space="preserve"> Binnen de reguliere begrotingsprocessen kan worden besloten om deze kostenbesparingen te gebruiken voor de financiering van de in te zetten preventieve maatregelen. Dit kan investeringen in preventieve maatregelen aanjagen.</w:t>
      </w:r>
      <w:r w:rsidRPr="005F055E">
        <w:rPr>
          <w:szCs w:val="18"/>
        </w:rPr>
        <w:t xml:space="preserve"> Eind 2025 informeer ik uw Kamer nader over de voortgang hiervan. </w:t>
      </w:r>
    </w:p>
    <w:p w:rsidRPr="005F055E" w:rsidR="00274792" w:rsidP="00180EEB" w:rsidRDefault="00274792" w14:paraId="5E23A38C" w14:textId="77777777">
      <w:pPr>
        <w:suppressAutoHyphens/>
      </w:pPr>
    </w:p>
    <w:p w:rsidRPr="005F055E" w:rsidR="00274792" w:rsidP="00180EEB" w:rsidRDefault="003E7003" w14:paraId="46725096" w14:textId="77777777">
      <w:pPr>
        <w:suppressAutoHyphens/>
      </w:pPr>
      <w:r w:rsidRPr="005F055E">
        <w:t>Vraag 247</w:t>
      </w:r>
      <w:r w:rsidRPr="005F055E">
        <w:tab/>
      </w:r>
    </w:p>
    <w:p w:rsidRPr="005F055E" w:rsidR="00274792" w:rsidP="00180EEB" w:rsidRDefault="003E7003" w14:paraId="18ED516D" w14:textId="77777777">
      <w:pPr>
        <w:suppressAutoHyphens/>
      </w:pPr>
      <w:r w:rsidRPr="005F055E">
        <w:t xml:space="preserve">Waarom wordt de €225 miljoen voor de Wet vervanging abonnementstarief </w:t>
      </w:r>
      <w:proofErr w:type="spellStart"/>
      <w:r w:rsidRPr="005F055E">
        <w:t>Wmo</w:t>
      </w:r>
      <w:proofErr w:type="spellEnd"/>
      <w:r w:rsidRPr="005F055E">
        <w:t xml:space="preserve"> overgeheveld naar het Gemeentefonds?</w:t>
      </w:r>
      <w:r w:rsidRPr="005F055E">
        <w:tab/>
      </w:r>
    </w:p>
    <w:p w:rsidRPr="005F055E" w:rsidR="003E7003" w:rsidP="00180EEB" w:rsidRDefault="003E7003" w14:paraId="6ECD9EC9" w14:textId="2A8A5BB7">
      <w:pPr>
        <w:suppressAutoHyphens/>
      </w:pPr>
      <w:r w:rsidRPr="005F055E">
        <w:t>Antwoord</w:t>
      </w:r>
    </w:p>
    <w:p w:rsidRPr="005F055E" w:rsidR="00274792" w:rsidP="00180EEB" w:rsidRDefault="00274792" w14:paraId="6EF4B852" w14:textId="77777777">
      <w:pPr>
        <w:suppressAutoHyphens/>
        <w:spacing w:line="240" w:lineRule="atLeast"/>
        <w:rPr>
          <w:szCs w:val="18"/>
          <w:lang w:eastAsia="nl-NL"/>
        </w:rPr>
      </w:pPr>
      <w:r w:rsidRPr="005F055E">
        <w:rPr>
          <w:szCs w:val="18"/>
          <w:lang w:eastAsia="nl-NL"/>
        </w:rPr>
        <w:t xml:space="preserve">Bij Voorjaarsnota 2023 is besloten met ingang van 2026 structureel € 225 miljoen uit te nemen uit het Gemeentefonds in verband met de vervanging van het abonnementstarief </w:t>
      </w:r>
      <w:proofErr w:type="spellStart"/>
      <w:r w:rsidRPr="005F055E">
        <w:rPr>
          <w:szCs w:val="18"/>
          <w:lang w:eastAsia="nl-NL"/>
        </w:rPr>
        <w:t>Wmo</w:t>
      </w:r>
      <w:proofErr w:type="spellEnd"/>
      <w:r w:rsidRPr="005F055E">
        <w:rPr>
          <w:szCs w:val="18"/>
          <w:lang w:eastAsia="nl-NL"/>
        </w:rPr>
        <w:t xml:space="preserve"> 2015 door een inkomens- en vermogensafhankelijke eigen bijdrage (</w:t>
      </w:r>
      <w:proofErr w:type="spellStart"/>
      <w:r w:rsidRPr="005F055E">
        <w:rPr>
          <w:szCs w:val="18"/>
          <w:lang w:eastAsia="nl-NL"/>
        </w:rPr>
        <w:t>ivb</w:t>
      </w:r>
      <w:proofErr w:type="spellEnd"/>
      <w:r w:rsidRPr="005F055E">
        <w:rPr>
          <w:szCs w:val="18"/>
          <w:lang w:eastAsia="nl-NL"/>
        </w:rPr>
        <w:t>).</w:t>
      </w:r>
      <w:r w:rsidRPr="005F055E">
        <w:rPr>
          <w:szCs w:val="18"/>
          <w:vertAlign w:val="superscript"/>
          <w:lang w:eastAsia="nl-NL"/>
        </w:rPr>
        <w:footnoteReference w:id="78"/>
      </w:r>
      <w:r w:rsidRPr="005F055E">
        <w:rPr>
          <w:szCs w:val="18"/>
          <w:lang w:eastAsia="nl-NL"/>
        </w:rPr>
        <w:t xml:space="preserve"> Bij brief van 20 december 2024</w:t>
      </w:r>
      <w:r w:rsidRPr="005F055E">
        <w:rPr>
          <w:b/>
          <w:bCs/>
          <w:szCs w:val="18"/>
          <w:lang w:eastAsia="nl-NL"/>
        </w:rPr>
        <w:t xml:space="preserve"> </w:t>
      </w:r>
      <w:r w:rsidRPr="005F055E">
        <w:rPr>
          <w:szCs w:val="18"/>
          <w:lang w:eastAsia="nl-NL"/>
        </w:rPr>
        <w:t xml:space="preserve">heeft de toenmalig staatssecretaris Langdurige en Maatschappelijke Zorg echter aan uw Kamer laten weten dat de hierbij behorende planning, die gericht was op invoering van de </w:t>
      </w:r>
      <w:proofErr w:type="spellStart"/>
      <w:r w:rsidRPr="005F055E">
        <w:rPr>
          <w:szCs w:val="18"/>
          <w:lang w:eastAsia="nl-NL"/>
        </w:rPr>
        <w:t>ivb</w:t>
      </w:r>
      <w:proofErr w:type="spellEnd"/>
      <w:r w:rsidRPr="005F055E">
        <w:rPr>
          <w:szCs w:val="18"/>
          <w:lang w:eastAsia="nl-NL"/>
        </w:rPr>
        <w:t xml:space="preserve"> per 1 januari 2026, niet meer realistisch was. Daarbij werd de beoogde implementatiedatum verschoven naar 1 januari 2027.</w:t>
      </w:r>
      <w:r w:rsidRPr="005F055E">
        <w:rPr>
          <w:szCs w:val="18"/>
          <w:vertAlign w:val="superscript"/>
          <w:lang w:eastAsia="nl-NL"/>
        </w:rPr>
        <w:footnoteReference w:id="79"/>
      </w:r>
      <w:r w:rsidRPr="005F055E">
        <w:rPr>
          <w:szCs w:val="18"/>
          <w:lang w:eastAsia="nl-NL"/>
        </w:rPr>
        <w:t xml:space="preserve"> Aansluitend hierbij is bij Voorjaarsnota 2025 de bovengenoemde </w:t>
      </w:r>
      <w:proofErr w:type="spellStart"/>
      <w:r w:rsidRPr="005F055E">
        <w:rPr>
          <w:szCs w:val="18"/>
          <w:lang w:eastAsia="nl-NL"/>
        </w:rPr>
        <w:t>uitname</w:t>
      </w:r>
      <w:proofErr w:type="spellEnd"/>
      <w:r w:rsidRPr="005F055E">
        <w:rPr>
          <w:szCs w:val="18"/>
          <w:lang w:eastAsia="nl-NL"/>
        </w:rPr>
        <w:t xml:space="preserve"> van € 225 miljoen uit het Gemeentefonds voor specifiek het jaar 2026 teruggedraaid.</w:t>
      </w:r>
      <w:r w:rsidRPr="005F055E">
        <w:rPr>
          <w:szCs w:val="18"/>
          <w:vertAlign w:val="superscript"/>
          <w:lang w:eastAsia="nl-NL"/>
        </w:rPr>
        <w:footnoteReference w:id="80"/>
      </w:r>
    </w:p>
    <w:p w:rsidR="000A7E48" w:rsidP="00180EEB" w:rsidRDefault="000A7E48" w14:paraId="07733A0A" w14:textId="77777777">
      <w:pPr>
        <w:suppressAutoHyphens/>
      </w:pPr>
    </w:p>
    <w:p w:rsidR="006D333D" w:rsidP="00180EEB" w:rsidRDefault="006D333D" w14:paraId="49AA01C7" w14:textId="77777777">
      <w:pPr>
        <w:suppressAutoHyphens/>
      </w:pPr>
    </w:p>
    <w:p w:rsidRPr="005F055E" w:rsidR="00274792" w:rsidP="00180EEB" w:rsidRDefault="003E7003" w14:paraId="79B2D120" w14:textId="77777777">
      <w:pPr>
        <w:suppressAutoHyphens/>
      </w:pPr>
      <w:r w:rsidRPr="005F055E">
        <w:t>Vraag 248</w:t>
      </w:r>
      <w:r w:rsidRPr="005F055E">
        <w:tab/>
      </w:r>
    </w:p>
    <w:p w:rsidRPr="005F055E" w:rsidR="00274792" w:rsidP="00180EEB" w:rsidRDefault="003E7003" w14:paraId="141F7E49" w14:textId="77777777">
      <w:pPr>
        <w:suppressAutoHyphens/>
      </w:pPr>
      <w:r w:rsidRPr="005F055E">
        <w:t>Waarom wordt de COVID-19-vaccinatie niet onderdeel van de jaarlijkse griepprik?</w:t>
      </w:r>
      <w:r w:rsidRPr="005F055E">
        <w:tab/>
      </w:r>
    </w:p>
    <w:p w:rsidRPr="005F055E" w:rsidR="003E7003" w:rsidP="00180EEB" w:rsidRDefault="003E7003" w14:paraId="615186F2" w14:textId="5C0DAFD6">
      <w:pPr>
        <w:suppressAutoHyphens/>
      </w:pPr>
      <w:r w:rsidRPr="005F055E">
        <w:t>Antwoord</w:t>
      </w:r>
    </w:p>
    <w:p w:rsidRPr="005F055E" w:rsidR="00575A49" w:rsidP="00180EEB" w:rsidRDefault="00575A49" w14:paraId="6004E811" w14:textId="2B17ABAE">
      <w:pPr>
        <w:suppressAutoHyphens/>
        <w:spacing w:line="240" w:lineRule="atLeast"/>
        <w:rPr>
          <w:szCs w:val="18"/>
          <w:lang w:eastAsia="nl-NL"/>
        </w:rPr>
      </w:pPr>
      <w:r w:rsidRPr="005F055E">
        <w:rPr>
          <w:szCs w:val="18"/>
          <w:lang w:eastAsia="nl-NL"/>
        </w:rPr>
        <w:t xml:space="preserve">Dit heeft ermee te maken dat het om twee losse vaccinaties gaat die op dit moment worden toegediend door verschillende uitvoerders. De </w:t>
      </w:r>
      <w:proofErr w:type="spellStart"/>
      <w:r w:rsidRPr="005F055E">
        <w:rPr>
          <w:szCs w:val="18"/>
          <w:lang w:eastAsia="nl-NL"/>
        </w:rPr>
        <w:t>GGD’en</w:t>
      </w:r>
      <w:proofErr w:type="spellEnd"/>
      <w:r w:rsidRPr="005F055E">
        <w:rPr>
          <w:szCs w:val="18"/>
          <w:lang w:eastAsia="nl-NL"/>
        </w:rPr>
        <w:t xml:space="preserve"> voeren de Covid-19 vaccinatie uit en huisartsen de jaarlijkse griepprik.</w:t>
      </w:r>
    </w:p>
    <w:p w:rsidRPr="005F055E" w:rsidR="00274792" w:rsidP="00180EEB" w:rsidRDefault="00575A49" w14:paraId="34953BDE" w14:textId="576EB8AD">
      <w:pPr>
        <w:suppressAutoHyphens/>
        <w:spacing w:line="240" w:lineRule="atLeast"/>
        <w:rPr>
          <w:szCs w:val="18"/>
          <w:lang w:eastAsia="nl-NL"/>
        </w:rPr>
      </w:pPr>
      <w:r w:rsidRPr="005F055E">
        <w:rPr>
          <w:szCs w:val="18"/>
          <w:lang w:eastAsia="nl-NL"/>
        </w:rPr>
        <w:t xml:space="preserve">Mogelijk verandert dit in de toekomst door de inzet die is gericht op het verbeteren, versimpelen en toekomstbestendig maken van de vaccinatiezorg voor volwassenen. </w:t>
      </w:r>
    </w:p>
    <w:p w:rsidRPr="005F055E" w:rsidR="0014318A" w:rsidP="00180EEB" w:rsidRDefault="0014318A" w14:paraId="502C0741" w14:textId="77777777">
      <w:pPr>
        <w:suppressAutoHyphens/>
      </w:pPr>
    </w:p>
    <w:p w:rsidRPr="005F055E" w:rsidR="00274792" w:rsidP="00180EEB" w:rsidRDefault="003E7003" w14:paraId="4CD5742E" w14:textId="77777777">
      <w:pPr>
        <w:suppressAutoHyphens/>
      </w:pPr>
      <w:r w:rsidRPr="005F055E">
        <w:t>Vraag 249</w:t>
      </w:r>
      <w:r w:rsidRPr="005F055E">
        <w:tab/>
      </w:r>
    </w:p>
    <w:p w:rsidRPr="005F055E" w:rsidR="00274792" w:rsidP="00180EEB" w:rsidRDefault="003E7003" w14:paraId="540080F0" w14:textId="77777777">
      <w:pPr>
        <w:suppressAutoHyphens/>
      </w:pPr>
      <w:r w:rsidRPr="005F055E">
        <w:t>Is er een politieke aanleiding voor de nieuwe directie Open Overheid?</w:t>
      </w:r>
      <w:r w:rsidRPr="005F055E">
        <w:tab/>
      </w:r>
    </w:p>
    <w:p w:rsidRPr="005F055E" w:rsidR="003E7003" w:rsidP="00180EEB" w:rsidRDefault="003E7003" w14:paraId="0FB2CA8F" w14:textId="33D6D6F0">
      <w:pPr>
        <w:suppressAutoHyphens/>
      </w:pPr>
      <w:r w:rsidRPr="005F055E">
        <w:t>Antwoord</w:t>
      </w:r>
    </w:p>
    <w:p w:rsidRPr="005F055E" w:rsidR="00630335" w:rsidP="00180EEB" w:rsidRDefault="00630335" w14:paraId="0C442577" w14:textId="0DA6D41E">
      <w:pPr>
        <w:suppressAutoHyphens/>
        <w:spacing w:line="240" w:lineRule="atLeast"/>
        <w:rPr>
          <w:szCs w:val="18"/>
          <w:lang w:eastAsia="nl-NL"/>
        </w:rPr>
      </w:pPr>
      <w:r w:rsidRPr="005F055E">
        <w:rPr>
          <w:szCs w:val="18"/>
          <w:lang w:eastAsia="nl-NL"/>
        </w:rPr>
        <w:t xml:space="preserve">De politiek vraagt structureel om inzicht en openbaarheid. De centrale directie Open Overheid (DOO) maakt voor VWS publieke informatie op verantwoorde wijze openbaar. Daarnaast wil de samenleving de overheid graag kunnen volgen/controleren. </w:t>
      </w:r>
    </w:p>
    <w:p w:rsidRPr="005F055E" w:rsidR="00630335" w:rsidP="00180EEB" w:rsidRDefault="00630335" w14:paraId="2D5E010D" w14:textId="77777777">
      <w:pPr>
        <w:suppressAutoHyphens/>
        <w:spacing w:line="240" w:lineRule="atLeast"/>
        <w:rPr>
          <w:szCs w:val="18"/>
          <w:lang w:eastAsia="nl-NL"/>
        </w:rPr>
      </w:pPr>
      <w:r w:rsidRPr="005F055E">
        <w:rPr>
          <w:szCs w:val="18"/>
          <w:lang w:eastAsia="nl-NL"/>
        </w:rPr>
        <w:t xml:space="preserve">De DOO is een bundeling van afdelingen en teams uit bestaande directies. Door de bundeling werkt de directie Open Overheid efficiënter en effectiever. Het vakmanschap vergroot op het gebied van de Wet Open Overheid, waarbij de burger centraal staat. De aanleiding was niet nieuw, de wijze waarop openbaarmaking nu is ingericht maakt dat de directie efficiënter en effectiever kan werken. </w:t>
      </w:r>
    </w:p>
    <w:p w:rsidRPr="005F055E" w:rsidR="00274792" w:rsidP="00180EEB" w:rsidRDefault="00274792" w14:paraId="1C96BB0B" w14:textId="77777777">
      <w:pPr>
        <w:suppressAutoHyphens/>
      </w:pPr>
    </w:p>
    <w:p w:rsidRPr="005F055E" w:rsidR="00274792" w:rsidP="00180EEB" w:rsidRDefault="003E7003" w14:paraId="537C92E4" w14:textId="77777777">
      <w:pPr>
        <w:suppressAutoHyphens/>
      </w:pPr>
      <w:r w:rsidRPr="005F055E">
        <w:t>Vraag 250</w:t>
      </w:r>
      <w:r w:rsidRPr="005F055E">
        <w:tab/>
      </w:r>
    </w:p>
    <w:p w:rsidRPr="005F055E" w:rsidR="00274792" w:rsidP="00180EEB" w:rsidRDefault="003E7003" w14:paraId="6948DDD5" w14:textId="2B7329CB">
      <w:pPr>
        <w:suppressAutoHyphens/>
      </w:pPr>
      <w:r w:rsidRPr="005F055E">
        <w:t>Hoeveel extra fte’s zijn er bijgekomen met het opzetten van de nieuwe directe Open Overheid?</w:t>
      </w:r>
    </w:p>
    <w:p w:rsidRPr="005F055E" w:rsidR="003E7003" w:rsidP="00180EEB" w:rsidRDefault="003E7003" w14:paraId="59117EDA" w14:textId="6D1C146F">
      <w:pPr>
        <w:suppressAutoHyphens/>
      </w:pPr>
      <w:r w:rsidRPr="005F055E">
        <w:t>Antwoord</w:t>
      </w:r>
    </w:p>
    <w:p w:rsidRPr="005F055E" w:rsidR="00274792" w:rsidP="00180EEB" w:rsidRDefault="00630335" w14:paraId="0E33EA15" w14:textId="42F0C016">
      <w:pPr>
        <w:suppressAutoHyphens/>
        <w:spacing w:line="240" w:lineRule="atLeast"/>
      </w:pPr>
      <w:r w:rsidRPr="005F055E">
        <w:rPr>
          <w:szCs w:val="18"/>
          <w:lang w:eastAsia="nl-NL"/>
        </w:rPr>
        <w:t xml:space="preserve">De Directie Open Overheid (DOO) is gestart per 1 april 2025. De DOO is een bundeling van afdelingen en teams vanuit de directies WJZ, DICIO, OBP, de programmadirectie Openbaarheid en de Parlementaire Enquête Corona. Er was geen sprake van extra </w:t>
      </w:r>
      <w:r w:rsidRPr="005F055E" w:rsidR="00E043BF">
        <w:rPr>
          <w:szCs w:val="18"/>
          <w:lang w:eastAsia="nl-NL"/>
        </w:rPr>
        <w:t>Fte’s</w:t>
      </w:r>
      <w:r w:rsidRPr="005F055E">
        <w:rPr>
          <w:szCs w:val="18"/>
          <w:lang w:eastAsia="nl-NL"/>
        </w:rPr>
        <w:t xml:space="preserve"> bij de opzet van de directie maar uitsluitend overdracht van medewerkers ‘as is’. Een deel van de overgedragen medewerkers van deze afdelingen waren werkzaam op basis van tijdelijke middelen, deze middelen zijn met de oprichting structureel toegevoegd aan de begroting.</w:t>
      </w:r>
    </w:p>
    <w:p w:rsidRPr="005F055E" w:rsidR="0014318A" w:rsidP="00180EEB" w:rsidRDefault="0014318A" w14:paraId="79514F9F" w14:textId="77777777">
      <w:pPr>
        <w:suppressAutoHyphens/>
      </w:pPr>
    </w:p>
    <w:p w:rsidRPr="005F055E" w:rsidR="00274792" w:rsidP="00180EEB" w:rsidRDefault="003E7003" w14:paraId="59D574C2" w14:textId="77777777">
      <w:pPr>
        <w:suppressAutoHyphens/>
      </w:pPr>
      <w:r w:rsidRPr="005F055E">
        <w:t>Vraag 251</w:t>
      </w:r>
      <w:r w:rsidRPr="005F055E">
        <w:tab/>
      </w:r>
    </w:p>
    <w:p w:rsidRPr="005F055E" w:rsidR="00274792" w:rsidP="00180EEB" w:rsidRDefault="003E7003" w14:paraId="5CD44DE4" w14:textId="77777777">
      <w:pPr>
        <w:suppressAutoHyphens/>
      </w:pPr>
      <w:r w:rsidRPr="005F055E">
        <w:t>Wie vallen er onder ‘onverzekerden’?</w:t>
      </w:r>
      <w:r w:rsidRPr="005F055E">
        <w:tab/>
      </w:r>
    </w:p>
    <w:p w:rsidRPr="005F055E" w:rsidR="003E7003" w:rsidP="00180EEB" w:rsidRDefault="003E7003" w14:paraId="0F3C6629" w14:textId="6CED0B38">
      <w:pPr>
        <w:suppressAutoHyphens/>
      </w:pPr>
      <w:r w:rsidRPr="005F055E">
        <w:t>Antwoord</w:t>
      </w:r>
    </w:p>
    <w:p w:rsidR="00274792" w:rsidP="00180EEB" w:rsidRDefault="00274792" w14:paraId="46FE5A26" w14:textId="7734D40E">
      <w:pPr>
        <w:suppressAutoHyphens/>
        <w:spacing w:line="240" w:lineRule="atLeast"/>
        <w:rPr>
          <w:szCs w:val="18"/>
          <w:lang w:eastAsia="nl-NL"/>
        </w:rPr>
      </w:pPr>
      <w:r w:rsidRPr="005F055E">
        <w:rPr>
          <w:szCs w:val="18"/>
          <w:lang w:eastAsia="nl-NL"/>
        </w:rPr>
        <w:t xml:space="preserve">De groep ‘onverzekerden’ bestaat uit verschillende subgroepen die wel en niet verzekeringsplichtig kunnen zijn. Iedereen die ingezetene is in Nederland of in Nederland aan loonbelasting is onderworpen, is verzekerd voor de volksverzekeringen en </w:t>
      </w:r>
      <w:r w:rsidRPr="005F055E">
        <w:rPr>
          <w:szCs w:val="18"/>
          <w:u w:val="single"/>
          <w:lang w:eastAsia="nl-NL"/>
        </w:rPr>
        <w:t>verzekeringsplichtig</w:t>
      </w:r>
      <w:r w:rsidRPr="005F055E">
        <w:rPr>
          <w:szCs w:val="18"/>
          <w:lang w:eastAsia="nl-NL"/>
        </w:rPr>
        <w:t xml:space="preserve"> voor de Zorgverzekeringswet (art. 2.1.1 </w:t>
      </w:r>
      <w:proofErr w:type="spellStart"/>
      <w:r w:rsidRPr="005F055E">
        <w:rPr>
          <w:szCs w:val="18"/>
          <w:lang w:eastAsia="nl-NL"/>
        </w:rPr>
        <w:t>Wlz</w:t>
      </w:r>
      <w:proofErr w:type="spellEnd"/>
      <w:r w:rsidRPr="005F055E">
        <w:rPr>
          <w:szCs w:val="18"/>
          <w:lang w:eastAsia="nl-NL"/>
        </w:rPr>
        <w:t xml:space="preserve"> en artikel 2 </w:t>
      </w:r>
      <w:proofErr w:type="spellStart"/>
      <w:r w:rsidRPr="005F055E">
        <w:rPr>
          <w:szCs w:val="18"/>
          <w:lang w:eastAsia="nl-NL"/>
        </w:rPr>
        <w:t>Zvw</w:t>
      </w:r>
      <w:proofErr w:type="spellEnd"/>
      <w:r w:rsidRPr="005F055E">
        <w:rPr>
          <w:szCs w:val="18"/>
          <w:lang w:eastAsia="nl-NL"/>
        </w:rPr>
        <w:t>). Het gaat hier dus niet om onverzekerbare vreemdelingen die in Nederland verblijven. Hieronder volgt een toelichting op de verschillende subgroepen.</w:t>
      </w:r>
    </w:p>
    <w:p w:rsidR="006D333D" w:rsidP="00180EEB" w:rsidRDefault="006D333D" w14:paraId="687D2192" w14:textId="77777777">
      <w:pPr>
        <w:suppressAutoHyphens/>
        <w:spacing w:line="240" w:lineRule="atLeast"/>
        <w:rPr>
          <w:szCs w:val="18"/>
          <w:lang w:eastAsia="nl-NL"/>
        </w:rPr>
      </w:pPr>
    </w:p>
    <w:p w:rsidR="006D333D" w:rsidP="00180EEB" w:rsidRDefault="006D333D" w14:paraId="2DB58E5A" w14:textId="77777777">
      <w:pPr>
        <w:suppressAutoHyphens/>
        <w:spacing w:line="240" w:lineRule="atLeast"/>
        <w:rPr>
          <w:szCs w:val="18"/>
          <w:lang w:eastAsia="nl-NL"/>
        </w:rPr>
      </w:pPr>
    </w:p>
    <w:p w:rsidRPr="005F055E" w:rsidR="006D333D" w:rsidP="00180EEB" w:rsidRDefault="006D333D" w14:paraId="3C578FC0" w14:textId="77777777">
      <w:pPr>
        <w:suppressAutoHyphens/>
        <w:spacing w:line="240" w:lineRule="atLeast"/>
        <w:rPr>
          <w:szCs w:val="18"/>
          <w:lang w:eastAsia="nl-NL"/>
        </w:rPr>
      </w:pPr>
    </w:p>
    <w:p w:rsidRPr="005F055E" w:rsidR="00274792" w:rsidP="00180EEB" w:rsidRDefault="00274792" w14:paraId="26D54942" w14:textId="77777777">
      <w:pPr>
        <w:suppressAutoHyphens/>
        <w:rPr>
          <w:i/>
          <w:iCs/>
          <w:szCs w:val="18"/>
          <w:lang w:eastAsia="nl-NL"/>
        </w:rPr>
      </w:pPr>
      <w:r w:rsidRPr="005F055E">
        <w:rPr>
          <w:i/>
          <w:iCs/>
          <w:szCs w:val="18"/>
          <w:lang w:eastAsia="nl-NL"/>
        </w:rPr>
        <w:t>Wel verzekeringsplichtig, maar niet verzekerd</w:t>
      </w:r>
    </w:p>
    <w:p w:rsidRPr="005F055E" w:rsidR="00274792" w:rsidP="00180EEB" w:rsidRDefault="00274792" w14:paraId="5F684091" w14:textId="77777777">
      <w:pPr>
        <w:numPr>
          <w:ilvl w:val="0"/>
          <w:numId w:val="1"/>
        </w:numPr>
        <w:suppressAutoHyphens/>
        <w:spacing w:after="0" w:line="240" w:lineRule="auto"/>
        <w:rPr>
          <w:szCs w:val="18"/>
          <w:lang w:eastAsia="nl-NL"/>
        </w:rPr>
      </w:pPr>
      <w:r w:rsidRPr="005F055E">
        <w:rPr>
          <w:szCs w:val="18"/>
          <w:lang w:eastAsia="nl-NL"/>
        </w:rPr>
        <w:t xml:space="preserve">Onverzekerde dakloze ingezeten: dit betreft dakloze mensen die ingezetene zijn van Nederland. Door bijvoorbeeld het niet hebben van een briefadres in de Basisregistratiepersonen en het ontbreken van inkomen, kunnen zij lastiger een zorgverzekering afsluiten. </w:t>
      </w:r>
    </w:p>
    <w:p w:rsidRPr="005F055E" w:rsidR="00274792" w:rsidP="00180EEB" w:rsidRDefault="00274792" w14:paraId="3D81E17A" w14:textId="787205C1">
      <w:pPr>
        <w:numPr>
          <w:ilvl w:val="0"/>
          <w:numId w:val="1"/>
        </w:numPr>
        <w:suppressAutoHyphens/>
        <w:spacing w:after="0" w:line="240" w:lineRule="auto"/>
        <w:rPr>
          <w:szCs w:val="18"/>
          <w:lang w:eastAsia="nl-NL"/>
        </w:rPr>
      </w:pPr>
      <w:r w:rsidRPr="005F055E">
        <w:rPr>
          <w:szCs w:val="18"/>
          <w:lang w:eastAsia="nl-NL"/>
        </w:rPr>
        <w:t>Onverzekerde werkende arbeidsmigranten: deze groep werkt in Nederland en is loonbelastingplichtig, maar heeft niet altijd een zorgverzekering. Bijvoorbeeld vanwege onwetendheid of omdat malafide werkgevers en pandjesbazen hen beletten hun adres kenbaar te maken in overheidssystemen.</w:t>
      </w:r>
      <w:r w:rsidRPr="005F055E" w:rsidR="00D73F76">
        <w:rPr>
          <w:szCs w:val="18"/>
          <w:lang w:eastAsia="nl-NL"/>
        </w:rPr>
        <w:t xml:space="preserve"> </w:t>
      </w:r>
    </w:p>
    <w:p w:rsidRPr="005F055E" w:rsidR="00274792" w:rsidP="00180EEB" w:rsidRDefault="00274792" w14:paraId="3AB3E741" w14:textId="77777777">
      <w:pPr>
        <w:numPr>
          <w:ilvl w:val="0"/>
          <w:numId w:val="1"/>
        </w:numPr>
        <w:suppressAutoHyphens/>
        <w:spacing w:after="0" w:line="240" w:lineRule="auto"/>
        <w:rPr>
          <w:szCs w:val="18"/>
          <w:lang w:eastAsia="nl-NL"/>
        </w:rPr>
      </w:pPr>
      <w:r w:rsidRPr="005F055E">
        <w:rPr>
          <w:szCs w:val="18"/>
          <w:lang w:eastAsia="nl-NL"/>
        </w:rPr>
        <w:t xml:space="preserve">‘Onverzekerde’ ex-gedetineerden: gedetineerden moeten zelf hun verzekering opschorten en na vrijlating uit detentie weer activeren. Dit gebeurt niet altijd, waardoor ex-gedetineerde personen zonder actieve verzekering (‘onverzekerd’) uit detentie komen. </w:t>
      </w:r>
    </w:p>
    <w:p w:rsidRPr="005F055E" w:rsidR="00274792" w:rsidP="00180EEB" w:rsidRDefault="00274792" w14:paraId="22BB6B9A" w14:textId="77777777">
      <w:pPr>
        <w:suppressAutoHyphens/>
        <w:rPr>
          <w:i/>
          <w:iCs/>
          <w:szCs w:val="18"/>
          <w:lang w:eastAsia="nl-NL"/>
        </w:rPr>
      </w:pPr>
      <w:r w:rsidRPr="005F055E">
        <w:rPr>
          <w:b/>
          <w:bCs/>
          <w:szCs w:val="18"/>
          <w:lang w:eastAsia="nl-NL"/>
        </w:rPr>
        <w:br/>
      </w:r>
      <w:r w:rsidRPr="005F055E">
        <w:rPr>
          <w:i/>
          <w:iCs/>
          <w:szCs w:val="18"/>
          <w:lang w:eastAsia="nl-NL"/>
        </w:rPr>
        <w:t>Niet verzekeringsplichtig en onvoldoende verzekerd</w:t>
      </w:r>
    </w:p>
    <w:p w:rsidRPr="005F055E" w:rsidR="00274792" w:rsidP="00180EEB" w:rsidRDefault="00274792" w14:paraId="0B1BB543" w14:textId="77777777">
      <w:pPr>
        <w:numPr>
          <w:ilvl w:val="0"/>
          <w:numId w:val="2"/>
        </w:numPr>
        <w:suppressAutoHyphens/>
        <w:spacing w:after="0" w:line="240" w:lineRule="auto"/>
        <w:rPr>
          <w:szCs w:val="18"/>
          <w:lang w:eastAsia="nl-NL"/>
        </w:rPr>
      </w:pPr>
      <w:r w:rsidRPr="005F055E">
        <w:rPr>
          <w:szCs w:val="18"/>
          <w:lang w:eastAsia="nl-NL"/>
        </w:rPr>
        <w:t>Tijdelijk werkloze EU-arbeidsmigranten: EU-arbeidsmigranten zonder werk en uitkering zijn niet verzekeringsplichtig maar verblijven wel rechtmatig in Nederland. Zij zouden moeten terugvallen op hun herkomstland maar zijn daar vaak uitgeschreven.</w:t>
      </w:r>
    </w:p>
    <w:p w:rsidRPr="005F055E" w:rsidR="00274792" w:rsidP="00180EEB" w:rsidRDefault="00274792" w14:paraId="4105754D" w14:textId="77777777">
      <w:pPr>
        <w:numPr>
          <w:ilvl w:val="0"/>
          <w:numId w:val="2"/>
        </w:numPr>
        <w:suppressAutoHyphens/>
        <w:spacing w:after="0" w:line="240" w:lineRule="auto"/>
        <w:rPr>
          <w:szCs w:val="18"/>
          <w:lang w:eastAsia="nl-NL"/>
        </w:rPr>
      </w:pPr>
      <w:r w:rsidRPr="005F055E">
        <w:rPr>
          <w:szCs w:val="18"/>
          <w:lang w:eastAsia="nl-NL"/>
        </w:rPr>
        <w:t>Onvoldoende verzekerde toeristen: toeristen van buiten de EU hebben soms onvoldoende dekking voor zorgkosten in Nederland. Dit betreft waarschijnlijk een beperkte groep.</w:t>
      </w:r>
    </w:p>
    <w:p w:rsidRPr="005F055E" w:rsidR="008D1697" w:rsidP="00180EEB" w:rsidRDefault="00274792" w14:paraId="08366F7E" w14:textId="77777777">
      <w:pPr>
        <w:numPr>
          <w:ilvl w:val="0"/>
          <w:numId w:val="2"/>
        </w:numPr>
        <w:suppressAutoHyphens/>
        <w:spacing w:after="0" w:line="240" w:lineRule="auto"/>
      </w:pPr>
      <w:r w:rsidRPr="005F055E">
        <w:rPr>
          <w:szCs w:val="18"/>
          <w:lang w:eastAsia="nl-NL"/>
        </w:rPr>
        <w:t>Onvoldoende verzekerde buitenlandse studenten: buitenlandse studenten van buiten de EU blijven verzekerd in hun oorspronkelijke woonland, maar deze dekking is soms onvoldoende. Ook dit betreft waarschijnlijk een beperkte groep.</w:t>
      </w:r>
    </w:p>
    <w:p w:rsidRPr="005F055E" w:rsidR="008D1697" w:rsidP="00180EEB" w:rsidRDefault="008D1697" w14:paraId="129A0606" w14:textId="77777777">
      <w:pPr>
        <w:suppressAutoHyphens/>
        <w:spacing w:after="0" w:line="240" w:lineRule="auto"/>
      </w:pPr>
    </w:p>
    <w:p w:rsidRPr="005F055E" w:rsidR="008D1697" w:rsidP="00180EEB" w:rsidRDefault="008D1697" w14:paraId="4791BC61" w14:textId="77777777">
      <w:pPr>
        <w:suppressAutoHyphens/>
        <w:spacing w:after="0" w:line="240" w:lineRule="auto"/>
      </w:pPr>
    </w:p>
    <w:p w:rsidRPr="005F055E" w:rsidR="008D1697" w:rsidP="00180EEB" w:rsidRDefault="003E7003" w14:paraId="6291AF25" w14:textId="5AE0D3CD">
      <w:pPr>
        <w:suppressAutoHyphens/>
      </w:pPr>
      <w:r w:rsidRPr="005F055E">
        <w:t>Vraag 252</w:t>
      </w:r>
    </w:p>
    <w:p w:rsidRPr="005F055E" w:rsidR="00274792" w:rsidP="00180EEB" w:rsidRDefault="003E7003" w14:paraId="28876DBF" w14:textId="31F28F9E">
      <w:pPr>
        <w:suppressAutoHyphens/>
      </w:pPr>
      <w:r w:rsidRPr="005F055E">
        <w:t>Waarom is DUTCH niet beschikbaar voor extramurale opleidingen/ontwikkelprogramma’s van zorgprofessionals?</w:t>
      </w:r>
      <w:r w:rsidRPr="005F055E">
        <w:tab/>
      </w:r>
    </w:p>
    <w:p w:rsidRPr="005F055E" w:rsidR="003E7003" w:rsidP="00180EEB" w:rsidRDefault="003E7003" w14:paraId="1B27FB21" w14:textId="6D8BD56B">
      <w:pPr>
        <w:suppressAutoHyphens/>
      </w:pPr>
      <w:r w:rsidRPr="005F055E">
        <w:t>Antwoord</w:t>
      </w:r>
    </w:p>
    <w:p w:rsidRPr="005F055E" w:rsidR="00274792" w:rsidP="00180EEB" w:rsidRDefault="00630335" w14:paraId="401E216F" w14:textId="106510B7">
      <w:pPr>
        <w:suppressAutoHyphens/>
        <w:spacing w:line="240" w:lineRule="atLeast"/>
        <w:rPr>
          <w:szCs w:val="18"/>
          <w:lang w:eastAsia="nl-NL"/>
        </w:rPr>
      </w:pPr>
      <w:r w:rsidRPr="005F055E">
        <w:rPr>
          <w:szCs w:val="20"/>
          <w:lang w:eastAsia="nl-NL"/>
        </w:rPr>
        <w:t>DUTCH is een stichting die 50% van de praktijkuren in de opleidingen tot operatieassistent, anesthesiemedewerker en radiodiagnostisch laborant wil aanbieden door middel van fysieke en/of virtuele simulatie. DUTCH richt zich in de eerste ontwikkeljaren op deze drie opleidingen, omdat deze kampen met grote tekorten en omdat deze professionals nauw met elkaar samen werken. Het streven is om vanaf 2028 op te schalen naar andere zorgsectoren die kampen met tekorten, zowel binnen als buiten het ziekenhuis.</w:t>
      </w:r>
    </w:p>
    <w:p w:rsidRPr="005F055E" w:rsidR="0014318A" w:rsidP="00180EEB" w:rsidRDefault="0014318A" w14:paraId="2523251B" w14:textId="77777777">
      <w:pPr>
        <w:suppressAutoHyphens/>
      </w:pPr>
    </w:p>
    <w:p w:rsidRPr="005F055E" w:rsidR="00274792" w:rsidP="00180EEB" w:rsidRDefault="003E7003" w14:paraId="7CAC3C12" w14:textId="77777777">
      <w:pPr>
        <w:suppressAutoHyphens/>
      </w:pPr>
      <w:r w:rsidRPr="005F055E">
        <w:t>Vraag 253</w:t>
      </w:r>
      <w:r w:rsidRPr="005F055E">
        <w:tab/>
      </w:r>
    </w:p>
    <w:p w:rsidRPr="005F055E" w:rsidR="00274792" w:rsidP="00180EEB" w:rsidRDefault="003E7003" w14:paraId="1B62828A" w14:textId="40B80E01">
      <w:pPr>
        <w:suppressAutoHyphens/>
      </w:pPr>
      <w:r w:rsidRPr="005F055E">
        <w:t>Hoeveel procent van de jaarlijkse ziektekosten is, ongeveer, terug te herleiden naar roken en overgewicht?</w:t>
      </w:r>
      <w:r w:rsidRPr="005F055E">
        <w:tab/>
      </w:r>
    </w:p>
    <w:p w:rsidRPr="005F055E" w:rsidR="003E7003" w:rsidP="00180EEB" w:rsidRDefault="003E7003" w14:paraId="67D9D85C" w14:textId="0A87EB82">
      <w:pPr>
        <w:suppressAutoHyphens/>
      </w:pPr>
      <w:r w:rsidRPr="005F055E">
        <w:t>Antwoord</w:t>
      </w:r>
    </w:p>
    <w:p w:rsidRPr="005F055E" w:rsidR="0014318A" w:rsidP="00180EEB" w:rsidRDefault="0014318A" w14:paraId="6C0B5BD9" w14:textId="6868AA07">
      <w:pPr>
        <w:suppressAutoHyphens/>
        <w:rPr>
          <w:szCs w:val="18"/>
        </w:rPr>
      </w:pPr>
      <w:r w:rsidRPr="005F055E">
        <w:rPr>
          <w:szCs w:val="18"/>
        </w:rPr>
        <w:t>Het RIVM heeft in 2006 een schatting gemaakt waaruit blijkt dat de kosten van ziekten als gevolg van roken 3,7% van de totale zorgkosten vormen en dat dit voor overgewicht 2% bedraagt.</w:t>
      </w:r>
      <w:r w:rsidRPr="005F055E">
        <w:rPr>
          <w:rStyle w:val="Voetnootmarkering"/>
          <w:szCs w:val="18"/>
        </w:rPr>
        <w:footnoteReference w:id="81"/>
      </w:r>
      <w:r w:rsidRPr="005F055E">
        <w:rPr>
          <w:szCs w:val="18"/>
        </w:rPr>
        <w:t xml:space="preserve"> Er zijn helaas geen recentere cijfers beschikbaar. </w:t>
      </w:r>
      <w:r w:rsidRPr="00A9390D" w:rsidR="00A9390D">
        <w:rPr>
          <w:szCs w:val="18"/>
        </w:rPr>
        <w:t>. In het verlengde daarvan blijkt uit de VTV2024 wel dat in 2022 roken verantwoordelijk was voor 7,6% van de totale ziektelast in Nederland en overgewicht voor 2,3%. Verder</w:t>
      </w:r>
      <w:r w:rsidR="00A9390D">
        <w:rPr>
          <w:szCs w:val="18"/>
        </w:rPr>
        <w:t xml:space="preserve"> </w:t>
      </w:r>
      <w:r w:rsidRPr="005F055E">
        <w:rPr>
          <w:szCs w:val="18"/>
        </w:rPr>
        <w:t>is er onderzoek uit 2022 waaruit blijkt dat de gemiddelde totale kosten van overgewicht en obesitas bij volwassenen in Nederland bijna €11.500 bedragen per volwassene met overgewicht en/of obesitas. Een deel hiervan omvat zorgkosten, gemiddeld in totaal bijna €3.000 per volwassene met overgewicht en/of obesitas.</w:t>
      </w:r>
      <w:r w:rsidRPr="005F055E">
        <w:rPr>
          <w:rStyle w:val="Voetnootmarkering"/>
          <w:szCs w:val="18"/>
        </w:rPr>
        <w:footnoteReference w:id="82"/>
      </w:r>
      <w:r w:rsidRPr="005F055E">
        <w:rPr>
          <w:szCs w:val="18"/>
        </w:rPr>
        <w:t xml:space="preserve"> Het onderzoek laat zien dat de gemiddelde totale kosten significant hoger liggen bij mensen met obesitas dan bij overgewicht en hoger bij mensen met een laag tot gemiddeld opleidingsniveau dan bij een hoog opleidingsniveau. </w:t>
      </w:r>
      <w:proofErr w:type="spellStart"/>
      <w:r w:rsidRPr="005F055E">
        <w:rPr>
          <w:szCs w:val="18"/>
        </w:rPr>
        <w:t>VZinfo</w:t>
      </w:r>
      <w:proofErr w:type="spellEnd"/>
      <w:r w:rsidRPr="005F055E">
        <w:rPr>
          <w:szCs w:val="18"/>
        </w:rPr>
        <w:t xml:space="preserve"> laat zien dat in 2024 50,4% van de Nederlanders van 18 jaar overgewicht had waarvan 15,7% ernstig overgewicht (obesitas). Uit deze gegevens of het onderzoek hierboven blijkt niet in hoeveel gevallen overgewicht en/of obesitas daadwerkelijk tot zorgkosten leidt op populatieniveau.</w:t>
      </w:r>
      <w:r w:rsidRPr="005F055E">
        <w:rPr>
          <w:rStyle w:val="Voetnootmarkering"/>
          <w:szCs w:val="18"/>
        </w:rPr>
        <w:footnoteReference w:id="83"/>
      </w:r>
    </w:p>
    <w:p w:rsidRPr="005F055E" w:rsidR="00605490" w:rsidP="00180EEB" w:rsidRDefault="00605490" w14:paraId="333BB9D6" w14:textId="77777777">
      <w:pPr>
        <w:suppressAutoHyphens/>
      </w:pPr>
    </w:p>
    <w:p w:rsidRPr="005F055E" w:rsidR="00274792" w:rsidP="00180EEB" w:rsidRDefault="003E7003" w14:paraId="001FAC28" w14:textId="77777777">
      <w:pPr>
        <w:suppressAutoHyphens/>
      </w:pPr>
      <w:r w:rsidRPr="005F055E">
        <w:t>Vraag 254</w:t>
      </w:r>
      <w:r w:rsidRPr="005F055E">
        <w:tab/>
      </w:r>
    </w:p>
    <w:p w:rsidRPr="005F055E" w:rsidR="00274792" w:rsidP="00180EEB" w:rsidRDefault="003E7003" w14:paraId="0A56DAE1" w14:textId="77777777">
      <w:pPr>
        <w:suppressAutoHyphens/>
      </w:pPr>
      <w:r w:rsidRPr="005F055E">
        <w:t>Hoeveel geld gaat er jaarlijks – schematisch weergegeven van 2020-2025 – naar (alle) overgewichtsbehandelingen, -medicijnen en medische ingrepen?</w:t>
      </w:r>
      <w:r w:rsidRPr="005F055E">
        <w:tab/>
      </w:r>
    </w:p>
    <w:p w:rsidRPr="005F055E" w:rsidR="003E7003" w:rsidP="00180EEB" w:rsidRDefault="003E7003" w14:paraId="2B4E242E" w14:textId="65BC7810">
      <w:pPr>
        <w:suppressAutoHyphens/>
      </w:pPr>
      <w:r w:rsidRPr="005F055E">
        <w:t>Antwoord</w:t>
      </w:r>
    </w:p>
    <w:tbl>
      <w:tblPr>
        <w:tblStyle w:val="TableGrid12"/>
        <w:tblpPr w:leftFromText="141" w:rightFromText="141" w:vertAnchor="page" w:horzAnchor="margin" w:tblpY="5560"/>
        <w:tblW w:w="10201" w:type="dxa"/>
        <w:tblLayout w:type="fixed"/>
        <w:tblLook w:val="04A0" w:firstRow="1" w:lastRow="0" w:firstColumn="1" w:lastColumn="0" w:noHBand="0" w:noVBand="1"/>
      </w:tblPr>
      <w:tblGrid>
        <w:gridCol w:w="846"/>
        <w:gridCol w:w="1134"/>
        <w:gridCol w:w="1276"/>
        <w:gridCol w:w="2551"/>
        <w:gridCol w:w="2268"/>
        <w:gridCol w:w="2126"/>
      </w:tblGrid>
      <w:tr w:rsidRPr="009873CE" w:rsidR="0014318A" w:rsidTr="0014318A" w14:paraId="2DC47A15" w14:textId="77777777">
        <w:tc>
          <w:tcPr>
            <w:tcW w:w="846" w:type="dxa"/>
          </w:tcPr>
          <w:p w:rsidRPr="005F055E" w:rsidR="0014318A" w:rsidP="00180EEB" w:rsidRDefault="0014318A" w14:paraId="4EEB987F" w14:textId="77777777">
            <w:pPr>
              <w:suppressAutoHyphens/>
              <w:spacing w:line="240" w:lineRule="atLeast"/>
              <w:rPr>
                <w:b/>
                <w:bCs/>
                <w:szCs w:val="18"/>
                <w:lang w:eastAsia="nl-NL"/>
              </w:rPr>
            </w:pPr>
            <w:r w:rsidRPr="005F055E">
              <w:rPr>
                <w:b/>
                <w:bCs/>
                <w:szCs w:val="18"/>
                <w:lang w:eastAsia="nl-NL"/>
              </w:rPr>
              <w:t>Jaar</w:t>
            </w:r>
          </w:p>
        </w:tc>
        <w:tc>
          <w:tcPr>
            <w:tcW w:w="1134" w:type="dxa"/>
          </w:tcPr>
          <w:p w:rsidRPr="005F055E" w:rsidR="0014318A" w:rsidP="00180EEB" w:rsidRDefault="0014318A" w14:paraId="3F461C13" w14:textId="77777777">
            <w:pPr>
              <w:suppressAutoHyphens/>
              <w:spacing w:line="240" w:lineRule="atLeast"/>
              <w:rPr>
                <w:b/>
                <w:bCs/>
                <w:szCs w:val="18"/>
                <w:lang w:eastAsia="nl-NL"/>
              </w:rPr>
            </w:pPr>
            <w:r w:rsidRPr="005F055E">
              <w:rPr>
                <w:b/>
                <w:bCs/>
                <w:szCs w:val="18"/>
                <w:lang w:eastAsia="nl-NL"/>
              </w:rPr>
              <w:t>Uitgaven GLI</w:t>
            </w:r>
          </w:p>
          <w:p w:rsidRPr="005F055E" w:rsidR="0014318A" w:rsidP="00180EEB" w:rsidRDefault="0014318A" w14:paraId="7FAFD9DE" w14:textId="77777777">
            <w:pPr>
              <w:suppressAutoHyphens/>
              <w:spacing w:line="240" w:lineRule="atLeast"/>
              <w:rPr>
                <w:b/>
                <w:bCs/>
                <w:szCs w:val="18"/>
                <w:lang w:eastAsia="nl-NL"/>
              </w:rPr>
            </w:pPr>
          </w:p>
          <w:p w:rsidRPr="005F055E" w:rsidR="0014318A" w:rsidP="00180EEB" w:rsidRDefault="0014318A" w14:paraId="1846191B" w14:textId="77777777">
            <w:pPr>
              <w:suppressAutoHyphens/>
              <w:spacing w:line="240" w:lineRule="atLeast"/>
              <w:rPr>
                <w:b/>
                <w:bCs/>
                <w:szCs w:val="18"/>
                <w:lang w:eastAsia="nl-NL"/>
              </w:rPr>
            </w:pPr>
          </w:p>
          <w:p w:rsidRPr="005F055E" w:rsidR="0014318A" w:rsidP="00180EEB" w:rsidRDefault="0014318A" w14:paraId="543DD33C" w14:textId="77777777">
            <w:pPr>
              <w:suppressAutoHyphens/>
              <w:spacing w:line="240" w:lineRule="atLeast"/>
              <w:rPr>
                <w:szCs w:val="18"/>
                <w:lang w:eastAsia="nl-NL"/>
              </w:rPr>
            </w:pPr>
          </w:p>
          <w:p w:rsidRPr="005F055E" w:rsidR="0014318A" w:rsidP="00180EEB" w:rsidRDefault="0014318A" w14:paraId="62DD8800" w14:textId="77777777">
            <w:pPr>
              <w:suppressAutoHyphens/>
              <w:spacing w:line="240" w:lineRule="atLeast"/>
              <w:rPr>
                <w:szCs w:val="18"/>
                <w:lang w:eastAsia="nl-NL"/>
              </w:rPr>
            </w:pPr>
            <w:r w:rsidRPr="005F055E">
              <w:rPr>
                <w:szCs w:val="18"/>
                <w:lang w:eastAsia="nl-NL"/>
              </w:rPr>
              <w:t xml:space="preserve">(in € </w:t>
            </w:r>
            <w:proofErr w:type="spellStart"/>
            <w:r w:rsidRPr="005F055E">
              <w:rPr>
                <w:szCs w:val="18"/>
                <w:lang w:eastAsia="nl-NL"/>
              </w:rPr>
              <w:t>mln</w:t>
            </w:r>
            <w:proofErr w:type="spellEnd"/>
            <w:r w:rsidRPr="005F055E">
              <w:rPr>
                <w:szCs w:val="18"/>
                <w:lang w:eastAsia="nl-NL"/>
              </w:rPr>
              <w:t>)</w:t>
            </w:r>
          </w:p>
        </w:tc>
        <w:tc>
          <w:tcPr>
            <w:tcW w:w="1276" w:type="dxa"/>
          </w:tcPr>
          <w:p w:rsidRPr="005F055E" w:rsidR="0014318A" w:rsidP="00180EEB" w:rsidRDefault="0014318A" w14:paraId="67B754B8" w14:textId="2C75DF78">
            <w:pPr>
              <w:suppressAutoHyphens/>
              <w:spacing w:line="240" w:lineRule="atLeast"/>
              <w:rPr>
                <w:b/>
                <w:bCs/>
                <w:szCs w:val="18"/>
                <w:lang w:eastAsia="nl-NL"/>
              </w:rPr>
            </w:pPr>
            <w:r w:rsidRPr="005F055E">
              <w:rPr>
                <w:b/>
                <w:bCs/>
                <w:szCs w:val="18"/>
                <w:lang w:eastAsia="nl-NL"/>
              </w:rPr>
              <w:t>Uitgaven diëtetiek*</w:t>
            </w:r>
            <w:r w:rsidRPr="005F055E" w:rsidR="00D73F76">
              <w:rPr>
                <w:b/>
                <w:bCs/>
                <w:szCs w:val="18"/>
                <w:lang w:eastAsia="nl-NL"/>
              </w:rPr>
              <w:t xml:space="preserve"> </w:t>
            </w:r>
            <w:r w:rsidRPr="005F055E">
              <w:rPr>
                <w:b/>
                <w:bCs/>
                <w:szCs w:val="18"/>
                <w:lang w:eastAsia="nl-NL"/>
              </w:rPr>
              <w:t xml:space="preserve"> </w:t>
            </w:r>
          </w:p>
          <w:p w:rsidRPr="005F055E" w:rsidR="0014318A" w:rsidP="00180EEB" w:rsidRDefault="0014318A" w14:paraId="7F3A062F" w14:textId="77777777">
            <w:pPr>
              <w:suppressAutoHyphens/>
              <w:spacing w:line="240" w:lineRule="atLeast"/>
              <w:rPr>
                <w:b/>
                <w:bCs/>
                <w:szCs w:val="18"/>
                <w:lang w:eastAsia="nl-NL"/>
              </w:rPr>
            </w:pPr>
          </w:p>
          <w:p w:rsidRPr="005F055E" w:rsidR="0014318A" w:rsidP="00180EEB" w:rsidRDefault="0014318A" w14:paraId="700C3620" w14:textId="77777777">
            <w:pPr>
              <w:suppressAutoHyphens/>
              <w:spacing w:line="240" w:lineRule="atLeast"/>
              <w:rPr>
                <w:b/>
                <w:bCs/>
                <w:szCs w:val="18"/>
                <w:lang w:eastAsia="nl-NL"/>
              </w:rPr>
            </w:pPr>
          </w:p>
          <w:p w:rsidRPr="005F055E" w:rsidR="0014318A" w:rsidP="00180EEB" w:rsidRDefault="0014318A" w14:paraId="1F856FF9" w14:textId="77777777">
            <w:pPr>
              <w:suppressAutoHyphens/>
              <w:spacing w:line="240" w:lineRule="atLeast"/>
              <w:rPr>
                <w:szCs w:val="18"/>
                <w:lang w:eastAsia="nl-NL"/>
              </w:rPr>
            </w:pPr>
          </w:p>
          <w:p w:rsidRPr="005F055E" w:rsidR="0014318A" w:rsidP="00180EEB" w:rsidRDefault="0014318A" w14:paraId="5D257128" w14:textId="77777777">
            <w:pPr>
              <w:suppressAutoHyphens/>
              <w:spacing w:line="240" w:lineRule="atLeast"/>
              <w:rPr>
                <w:szCs w:val="18"/>
                <w:lang w:eastAsia="nl-NL"/>
              </w:rPr>
            </w:pPr>
            <w:r w:rsidRPr="005F055E">
              <w:rPr>
                <w:szCs w:val="18"/>
                <w:lang w:eastAsia="nl-NL"/>
              </w:rPr>
              <w:t xml:space="preserve">(in € </w:t>
            </w:r>
            <w:proofErr w:type="spellStart"/>
            <w:r w:rsidRPr="005F055E">
              <w:rPr>
                <w:szCs w:val="18"/>
                <w:lang w:eastAsia="nl-NL"/>
              </w:rPr>
              <w:t>mln</w:t>
            </w:r>
            <w:proofErr w:type="spellEnd"/>
            <w:r w:rsidRPr="005F055E">
              <w:rPr>
                <w:szCs w:val="18"/>
                <w:lang w:eastAsia="nl-NL"/>
              </w:rPr>
              <w:t>)</w:t>
            </w:r>
          </w:p>
        </w:tc>
        <w:tc>
          <w:tcPr>
            <w:tcW w:w="2551" w:type="dxa"/>
          </w:tcPr>
          <w:p w:rsidRPr="005F055E" w:rsidR="0014318A" w:rsidP="00180EEB" w:rsidRDefault="0014318A" w14:paraId="0072F33C" w14:textId="77777777">
            <w:pPr>
              <w:suppressAutoHyphens/>
              <w:spacing w:line="240" w:lineRule="atLeast"/>
              <w:rPr>
                <w:b/>
                <w:bCs/>
                <w:szCs w:val="18"/>
                <w:lang w:eastAsia="nl-NL"/>
              </w:rPr>
            </w:pPr>
            <w:r w:rsidRPr="005F055E">
              <w:rPr>
                <w:b/>
                <w:bCs/>
                <w:szCs w:val="18"/>
                <w:lang w:eastAsia="nl-NL"/>
              </w:rPr>
              <w:t>Obesitasmedicatie:</w:t>
            </w:r>
          </w:p>
          <w:p w:rsidRPr="005F055E" w:rsidR="0014318A" w:rsidP="00180EEB" w:rsidRDefault="0014318A" w14:paraId="54EA0742" w14:textId="77777777">
            <w:pPr>
              <w:suppressAutoHyphens/>
              <w:spacing w:line="240" w:lineRule="atLeast"/>
              <w:rPr>
                <w:b/>
                <w:bCs/>
                <w:szCs w:val="18"/>
                <w:lang w:eastAsia="nl-NL"/>
              </w:rPr>
            </w:pPr>
            <w:proofErr w:type="spellStart"/>
            <w:r w:rsidRPr="005F055E">
              <w:rPr>
                <w:b/>
                <w:bCs/>
                <w:szCs w:val="18"/>
                <w:lang w:eastAsia="nl-NL"/>
              </w:rPr>
              <w:t>Zvw</w:t>
            </w:r>
            <w:proofErr w:type="spellEnd"/>
            <w:r w:rsidRPr="005F055E">
              <w:rPr>
                <w:b/>
                <w:bCs/>
                <w:szCs w:val="18"/>
                <w:lang w:eastAsia="nl-NL"/>
              </w:rPr>
              <w:t xml:space="preserve"> uitgaven** Centraal werkende vermageringsmiddelen</w:t>
            </w:r>
          </w:p>
          <w:p w:rsidRPr="005F055E" w:rsidR="0014318A" w:rsidP="00180EEB" w:rsidRDefault="0014318A" w14:paraId="31254D3D" w14:textId="77777777">
            <w:pPr>
              <w:suppressAutoHyphens/>
              <w:spacing w:line="240" w:lineRule="atLeast"/>
              <w:rPr>
                <w:b/>
                <w:bCs/>
                <w:szCs w:val="18"/>
                <w:lang w:eastAsia="nl-NL"/>
              </w:rPr>
            </w:pPr>
          </w:p>
          <w:p w:rsidRPr="005F055E" w:rsidR="0014318A" w:rsidP="00180EEB" w:rsidRDefault="0014318A" w14:paraId="7F10EF6E" w14:textId="77777777">
            <w:pPr>
              <w:suppressAutoHyphens/>
              <w:spacing w:line="240" w:lineRule="atLeast"/>
              <w:rPr>
                <w:b/>
                <w:bCs/>
                <w:szCs w:val="18"/>
                <w:lang w:eastAsia="nl-NL"/>
              </w:rPr>
            </w:pPr>
            <w:r w:rsidRPr="005F055E">
              <w:rPr>
                <w:szCs w:val="18"/>
                <w:lang w:eastAsia="nl-NL"/>
              </w:rPr>
              <w:t xml:space="preserve">(in € </w:t>
            </w:r>
            <w:proofErr w:type="spellStart"/>
            <w:r w:rsidRPr="005F055E">
              <w:rPr>
                <w:szCs w:val="18"/>
                <w:lang w:eastAsia="nl-NL"/>
              </w:rPr>
              <w:t>mln</w:t>
            </w:r>
            <w:proofErr w:type="spellEnd"/>
            <w:r w:rsidRPr="005F055E">
              <w:rPr>
                <w:szCs w:val="18"/>
                <w:lang w:eastAsia="nl-NL"/>
              </w:rPr>
              <w:t>)</w:t>
            </w:r>
          </w:p>
        </w:tc>
        <w:tc>
          <w:tcPr>
            <w:tcW w:w="2268" w:type="dxa"/>
          </w:tcPr>
          <w:p w:rsidRPr="005F055E" w:rsidR="0014318A" w:rsidP="00180EEB" w:rsidRDefault="0014318A" w14:paraId="47BE39BC" w14:textId="77777777">
            <w:pPr>
              <w:suppressAutoHyphens/>
              <w:spacing w:line="240" w:lineRule="atLeast"/>
              <w:rPr>
                <w:b/>
                <w:bCs/>
                <w:szCs w:val="18"/>
                <w:lang w:eastAsia="nl-NL"/>
              </w:rPr>
            </w:pPr>
            <w:r w:rsidRPr="005F055E">
              <w:rPr>
                <w:b/>
                <w:bCs/>
                <w:szCs w:val="18"/>
                <w:lang w:eastAsia="nl-NL"/>
              </w:rPr>
              <w:t>Obesitasmedicatie:</w:t>
            </w:r>
          </w:p>
          <w:p w:rsidRPr="005F055E" w:rsidR="0014318A" w:rsidP="00180EEB" w:rsidRDefault="0014318A" w14:paraId="67B9B4FD" w14:textId="77777777">
            <w:pPr>
              <w:suppressAutoHyphens/>
              <w:spacing w:line="240" w:lineRule="atLeast"/>
              <w:rPr>
                <w:b/>
                <w:bCs/>
                <w:szCs w:val="18"/>
                <w:lang w:eastAsia="nl-NL"/>
              </w:rPr>
            </w:pPr>
            <w:proofErr w:type="spellStart"/>
            <w:r w:rsidRPr="005F055E">
              <w:rPr>
                <w:b/>
                <w:bCs/>
                <w:szCs w:val="18"/>
                <w:lang w:eastAsia="nl-NL"/>
              </w:rPr>
              <w:t>Zvw</w:t>
            </w:r>
            <w:proofErr w:type="spellEnd"/>
            <w:r w:rsidRPr="005F055E">
              <w:rPr>
                <w:b/>
                <w:bCs/>
                <w:szCs w:val="18"/>
                <w:lang w:eastAsia="nl-NL"/>
              </w:rPr>
              <w:t xml:space="preserve"> uitgaven** </w:t>
            </w:r>
            <w:proofErr w:type="spellStart"/>
            <w:r w:rsidRPr="005F055E">
              <w:rPr>
                <w:b/>
                <w:bCs/>
                <w:szCs w:val="18"/>
                <w:lang w:eastAsia="nl-NL"/>
              </w:rPr>
              <w:t>Saxenda</w:t>
            </w:r>
            <w:proofErr w:type="spellEnd"/>
            <w:r w:rsidRPr="005F055E">
              <w:rPr>
                <w:b/>
                <w:bCs/>
                <w:szCs w:val="18"/>
                <w:lang w:eastAsia="nl-NL"/>
              </w:rPr>
              <w:t xml:space="preserve"> (</w:t>
            </w:r>
            <w:proofErr w:type="spellStart"/>
            <w:r w:rsidRPr="005F055E">
              <w:rPr>
                <w:b/>
                <w:bCs/>
                <w:szCs w:val="18"/>
                <w:lang w:eastAsia="nl-NL"/>
              </w:rPr>
              <w:t>Liraglutide</w:t>
            </w:r>
            <w:proofErr w:type="spellEnd"/>
            <w:r w:rsidRPr="005F055E">
              <w:rPr>
                <w:b/>
                <w:bCs/>
                <w:szCs w:val="18"/>
                <w:lang w:eastAsia="nl-NL"/>
              </w:rPr>
              <w:t>) voor indicatie obesitas</w:t>
            </w:r>
          </w:p>
          <w:p w:rsidRPr="005F055E" w:rsidR="0014318A" w:rsidP="00180EEB" w:rsidRDefault="0014318A" w14:paraId="5A6149FD" w14:textId="77777777">
            <w:pPr>
              <w:suppressAutoHyphens/>
              <w:spacing w:line="240" w:lineRule="atLeast"/>
              <w:rPr>
                <w:szCs w:val="18"/>
                <w:lang w:eastAsia="nl-NL"/>
              </w:rPr>
            </w:pPr>
            <w:r w:rsidRPr="005F055E">
              <w:rPr>
                <w:szCs w:val="18"/>
                <w:lang w:eastAsia="nl-NL"/>
              </w:rPr>
              <w:t xml:space="preserve">(in € </w:t>
            </w:r>
            <w:proofErr w:type="spellStart"/>
            <w:r w:rsidRPr="005F055E">
              <w:rPr>
                <w:szCs w:val="18"/>
                <w:lang w:eastAsia="nl-NL"/>
              </w:rPr>
              <w:t>mln</w:t>
            </w:r>
            <w:proofErr w:type="spellEnd"/>
            <w:r w:rsidRPr="005F055E">
              <w:rPr>
                <w:szCs w:val="18"/>
                <w:lang w:eastAsia="nl-NL"/>
              </w:rPr>
              <w:t>)</w:t>
            </w:r>
          </w:p>
        </w:tc>
        <w:tc>
          <w:tcPr>
            <w:tcW w:w="2126" w:type="dxa"/>
          </w:tcPr>
          <w:p w:rsidRPr="00056279" w:rsidR="0014318A" w:rsidP="00180EEB" w:rsidRDefault="0014318A" w14:paraId="61606751" w14:textId="77777777">
            <w:pPr>
              <w:suppressAutoHyphens/>
              <w:spacing w:line="240" w:lineRule="atLeast"/>
              <w:rPr>
                <w:b/>
                <w:bCs/>
                <w:szCs w:val="18"/>
                <w:lang w:val="de-DE" w:eastAsia="nl-NL"/>
              </w:rPr>
            </w:pPr>
            <w:proofErr w:type="spellStart"/>
            <w:r w:rsidRPr="00056279">
              <w:rPr>
                <w:b/>
                <w:bCs/>
                <w:szCs w:val="18"/>
                <w:lang w:val="de-DE" w:eastAsia="nl-NL"/>
              </w:rPr>
              <w:t>Inschatting</w:t>
            </w:r>
            <w:proofErr w:type="spellEnd"/>
            <w:r w:rsidRPr="00056279">
              <w:rPr>
                <w:b/>
                <w:bCs/>
                <w:szCs w:val="18"/>
                <w:lang w:val="de-DE" w:eastAsia="nl-NL"/>
              </w:rPr>
              <w:t xml:space="preserve">*** kosten chirurgische </w:t>
            </w:r>
            <w:proofErr w:type="spellStart"/>
            <w:r w:rsidRPr="00056279">
              <w:rPr>
                <w:b/>
                <w:bCs/>
                <w:szCs w:val="18"/>
                <w:lang w:val="de-DE" w:eastAsia="nl-NL"/>
              </w:rPr>
              <w:t>behandeltrajecten</w:t>
            </w:r>
            <w:proofErr w:type="spellEnd"/>
          </w:p>
          <w:p w:rsidRPr="00056279" w:rsidR="0014318A" w:rsidP="00180EEB" w:rsidRDefault="0014318A" w14:paraId="4A688AA8" w14:textId="77777777">
            <w:pPr>
              <w:suppressAutoHyphens/>
              <w:spacing w:line="240" w:lineRule="atLeast"/>
              <w:rPr>
                <w:b/>
                <w:bCs/>
                <w:szCs w:val="18"/>
                <w:lang w:val="de-DE" w:eastAsia="nl-NL"/>
              </w:rPr>
            </w:pPr>
          </w:p>
          <w:p w:rsidRPr="00056279" w:rsidR="0014318A" w:rsidP="00180EEB" w:rsidRDefault="0014318A" w14:paraId="279C2F04" w14:textId="77777777">
            <w:pPr>
              <w:suppressAutoHyphens/>
              <w:spacing w:line="240" w:lineRule="atLeast"/>
              <w:rPr>
                <w:b/>
                <w:bCs/>
                <w:szCs w:val="18"/>
                <w:lang w:val="de-DE" w:eastAsia="nl-NL"/>
              </w:rPr>
            </w:pPr>
            <w:r w:rsidRPr="00056279">
              <w:rPr>
                <w:szCs w:val="18"/>
                <w:lang w:val="de-DE" w:eastAsia="nl-NL"/>
              </w:rPr>
              <w:t xml:space="preserve">(in € </w:t>
            </w:r>
            <w:proofErr w:type="spellStart"/>
            <w:r w:rsidRPr="00056279">
              <w:rPr>
                <w:szCs w:val="18"/>
                <w:lang w:val="de-DE" w:eastAsia="nl-NL"/>
              </w:rPr>
              <w:t>mln</w:t>
            </w:r>
            <w:proofErr w:type="spellEnd"/>
            <w:r w:rsidRPr="00056279">
              <w:rPr>
                <w:szCs w:val="18"/>
                <w:lang w:val="de-DE" w:eastAsia="nl-NL"/>
              </w:rPr>
              <w:t>)</w:t>
            </w:r>
          </w:p>
        </w:tc>
      </w:tr>
      <w:tr w:rsidRPr="005F055E" w:rsidR="0014318A" w:rsidTr="0014318A" w14:paraId="1E053C18" w14:textId="77777777">
        <w:tc>
          <w:tcPr>
            <w:tcW w:w="846" w:type="dxa"/>
          </w:tcPr>
          <w:p w:rsidRPr="005F055E" w:rsidR="0014318A" w:rsidP="00180EEB" w:rsidRDefault="0014318A" w14:paraId="658C31FF" w14:textId="77777777">
            <w:pPr>
              <w:suppressAutoHyphens/>
              <w:spacing w:line="240" w:lineRule="atLeast"/>
              <w:rPr>
                <w:b/>
                <w:bCs/>
                <w:szCs w:val="18"/>
                <w:lang w:eastAsia="nl-NL"/>
              </w:rPr>
            </w:pPr>
            <w:r w:rsidRPr="005F055E">
              <w:rPr>
                <w:b/>
                <w:bCs/>
                <w:szCs w:val="18"/>
                <w:lang w:eastAsia="nl-NL"/>
              </w:rPr>
              <w:t>2020</w:t>
            </w:r>
          </w:p>
        </w:tc>
        <w:tc>
          <w:tcPr>
            <w:tcW w:w="1134" w:type="dxa"/>
          </w:tcPr>
          <w:p w:rsidRPr="005F055E" w:rsidR="0014318A" w:rsidP="00180EEB" w:rsidRDefault="0014318A" w14:paraId="4E66F095" w14:textId="77777777">
            <w:pPr>
              <w:suppressAutoHyphens/>
              <w:spacing w:line="240" w:lineRule="atLeast"/>
              <w:rPr>
                <w:szCs w:val="18"/>
                <w:lang w:eastAsia="nl-NL"/>
              </w:rPr>
            </w:pPr>
            <w:r w:rsidRPr="005F055E">
              <w:rPr>
                <w:szCs w:val="18"/>
                <w:lang w:eastAsia="nl-NL"/>
              </w:rPr>
              <w:t>5,9</w:t>
            </w:r>
          </w:p>
        </w:tc>
        <w:tc>
          <w:tcPr>
            <w:tcW w:w="1276" w:type="dxa"/>
          </w:tcPr>
          <w:p w:rsidRPr="005F055E" w:rsidR="0014318A" w:rsidP="00180EEB" w:rsidRDefault="0014318A" w14:paraId="5E286203" w14:textId="77777777">
            <w:pPr>
              <w:suppressAutoHyphens/>
              <w:spacing w:line="240" w:lineRule="atLeast"/>
              <w:rPr>
                <w:szCs w:val="18"/>
                <w:lang w:eastAsia="nl-NL"/>
              </w:rPr>
            </w:pPr>
            <w:r w:rsidRPr="005F055E">
              <w:rPr>
                <w:szCs w:val="18"/>
                <w:lang w:eastAsia="nl-NL"/>
              </w:rPr>
              <w:t>44,5</w:t>
            </w:r>
          </w:p>
        </w:tc>
        <w:tc>
          <w:tcPr>
            <w:tcW w:w="2551" w:type="dxa"/>
          </w:tcPr>
          <w:p w:rsidRPr="005F055E" w:rsidR="0014318A" w:rsidP="00180EEB" w:rsidRDefault="0014318A" w14:paraId="4E44FDC8" w14:textId="77777777">
            <w:pPr>
              <w:suppressAutoHyphens/>
              <w:spacing w:line="240" w:lineRule="atLeast"/>
              <w:rPr>
                <w:szCs w:val="18"/>
                <w:lang w:eastAsia="nl-NL"/>
              </w:rPr>
            </w:pPr>
            <w:r w:rsidRPr="005F055E">
              <w:rPr>
                <w:szCs w:val="18"/>
                <w:lang w:eastAsia="nl-NL"/>
              </w:rPr>
              <w:t>-</w:t>
            </w:r>
          </w:p>
        </w:tc>
        <w:tc>
          <w:tcPr>
            <w:tcW w:w="2268" w:type="dxa"/>
          </w:tcPr>
          <w:p w:rsidRPr="005F055E" w:rsidR="0014318A" w:rsidP="00180EEB" w:rsidRDefault="0014318A" w14:paraId="47C8C2B0" w14:textId="77777777">
            <w:pPr>
              <w:suppressAutoHyphens/>
              <w:spacing w:line="240" w:lineRule="atLeast"/>
              <w:rPr>
                <w:color w:val="7F7F7F" w:themeColor="text1" w:themeTint="80"/>
                <w:szCs w:val="18"/>
                <w:lang w:eastAsia="nl-NL"/>
              </w:rPr>
            </w:pPr>
            <w:r w:rsidRPr="005F055E">
              <w:rPr>
                <w:color w:val="7F7F7F" w:themeColor="text1" w:themeTint="80"/>
                <w:szCs w:val="18"/>
                <w:lang w:eastAsia="nl-NL"/>
              </w:rPr>
              <w:t>-</w:t>
            </w:r>
          </w:p>
        </w:tc>
        <w:tc>
          <w:tcPr>
            <w:tcW w:w="2126" w:type="dxa"/>
          </w:tcPr>
          <w:p w:rsidRPr="005F055E" w:rsidR="0014318A" w:rsidP="00180EEB" w:rsidRDefault="0014318A" w14:paraId="7BE1BC64" w14:textId="77777777">
            <w:pPr>
              <w:suppressAutoHyphens/>
              <w:spacing w:line="240" w:lineRule="atLeast"/>
              <w:rPr>
                <w:color w:val="7F7F7F" w:themeColor="text1" w:themeTint="80"/>
                <w:szCs w:val="18"/>
                <w:lang w:eastAsia="nl-NL"/>
              </w:rPr>
            </w:pPr>
            <w:r w:rsidRPr="005F055E">
              <w:rPr>
                <w:color w:val="7F7F7F" w:themeColor="text1" w:themeTint="80"/>
                <w:szCs w:val="18"/>
                <w:lang w:eastAsia="nl-NL"/>
              </w:rPr>
              <w:t>-</w:t>
            </w:r>
          </w:p>
        </w:tc>
      </w:tr>
      <w:tr w:rsidRPr="005F055E" w:rsidR="0014318A" w:rsidTr="0014318A" w14:paraId="29388B6A" w14:textId="77777777">
        <w:tc>
          <w:tcPr>
            <w:tcW w:w="846" w:type="dxa"/>
          </w:tcPr>
          <w:p w:rsidRPr="005F055E" w:rsidR="0014318A" w:rsidP="00180EEB" w:rsidRDefault="0014318A" w14:paraId="49DF309F" w14:textId="77777777">
            <w:pPr>
              <w:suppressAutoHyphens/>
              <w:spacing w:line="240" w:lineRule="atLeast"/>
              <w:rPr>
                <w:b/>
                <w:bCs/>
                <w:szCs w:val="18"/>
                <w:lang w:eastAsia="nl-NL"/>
              </w:rPr>
            </w:pPr>
            <w:r w:rsidRPr="005F055E">
              <w:rPr>
                <w:b/>
                <w:bCs/>
                <w:szCs w:val="18"/>
                <w:lang w:eastAsia="nl-NL"/>
              </w:rPr>
              <w:t>2021</w:t>
            </w:r>
          </w:p>
        </w:tc>
        <w:tc>
          <w:tcPr>
            <w:tcW w:w="1134" w:type="dxa"/>
          </w:tcPr>
          <w:p w:rsidRPr="005F055E" w:rsidR="0014318A" w:rsidP="00180EEB" w:rsidRDefault="0014318A" w14:paraId="12591DAE" w14:textId="77777777">
            <w:pPr>
              <w:suppressAutoHyphens/>
              <w:spacing w:line="240" w:lineRule="atLeast"/>
              <w:rPr>
                <w:szCs w:val="18"/>
                <w:lang w:eastAsia="nl-NL"/>
              </w:rPr>
            </w:pPr>
            <w:r w:rsidRPr="005F055E">
              <w:rPr>
                <w:szCs w:val="18"/>
                <w:lang w:eastAsia="nl-NL"/>
              </w:rPr>
              <w:t>11,9</w:t>
            </w:r>
          </w:p>
        </w:tc>
        <w:tc>
          <w:tcPr>
            <w:tcW w:w="1276" w:type="dxa"/>
          </w:tcPr>
          <w:p w:rsidRPr="005F055E" w:rsidR="0014318A" w:rsidP="00180EEB" w:rsidRDefault="0014318A" w14:paraId="7FD44E7C" w14:textId="77777777">
            <w:pPr>
              <w:suppressAutoHyphens/>
              <w:spacing w:line="240" w:lineRule="atLeast"/>
              <w:rPr>
                <w:szCs w:val="18"/>
                <w:lang w:eastAsia="nl-NL"/>
              </w:rPr>
            </w:pPr>
            <w:r w:rsidRPr="005F055E">
              <w:rPr>
                <w:szCs w:val="18"/>
                <w:lang w:eastAsia="nl-NL"/>
              </w:rPr>
              <w:t>52,8</w:t>
            </w:r>
          </w:p>
        </w:tc>
        <w:tc>
          <w:tcPr>
            <w:tcW w:w="2551" w:type="dxa"/>
          </w:tcPr>
          <w:p w:rsidRPr="005F055E" w:rsidR="0014318A" w:rsidP="00180EEB" w:rsidRDefault="0014318A" w14:paraId="0ED3E6AF" w14:textId="77777777">
            <w:pPr>
              <w:suppressAutoHyphens/>
              <w:spacing w:line="240" w:lineRule="atLeast"/>
              <w:rPr>
                <w:szCs w:val="18"/>
                <w:lang w:eastAsia="nl-NL"/>
              </w:rPr>
            </w:pPr>
            <w:r w:rsidRPr="005F055E">
              <w:rPr>
                <w:szCs w:val="18"/>
                <w:lang w:eastAsia="nl-NL"/>
              </w:rPr>
              <w:t xml:space="preserve">- </w:t>
            </w:r>
          </w:p>
        </w:tc>
        <w:tc>
          <w:tcPr>
            <w:tcW w:w="2268" w:type="dxa"/>
          </w:tcPr>
          <w:p w:rsidRPr="005F055E" w:rsidR="0014318A" w:rsidP="00180EEB" w:rsidRDefault="0014318A" w14:paraId="72456FF5" w14:textId="77777777">
            <w:pPr>
              <w:suppressAutoHyphens/>
              <w:spacing w:line="240" w:lineRule="atLeast"/>
              <w:rPr>
                <w:color w:val="7F7F7F" w:themeColor="text1" w:themeTint="80"/>
                <w:szCs w:val="18"/>
                <w:lang w:eastAsia="nl-NL"/>
              </w:rPr>
            </w:pPr>
            <w:r w:rsidRPr="005F055E">
              <w:rPr>
                <w:color w:val="7F7F7F" w:themeColor="text1" w:themeTint="80"/>
                <w:szCs w:val="18"/>
                <w:lang w:eastAsia="nl-NL"/>
              </w:rPr>
              <w:t>-</w:t>
            </w:r>
          </w:p>
        </w:tc>
        <w:tc>
          <w:tcPr>
            <w:tcW w:w="2126" w:type="dxa"/>
          </w:tcPr>
          <w:p w:rsidRPr="005F055E" w:rsidR="0014318A" w:rsidP="00180EEB" w:rsidRDefault="0014318A" w14:paraId="6CE50688" w14:textId="77777777">
            <w:pPr>
              <w:suppressAutoHyphens/>
              <w:spacing w:line="240" w:lineRule="atLeast"/>
              <w:rPr>
                <w:color w:val="7F7F7F" w:themeColor="text1" w:themeTint="80"/>
                <w:szCs w:val="18"/>
                <w:lang w:eastAsia="nl-NL"/>
              </w:rPr>
            </w:pPr>
            <w:r w:rsidRPr="005F055E">
              <w:rPr>
                <w:color w:val="7F7F7F" w:themeColor="text1" w:themeTint="80"/>
                <w:szCs w:val="18"/>
                <w:lang w:eastAsia="nl-NL"/>
              </w:rPr>
              <w:t>-</w:t>
            </w:r>
          </w:p>
        </w:tc>
      </w:tr>
      <w:tr w:rsidRPr="005F055E" w:rsidR="0014318A" w:rsidTr="0014318A" w14:paraId="16D09446" w14:textId="77777777">
        <w:tc>
          <w:tcPr>
            <w:tcW w:w="846" w:type="dxa"/>
          </w:tcPr>
          <w:p w:rsidRPr="005F055E" w:rsidR="0014318A" w:rsidP="00180EEB" w:rsidRDefault="0014318A" w14:paraId="79492CA8" w14:textId="77777777">
            <w:pPr>
              <w:suppressAutoHyphens/>
              <w:spacing w:line="240" w:lineRule="atLeast"/>
              <w:rPr>
                <w:b/>
                <w:bCs/>
                <w:szCs w:val="18"/>
                <w:lang w:eastAsia="nl-NL"/>
              </w:rPr>
            </w:pPr>
            <w:r w:rsidRPr="005F055E">
              <w:rPr>
                <w:b/>
                <w:bCs/>
                <w:szCs w:val="18"/>
                <w:lang w:eastAsia="nl-NL"/>
              </w:rPr>
              <w:t>2022</w:t>
            </w:r>
          </w:p>
        </w:tc>
        <w:tc>
          <w:tcPr>
            <w:tcW w:w="1134" w:type="dxa"/>
          </w:tcPr>
          <w:p w:rsidRPr="005F055E" w:rsidR="0014318A" w:rsidP="00180EEB" w:rsidRDefault="0014318A" w14:paraId="0743305B" w14:textId="77777777">
            <w:pPr>
              <w:suppressAutoHyphens/>
              <w:spacing w:line="240" w:lineRule="atLeast"/>
              <w:rPr>
                <w:szCs w:val="18"/>
                <w:lang w:eastAsia="nl-NL"/>
              </w:rPr>
            </w:pPr>
            <w:r w:rsidRPr="005F055E">
              <w:rPr>
                <w:szCs w:val="18"/>
                <w:lang w:eastAsia="nl-NL"/>
              </w:rPr>
              <w:t>21,8</w:t>
            </w:r>
          </w:p>
        </w:tc>
        <w:tc>
          <w:tcPr>
            <w:tcW w:w="1276" w:type="dxa"/>
          </w:tcPr>
          <w:p w:rsidRPr="005F055E" w:rsidR="0014318A" w:rsidP="00180EEB" w:rsidRDefault="0014318A" w14:paraId="37A2C855" w14:textId="77777777">
            <w:pPr>
              <w:suppressAutoHyphens/>
              <w:spacing w:line="240" w:lineRule="atLeast"/>
              <w:rPr>
                <w:szCs w:val="18"/>
                <w:lang w:eastAsia="nl-NL"/>
              </w:rPr>
            </w:pPr>
            <w:r w:rsidRPr="005F055E">
              <w:rPr>
                <w:szCs w:val="18"/>
                <w:lang w:eastAsia="nl-NL"/>
              </w:rPr>
              <w:t>54,9</w:t>
            </w:r>
          </w:p>
        </w:tc>
        <w:tc>
          <w:tcPr>
            <w:tcW w:w="2551" w:type="dxa"/>
          </w:tcPr>
          <w:p w:rsidRPr="005F055E" w:rsidR="0014318A" w:rsidP="00180EEB" w:rsidRDefault="0014318A" w14:paraId="7AEC4456" w14:textId="77777777">
            <w:pPr>
              <w:suppressAutoHyphens/>
              <w:spacing w:line="240" w:lineRule="atLeast"/>
              <w:rPr>
                <w:szCs w:val="18"/>
                <w:lang w:eastAsia="nl-NL"/>
              </w:rPr>
            </w:pPr>
            <w:r w:rsidRPr="005F055E">
              <w:rPr>
                <w:szCs w:val="18"/>
                <w:lang w:eastAsia="nl-NL"/>
              </w:rPr>
              <w:t>0,1</w:t>
            </w:r>
          </w:p>
        </w:tc>
        <w:tc>
          <w:tcPr>
            <w:tcW w:w="2268" w:type="dxa"/>
          </w:tcPr>
          <w:p w:rsidRPr="005F055E" w:rsidR="0014318A" w:rsidP="00180EEB" w:rsidRDefault="0014318A" w14:paraId="550680D1" w14:textId="77777777">
            <w:pPr>
              <w:suppressAutoHyphens/>
              <w:spacing w:line="240" w:lineRule="atLeast"/>
              <w:rPr>
                <w:szCs w:val="18"/>
                <w:lang w:eastAsia="nl-NL"/>
              </w:rPr>
            </w:pPr>
            <w:r w:rsidRPr="005F055E">
              <w:rPr>
                <w:szCs w:val="18"/>
                <w:lang w:eastAsia="nl-NL"/>
              </w:rPr>
              <w:t>8,5</w:t>
            </w:r>
          </w:p>
        </w:tc>
        <w:tc>
          <w:tcPr>
            <w:tcW w:w="2126" w:type="dxa"/>
          </w:tcPr>
          <w:p w:rsidRPr="005F055E" w:rsidR="0014318A" w:rsidP="00180EEB" w:rsidRDefault="0014318A" w14:paraId="7588A937" w14:textId="77777777">
            <w:pPr>
              <w:suppressAutoHyphens/>
              <w:spacing w:line="240" w:lineRule="atLeast"/>
              <w:rPr>
                <w:szCs w:val="18"/>
                <w:lang w:eastAsia="nl-NL"/>
              </w:rPr>
            </w:pPr>
            <w:r w:rsidRPr="005F055E">
              <w:rPr>
                <w:szCs w:val="18"/>
                <w:lang w:eastAsia="nl-NL"/>
              </w:rPr>
              <w:t>-</w:t>
            </w:r>
          </w:p>
        </w:tc>
      </w:tr>
      <w:tr w:rsidRPr="005F055E" w:rsidR="0014318A" w:rsidTr="0014318A" w14:paraId="60BC856F" w14:textId="77777777">
        <w:tc>
          <w:tcPr>
            <w:tcW w:w="846" w:type="dxa"/>
          </w:tcPr>
          <w:p w:rsidRPr="005F055E" w:rsidR="0014318A" w:rsidP="00180EEB" w:rsidRDefault="0014318A" w14:paraId="5AD50D7B" w14:textId="77777777">
            <w:pPr>
              <w:suppressAutoHyphens/>
              <w:spacing w:line="240" w:lineRule="atLeast"/>
              <w:rPr>
                <w:b/>
                <w:bCs/>
                <w:szCs w:val="18"/>
                <w:lang w:eastAsia="nl-NL"/>
              </w:rPr>
            </w:pPr>
            <w:r w:rsidRPr="005F055E">
              <w:rPr>
                <w:b/>
                <w:bCs/>
                <w:szCs w:val="18"/>
                <w:lang w:eastAsia="nl-NL"/>
              </w:rPr>
              <w:t>2023</w:t>
            </w:r>
          </w:p>
        </w:tc>
        <w:tc>
          <w:tcPr>
            <w:tcW w:w="1134" w:type="dxa"/>
          </w:tcPr>
          <w:p w:rsidRPr="005F055E" w:rsidR="0014318A" w:rsidP="00180EEB" w:rsidRDefault="0014318A" w14:paraId="3A730F89" w14:textId="77777777">
            <w:pPr>
              <w:suppressAutoHyphens/>
              <w:spacing w:line="240" w:lineRule="atLeast"/>
              <w:rPr>
                <w:szCs w:val="18"/>
                <w:lang w:eastAsia="nl-NL"/>
              </w:rPr>
            </w:pPr>
            <w:r w:rsidRPr="005F055E">
              <w:rPr>
                <w:szCs w:val="18"/>
                <w:lang w:eastAsia="nl-NL"/>
              </w:rPr>
              <w:t>42,4</w:t>
            </w:r>
          </w:p>
        </w:tc>
        <w:tc>
          <w:tcPr>
            <w:tcW w:w="1276" w:type="dxa"/>
          </w:tcPr>
          <w:p w:rsidRPr="005F055E" w:rsidR="0014318A" w:rsidP="00180EEB" w:rsidRDefault="0014318A" w14:paraId="6B27CB2A" w14:textId="77777777">
            <w:pPr>
              <w:suppressAutoHyphens/>
              <w:spacing w:line="240" w:lineRule="atLeast"/>
              <w:rPr>
                <w:szCs w:val="18"/>
                <w:lang w:eastAsia="nl-NL"/>
              </w:rPr>
            </w:pPr>
            <w:r w:rsidRPr="005F055E">
              <w:rPr>
                <w:szCs w:val="18"/>
                <w:lang w:eastAsia="nl-NL"/>
              </w:rPr>
              <w:t>58</w:t>
            </w:r>
          </w:p>
        </w:tc>
        <w:tc>
          <w:tcPr>
            <w:tcW w:w="2551" w:type="dxa"/>
          </w:tcPr>
          <w:p w:rsidRPr="005F055E" w:rsidR="0014318A" w:rsidP="00180EEB" w:rsidRDefault="0014318A" w14:paraId="70AA06A3" w14:textId="77777777">
            <w:pPr>
              <w:suppressAutoHyphens/>
              <w:spacing w:line="240" w:lineRule="atLeast"/>
              <w:rPr>
                <w:szCs w:val="18"/>
                <w:lang w:eastAsia="nl-NL"/>
              </w:rPr>
            </w:pPr>
            <w:r w:rsidRPr="005F055E">
              <w:rPr>
                <w:szCs w:val="18"/>
                <w:lang w:eastAsia="nl-NL"/>
              </w:rPr>
              <w:t>1,9</w:t>
            </w:r>
          </w:p>
        </w:tc>
        <w:tc>
          <w:tcPr>
            <w:tcW w:w="2268" w:type="dxa"/>
          </w:tcPr>
          <w:p w:rsidRPr="005F055E" w:rsidR="0014318A" w:rsidP="00180EEB" w:rsidRDefault="0014318A" w14:paraId="45CD8922" w14:textId="77777777">
            <w:pPr>
              <w:suppressAutoHyphens/>
              <w:spacing w:line="240" w:lineRule="atLeast"/>
              <w:rPr>
                <w:szCs w:val="18"/>
                <w:lang w:eastAsia="nl-NL"/>
              </w:rPr>
            </w:pPr>
            <w:r w:rsidRPr="005F055E">
              <w:rPr>
                <w:szCs w:val="18"/>
                <w:lang w:eastAsia="nl-NL"/>
              </w:rPr>
              <w:t>15,8</w:t>
            </w:r>
          </w:p>
        </w:tc>
        <w:tc>
          <w:tcPr>
            <w:tcW w:w="2126" w:type="dxa"/>
          </w:tcPr>
          <w:p w:rsidRPr="005F055E" w:rsidR="0014318A" w:rsidP="00180EEB" w:rsidRDefault="0014318A" w14:paraId="7912C92C" w14:textId="77777777">
            <w:pPr>
              <w:suppressAutoHyphens/>
              <w:spacing w:line="240" w:lineRule="atLeast"/>
              <w:rPr>
                <w:szCs w:val="18"/>
                <w:lang w:eastAsia="nl-NL"/>
              </w:rPr>
            </w:pPr>
            <w:r w:rsidRPr="005F055E">
              <w:rPr>
                <w:szCs w:val="18"/>
                <w:lang w:eastAsia="nl-NL"/>
              </w:rPr>
              <w:t>125</w:t>
            </w:r>
          </w:p>
        </w:tc>
      </w:tr>
      <w:tr w:rsidRPr="005F055E" w:rsidR="0014318A" w:rsidTr="0014318A" w14:paraId="49AB4207" w14:textId="77777777">
        <w:tc>
          <w:tcPr>
            <w:tcW w:w="846" w:type="dxa"/>
          </w:tcPr>
          <w:p w:rsidRPr="005F055E" w:rsidR="0014318A" w:rsidP="00180EEB" w:rsidRDefault="0014318A" w14:paraId="3B57D542" w14:textId="77777777">
            <w:pPr>
              <w:suppressAutoHyphens/>
              <w:spacing w:line="240" w:lineRule="atLeast"/>
              <w:rPr>
                <w:b/>
                <w:bCs/>
                <w:szCs w:val="18"/>
                <w:lang w:eastAsia="nl-NL"/>
              </w:rPr>
            </w:pPr>
            <w:r w:rsidRPr="005F055E">
              <w:rPr>
                <w:b/>
                <w:bCs/>
                <w:szCs w:val="18"/>
                <w:lang w:eastAsia="nl-NL"/>
              </w:rPr>
              <w:t>2024</w:t>
            </w:r>
          </w:p>
        </w:tc>
        <w:tc>
          <w:tcPr>
            <w:tcW w:w="1134" w:type="dxa"/>
          </w:tcPr>
          <w:p w:rsidRPr="005F055E" w:rsidR="0014318A" w:rsidP="00180EEB" w:rsidRDefault="0014318A" w14:paraId="339D07F7" w14:textId="77777777">
            <w:pPr>
              <w:suppressAutoHyphens/>
              <w:spacing w:line="240" w:lineRule="atLeast"/>
              <w:rPr>
                <w:szCs w:val="18"/>
                <w:lang w:eastAsia="nl-NL"/>
              </w:rPr>
            </w:pPr>
            <w:r w:rsidRPr="005F055E">
              <w:rPr>
                <w:szCs w:val="18"/>
                <w:lang w:eastAsia="nl-NL"/>
              </w:rPr>
              <w:t>51,0</w:t>
            </w:r>
          </w:p>
        </w:tc>
        <w:tc>
          <w:tcPr>
            <w:tcW w:w="1276" w:type="dxa"/>
          </w:tcPr>
          <w:p w:rsidRPr="005F055E" w:rsidR="0014318A" w:rsidP="00180EEB" w:rsidRDefault="0014318A" w14:paraId="2A47510B" w14:textId="77777777">
            <w:pPr>
              <w:suppressAutoHyphens/>
              <w:spacing w:line="240" w:lineRule="atLeast"/>
              <w:rPr>
                <w:szCs w:val="18"/>
                <w:lang w:eastAsia="nl-NL"/>
              </w:rPr>
            </w:pPr>
            <w:r w:rsidRPr="005F055E">
              <w:rPr>
                <w:szCs w:val="18"/>
                <w:lang w:eastAsia="nl-NL"/>
              </w:rPr>
              <w:t>64,6</w:t>
            </w:r>
          </w:p>
        </w:tc>
        <w:tc>
          <w:tcPr>
            <w:tcW w:w="2551" w:type="dxa"/>
          </w:tcPr>
          <w:p w:rsidRPr="005F055E" w:rsidR="0014318A" w:rsidP="00180EEB" w:rsidRDefault="0014318A" w14:paraId="0CFCE353" w14:textId="77777777">
            <w:pPr>
              <w:suppressAutoHyphens/>
              <w:spacing w:line="240" w:lineRule="atLeast"/>
              <w:rPr>
                <w:szCs w:val="18"/>
                <w:lang w:eastAsia="nl-NL"/>
              </w:rPr>
            </w:pPr>
            <w:r w:rsidRPr="005F055E">
              <w:rPr>
                <w:szCs w:val="18"/>
                <w:lang w:eastAsia="nl-NL"/>
              </w:rPr>
              <w:t>3,4</w:t>
            </w:r>
          </w:p>
        </w:tc>
        <w:tc>
          <w:tcPr>
            <w:tcW w:w="2268" w:type="dxa"/>
          </w:tcPr>
          <w:p w:rsidRPr="005F055E" w:rsidR="0014318A" w:rsidP="00180EEB" w:rsidRDefault="0014318A" w14:paraId="5CA98FD6" w14:textId="77777777">
            <w:pPr>
              <w:suppressAutoHyphens/>
              <w:spacing w:line="240" w:lineRule="atLeast"/>
              <w:rPr>
                <w:szCs w:val="18"/>
                <w:lang w:eastAsia="nl-NL"/>
              </w:rPr>
            </w:pPr>
            <w:r w:rsidRPr="005F055E">
              <w:rPr>
                <w:szCs w:val="18"/>
                <w:lang w:eastAsia="nl-NL"/>
              </w:rPr>
              <w:t>27</w:t>
            </w:r>
          </w:p>
        </w:tc>
        <w:tc>
          <w:tcPr>
            <w:tcW w:w="2126" w:type="dxa"/>
          </w:tcPr>
          <w:p w:rsidRPr="005F055E" w:rsidR="0014318A" w:rsidP="00180EEB" w:rsidRDefault="0014318A" w14:paraId="6FFFF6C8" w14:textId="77777777">
            <w:pPr>
              <w:suppressAutoHyphens/>
              <w:spacing w:line="240" w:lineRule="atLeast"/>
              <w:rPr>
                <w:szCs w:val="18"/>
                <w:lang w:eastAsia="nl-NL"/>
              </w:rPr>
            </w:pPr>
            <w:r w:rsidRPr="005F055E">
              <w:rPr>
                <w:szCs w:val="18"/>
                <w:lang w:eastAsia="nl-NL"/>
              </w:rPr>
              <w:t>128,5</w:t>
            </w:r>
          </w:p>
        </w:tc>
      </w:tr>
    </w:tbl>
    <w:p w:rsidRPr="005F055E" w:rsidR="00630335" w:rsidP="00180EEB" w:rsidRDefault="00630335" w14:paraId="11AD9B53" w14:textId="77777777">
      <w:pPr>
        <w:suppressAutoHyphens/>
        <w:spacing w:line="240" w:lineRule="atLeast"/>
        <w:rPr>
          <w:szCs w:val="18"/>
          <w:lang w:eastAsia="nl-NL"/>
        </w:rPr>
      </w:pPr>
      <w:r w:rsidRPr="005F055E">
        <w:rPr>
          <w:szCs w:val="18"/>
          <w:lang w:eastAsia="nl-NL"/>
        </w:rPr>
        <w:t>De behandeling van obesitas volgt het ‘</w:t>
      </w:r>
      <w:proofErr w:type="spellStart"/>
      <w:r w:rsidRPr="005F055E">
        <w:rPr>
          <w:szCs w:val="18"/>
          <w:lang w:eastAsia="nl-NL"/>
        </w:rPr>
        <w:t>stepped</w:t>
      </w:r>
      <w:proofErr w:type="spellEnd"/>
      <w:r w:rsidRPr="005F055E">
        <w:rPr>
          <w:szCs w:val="18"/>
          <w:lang w:eastAsia="nl-NL"/>
        </w:rPr>
        <w:t xml:space="preserve"> care’- en ‘</w:t>
      </w:r>
      <w:proofErr w:type="spellStart"/>
      <w:r w:rsidRPr="005F055E">
        <w:rPr>
          <w:szCs w:val="18"/>
          <w:lang w:eastAsia="nl-NL"/>
        </w:rPr>
        <w:t>matched</w:t>
      </w:r>
      <w:proofErr w:type="spellEnd"/>
      <w:r w:rsidRPr="005F055E">
        <w:rPr>
          <w:szCs w:val="18"/>
          <w:lang w:eastAsia="nl-NL"/>
        </w:rPr>
        <w:t xml:space="preserve"> care’-principe. De keuze voor een behandelmodaliteit vindt plaats op geleide van o.a. het </w:t>
      </w:r>
      <w:proofErr w:type="spellStart"/>
      <w:r w:rsidRPr="005F055E">
        <w:rPr>
          <w:szCs w:val="18"/>
          <w:lang w:eastAsia="nl-NL"/>
        </w:rPr>
        <w:t>gewichtsgerelateerd</w:t>
      </w:r>
      <w:proofErr w:type="spellEnd"/>
      <w:r w:rsidRPr="005F055E">
        <w:rPr>
          <w:szCs w:val="18"/>
          <w:lang w:eastAsia="nl-NL"/>
        </w:rPr>
        <w:t xml:space="preserve"> gezondheidsrisico (GGR). Een gecombineerde leefstijlinterventie (GLI) is in principe eerste keus. Hieronder een overzicht van vier veel voorkomende behandelopties van overgewicht en obesitas, zijnde dieetadvisering (</w:t>
      </w:r>
      <w:proofErr w:type="spellStart"/>
      <w:r w:rsidRPr="005F055E">
        <w:rPr>
          <w:szCs w:val="18"/>
          <w:lang w:eastAsia="nl-NL"/>
        </w:rPr>
        <w:t>Zvw</w:t>
      </w:r>
      <w:proofErr w:type="spellEnd"/>
      <w:r w:rsidRPr="005F055E">
        <w:rPr>
          <w:szCs w:val="18"/>
          <w:lang w:eastAsia="nl-NL"/>
        </w:rPr>
        <w:t xml:space="preserve">), GLI, de inzet van (obesitas)medicatie en chirurgische behandeling. Omdat we op dit moment nog niet beschikken over de data over 2025, betreft de data in onderstaand overzicht de periode 2020 t/m 2024. </w:t>
      </w:r>
    </w:p>
    <w:p w:rsidRPr="005F055E" w:rsidR="0014318A" w:rsidP="00180EEB" w:rsidRDefault="0014318A" w14:paraId="062C0DE1" w14:textId="77777777">
      <w:pPr>
        <w:suppressAutoHyphens/>
        <w:spacing w:line="240" w:lineRule="atLeast"/>
        <w:rPr>
          <w:sz w:val="14"/>
          <w:szCs w:val="14"/>
          <w:lang w:eastAsia="nl-NL"/>
        </w:rPr>
      </w:pPr>
    </w:p>
    <w:p w:rsidRPr="005F055E" w:rsidR="00630335" w:rsidP="00180EEB" w:rsidRDefault="00630335" w14:paraId="6BE5ED86" w14:textId="4A10EB9F">
      <w:pPr>
        <w:suppressAutoHyphens/>
        <w:spacing w:line="240" w:lineRule="atLeast"/>
        <w:rPr>
          <w:sz w:val="14"/>
          <w:szCs w:val="14"/>
          <w:lang w:eastAsia="nl-NL"/>
        </w:rPr>
      </w:pPr>
      <w:r w:rsidRPr="005F055E">
        <w:rPr>
          <w:sz w:val="14"/>
          <w:szCs w:val="14"/>
          <w:lang w:eastAsia="nl-NL"/>
        </w:rPr>
        <w:t xml:space="preserve">(*) deze bedragen betreffen de totale landelijke kosten voor diëtetiek voor uiteenlopende indicaties, waaronder bijvoorbeeld overgewicht/obesitas. We beschikken niet over data over dieetadvisering alleen voor de behandeling van overgewicht/ obesitas. </w:t>
      </w:r>
      <w:r w:rsidRPr="005F055E">
        <w:rPr>
          <w:sz w:val="14"/>
          <w:szCs w:val="14"/>
          <w:lang w:eastAsia="nl-NL"/>
        </w:rPr>
        <w:br/>
        <w:t>(**) deze bedragen zijn ex btw en dienstverlening apotheek.</w:t>
      </w:r>
      <w:r w:rsidRPr="005F055E">
        <w:rPr>
          <w:sz w:val="14"/>
          <w:szCs w:val="14"/>
          <w:lang w:eastAsia="nl-NL"/>
        </w:rPr>
        <w:br/>
        <w:t>(***) deze inschatting van kosten is gebaseerd op het totaal aantal chirurgische ingrepen per jaar</w:t>
      </w:r>
      <w:r w:rsidRPr="005F055E">
        <w:rPr>
          <w:sz w:val="14"/>
          <w:szCs w:val="14"/>
          <w:vertAlign w:val="superscript"/>
          <w:lang w:eastAsia="nl-NL"/>
        </w:rPr>
        <w:footnoteReference w:id="84"/>
      </w:r>
      <w:r w:rsidRPr="005F055E">
        <w:rPr>
          <w:sz w:val="14"/>
          <w:szCs w:val="14"/>
          <w:lang w:eastAsia="nl-NL"/>
        </w:rPr>
        <w:t>. De kosten voor een volledig chirurgisch behandeltraject voor de behandeling van obesitas bedragen ca. 10.000 euro. Als gevolg van Covid-19 is de data over de jaren 2020 t/m 2022 onvoldoende representatief en daarom niet opgenomen in bijgevoegd overzicht.</w:t>
      </w:r>
    </w:p>
    <w:p w:rsidRPr="005F055E" w:rsidR="00274792" w:rsidP="00180EEB" w:rsidRDefault="00274792" w14:paraId="07FEAAEE" w14:textId="77777777">
      <w:pPr>
        <w:suppressAutoHyphens/>
      </w:pPr>
    </w:p>
    <w:p w:rsidRPr="005F055E" w:rsidR="00274792" w:rsidP="00180EEB" w:rsidRDefault="003E7003" w14:paraId="4CE5EAC0" w14:textId="77777777">
      <w:pPr>
        <w:suppressAutoHyphens/>
      </w:pPr>
      <w:r w:rsidRPr="005F055E">
        <w:t>Vraag 255</w:t>
      </w:r>
      <w:r w:rsidRPr="005F055E">
        <w:tab/>
      </w:r>
    </w:p>
    <w:p w:rsidRPr="005F055E" w:rsidR="00274792" w:rsidP="00180EEB" w:rsidRDefault="003E7003" w14:paraId="5DF18F32" w14:textId="77777777">
      <w:pPr>
        <w:suppressAutoHyphens/>
      </w:pPr>
      <w:r w:rsidRPr="005F055E">
        <w:t>Hoeveel geld gaat er jaarlijks – schematisch weergegeven van 2020-2025 – naar (alle) stoppen-met-roken-behandelingen en -medicijnen?</w:t>
      </w:r>
      <w:r w:rsidRPr="005F055E">
        <w:tab/>
      </w:r>
    </w:p>
    <w:p w:rsidRPr="005F055E" w:rsidR="003E7003" w:rsidP="00180EEB" w:rsidRDefault="003E7003" w14:paraId="6FCEBB9F" w14:textId="2B6BB453">
      <w:pPr>
        <w:suppressAutoHyphens/>
      </w:pPr>
      <w:r w:rsidRPr="005F055E">
        <w:t>Antwoord</w:t>
      </w:r>
    </w:p>
    <w:p w:rsidRPr="005F055E" w:rsidR="0014318A" w:rsidP="00180EEB" w:rsidRDefault="0014318A" w14:paraId="1F906ABF" w14:textId="64984F51">
      <w:pPr>
        <w:suppressAutoHyphens/>
        <w:rPr>
          <w:rFonts w:cs="Calibri"/>
          <w:color w:val="000000" w:themeColor="text1"/>
        </w:rPr>
      </w:pPr>
      <w:r w:rsidRPr="005F055E">
        <w:rPr>
          <w:rFonts w:cs="Calibri"/>
          <w:color w:val="000000" w:themeColor="text1"/>
        </w:rPr>
        <w:t>Het aanbod van hulp bij stoppen met roken is erg divers. Stopondersteuning wordt onder andere geboden door huisartsen, gespecialiseerde aanbieders of als onderdeel van ketenzorg. De exacte kosten zijn daardoor niet eenvoudig in kaart te brengen, maar op basis van de declaraties van de huisartsenzorg en cijfers van de branchevereniging voor gespecialiseerde aanbieders komt de staatssecretaris J</w:t>
      </w:r>
      <w:r w:rsidR="00AC5F77">
        <w:rPr>
          <w:rFonts w:cs="Calibri"/>
          <w:color w:val="000000" w:themeColor="text1"/>
        </w:rPr>
        <w:t xml:space="preserve">eugd, </w:t>
      </w:r>
      <w:r w:rsidRPr="005F055E">
        <w:rPr>
          <w:rFonts w:cs="Calibri"/>
          <w:color w:val="000000" w:themeColor="text1"/>
        </w:rPr>
        <w:t>P</w:t>
      </w:r>
      <w:r w:rsidR="00AC5F77">
        <w:rPr>
          <w:rFonts w:cs="Calibri"/>
          <w:color w:val="000000" w:themeColor="text1"/>
        </w:rPr>
        <w:t xml:space="preserve">reventie en </w:t>
      </w:r>
      <w:r w:rsidRPr="005F055E">
        <w:rPr>
          <w:rFonts w:cs="Calibri"/>
          <w:color w:val="000000" w:themeColor="text1"/>
        </w:rPr>
        <w:t>S</w:t>
      </w:r>
      <w:r w:rsidR="00AC5F77">
        <w:rPr>
          <w:rFonts w:cs="Calibri"/>
          <w:color w:val="000000" w:themeColor="text1"/>
        </w:rPr>
        <w:t>port</w:t>
      </w:r>
      <w:r w:rsidRPr="005F055E">
        <w:rPr>
          <w:rFonts w:cs="Calibri"/>
          <w:color w:val="000000" w:themeColor="text1"/>
        </w:rPr>
        <w:t xml:space="preserve"> tot de volgende tabel. Het gaat om een goede inschatting van de kostenontwikkeling, die overigens vooral wordt veroorzaakt door veel meer mensen die met effectieve begeleiding stoppen met roken. Dat is in lijn met de doelstelling uit het Nationaal Preventieakkoord om meer rokers die een serieuze stoppoging doen gebruik te laten maken van effectieve begeleiding. We weten immers dat die begeleiding het stopsucces zeer significant verhoogt. Het jaar 2025 is nog niet opgenomen omdat er nog te weinig cijfers bekend zijn om een inschatting te maken.</w:t>
      </w:r>
    </w:p>
    <w:p w:rsidRPr="005F055E" w:rsidR="0014318A" w:rsidP="00180EEB" w:rsidRDefault="0014318A" w14:paraId="025BD6E4" w14:textId="77777777">
      <w:pPr>
        <w:suppressAutoHyphens/>
        <w:rPr>
          <w:rFonts w:cs="Calibri"/>
          <w:color w:val="000000" w:themeColor="text1"/>
        </w:rPr>
      </w:pPr>
    </w:p>
    <w:tbl>
      <w:tblPr>
        <w:tblStyle w:val="Onopgemaaktetabel3"/>
        <w:tblW w:w="0" w:type="auto"/>
        <w:tblLook w:val="04A0" w:firstRow="1" w:lastRow="0" w:firstColumn="1" w:lastColumn="0" w:noHBand="0" w:noVBand="1"/>
      </w:tblPr>
      <w:tblGrid>
        <w:gridCol w:w="725"/>
        <w:gridCol w:w="1848"/>
      </w:tblGrid>
      <w:tr w:rsidRPr="005F055E" w:rsidR="0014318A" w:rsidTr="005E2643" w14:paraId="4778986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4" w:type="dxa"/>
          </w:tcPr>
          <w:p w:rsidRPr="004916E9" w:rsidR="0014318A" w:rsidP="00180EEB" w:rsidRDefault="0014318A" w14:paraId="184F9078" w14:textId="77777777">
            <w:pPr>
              <w:suppressAutoHyphens/>
              <w:rPr>
                <w:rFonts w:ascii="Verdana" w:hAnsi="Verdana" w:cs="Calibri"/>
                <w:b w:val="0"/>
                <w:bCs w:val="0"/>
                <w:color w:val="000000" w:themeColor="text1"/>
                <w:sz w:val="20"/>
                <w:szCs w:val="20"/>
              </w:rPr>
            </w:pPr>
            <w:r w:rsidRPr="004916E9">
              <w:rPr>
                <w:rFonts w:ascii="Verdana" w:hAnsi="Verdana" w:cs="Calibri"/>
                <w:b w:val="0"/>
                <w:bCs w:val="0"/>
                <w:caps w:val="0"/>
                <w:color w:val="000000" w:themeColor="text1"/>
                <w:sz w:val="20"/>
                <w:szCs w:val="20"/>
              </w:rPr>
              <w:t>Jaar</w:t>
            </w:r>
          </w:p>
        </w:tc>
        <w:tc>
          <w:tcPr>
            <w:tcW w:w="1848" w:type="dxa"/>
          </w:tcPr>
          <w:p w:rsidRPr="004916E9" w:rsidR="0014318A" w:rsidP="00180EEB" w:rsidRDefault="0014318A" w14:paraId="3F660272" w14:textId="77777777">
            <w:pPr>
              <w:suppressAutoHyphens/>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000000" w:themeColor="text1"/>
                <w:sz w:val="20"/>
                <w:szCs w:val="20"/>
              </w:rPr>
            </w:pPr>
            <w:r w:rsidRPr="004916E9">
              <w:rPr>
                <w:rFonts w:ascii="Verdana" w:hAnsi="Verdana" w:cs="Calibri"/>
                <w:b w:val="0"/>
                <w:bCs w:val="0"/>
                <w:caps w:val="0"/>
                <w:color w:val="000000" w:themeColor="text1"/>
                <w:sz w:val="20"/>
                <w:szCs w:val="20"/>
              </w:rPr>
              <w:t>Kosten</w:t>
            </w:r>
          </w:p>
        </w:tc>
      </w:tr>
      <w:tr w:rsidRPr="005F055E" w:rsidR="0014318A" w:rsidTr="005E2643" w14:paraId="2643D4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Pr="004916E9" w:rsidR="0014318A" w:rsidP="00180EEB" w:rsidRDefault="0014318A" w14:paraId="787B3161" w14:textId="77777777">
            <w:pPr>
              <w:suppressAutoHyphens/>
              <w:rPr>
                <w:rFonts w:ascii="Verdana" w:hAnsi="Verdana" w:cs="Calibri"/>
                <w:b w:val="0"/>
                <w:bCs w:val="0"/>
                <w:color w:val="000000" w:themeColor="text1"/>
                <w:sz w:val="20"/>
                <w:szCs w:val="20"/>
              </w:rPr>
            </w:pPr>
            <w:r w:rsidRPr="004916E9">
              <w:rPr>
                <w:rFonts w:ascii="Verdana" w:hAnsi="Verdana" w:cs="Calibri"/>
                <w:b w:val="0"/>
                <w:bCs w:val="0"/>
                <w:color w:val="000000" w:themeColor="text1"/>
                <w:sz w:val="20"/>
                <w:szCs w:val="20"/>
              </w:rPr>
              <w:t>2020</w:t>
            </w:r>
          </w:p>
        </w:tc>
        <w:tc>
          <w:tcPr>
            <w:tcW w:w="1848" w:type="dxa"/>
            <w:shd w:val="clear" w:color="auto" w:fill="auto"/>
          </w:tcPr>
          <w:p w:rsidRPr="004916E9" w:rsidR="0014318A" w:rsidP="00180EEB" w:rsidRDefault="0014318A" w14:paraId="29225C83"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s="Calibri"/>
                <w:color w:val="000000" w:themeColor="text1"/>
                <w:sz w:val="20"/>
                <w:szCs w:val="20"/>
              </w:rPr>
            </w:pPr>
            <w:r w:rsidRPr="004916E9">
              <w:rPr>
                <w:rFonts w:ascii="Verdana" w:hAnsi="Verdana" w:cs="Calibri"/>
                <w:color w:val="000000" w:themeColor="text1"/>
                <w:sz w:val="20"/>
                <w:szCs w:val="20"/>
              </w:rPr>
              <w:t>€ 13.400.000,-</w:t>
            </w:r>
          </w:p>
        </w:tc>
      </w:tr>
      <w:tr w:rsidRPr="005F055E" w:rsidR="0014318A" w:rsidTr="005E2643" w14:paraId="3DA87CD7" w14:textId="77777777">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Pr="004916E9" w:rsidR="0014318A" w:rsidP="00180EEB" w:rsidRDefault="0014318A" w14:paraId="133259BE" w14:textId="77777777">
            <w:pPr>
              <w:suppressAutoHyphens/>
              <w:rPr>
                <w:rFonts w:ascii="Verdana" w:hAnsi="Verdana" w:cs="Calibri"/>
                <w:b w:val="0"/>
                <w:bCs w:val="0"/>
                <w:color w:val="000000" w:themeColor="text1"/>
                <w:sz w:val="20"/>
                <w:szCs w:val="20"/>
              </w:rPr>
            </w:pPr>
            <w:r w:rsidRPr="004916E9">
              <w:rPr>
                <w:rFonts w:ascii="Verdana" w:hAnsi="Verdana" w:cs="Calibri"/>
                <w:b w:val="0"/>
                <w:bCs w:val="0"/>
                <w:color w:val="000000" w:themeColor="text1"/>
                <w:sz w:val="20"/>
                <w:szCs w:val="20"/>
              </w:rPr>
              <w:t>2021</w:t>
            </w:r>
          </w:p>
        </w:tc>
        <w:tc>
          <w:tcPr>
            <w:tcW w:w="1848" w:type="dxa"/>
            <w:shd w:val="clear" w:color="auto" w:fill="auto"/>
          </w:tcPr>
          <w:p w:rsidRPr="004916E9" w:rsidR="0014318A" w:rsidP="00180EEB" w:rsidRDefault="0014318A" w14:paraId="0DA9943C"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916E9">
              <w:rPr>
                <w:rFonts w:ascii="Verdana" w:hAnsi="Verdana" w:cs="Calibri"/>
                <w:color w:val="000000" w:themeColor="text1"/>
                <w:sz w:val="20"/>
                <w:szCs w:val="20"/>
              </w:rPr>
              <w:t>€ 14.000.000,-</w:t>
            </w:r>
          </w:p>
        </w:tc>
      </w:tr>
      <w:tr w:rsidRPr="005F055E" w:rsidR="0014318A" w:rsidTr="005E2643" w14:paraId="63E3DA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Pr="004916E9" w:rsidR="0014318A" w:rsidP="00180EEB" w:rsidRDefault="0014318A" w14:paraId="03CA230B" w14:textId="77777777">
            <w:pPr>
              <w:suppressAutoHyphens/>
              <w:rPr>
                <w:rFonts w:ascii="Verdana" w:hAnsi="Verdana" w:cs="Calibri"/>
                <w:b w:val="0"/>
                <w:bCs w:val="0"/>
                <w:color w:val="000000" w:themeColor="text1"/>
                <w:sz w:val="20"/>
                <w:szCs w:val="20"/>
              </w:rPr>
            </w:pPr>
            <w:r w:rsidRPr="004916E9">
              <w:rPr>
                <w:rFonts w:ascii="Verdana" w:hAnsi="Verdana" w:cs="Calibri"/>
                <w:b w:val="0"/>
                <w:bCs w:val="0"/>
                <w:color w:val="000000" w:themeColor="text1"/>
                <w:sz w:val="20"/>
                <w:szCs w:val="20"/>
              </w:rPr>
              <w:t>2022</w:t>
            </w:r>
          </w:p>
        </w:tc>
        <w:tc>
          <w:tcPr>
            <w:tcW w:w="1848" w:type="dxa"/>
            <w:shd w:val="clear" w:color="auto" w:fill="auto"/>
          </w:tcPr>
          <w:p w:rsidRPr="004916E9" w:rsidR="0014318A" w:rsidP="00180EEB" w:rsidRDefault="0014318A" w14:paraId="7CAF15CA"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s="Calibri"/>
                <w:color w:val="000000" w:themeColor="text1"/>
                <w:sz w:val="20"/>
                <w:szCs w:val="20"/>
              </w:rPr>
            </w:pPr>
            <w:r w:rsidRPr="004916E9">
              <w:rPr>
                <w:rFonts w:ascii="Verdana" w:hAnsi="Verdana" w:cs="Calibri"/>
                <w:color w:val="000000" w:themeColor="text1"/>
                <w:sz w:val="20"/>
                <w:szCs w:val="20"/>
              </w:rPr>
              <w:t>€ 16.300.000,-</w:t>
            </w:r>
          </w:p>
        </w:tc>
      </w:tr>
      <w:tr w:rsidRPr="005F055E" w:rsidR="0014318A" w:rsidTr="005E2643" w14:paraId="43639593" w14:textId="77777777">
        <w:trPr>
          <w:trHeight w:val="58"/>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Pr="004916E9" w:rsidR="0014318A" w:rsidP="00180EEB" w:rsidRDefault="0014318A" w14:paraId="37402F31" w14:textId="77777777">
            <w:pPr>
              <w:suppressAutoHyphens/>
              <w:rPr>
                <w:rFonts w:ascii="Verdana" w:hAnsi="Verdana" w:cs="Calibri"/>
                <w:b w:val="0"/>
                <w:bCs w:val="0"/>
                <w:color w:val="000000" w:themeColor="text1"/>
                <w:sz w:val="20"/>
                <w:szCs w:val="20"/>
              </w:rPr>
            </w:pPr>
            <w:r w:rsidRPr="004916E9">
              <w:rPr>
                <w:rFonts w:ascii="Verdana" w:hAnsi="Verdana" w:cs="Calibri"/>
                <w:b w:val="0"/>
                <w:bCs w:val="0"/>
                <w:color w:val="000000" w:themeColor="text1"/>
                <w:sz w:val="20"/>
                <w:szCs w:val="20"/>
              </w:rPr>
              <w:t>2023</w:t>
            </w:r>
          </w:p>
        </w:tc>
        <w:tc>
          <w:tcPr>
            <w:tcW w:w="1848" w:type="dxa"/>
            <w:shd w:val="clear" w:color="auto" w:fill="auto"/>
          </w:tcPr>
          <w:p w:rsidRPr="004916E9" w:rsidR="0014318A" w:rsidP="00180EEB" w:rsidRDefault="0014318A" w14:paraId="345F343B" w14:textId="77777777">
            <w:pPr>
              <w:suppressAutoHyphens/>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916E9">
              <w:rPr>
                <w:rFonts w:ascii="Verdana" w:hAnsi="Verdana" w:cs="Calibri"/>
                <w:color w:val="000000" w:themeColor="text1"/>
                <w:sz w:val="20"/>
                <w:szCs w:val="20"/>
              </w:rPr>
              <w:t>€ 21.200.000,-</w:t>
            </w:r>
          </w:p>
        </w:tc>
      </w:tr>
      <w:tr w:rsidRPr="005F055E" w:rsidR="0014318A" w:rsidTr="005E2643" w14:paraId="51A116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Pr="004916E9" w:rsidR="0014318A" w:rsidP="00180EEB" w:rsidRDefault="0014318A" w14:paraId="5E6DEF95" w14:textId="77777777">
            <w:pPr>
              <w:suppressAutoHyphens/>
              <w:rPr>
                <w:rFonts w:ascii="Verdana" w:hAnsi="Verdana" w:cs="Calibri"/>
                <w:b w:val="0"/>
                <w:bCs w:val="0"/>
                <w:color w:val="000000" w:themeColor="text1"/>
                <w:sz w:val="20"/>
                <w:szCs w:val="20"/>
              </w:rPr>
            </w:pPr>
            <w:r w:rsidRPr="004916E9">
              <w:rPr>
                <w:rFonts w:ascii="Verdana" w:hAnsi="Verdana" w:cs="Calibri"/>
                <w:b w:val="0"/>
                <w:bCs w:val="0"/>
                <w:color w:val="000000" w:themeColor="text1"/>
                <w:sz w:val="20"/>
                <w:szCs w:val="20"/>
              </w:rPr>
              <w:t>2024</w:t>
            </w:r>
          </w:p>
        </w:tc>
        <w:tc>
          <w:tcPr>
            <w:tcW w:w="1848" w:type="dxa"/>
            <w:shd w:val="clear" w:color="auto" w:fill="auto"/>
          </w:tcPr>
          <w:p w:rsidRPr="004916E9" w:rsidR="0014318A" w:rsidP="00180EEB" w:rsidRDefault="0014318A" w14:paraId="3A8D1666" w14:textId="77777777">
            <w:pPr>
              <w:suppressAutoHyphens/>
              <w:cnfStyle w:val="000000100000" w:firstRow="0" w:lastRow="0" w:firstColumn="0" w:lastColumn="0" w:oddVBand="0" w:evenVBand="0" w:oddHBand="1" w:evenHBand="0" w:firstRowFirstColumn="0" w:firstRowLastColumn="0" w:lastRowFirstColumn="0" w:lastRowLastColumn="0"/>
              <w:rPr>
                <w:rFonts w:ascii="Verdana" w:hAnsi="Verdana" w:cs="Calibri"/>
                <w:color w:val="000000" w:themeColor="text1"/>
                <w:sz w:val="20"/>
                <w:szCs w:val="20"/>
              </w:rPr>
            </w:pPr>
            <w:r w:rsidRPr="004916E9">
              <w:rPr>
                <w:rFonts w:ascii="Verdana" w:hAnsi="Verdana" w:cs="Calibri"/>
                <w:color w:val="000000" w:themeColor="text1"/>
                <w:sz w:val="20"/>
                <w:szCs w:val="20"/>
              </w:rPr>
              <w:t>€ 26.700.000,-</w:t>
            </w:r>
          </w:p>
        </w:tc>
      </w:tr>
    </w:tbl>
    <w:p w:rsidRPr="005F055E" w:rsidR="00274792" w:rsidP="00180EEB" w:rsidRDefault="00274792" w14:paraId="4180AE3E" w14:textId="77777777">
      <w:pPr>
        <w:suppressAutoHyphens/>
      </w:pPr>
    </w:p>
    <w:p w:rsidRPr="005F055E" w:rsidR="00274792" w:rsidP="00180EEB" w:rsidRDefault="00274792" w14:paraId="7A2AC868" w14:textId="77777777">
      <w:pPr>
        <w:suppressAutoHyphens/>
      </w:pPr>
    </w:p>
    <w:p w:rsidRPr="005F055E" w:rsidR="00274792" w:rsidP="00180EEB" w:rsidRDefault="003E7003" w14:paraId="6870F22E" w14:textId="77777777">
      <w:pPr>
        <w:suppressAutoHyphens/>
      </w:pPr>
      <w:r w:rsidRPr="005F055E">
        <w:t>Vraag 256</w:t>
      </w:r>
      <w:r w:rsidRPr="005F055E">
        <w:tab/>
      </w:r>
    </w:p>
    <w:p w:rsidRPr="005F055E" w:rsidR="00274792" w:rsidP="00180EEB" w:rsidRDefault="003E7003" w14:paraId="54A2AF50" w14:textId="77777777">
      <w:pPr>
        <w:suppressAutoHyphens/>
      </w:pPr>
      <w:r w:rsidRPr="005F055E">
        <w:t>Wat is het percentage rokers (tegenover niet-rokers) in de samenleving, uitgesplitst in minderjarig en meerjarig en in jaren vanaf 2020?</w:t>
      </w:r>
      <w:r w:rsidRPr="005F055E">
        <w:tab/>
      </w:r>
    </w:p>
    <w:p w:rsidRPr="005F055E" w:rsidR="003E7003" w:rsidP="00180EEB" w:rsidRDefault="003E7003" w14:paraId="6900A477" w14:textId="5007C1CD">
      <w:pPr>
        <w:suppressAutoHyphens/>
      </w:pPr>
      <w:r w:rsidRPr="005F055E">
        <w:t>Antwoord</w:t>
      </w:r>
    </w:p>
    <w:p w:rsidRPr="005F055E" w:rsidR="00630335" w:rsidP="00180EEB" w:rsidRDefault="00630335" w14:paraId="72977E03" w14:textId="77777777">
      <w:pPr>
        <w:suppressAutoHyphens/>
        <w:spacing w:line="240" w:lineRule="atLeast"/>
        <w:rPr>
          <w:szCs w:val="18"/>
          <w:lang w:eastAsia="nl-NL"/>
        </w:rPr>
      </w:pPr>
      <w:r w:rsidRPr="005F055E">
        <w:rPr>
          <w:szCs w:val="18"/>
          <w:lang w:eastAsia="nl-NL"/>
        </w:rPr>
        <w:t>Voor het percentage 18-plussers dat weleens rookt is een dalende trend zichtbaar: van 20,2% in 2020, 20,6% in 2021, 18,9% in 2022, en 19,0% in 2023 naar 18,2% in 2024.</w:t>
      </w:r>
      <w:r w:rsidRPr="005F055E">
        <w:rPr>
          <w:szCs w:val="18"/>
          <w:vertAlign w:val="superscript"/>
          <w:lang w:eastAsia="nl-NL"/>
        </w:rPr>
        <w:footnoteReference w:id="85"/>
      </w:r>
      <w:r w:rsidRPr="005F055E">
        <w:rPr>
          <w:szCs w:val="18"/>
          <w:lang w:eastAsia="nl-NL"/>
        </w:rPr>
        <w:t xml:space="preserve"> Voor minderjarigen zijn de cijfers van het </w:t>
      </w:r>
      <w:proofErr w:type="spellStart"/>
      <w:r w:rsidRPr="005F055E">
        <w:rPr>
          <w:szCs w:val="18"/>
          <w:lang w:eastAsia="nl-NL"/>
        </w:rPr>
        <w:t>Peilstationsonderzoek</w:t>
      </w:r>
      <w:proofErr w:type="spellEnd"/>
      <w:r w:rsidRPr="005F055E">
        <w:rPr>
          <w:szCs w:val="18"/>
          <w:lang w:eastAsia="nl-NL"/>
        </w:rPr>
        <w:t xml:space="preserve"> en het HBSC-onderzoek die onder scholieren worden afgenomen het meest betrouwbaar. Deze worden elke twee jaar verzameld onder 12- t/m 16-jarigen. De cijfers laten geen duidelijke trend zien: 7,7% van de 12- t/m 16-jarigen gaf in 2019 aan de afgelopen maand gerookt te hebben. In 2021 was dit 9,5%, en in 2023 8,5%.</w:t>
      </w:r>
      <w:r w:rsidRPr="005F055E">
        <w:rPr>
          <w:szCs w:val="18"/>
          <w:vertAlign w:val="superscript"/>
          <w:lang w:eastAsia="nl-NL"/>
        </w:rPr>
        <w:footnoteReference w:id="86"/>
      </w:r>
      <w:r w:rsidRPr="005F055E">
        <w:rPr>
          <w:szCs w:val="18"/>
          <w:lang w:eastAsia="nl-NL"/>
        </w:rPr>
        <w:t xml:space="preserve"> </w:t>
      </w:r>
    </w:p>
    <w:p w:rsidRPr="005F055E" w:rsidR="00274792" w:rsidP="00180EEB" w:rsidRDefault="00274792" w14:paraId="3FAEAD66" w14:textId="77777777">
      <w:pPr>
        <w:suppressAutoHyphens/>
      </w:pPr>
    </w:p>
    <w:p w:rsidRPr="005F055E" w:rsidR="00274792" w:rsidP="00180EEB" w:rsidRDefault="003E7003" w14:paraId="27869211" w14:textId="77777777">
      <w:pPr>
        <w:suppressAutoHyphens/>
      </w:pPr>
      <w:r w:rsidRPr="005F055E">
        <w:t>Vraag 257</w:t>
      </w:r>
      <w:r w:rsidRPr="005F055E">
        <w:tab/>
      </w:r>
    </w:p>
    <w:p w:rsidRPr="005F055E" w:rsidR="00274792" w:rsidP="00180EEB" w:rsidRDefault="003E7003" w14:paraId="07B80C96" w14:textId="77777777">
      <w:pPr>
        <w:suppressAutoHyphens/>
      </w:pPr>
      <w:r w:rsidRPr="005F055E">
        <w:t>Wat is het percentage mensen met overgewicht (tegenover mensen zonder overgewicht) in de samenleving, uitgesplist in minderjarig en meerjarig en in jaren vanaf 2020?</w:t>
      </w:r>
      <w:r w:rsidRPr="005F055E">
        <w:tab/>
      </w:r>
    </w:p>
    <w:p w:rsidR="005A374A" w:rsidP="00180EEB" w:rsidRDefault="003E7003" w14:paraId="069AA68E" w14:textId="775B36DF">
      <w:pPr>
        <w:suppressAutoHyphens/>
      </w:pPr>
      <w:r w:rsidRPr="005F055E">
        <w:t>Antwoord</w:t>
      </w:r>
    </w:p>
    <w:tbl>
      <w:tblPr>
        <w:tblStyle w:val="Tabelraster"/>
        <w:tblW w:w="0" w:type="auto"/>
        <w:tblLook w:val="04A0" w:firstRow="1" w:lastRow="0" w:firstColumn="1" w:lastColumn="0" w:noHBand="0" w:noVBand="1"/>
      </w:tblPr>
      <w:tblGrid>
        <w:gridCol w:w="1628"/>
        <w:gridCol w:w="3878"/>
      </w:tblGrid>
      <w:tr w:rsidR="005A374A" w:rsidTr="00C64B91" w14:paraId="63C4F32A" w14:textId="77777777">
        <w:trPr>
          <w:trHeight w:val="473"/>
        </w:trPr>
        <w:tc>
          <w:tcPr>
            <w:tcW w:w="5506" w:type="dxa"/>
            <w:gridSpan w:val="2"/>
          </w:tcPr>
          <w:p w:rsidRPr="00C64B91" w:rsidR="005A374A" w:rsidP="00180EEB" w:rsidRDefault="005A374A" w14:paraId="07F52CD1" w14:textId="3C918F4E">
            <w:pPr>
              <w:suppressAutoHyphens/>
              <w:spacing w:line="240" w:lineRule="atLeast"/>
              <w:rPr>
                <w:rFonts w:eastAsia="Times New Roman" w:cs="Times New Roman"/>
                <w:b/>
                <w:bCs/>
                <w:szCs w:val="18"/>
                <w:lang w:eastAsia="nl-NL"/>
              </w:rPr>
            </w:pPr>
            <w:r w:rsidRPr="00C64B91">
              <w:rPr>
                <w:rFonts w:eastAsia="Times New Roman" w:cs="Times New Roman"/>
                <w:b/>
                <w:bCs/>
                <w:szCs w:val="18"/>
                <w:lang w:eastAsia="nl-NL"/>
              </w:rPr>
              <w:t>Het percentage kinderen (4-18 jaar) met overgewicht vanaf 2020 is als volgt:</w:t>
            </w:r>
          </w:p>
        </w:tc>
      </w:tr>
      <w:tr w:rsidR="005A374A" w:rsidTr="00C64B91" w14:paraId="3B603416" w14:textId="77777777">
        <w:trPr>
          <w:trHeight w:val="473"/>
        </w:trPr>
        <w:tc>
          <w:tcPr>
            <w:tcW w:w="1628" w:type="dxa"/>
          </w:tcPr>
          <w:p w:rsidRPr="005A374A" w:rsidR="005A374A" w:rsidP="00180EEB" w:rsidRDefault="005A374A" w14:paraId="15B176AA" w14:textId="095690EC">
            <w:pPr>
              <w:pStyle w:val="Lijstalinea"/>
              <w:numPr>
                <w:ilvl w:val="0"/>
                <w:numId w:val="18"/>
              </w:numPr>
              <w:suppressAutoHyphens/>
            </w:pPr>
            <w:r>
              <w:t xml:space="preserve">2020 </w:t>
            </w:r>
          </w:p>
        </w:tc>
        <w:tc>
          <w:tcPr>
            <w:tcW w:w="3877" w:type="dxa"/>
          </w:tcPr>
          <w:p w:rsidR="005A374A" w:rsidP="00180EEB" w:rsidRDefault="005A374A" w14:paraId="54221A85" w14:textId="016581EE">
            <w:pPr>
              <w:suppressAutoHyphens/>
            </w:pPr>
            <w:r w:rsidRPr="005F055E">
              <w:rPr>
                <w:rFonts w:eastAsia="Times New Roman" w:cs="Times New Roman"/>
                <w:szCs w:val="18"/>
                <w:lang w:eastAsia="nl-NL"/>
              </w:rPr>
              <w:t>14,7% overgewicht, waarvan 2,5% obesitas</w:t>
            </w:r>
          </w:p>
        </w:tc>
      </w:tr>
      <w:tr w:rsidR="005A374A" w:rsidTr="00C64B91" w14:paraId="70503DF4" w14:textId="77777777">
        <w:trPr>
          <w:trHeight w:val="473"/>
        </w:trPr>
        <w:tc>
          <w:tcPr>
            <w:tcW w:w="1628" w:type="dxa"/>
          </w:tcPr>
          <w:p w:rsidRPr="005A374A" w:rsidR="005A374A" w:rsidP="00180EEB" w:rsidRDefault="005A374A" w14:paraId="74BB0CAD" w14:textId="5240E8E0">
            <w:pPr>
              <w:pStyle w:val="Lijstalinea"/>
              <w:numPr>
                <w:ilvl w:val="0"/>
                <w:numId w:val="18"/>
              </w:numPr>
              <w:suppressAutoHyphens/>
            </w:pPr>
            <w:r>
              <w:t xml:space="preserve">2021 </w:t>
            </w:r>
          </w:p>
        </w:tc>
        <w:tc>
          <w:tcPr>
            <w:tcW w:w="3877" w:type="dxa"/>
          </w:tcPr>
          <w:p w:rsidR="005A374A" w:rsidP="00180EEB" w:rsidRDefault="005A374A" w14:paraId="46E23D23" w14:textId="58095EEC">
            <w:pPr>
              <w:suppressAutoHyphens/>
            </w:pPr>
            <w:r w:rsidRPr="005F055E">
              <w:rPr>
                <w:rFonts w:eastAsia="Times New Roman" w:cs="Times New Roman"/>
                <w:szCs w:val="18"/>
                <w:lang w:eastAsia="nl-NL"/>
              </w:rPr>
              <w:t>15,9% overgewicht, waarvan 3,5% obesitas</w:t>
            </w:r>
          </w:p>
        </w:tc>
      </w:tr>
      <w:tr w:rsidR="005A374A" w:rsidTr="00C64B91" w14:paraId="4CB62962" w14:textId="77777777">
        <w:trPr>
          <w:trHeight w:val="497"/>
        </w:trPr>
        <w:tc>
          <w:tcPr>
            <w:tcW w:w="1628" w:type="dxa"/>
          </w:tcPr>
          <w:p w:rsidRPr="005A374A" w:rsidR="005A374A" w:rsidP="00180EEB" w:rsidRDefault="005A374A" w14:paraId="5165BC77" w14:textId="70695B8A">
            <w:pPr>
              <w:pStyle w:val="Lijstalinea"/>
              <w:numPr>
                <w:ilvl w:val="0"/>
                <w:numId w:val="18"/>
              </w:numPr>
              <w:suppressAutoHyphens/>
            </w:pPr>
            <w:r>
              <w:t xml:space="preserve">2022 </w:t>
            </w:r>
          </w:p>
        </w:tc>
        <w:tc>
          <w:tcPr>
            <w:tcW w:w="3877" w:type="dxa"/>
          </w:tcPr>
          <w:p w:rsidR="005A374A" w:rsidP="00180EEB" w:rsidRDefault="005A374A" w14:paraId="46FC00C4" w14:textId="38A654A7">
            <w:pPr>
              <w:suppressAutoHyphens/>
            </w:pPr>
            <w:r w:rsidRPr="005F055E">
              <w:rPr>
                <w:rFonts w:eastAsia="Times New Roman" w:cs="Times New Roman"/>
                <w:szCs w:val="18"/>
                <w:lang w:eastAsia="nl-NL"/>
              </w:rPr>
              <w:t>12,9% overgewicht, waarvan 3% obesitas</w:t>
            </w:r>
          </w:p>
        </w:tc>
      </w:tr>
      <w:tr w:rsidR="005A374A" w:rsidTr="00C64B91" w14:paraId="09107671" w14:textId="77777777">
        <w:trPr>
          <w:trHeight w:val="473"/>
        </w:trPr>
        <w:tc>
          <w:tcPr>
            <w:tcW w:w="1628" w:type="dxa"/>
          </w:tcPr>
          <w:p w:rsidRPr="005A374A" w:rsidR="005A374A" w:rsidP="00180EEB" w:rsidRDefault="005A374A" w14:paraId="035E67B3" w14:textId="6BD7739C">
            <w:pPr>
              <w:pStyle w:val="Lijstalinea"/>
              <w:numPr>
                <w:ilvl w:val="0"/>
                <w:numId w:val="18"/>
              </w:numPr>
              <w:suppressAutoHyphens/>
            </w:pPr>
            <w:r>
              <w:t xml:space="preserve">2023 </w:t>
            </w:r>
          </w:p>
        </w:tc>
        <w:tc>
          <w:tcPr>
            <w:tcW w:w="3877" w:type="dxa"/>
          </w:tcPr>
          <w:p w:rsidR="005A374A" w:rsidP="00180EEB" w:rsidRDefault="005A374A" w14:paraId="57BD025C" w14:textId="6AD0E7CF">
            <w:pPr>
              <w:suppressAutoHyphens/>
            </w:pPr>
            <w:r w:rsidRPr="005F055E">
              <w:rPr>
                <w:rFonts w:eastAsia="Times New Roman" w:cs="Times New Roman"/>
                <w:szCs w:val="18"/>
                <w:lang w:eastAsia="nl-NL"/>
              </w:rPr>
              <w:t>12,7% overgewicht, waarvan 4,1% obesitas</w:t>
            </w:r>
          </w:p>
        </w:tc>
      </w:tr>
      <w:tr w:rsidR="005A374A" w:rsidTr="00C64B91" w14:paraId="22BDAA0A" w14:textId="77777777">
        <w:trPr>
          <w:trHeight w:val="473"/>
        </w:trPr>
        <w:tc>
          <w:tcPr>
            <w:tcW w:w="1628" w:type="dxa"/>
          </w:tcPr>
          <w:p w:rsidRPr="005A374A" w:rsidR="005A374A" w:rsidP="00180EEB" w:rsidRDefault="005A374A" w14:paraId="579C798F" w14:textId="218906E5">
            <w:pPr>
              <w:pStyle w:val="Lijstalinea"/>
              <w:numPr>
                <w:ilvl w:val="0"/>
                <w:numId w:val="18"/>
              </w:numPr>
              <w:suppressAutoHyphens/>
            </w:pPr>
            <w:r>
              <w:t xml:space="preserve">2024 </w:t>
            </w:r>
          </w:p>
        </w:tc>
        <w:tc>
          <w:tcPr>
            <w:tcW w:w="3877" w:type="dxa"/>
          </w:tcPr>
          <w:p w:rsidR="005A374A" w:rsidP="00180EEB" w:rsidRDefault="005A374A" w14:paraId="28F038BE" w14:textId="1D9F2FE6">
            <w:pPr>
              <w:suppressAutoHyphens/>
            </w:pPr>
            <w:r w:rsidRPr="005F055E">
              <w:rPr>
                <w:rFonts w:eastAsia="Times New Roman" w:cs="Times New Roman"/>
                <w:szCs w:val="18"/>
                <w:lang w:eastAsia="nl-NL"/>
              </w:rPr>
              <w:t>14,2% overgewicht, waarvan 3,6% obesitas</w:t>
            </w:r>
          </w:p>
        </w:tc>
      </w:tr>
    </w:tbl>
    <w:p w:rsidRPr="005F055E" w:rsidR="00575A49" w:rsidP="00180EEB" w:rsidRDefault="00575A49" w14:paraId="7A6FDD25" w14:textId="77777777">
      <w:pPr>
        <w:suppressAutoHyphens/>
        <w:spacing w:after="0" w:line="240" w:lineRule="auto"/>
        <w:rPr>
          <w:rFonts w:eastAsia="Calibri" w:cs="Times New Roman"/>
          <w:sz w:val="20"/>
          <w:szCs w:val="20"/>
          <w:lang w:eastAsia="nl-NL"/>
        </w:rPr>
      </w:pPr>
      <w:r w:rsidRPr="005F055E">
        <w:rPr>
          <w:rFonts w:eastAsia="Calibri" w:cs="Times New Roman"/>
          <w:szCs w:val="18"/>
          <w:lang w:eastAsia="nl-NL"/>
        </w:rPr>
        <w:t>Bron:</w:t>
      </w:r>
      <w:r w:rsidRPr="005F055E">
        <w:rPr>
          <w:rFonts w:eastAsia="Calibri" w:cs="Times New Roman"/>
          <w:sz w:val="24"/>
          <w:szCs w:val="24"/>
          <w:lang w:eastAsia="nl-NL"/>
        </w:rPr>
        <w:t xml:space="preserve"> </w:t>
      </w:r>
      <w:hyperlink w:history="1" r:id="rId24">
        <w:r w:rsidRPr="005F055E">
          <w:rPr>
            <w:rFonts w:eastAsia="Calibri" w:cs="Times New Roman"/>
            <w:color w:val="467886"/>
            <w:szCs w:val="18"/>
            <w:u w:val="single"/>
            <w:lang w:eastAsia="nl-NL"/>
          </w:rPr>
          <w:t>https://www.staatvenz.nl/kerncijfers/overgewicht-jongeren</w:t>
        </w:r>
      </w:hyperlink>
      <w:r w:rsidRPr="005F055E">
        <w:rPr>
          <w:rFonts w:eastAsia="Calibri" w:cs="Times New Roman"/>
          <w:sz w:val="20"/>
          <w:szCs w:val="20"/>
          <w:lang w:eastAsia="nl-NL"/>
        </w:rPr>
        <w:t xml:space="preserve"> </w:t>
      </w:r>
    </w:p>
    <w:p w:rsidR="005A374A" w:rsidP="00180EEB" w:rsidRDefault="005A374A" w14:paraId="189506EF" w14:textId="77777777">
      <w:pPr>
        <w:suppressAutoHyphens/>
        <w:spacing w:after="0" w:line="240" w:lineRule="atLeast"/>
        <w:rPr>
          <w:rFonts w:eastAsia="Times New Roman" w:cs="Times New Roman"/>
          <w:szCs w:val="18"/>
          <w:lang w:eastAsia="nl-NL"/>
        </w:rPr>
      </w:pPr>
    </w:p>
    <w:tbl>
      <w:tblPr>
        <w:tblStyle w:val="Tabelraster"/>
        <w:tblW w:w="0" w:type="auto"/>
        <w:tblLook w:val="04A0" w:firstRow="1" w:lastRow="0" w:firstColumn="1" w:lastColumn="0" w:noHBand="0" w:noVBand="1"/>
      </w:tblPr>
      <w:tblGrid>
        <w:gridCol w:w="1838"/>
        <w:gridCol w:w="3578"/>
      </w:tblGrid>
      <w:tr w:rsidR="005A374A" w:rsidTr="00C64B91" w14:paraId="1600CCD7" w14:textId="77777777">
        <w:trPr>
          <w:trHeight w:val="487"/>
        </w:trPr>
        <w:tc>
          <w:tcPr>
            <w:tcW w:w="5416" w:type="dxa"/>
            <w:gridSpan w:val="2"/>
          </w:tcPr>
          <w:p w:rsidRPr="00C64B91" w:rsidR="005A374A" w:rsidP="00180EEB" w:rsidRDefault="005A374A" w14:paraId="10189050" w14:textId="77777777">
            <w:pPr>
              <w:suppressAutoHyphens/>
              <w:spacing w:line="240" w:lineRule="atLeast"/>
              <w:rPr>
                <w:rFonts w:eastAsia="Times New Roman" w:cs="Times New Roman"/>
                <w:b/>
                <w:bCs/>
                <w:szCs w:val="18"/>
                <w:lang w:eastAsia="nl-NL"/>
              </w:rPr>
            </w:pPr>
            <w:r w:rsidRPr="00C64B91">
              <w:rPr>
                <w:rFonts w:eastAsia="Times New Roman" w:cs="Times New Roman"/>
                <w:b/>
                <w:bCs/>
                <w:szCs w:val="18"/>
                <w:lang w:eastAsia="nl-NL"/>
              </w:rPr>
              <w:t xml:space="preserve">Het percentage volwassenen (18+) met overgewicht vanaf 2020 ziet er als volgt uit: </w:t>
            </w:r>
          </w:p>
          <w:p w:rsidR="005A374A" w:rsidP="00180EEB" w:rsidRDefault="005A374A" w14:paraId="65CD74A5" w14:textId="77777777">
            <w:pPr>
              <w:suppressAutoHyphens/>
              <w:spacing w:line="240" w:lineRule="atLeast"/>
              <w:rPr>
                <w:rFonts w:eastAsia="Times New Roman" w:cs="Times New Roman"/>
                <w:szCs w:val="18"/>
                <w:lang w:eastAsia="nl-NL"/>
              </w:rPr>
            </w:pPr>
          </w:p>
        </w:tc>
      </w:tr>
      <w:tr w:rsidR="005A374A" w:rsidTr="00C64B91" w14:paraId="4C611B7C" w14:textId="77777777">
        <w:trPr>
          <w:trHeight w:val="335"/>
        </w:trPr>
        <w:tc>
          <w:tcPr>
            <w:tcW w:w="1838" w:type="dxa"/>
          </w:tcPr>
          <w:p w:rsidRPr="00C64B91" w:rsidR="005A374A" w:rsidP="00180EEB" w:rsidRDefault="005A374A" w14:paraId="37BF00FD" w14:textId="788CEB96">
            <w:pPr>
              <w:pStyle w:val="Lijstalinea"/>
              <w:numPr>
                <w:ilvl w:val="0"/>
                <w:numId w:val="18"/>
              </w:numPr>
              <w:suppressAutoHyphens/>
              <w:spacing w:line="240" w:lineRule="atLeast"/>
              <w:rPr>
                <w:rFonts w:eastAsia="Times New Roman" w:cs="Times New Roman"/>
                <w:szCs w:val="18"/>
                <w:lang w:eastAsia="nl-NL"/>
              </w:rPr>
            </w:pPr>
            <w:r>
              <w:rPr>
                <w:rFonts w:eastAsia="Times New Roman" w:cs="Times New Roman"/>
                <w:szCs w:val="18"/>
                <w:lang w:eastAsia="nl-NL"/>
              </w:rPr>
              <w:t xml:space="preserve">2020 </w:t>
            </w:r>
          </w:p>
        </w:tc>
        <w:tc>
          <w:tcPr>
            <w:tcW w:w="3578" w:type="dxa"/>
          </w:tcPr>
          <w:p w:rsidR="005A374A" w:rsidP="00180EEB" w:rsidRDefault="005A374A" w14:paraId="3595BC2F" w14:textId="52A1963A">
            <w:pPr>
              <w:suppressAutoHyphens/>
              <w:spacing w:line="240" w:lineRule="atLeast"/>
              <w:rPr>
                <w:rFonts w:eastAsia="Times New Roman" w:cs="Times New Roman"/>
                <w:szCs w:val="18"/>
                <w:lang w:eastAsia="nl-NL"/>
              </w:rPr>
            </w:pPr>
            <w:r w:rsidRPr="005F055E">
              <w:rPr>
                <w:rFonts w:eastAsia="Times New Roman" w:cs="Times New Roman"/>
                <w:szCs w:val="18"/>
                <w:lang w:eastAsia="nl-NL"/>
              </w:rPr>
              <w:t>50% overgewicht, waarvan 13,9% obesitas</w:t>
            </w:r>
          </w:p>
        </w:tc>
      </w:tr>
      <w:tr w:rsidR="005A374A" w:rsidTr="00C64B91" w14:paraId="5BE6662E" w14:textId="77777777">
        <w:trPr>
          <w:trHeight w:val="316"/>
        </w:trPr>
        <w:tc>
          <w:tcPr>
            <w:tcW w:w="1838" w:type="dxa"/>
          </w:tcPr>
          <w:p w:rsidRPr="00C64B91" w:rsidR="005A374A" w:rsidP="00180EEB" w:rsidRDefault="005A374A" w14:paraId="446837AB" w14:textId="6D6FC899">
            <w:pPr>
              <w:pStyle w:val="Lijstalinea"/>
              <w:numPr>
                <w:ilvl w:val="0"/>
                <w:numId w:val="18"/>
              </w:numPr>
              <w:suppressAutoHyphens/>
              <w:spacing w:line="240" w:lineRule="atLeast"/>
              <w:rPr>
                <w:rFonts w:eastAsia="Times New Roman" w:cs="Times New Roman"/>
                <w:szCs w:val="18"/>
                <w:lang w:eastAsia="nl-NL"/>
              </w:rPr>
            </w:pPr>
            <w:r>
              <w:rPr>
                <w:rFonts w:eastAsia="Times New Roman" w:cs="Times New Roman"/>
                <w:szCs w:val="18"/>
                <w:lang w:eastAsia="nl-NL"/>
              </w:rPr>
              <w:t xml:space="preserve">2021 </w:t>
            </w:r>
          </w:p>
        </w:tc>
        <w:tc>
          <w:tcPr>
            <w:tcW w:w="3578" w:type="dxa"/>
          </w:tcPr>
          <w:p w:rsidR="005A374A" w:rsidP="00180EEB" w:rsidRDefault="005A374A" w14:paraId="6D2C69DE" w14:textId="42558DCB">
            <w:pPr>
              <w:suppressAutoHyphens/>
              <w:spacing w:line="240" w:lineRule="atLeast"/>
              <w:rPr>
                <w:rFonts w:eastAsia="Times New Roman" w:cs="Times New Roman"/>
                <w:szCs w:val="18"/>
                <w:lang w:eastAsia="nl-NL"/>
              </w:rPr>
            </w:pPr>
            <w:r w:rsidRPr="005F055E">
              <w:rPr>
                <w:rFonts w:eastAsia="Times New Roman" w:cs="Times New Roman"/>
                <w:szCs w:val="18"/>
                <w:lang w:eastAsia="nl-NL"/>
              </w:rPr>
              <w:t>50% overgewicht, waarvan 14,3% obesitas</w:t>
            </w:r>
          </w:p>
        </w:tc>
      </w:tr>
      <w:tr w:rsidR="005A374A" w:rsidTr="00C64B91" w14:paraId="55FF16B4" w14:textId="77777777">
        <w:trPr>
          <w:trHeight w:val="335"/>
        </w:trPr>
        <w:tc>
          <w:tcPr>
            <w:tcW w:w="1838" w:type="dxa"/>
          </w:tcPr>
          <w:p w:rsidRPr="00C64B91" w:rsidR="005A374A" w:rsidP="00180EEB" w:rsidRDefault="00E0019C" w14:paraId="30EAC85B" w14:textId="3CE712D5">
            <w:pPr>
              <w:pStyle w:val="Lijstalinea"/>
              <w:numPr>
                <w:ilvl w:val="0"/>
                <w:numId w:val="18"/>
              </w:numPr>
              <w:suppressAutoHyphens/>
              <w:spacing w:line="240" w:lineRule="atLeast"/>
              <w:rPr>
                <w:rFonts w:eastAsia="Times New Roman" w:cs="Times New Roman"/>
                <w:szCs w:val="18"/>
                <w:lang w:eastAsia="nl-NL"/>
              </w:rPr>
            </w:pPr>
            <w:r>
              <w:rPr>
                <w:rFonts w:eastAsia="Times New Roman" w:cs="Times New Roman"/>
                <w:szCs w:val="18"/>
                <w:lang w:eastAsia="nl-NL"/>
              </w:rPr>
              <w:t>2022</w:t>
            </w:r>
          </w:p>
        </w:tc>
        <w:tc>
          <w:tcPr>
            <w:tcW w:w="3578" w:type="dxa"/>
          </w:tcPr>
          <w:p w:rsidR="005A374A" w:rsidP="00180EEB" w:rsidRDefault="005A374A" w14:paraId="3A151623" w14:textId="17C0FC5D">
            <w:pPr>
              <w:suppressAutoHyphens/>
              <w:spacing w:line="240" w:lineRule="atLeast"/>
              <w:rPr>
                <w:rFonts w:eastAsia="Times New Roman" w:cs="Times New Roman"/>
                <w:szCs w:val="18"/>
                <w:lang w:eastAsia="nl-NL"/>
              </w:rPr>
            </w:pPr>
            <w:r w:rsidRPr="005F055E">
              <w:rPr>
                <w:rFonts w:eastAsia="Times New Roman" w:cs="Times New Roman"/>
                <w:szCs w:val="18"/>
                <w:lang w:eastAsia="nl-NL"/>
              </w:rPr>
              <w:t>50,2% overgewicht, waarvan 15,1% obesitas</w:t>
            </w:r>
          </w:p>
        </w:tc>
      </w:tr>
      <w:tr w:rsidR="005A374A" w:rsidTr="00C64B91" w14:paraId="136A3CC8" w14:textId="77777777">
        <w:trPr>
          <w:trHeight w:val="316"/>
        </w:trPr>
        <w:tc>
          <w:tcPr>
            <w:tcW w:w="1838" w:type="dxa"/>
          </w:tcPr>
          <w:p w:rsidRPr="00C64B91" w:rsidR="005A374A" w:rsidP="00180EEB" w:rsidRDefault="00E0019C" w14:paraId="3616D700" w14:textId="171CEBEF">
            <w:pPr>
              <w:pStyle w:val="Lijstalinea"/>
              <w:numPr>
                <w:ilvl w:val="0"/>
                <w:numId w:val="18"/>
              </w:numPr>
              <w:suppressAutoHyphens/>
              <w:spacing w:line="240" w:lineRule="atLeast"/>
              <w:rPr>
                <w:rFonts w:eastAsia="Times New Roman" w:cs="Times New Roman"/>
                <w:szCs w:val="18"/>
                <w:lang w:eastAsia="nl-NL"/>
              </w:rPr>
            </w:pPr>
            <w:r>
              <w:rPr>
                <w:rFonts w:eastAsia="Times New Roman" w:cs="Times New Roman"/>
                <w:szCs w:val="18"/>
                <w:lang w:eastAsia="nl-NL"/>
              </w:rPr>
              <w:t>2023</w:t>
            </w:r>
          </w:p>
        </w:tc>
        <w:tc>
          <w:tcPr>
            <w:tcW w:w="3578" w:type="dxa"/>
          </w:tcPr>
          <w:p w:rsidR="005A374A" w:rsidP="00180EEB" w:rsidRDefault="00E0019C" w14:paraId="2542EC26" w14:textId="33DC7991">
            <w:pPr>
              <w:suppressAutoHyphens/>
              <w:spacing w:line="240" w:lineRule="atLeast"/>
              <w:rPr>
                <w:rFonts w:eastAsia="Times New Roman" w:cs="Times New Roman"/>
                <w:szCs w:val="18"/>
                <w:lang w:eastAsia="nl-NL"/>
              </w:rPr>
            </w:pPr>
            <w:r w:rsidRPr="005F055E">
              <w:rPr>
                <w:rFonts w:eastAsia="Times New Roman" w:cs="Times New Roman"/>
                <w:szCs w:val="18"/>
                <w:lang w:eastAsia="nl-NL"/>
              </w:rPr>
              <w:t>50% overgewicht, waarvan 15,4% obesitas</w:t>
            </w:r>
          </w:p>
        </w:tc>
      </w:tr>
      <w:tr w:rsidR="005A374A" w:rsidTr="00C64B91" w14:paraId="29FF1C6C" w14:textId="77777777">
        <w:trPr>
          <w:trHeight w:val="316"/>
        </w:trPr>
        <w:tc>
          <w:tcPr>
            <w:tcW w:w="1838" w:type="dxa"/>
          </w:tcPr>
          <w:p w:rsidRPr="00C64B91" w:rsidR="005A374A" w:rsidP="00180EEB" w:rsidRDefault="00E0019C" w14:paraId="6DAA895D" w14:textId="3949F590">
            <w:pPr>
              <w:pStyle w:val="Lijstalinea"/>
              <w:numPr>
                <w:ilvl w:val="0"/>
                <w:numId w:val="18"/>
              </w:numPr>
              <w:suppressAutoHyphens/>
              <w:spacing w:line="240" w:lineRule="atLeast"/>
              <w:rPr>
                <w:rFonts w:eastAsia="Times New Roman" w:cs="Times New Roman"/>
                <w:szCs w:val="18"/>
                <w:lang w:eastAsia="nl-NL"/>
              </w:rPr>
            </w:pPr>
            <w:r>
              <w:rPr>
                <w:rFonts w:eastAsia="Times New Roman" w:cs="Times New Roman"/>
                <w:szCs w:val="18"/>
                <w:lang w:eastAsia="nl-NL"/>
              </w:rPr>
              <w:t>2024</w:t>
            </w:r>
          </w:p>
        </w:tc>
        <w:tc>
          <w:tcPr>
            <w:tcW w:w="3578" w:type="dxa"/>
          </w:tcPr>
          <w:p w:rsidR="005A374A" w:rsidP="00180EEB" w:rsidRDefault="00E0019C" w14:paraId="4264A447" w14:textId="0E055AF5">
            <w:pPr>
              <w:suppressAutoHyphens/>
              <w:spacing w:line="240" w:lineRule="atLeast"/>
              <w:rPr>
                <w:rFonts w:eastAsia="Times New Roman" w:cs="Times New Roman"/>
                <w:szCs w:val="18"/>
                <w:lang w:eastAsia="nl-NL"/>
              </w:rPr>
            </w:pPr>
            <w:r w:rsidRPr="005F055E">
              <w:rPr>
                <w:rFonts w:eastAsia="Times New Roman" w:cs="Times New Roman"/>
                <w:szCs w:val="18"/>
                <w:lang w:eastAsia="nl-NL"/>
              </w:rPr>
              <w:t>50,4% overgewicht, waarvan 15,7% obesitas</w:t>
            </w:r>
          </w:p>
        </w:tc>
      </w:tr>
    </w:tbl>
    <w:p w:rsidRPr="005F055E" w:rsidR="00575A49" w:rsidP="00180EEB" w:rsidRDefault="00575A49" w14:paraId="1AA4A4AD" w14:textId="77777777">
      <w:pPr>
        <w:suppressAutoHyphens/>
        <w:spacing w:after="0" w:line="240" w:lineRule="atLeast"/>
        <w:rPr>
          <w:rFonts w:eastAsia="Times New Roman" w:cs="Times New Roman"/>
          <w:sz w:val="24"/>
          <w:szCs w:val="24"/>
          <w:lang w:eastAsia="nl-NL"/>
        </w:rPr>
      </w:pPr>
      <w:r w:rsidRPr="005F055E">
        <w:rPr>
          <w:rFonts w:eastAsia="Times New Roman" w:cs="Times New Roman"/>
          <w:szCs w:val="18"/>
          <w:lang w:eastAsia="nl-NL"/>
        </w:rPr>
        <w:t xml:space="preserve">Bron: </w:t>
      </w:r>
      <w:hyperlink w:history="1" r:id="rId25">
        <w:r w:rsidRPr="005F055E">
          <w:rPr>
            <w:rFonts w:eastAsia="Times New Roman" w:cs="Times New Roman"/>
            <w:color w:val="467886"/>
            <w:szCs w:val="18"/>
            <w:u w:val="single"/>
            <w:lang w:eastAsia="nl-NL"/>
          </w:rPr>
          <w:t>https://www.staatvenz.nl/kerncijfers/overgewicht-volwassenen</w:t>
        </w:r>
      </w:hyperlink>
    </w:p>
    <w:p w:rsidR="005A374A" w:rsidP="00180EEB" w:rsidRDefault="005A374A" w14:paraId="35AB13F0" w14:textId="77777777">
      <w:pPr>
        <w:suppressAutoHyphens/>
      </w:pPr>
    </w:p>
    <w:p w:rsidR="005A374A" w:rsidP="00180EEB" w:rsidRDefault="005A374A" w14:paraId="6DAD93FD" w14:textId="77777777">
      <w:pPr>
        <w:suppressAutoHyphens/>
      </w:pPr>
    </w:p>
    <w:p w:rsidRPr="005F055E" w:rsidR="00274792" w:rsidP="00180EEB" w:rsidRDefault="003E7003" w14:paraId="54A2AC18" w14:textId="0AC61F5B">
      <w:pPr>
        <w:suppressAutoHyphens/>
      </w:pPr>
      <w:r w:rsidRPr="005F055E">
        <w:t>Vraag 258</w:t>
      </w:r>
      <w:r w:rsidRPr="005F055E">
        <w:tab/>
      </w:r>
    </w:p>
    <w:p w:rsidRPr="005F055E" w:rsidR="00274792" w:rsidP="00180EEB" w:rsidRDefault="003E7003" w14:paraId="4596A943" w14:textId="77777777">
      <w:pPr>
        <w:suppressAutoHyphens/>
      </w:pPr>
      <w:r w:rsidRPr="005F055E">
        <w:t>Wat is de vaccinatiegraad van kinderen tot vier jaar oud, uitgesplitst in jaren vanaf 2000?</w:t>
      </w:r>
      <w:r w:rsidRPr="005F055E">
        <w:tab/>
      </w:r>
    </w:p>
    <w:p w:rsidRPr="005F055E" w:rsidR="003E7003" w:rsidP="00180EEB" w:rsidRDefault="003E7003" w14:paraId="4EB4A24F" w14:textId="7FB10841">
      <w:pPr>
        <w:suppressAutoHyphens/>
      </w:pPr>
      <w:r w:rsidRPr="005F055E">
        <w:t>Antwoord</w:t>
      </w:r>
    </w:p>
    <w:p w:rsidRPr="005F055E" w:rsidR="0014318A" w:rsidP="00180EEB" w:rsidRDefault="0014318A" w14:paraId="008F6319" w14:textId="77777777">
      <w:pPr>
        <w:suppressAutoHyphens/>
        <w:rPr>
          <w:szCs w:val="18"/>
        </w:rPr>
      </w:pPr>
      <w:r w:rsidRPr="005F055E">
        <w:t>Op 19 juni jl. publiceerde het RIVM de meest recente jaarlijkse cijfers van de vaccinatiegraad voor het Rijksvaccinatieprogramma.</w:t>
      </w:r>
      <w:r w:rsidRPr="005F055E">
        <w:rPr>
          <w:szCs w:val="18"/>
          <w:vertAlign w:val="superscript"/>
        </w:rPr>
        <w:footnoteReference w:id="87"/>
      </w:r>
      <w:r w:rsidRPr="005F055E">
        <w:rPr>
          <w:szCs w:val="18"/>
        </w:rPr>
        <w:t xml:space="preserve"> In onderstaande tabel is de vaccinatiegraad tot vier jaar oud per vaccinatie weergegeven, op basis van op persoon geregistreerde vaccinaties.</w:t>
      </w:r>
    </w:p>
    <w:p w:rsidRPr="005F055E" w:rsidR="0014318A" w:rsidP="00180EEB" w:rsidRDefault="0014318A" w14:paraId="17D956FA" w14:textId="77777777">
      <w:pPr>
        <w:suppressAutoHyphens/>
        <w:rPr>
          <w:szCs w:val="18"/>
        </w:rPr>
      </w:pPr>
    </w:p>
    <w:tbl>
      <w:tblPr>
        <w:tblStyle w:val="Tabelraster"/>
        <w:tblW w:w="0" w:type="auto"/>
        <w:tblLook w:val="04A0" w:firstRow="1" w:lastRow="0" w:firstColumn="1" w:lastColumn="0" w:noHBand="0" w:noVBand="1"/>
      </w:tblPr>
      <w:tblGrid>
        <w:gridCol w:w="1602"/>
        <w:gridCol w:w="2214"/>
        <w:gridCol w:w="1854"/>
        <w:gridCol w:w="1854"/>
      </w:tblGrid>
      <w:tr w:rsidRPr="005F055E" w:rsidR="0014318A" w:rsidTr="005E2643" w14:paraId="408988C9" w14:textId="77777777">
        <w:tc>
          <w:tcPr>
            <w:tcW w:w="1602" w:type="dxa"/>
          </w:tcPr>
          <w:p w:rsidRPr="005F055E" w:rsidR="0014318A" w:rsidP="00180EEB" w:rsidRDefault="0014318A" w14:paraId="07EA84B3" w14:textId="77777777">
            <w:pPr>
              <w:pStyle w:val="Geenafstand"/>
              <w:suppressAutoHyphens/>
              <w:rPr>
                <w:rFonts w:ascii="Verdana" w:hAnsi="Verdana"/>
                <w:b/>
                <w:bCs/>
                <w:sz w:val="18"/>
                <w:szCs w:val="18"/>
              </w:rPr>
            </w:pPr>
            <w:r w:rsidRPr="005F055E">
              <w:rPr>
                <w:rFonts w:ascii="Verdana" w:hAnsi="Verdana"/>
                <w:b/>
                <w:bCs/>
                <w:sz w:val="18"/>
                <w:szCs w:val="18"/>
              </w:rPr>
              <w:t>Cohort</w:t>
            </w:r>
          </w:p>
        </w:tc>
        <w:tc>
          <w:tcPr>
            <w:tcW w:w="2214" w:type="dxa"/>
          </w:tcPr>
          <w:p w:rsidRPr="005F055E" w:rsidR="0014318A" w:rsidP="00180EEB" w:rsidRDefault="0014318A" w14:paraId="4AF177C5" w14:textId="77777777">
            <w:pPr>
              <w:pStyle w:val="Geenafstand"/>
              <w:suppressAutoHyphens/>
              <w:rPr>
                <w:rFonts w:ascii="Verdana" w:hAnsi="Verdana"/>
                <w:b/>
                <w:bCs/>
                <w:sz w:val="18"/>
                <w:szCs w:val="18"/>
              </w:rPr>
            </w:pPr>
            <w:r w:rsidRPr="005F055E">
              <w:rPr>
                <w:rFonts w:ascii="Verdana" w:hAnsi="Verdana"/>
                <w:b/>
                <w:bCs/>
                <w:sz w:val="18"/>
                <w:szCs w:val="18"/>
              </w:rPr>
              <w:t>Vaccinatie</w:t>
            </w:r>
          </w:p>
        </w:tc>
        <w:tc>
          <w:tcPr>
            <w:tcW w:w="1854" w:type="dxa"/>
          </w:tcPr>
          <w:p w:rsidRPr="005F055E" w:rsidR="0014318A" w:rsidP="00180EEB" w:rsidRDefault="0014318A" w14:paraId="2C8C8D42" w14:textId="77777777">
            <w:pPr>
              <w:pStyle w:val="Geenafstand"/>
              <w:suppressAutoHyphens/>
              <w:rPr>
                <w:rFonts w:ascii="Verdana" w:hAnsi="Verdana"/>
                <w:b/>
                <w:bCs/>
                <w:sz w:val="18"/>
                <w:szCs w:val="18"/>
              </w:rPr>
            </w:pPr>
            <w:r w:rsidRPr="005F055E">
              <w:rPr>
                <w:rFonts w:ascii="Verdana" w:hAnsi="Verdana"/>
                <w:b/>
                <w:bCs/>
                <w:sz w:val="18"/>
                <w:szCs w:val="18"/>
              </w:rPr>
              <w:t>Vaccinatiegraad exclusief vaccinaties die later zijn gegeven</w:t>
            </w:r>
          </w:p>
        </w:tc>
        <w:tc>
          <w:tcPr>
            <w:tcW w:w="1854" w:type="dxa"/>
          </w:tcPr>
          <w:p w:rsidRPr="005F055E" w:rsidR="0014318A" w:rsidP="00180EEB" w:rsidRDefault="0014318A" w14:paraId="2713E01D" w14:textId="77777777">
            <w:pPr>
              <w:pStyle w:val="Geenafstand"/>
              <w:suppressAutoHyphens/>
              <w:rPr>
                <w:rFonts w:ascii="Verdana" w:hAnsi="Verdana"/>
                <w:b/>
                <w:bCs/>
                <w:sz w:val="18"/>
                <w:szCs w:val="18"/>
              </w:rPr>
            </w:pPr>
            <w:r w:rsidRPr="005F055E">
              <w:rPr>
                <w:rFonts w:ascii="Verdana" w:hAnsi="Verdana"/>
                <w:b/>
                <w:bCs/>
                <w:sz w:val="18"/>
                <w:szCs w:val="18"/>
              </w:rPr>
              <w:t>Vaccinatiegraad inclusief vaccinaties die later zijn gegeven</w:t>
            </w:r>
          </w:p>
        </w:tc>
      </w:tr>
      <w:tr w:rsidRPr="005F055E" w:rsidR="0014318A" w:rsidTr="005E2643" w14:paraId="3C9BEDBF" w14:textId="77777777">
        <w:tc>
          <w:tcPr>
            <w:tcW w:w="1602" w:type="dxa"/>
            <w:vMerge w:val="restart"/>
          </w:tcPr>
          <w:p w:rsidRPr="005F055E" w:rsidR="0014318A" w:rsidP="00180EEB" w:rsidRDefault="0014318A" w14:paraId="77514F19" w14:textId="77777777">
            <w:pPr>
              <w:pStyle w:val="Geenafstand"/>
              <w:suppressAutoHyphens/>
              <w:rPr>
                <w:rFonts w:ascii="Verdana" w:hAnsi="Verdana"/>
                <w:sz w:val="18"/>
                <w:szCs w:val="18"/>
              </w:rPr>
            </w:pPr>
            <w:r w:rsidRPr="005F055E">
              <w:rPr>
                <w:rFonts w:ascii="Verdana" w:hAnsi="Verdana"/>
                <w:sz w:val="18"/>
                <w:szCs w:val="18"/>
              </w:rPr>
              <w:t>Zuigelingen (cohort 2022)</w:t>
            </w:r>
          </w:p>
        </w:tc>
        <w:tc>
          <w:tcPr>
            <w:tcW w:w="2214" w:type="dxa"/>
          </w:tcPr>
          <w:p w:rsidRPr="005F055E" w:rsidR="0014318A" w:rsidP="00180EEB" w:rsidRDefault="0014318A" w14:paraId="0554683F" w14:textId="77777777">
            <w:pPr>
              <w:pStyle w:val="Geenafstand"/>
              <w:suppressAutoHyphens/>
              <w:rPr>
                <w:rFonts w:ascii="Verdana" w:hAnsi="Verdana"/>
                <w:sz w:val="18"/>
                <w:szCs w:val="18"/>
              </w:rPr>
            </w:pPr>
            <w:r w:rsidRPr="005F055E">
              <w:rPr>
                <w:rFonts w:ascii="Verdana" w:hAnsi="Verdana"/>
                <w:sz w:val="18"/>
                <w:szCs w:val="18"/>
              </w:rPr>
              <w:t>DKTP</w:t>
            </w:r>
          </w:p>
        </w:tc>
        <w:tc>
          <w:tcPr>
            <w:tcW w:w="1854" w:type="dxa"/>
          </w:tcPr>
          <w:p w:rsidRPr="005F055E" w:rsidR="0014318A" w:rsidP="00180EEB" w:rsidRDefault="0014318A" w14:paraId="122FFD99" w14:textId="77777777">
            <w:pPr>
              <w:pStyle w:val="Geenafstand"/>
              <w:suppressAutoHyphens/>
              <w:rPr>
                <w:rFonts w:ascii="Verdana" w:hAnsi="Verdana"/>
                <w:sz w:val="18"/>
                <w:szCs w:val="18"/>
              </w:rPr>
            </w:pPr>
            <w:r w:rsidRPr="005F055E">
              <w:rPr>
                <w:rFonts w:ascii="Verdana" w:hAnsi="Verdana"/>
                <w:sz w:val="18"/>
                <w:szCs w:val="18"/>
              </w:rPr>
              <w:t>87,9%</w:t>
            </w:r>
          </w:p>
        </w:tc>
        <w:tc>
          <w:tcPr>
            <w:tcW w:w="1854" w:type="dxa"/>
          </w:tcPr>
          <w:p w:rsidRPr="005F055E" w:rsidR="0014318A" w:rsidP="00180EEB" w:rsidRDefault="0014318A" w14:paraId="56209FB6" w14:textId="77777777">
            <w:pPr>
              <w:pStyle w:val="Geenafstand"/>
              <w:suppressAutoHyphens/>
              <w:rPr>
                <w:rFonts w:ascii="Verdana" w:hAnsi="Verdana"/>
                <w:sz w:val="18"/>
                <w:szCs w:val="18"/>
              </w:rPr>
            </w:pPr>
            <w:r w:rsidRPr="005F055E">
              <w:rPr>
                <w:rFonts w:ascii="Verdana" w:hAnsi="Verdana"/>
                <w:sz w:val="18"/>
                <w:szCs w:val="18"/>
              </w:rPr>
              <w:t>88,5%</w:t>
            </w:r>
          </w:p>
        </w:tc>
      </w:tr>
      <w:tr w:rsidRPr="005F055E" w:rsidR="0014318A" w:rsidTr="005E2643" w14:paraId="2564A05A" w14:textId="77777777">
        <w:tc>
          <w:tcPr>
            <w:tcW w:w="1602" w:type="dxa"/>
            <w:vMerge/>
          </w:tcPr>
          <w:p w:rsidRPr="005F055E" w:rsidR="0014318A" w:rsidP="00180EEB" w:rsidRDefault="0014318A" w14:paraId="44FC900E" w14:textId="77777777">
            <w:pPr>
              <w:pStyle w:val="Geenafstand"/>
              <w:suppressAutoHyphens/>
              <w:rPr>
                <w:rFonts w:ascii="Verdana" w:hAnsi="Verdana"/>
                <w:sz w:val="18"/>
                <w:szCs w:val="18"/>
              </w:rPr>
            </w:pPr>
          </w:p>
        </w:tc>
        <w:tc>
          <w:tcPr>
            <w:tcW w:w="2214" w:type="dxa"/>
          </w:tcPr>
          <w:p w:rsidRPr="005F055E" w:rsidR="0014318A" w:rsidP="00180EEB" w:rsidRDefault="0014318A" w14:paraId="282F307F" w14:textId="77777777">
            <w:pPr>
              <w:pStyle w:val="Geenafstand"/>
              <w:suppressAutoHyphens/>
              <w:rPr>
                <w:rFonts w:ascii="Verdana" w:hAnsi="Verdana"/>
                <w:sz w:val="18"/>
                <w:szCs w:val="18"/>
              </w:rPr>
            </w:pPr>
            <w:proofErr w:type="spellStart"/>
            <w:r w:rsidRPr="005F055E">
              <w:rPr>
                <w:rFonts w:ascii="Verdana" w:hAnsi="Verdana"/>
                <w:sz w:val="18"/>
                <w:szCs w:val="18"/>
              </w:rPr>
              <w:t>Hib</w:t>
            </w:r>
            <w:proofErr w:type="spellEnd"/>
          </w:p>
        </w:tc>
        <w:tc>
          <w:tcPr>
            <w:tcW w:w="1854" w:type="dxa"/>
          </w:tcPr>
          <w:p w:rsidRPr="005F055E" w:rsidR="0014318A" w:rsidP="00180EEB" w:rsidRDefault="0014318A" w14:paraId="35642F96" w14:textId="77777777">
            <w:pPr>
              <w:pStyle w:val="Geenafstand"/>
              <w:suppressAutoHyphens/>
              <w:rPr>
                <w:rFonts w:ascii="Verdana" w:hAnsi="Verdana"/>
                <w:sz w:val="18"/>
                <w:szCs w:val="18"/>
              </w:rPr>
            </w:pPr>
            <w:r w:rsidRPr="005F055E">
              <w:rPr>
                <w:rFonts w:ascii="Verdana" w:hAnsi="Verdana"/>
                <w:sz w:val="18"/>
                <w:szCs w:val="18"/>
              </w:rPr>
              <w:t>88,6%</w:t>
            </w:r>
          </w:p>
        </w:tc>
        <w:tc>
          <w:tcPr>
            <w:tcW w:w="1854" w:type="dxa"/>
          </w:tcPr>
          <w:p w:rsidRPr="005F055E" w:rsidR="0014318A" w:rsidP="00180EEB" w:rsidRDefault="0014318A" w14:paraId="5F8250DA" w14:textId="77777777">
            <w:pPr>
              <w:pStyle w:val="Geenafstand"/>
              <w:suppressAutoHyphens/>
              <w:rPr>
                <w:rFonts w:ascii="Verdana" w:hAnsi="Verdana"/>
                <w:sz w:val="18"/>
                <w:szCs w:val="18"/>
              </w:rPr>
            </w:pPr>
            <w:r w:rsidRPr="005F055E">
              <w:rPr>
                <w:rFonts w:ascii="Verdana" w:hAnsi="Verdana"/>
                <w:sz w:val="18"/>
                <w:szCs w:val="18"/>
              </w:rPr>
              <w:t>89,2%</w:t>
            </w:r>
          </w:p>
        </w:tc>
      </w:tr>
      <w:tr w:rsidRPr="005F055E" w:rsidR="0014318A" w:rsidTr="005E2643" w14:paraId="225C0136" w14:textId="77777777">
        <w:tc>
          <w:tcPr>
            <w:tcW w:w="1602" w:type="dxa"/>
            <w:vMerge/>
          </w:tcPr>
          <w:p w:rsidRPr="005F055E" w:rsidR="0014318A" w:rsidP="00180EEB" w:rsidRDefault="0014318A" w14:paraId="2068586A" w14:textId="77777777">
            <w:pPr>
              <w:pStyle w:val="Geenafstand"/>
              <w:suppressAutoHyphens/>
              <w:rPr>
                <w:rFonts w:ascii="Verdana" w:hAnsi="Verdana"/>
                <w:sz w:val="18"/>
                <w:szCs w:val="18"/>
              </w:rPr>
            </w:pPr>
          </w:p>
        </w:tc>
        <w:tc>
          <w:tcPr>
            <w:tcW w:w="2214" w:type="dxa"/>
          </w:tcPr>
          <w:p w:rsidRPr="005F055E" w:rsidR="0014318A" w:rsidP="00180EEB" w:rsidRDefault="0014318A" w14:paraId="5E14AB6E" w14:textId="77777777">
            <w:pPr>
              <w:pStyle w:val="Geenafstand"/>
              <w:suppressAutoHyphens/>
              <w:rPr>
                <w:rFonts w:ascii="Verdana" w:hAnsi="Verdana"/>
                <w:sz w:val="18"/>
                <w:szCs w:val="18"/>
              </w:rPr>
            </w:pPr>
            <w:proofErr w:type="spellStart"/>
            <w:r w:rsidRPr="005F055E">
              <w:rPr>
                <w:rFonts w:ascii="Verdana" w:hAnsi="Verdana"/>
                <w:sz w:val="18"/>
                <w:szCs w:val="18"/>
              </w:rPr>
              <w:t>Hep</w:t>
            </w:r>
            <w:proofErr w:type="spellEnd"/>
            <w:r w:rsidRPr="005F055E">
              <w:rPr>
                <w:rFonts w:ascii="Verdana" w:hAnsi="Verdana"/>
                <w:sz w:val="18"/>
                <w:szCs w:val="18"/>
              </w:rPr>
              <w:t xml:space="preserve"> B</w:t>
            </w:r>
          </w:p>
        </w:tc>
        <w:tc>
          <w:tcPr>
            <w:tcW w:w="1854" w:type="dxa"/>
          </w:tcPr>
          <w:p w:rsidRPr="005F055E" w:rsidR="0014318A" w:rsidP="00180EEB" w:rsidRDefault="0014318A" w14:paraId="5A017B64" w14:textId="77777777">
            <w:pPr>
              <w:pStyle w:val="Geenafstand"/>
              <w:suppressAutoHyphens/>
              <w:rPr>
                <w:rFonts w:ascii="Verdana" w:hAnsi="Verdana"/>
                <w:sz w:val="18"/>
                <w:szCs w:val="18"/>
              </w:rPr>
            </w:pPr>
            <w:r w:rsidRPr="005F055E">
              <w:rPr>
                <w:rFonts w:ascii="Verdana" w:hAnsi="Verdana"/>
                <w:sz w:val="18"/>
                <w:szCs w:val="18"/>
              </w:rPr>
              <w:t>87,9%</w:t>
            </w:r>
          </w:p>
        </w:tc>
        <w:tc>
          <w:tcPr>
            <w:tcW w:w="1854" w:type="dxa"/>
          </w:tcPr>
          <w:p w:rsidRPr="005F055E" w:rsidR="0014318A" w:rsidP="00180EEB" w:rsidRDefault="0014318A" w14:paraId="05E7A2C5" w14:textId="77777777">
            <w:pPr>
              <w:pStyle w:val="Geenafstand"/>
              <w:suppressAutoHyphens/>
              <w:rPr>
                <w:rFonts w:ascii="Verdana" w:hAnsi="Verdana"/>
                <w:sz w:val="18"/>
                <w:szCs w:val="18"/>
              </w:rPr>
            </w:pPr>
            <w:r w:rsidRPr="005F055E">
              <w:rPr>
                <w:rFonts w:ascii="Verdana" w:hAnsi="Verdana"/>
                <w:sz w:val="18"/>
                <w:szCs w:val="18"/>
              </w:rPr>
              <w:t>88,5%</w:t>
            </w:r>
          </w:p>
        </w:tc>
      </w:tr>
      <w:tr w:rsidRPr="005F055E" w:rsidR="0014318A" w:rsidTr="005E2643" w14:paraId="37FD7675" w14:textId="77777777">
        <w:tc>
          <w:tcPr>
            <w:tcW w:w="1602" w:type="dxa"/>
            <w:vMerge/>
          </w:tcPr>
          <w:p w:rsidRPr="005F055E" w:rsidR="0014318A" w:rsidP="00180EEB" w:rsidRDefault="0014318A" w14:paraId="3EA73D73" w14:textId="77777777">
            <w:pPr>
              <w:pStyle w:val="Geenafstand"/>
              <w:suppressAutoHyphens/>
              <w:rPr>
                <w:rFonts w:ascii="Verdana" w:hAnsi="Verdana"/>
                <w:sz w:val="18"/>
                <w:szCs w:val="18"/>
              </w:rPr>
            </w:pPr>
          </w:p>
        </w:tc>
        <w:tc>
          <w:tcPr>
            <w:tcW w:w="2214" w:type="dxa"/>
          </w:tcPr>
          <w:p w:rsidRPr="005F055E" w:rsidR="0014318A" w:rsidP="00180EEB" w:rsidRDefault="0014318A" w14:paraId="30ED2D89" w14:textId="77777777">
            <w:pPr>
              <w:pStyle w:val="Geenafstand"/>
              <w:suppressAutoHyphens/>
              <w:rPr>
                <w:rFonts w:ascii="Verdana" w:hAnsi="Verdana"/>
                <w:sz w:val="18"/>
                <w:szCs w:val="18"/>
              </w:rPr>
            </w:pPr>
            <w:r w:rsidRPr="005F055E">
              <w:rPr>
                <w:rFonts w:ascii="Verdana" w:hAnsi="Verdana"/>
                <w:sz w:val="18"/>
                <w:szCs w:val="18"/>
              </w:rPr>
              <w:t>Pneu</w:t>
            </w:r>
          </w:p>
        </w:tc>
        <w:tc>
          <w:tcPr>
            <w:tcW w:w="1854" w:type="dxa"/>
          </w:tcPr>
          <w:p w:rsidRPr="005F055E" w:rsidR="0014318A" w:rsidP="00180EEB" w:rsidRDefault="0014318A" w14:paraId="15F8A28F" w14:textId="77777777">
            <w:pPr>
              <w:pStyle w:val="Geenafstand"/>
              <w:suppressAutoHyphens/>
              <w:rPr>
                <w:rFonts w:ascii="Verdana" w:hAnsi="Verdana"/>
                <w:sz w:val="18"/>
                <w:szCs w:val="18"/>
              </w:rPr>
            </w:pPr>
            <w:r w:rsidRPr="005F055E">
              <w:rPr>
                <w:rFonts w:ascii="Verdana" w:hAnsi="Verdana"/>
                <w:sz w:val="18"/>
                <w:szCs w:val="18"/>
              </w:rPr>
              <w:t>87,8%</w:t>
            </w:r>
          </w:p>
        </w:tc>
        <w:tc>
          <w:tcPr>
            <w:tcW w:w="1854" w:type="dxa"/>
          </w:tcPr>
          <w:p w:rsidRPr="005F055E" w:rsidR="0014318A" w:rsidP="00180EEB" w:rsidRDefault="0014318A" w14:paraId="7E810DDB" w14:textId="77777777">
            <w:pPr>
              <w:pStyle w:val="Geenafstand"/>
              <w:suppressAutoHyphens/>
              <w:rPr>
                <w:rFonts w:ascii="Verdana" w:hAnsi="Verdana"/>
                <w:sz w:val="18"/>
                <w:szCs w:val="18"/>
              </w:rPr>
            </w:pPr>
            <w:r w:rsidRPr="005F055E">
              <w:rPr>
                <w:rFonts w:ascii="Verdana" w:hAnsi="Verdana"/>
                <w:sz w:val="18"/>
                <w:szCs w:val="18"/>
              </w:rPr>
              <w:t>87,8%</w:t>
            </w:r>
          </w:p>
        </w:tc>
      </w:tr>
      <w:tr w:rsidRPr="005F055E" w:rsidR="0014318A" w:rsidTr="005E2643" w14:paraId="1445CBE4" w14:textId="77777777">
        <w:tc>
          <w:tcPr>
            <w:tcW w:w="1602" w:type="dxa"/>
            <w:vMerge/>
          </w:tcPr>
          <w:p w:rsidRPr="005F055E" w:rsidR="0014318A" w:rsidP="00180EEB" w:rsidRDefault="0014318A" w14:paraId="11B62F90" w14:textId="77777777">
            <w:pPr>
              <w:pStyle w:val="Geenafstand"/>
              <w:suppressAutoHyphens/>
              <w:rPr>
                <w:rFonts w:ascii="Verdana" w:hAnsi="Verdana"/>
                <w:sz w:val="18"/>
                <w:szCs w:val="18"/>
              </w:rPr>
            </w:pPr>
          </w:p>
        </w:tc>
        <w:tc>
          <w:tcPr>
            <w:tcW w:w="2214" w:type="dxa"/>
          </w:tcPr>
          <w:p w:rsidRPr="005F055E" w:rsidR="0014318A" w:rsidP="00180EEB" w:rsidRDefault="0014318A" w14:paraId="154B5E9D" w14:textId="77777777">
            <w:pPr>
              <w:pStyle w:val="Geenafstand"/>
              <w:suppressAutoHyphens/>
              <w:rPr>
                <w:rFonts w:ascii="Verdana" w:hAnsi="Verdana"/>
                <w:sz w:val="18"/>
                <w:szCs w:val="18"/>
              </w:rPr>
            </w:pPr>
            <w:r w:rsidRPr="005F055E">
              <w:rPr>
                <w:rFonts w:ascii="Verdana" w:hAnsi="Verdana"/>
                <w:sz w:val="18"/>
                <w:szCs w:val="18"/>
              </w:rPr>
              <w:t>BMR</w:t>
            </w:r>
          </w:p>
        </w:tc>
        <w:tc>
          <w:tcPr>
            <w:tcW w:w="1854" w:type="dxa"/>
          </w:tcPr>
          <w:p w:rsidRPr="005F055E" w:rsidR="0014318A" w:rsidP="00180EEB" w:rsidRDefault="0014318A" w14:paraId="07796276" w14:textId="77777777">
            <w:pPr>
              <w:pStyle w:val="Geenafstand"/>
              <w:suppressAutoHyphens/>
              <w:rPr>
                <w:rFonts w:ascii="Verdana" w:hAnsi="Verdana"/>
                <w:sz w:val="18"/>
                <w:szCs w:val="18"/>
              </w:rPr>
            </w:pPr>
            <w:r w:rsidRPr="005F055E">
              <w:rPr>
                <w:rFonts w:ascii="Verdana" w:hAnsi="Verdana"/>
                <w:sz w:val="18"/>
                <w:szCs w:val="18"/>
              </w:rPr>
              <w:t>88,1%</w:t>
            </w:r>
          </w:p>
        </w:tc>
        <w:tc>
          <w:tcPr>
            <w:tcW w:w="1854" w:type="dxa"/>
          </w:tcPr>
          <w:p w:rsidRPr="005F055E" w:rsidR="0014318A" w:rsidP="00180EEB" w:rsidRDefault="0014318A" w14:paraId="56C30FE6" w14:textId="77777777">
            <w:pPr>
              <w:pStyle w:val="Geenafstand"/>
              <w:suppressAutoHyphens/>
              <w:rPr>
                <w:rFonts w:ascii="Verdana" w:hAnsi="Verdana"/>
                <w:sz w:val="18"/>
                <w:szCs w:val="18"/>
              </w:rPr>
            </w:pPr>
            <w:r w:rsidRPr="005F055E">
              <w:rPr>
                <w:rFonts w:ascii="Verdana" w:hAnsi="Verdana"/>
                <w:sz w:val="18"/>
                <w:szCs w:val="18"/>
              </w:rPr>
              <w:t>88,8%</w:t>
            </w:r>
          </w:p>
        </w:tc>
      </w:tr>
      <w:tr w:rsidRPr="005F055E" w:rsidR="0014318A" w:rsidTr="005E2643" w14:paraId="47C51527" w14:textId="77777777">
        <w:tc>
          <w:tcPr>
            <w:tcW w:w="1602" w:type="dxa"/>
            <w:vMerge/>
          </w:tcPr>
          <w:p w:rsidRPr="005F055E" w:rsidR="0014318A" w:rsidP="00180EEB" w:rsidRDefault="0014318A" w14:paraId="54AB9B6E" w14:textId="77777777">
            <w:pPr>
              <w:pStyle w:val="Geenafstand"/>
              <w:suppressAutoHyphens/>
              <w:rPr>
                <w:rFonts w:ascii="Verdana" w:hAnsi="Verdana"/>
                <w:sz w:val="18"/>
                <w:szCs w:val="18"/>
              </w:rPr>
            </w:pPr>
          </w:p>
        </w:tc>
        <w:tc>
          <w:tcPr>
            <w:tcW w:w="2214" w:type="dxa"/>
          </w:tcPr>
          <w:p w:rsidRPr="005F055E" w:rsidR="0014318A" w:rsidP="00180EEB" w:rsidRDefault="0014318A" w14:paraId="5676AE3D" w14:textId="77777777">
            <w:pPr>
              <w:pStyle w:val="Geenafstand"/>
              <w:suppressAutoHyphens/>
              <w:rPr>
                <w:rFonts w:ascii="Verdana" w:hAnsi="Verdana"/>
                <w:sz w:val="18"/>
                <w:szCs w:val="18"/>
              </w:rPr>
            </w:pPr>
            <w:proofErr w:type="spellStart"/>
            <w:r w:rsidRPr="005F055E">
              <w:rPr>
                <w:rFonts w:ascii="Verdana" w:hAnsi="Verdana"/>
                <w:sz w:val="18"/>
                <w:szCs w:val="18"/>
              </w:rPr>
              <w:t>MenACWY</w:t>
            </w:r>
            <w:proofErr w:type="spellEnd"/>
          </w:p>
        </w:tc>
        <w:tc>
          <w:tcPr>
            <w:tcW w:w="1854" w:type="dxa"/>
          </w:tcPr>
          <w:p w:rsidRPr="005F055E" w:rsidR="0014318A" w:rsidP="00180EEB" w:rsidRDefault="0014318A" w14:paraId="22074DDA" w14:textId="77777777">
            <w:pPr>
              <w:pStyle w:val="Geenafstand"/>
              <w:suppressAutoHyphens/>
              <w:rPr>
                <w:rFonts w:ascii="Verdana" w:hAnsi="Verdana"/>
                <w:sz w:val="18"/>
                <w:szCs w:val="18"/>
              </w:rPr>
            </w:pPr>
            <w:r w:rsidRPr="005F055E">
              <w:rPr>
                <w:rFonts w:ascii="Verdana" w:hAnsi="Verdana"/>
                <w:sz w:val="18"/>
                <w:szCs w:val="18"/>
              </w:rPr>
              <w:t>87,7%</w:t>
            </w:r>
          </w:p>
        </w:tc>
        <w:tc>
          <w:tcPr>
            <w:tcW w:w="1854" w:type="dxa"/>
          </w:tcPr>
          <w:p w:rsidRPr="005F055E" w:rsidR="0014318A" w:rsidP="00180EEB" w:rsidRDefault="0014318A" w14:paraId="0D42690F" w14:textId="77777777">
            <w:pPr>
              <w:pStyle w:val="Geenafstand"/>
              <w:suppressAutoHyphens/>
              <w:rPr>
                <w:rFonts w:ascii="Verdana" w:hAnsi="Verdana"/>
                <w:sz w:val="18"/>
                <w:szCs w:val="18"/>
              </w:rPr>
            </w:pPr>
            <w:r w:rsidRPr="005F055E">
              <w:rPr>
                <w:rFonts w:ascii="Verdana" w:hAnsi="Verdana"/>
                <w:sz w:val="18"/>
                <w:szCs w:val="18"/>
              </w:rPr>
              <w:t>88,7%</w:t>
            </w:r>
          </w:p>
        </w:tc>
      </w:tr>
      <w:tr w:rsidRPr="005F055E" w:rsidR="0014318A" w:rsidTr="005E2643" w14:paraId="05B37BE1" w14:textId="77777777">
        <w:tc>
          <w:tcPr>
            <w:tcW w:w="1602" w:type="dxa"/>
            <w:vMerge/>
          </w:tcPr>
          <w:p w:rsidRPr="005F055E" w:rsidR="0014318A" w:rsidP="00180EEB" w:rsidRDefault="0014318A" w14:paraId="6EC9558D" w14:textId="77777777">
            <w:pPr>
              <w:pStyle w:val="Geenafstand"/>
              <w:suppressAutoHyphens/>
              <w:rPr>
                <w:rFonts w:ascii="Verdana" w:hAnsi="Verdana"/>
                <w:sz w:val="18"/>
                <w:szCs w:val="18"/>
              </w:rPr>
            </w:pPr>
          </w:p>
        </w:tc>
        <w:tc>
          <w:tcPr>
            <w:tcW w:w="2214" w:type="dxa"/>
          </w:tcPr>
          <w:p w:rsidRPr="005F055E" w:rsidR="0014318A" w:rsidP="00180EEB" w:rsidRDefault="0014318A" w14:paraId="3CE40100" w14:textId="77777777">
            <w:pPr>
              <w:pStyle w:val="Geenafstand"/>
              <w:suppressAutoHyphens/>
              <w:rPr>
                <w:rFonts w:ascii="Verdana" w:hAnsi="Verdana"/>
                <w:sz w:val="18"/>
                <w:szCs w:val="18"/>
              </w:rPr>
            </w:pPr>
            <w:r w:rsidRPr="005F055E">
              <w:rPr>
                <w:rFonts w:ascii="Verdana" w:hAnsi="Verdana"/>
                <w:sz w:val="18"/>
                <w:szCs w:val="18"/>
              </w:rPr>
              <w:t>Volledig, alle RVP-vaccinaties volgens schema op tweejarige leeftijd</w:t>
            </w:r>
          </w:p>
        </w:tc>
        <w:tc>
          <w:tcPr>
            <w:tcW w:w="1854" w:type="dxa"/>
          </w:tcPr>
          <w:p w:rsidRPr="005F055E" w:rsidR="0014318A" w:rsidP="00180EEB" w:rsidRDefault="0014318A" w14:paraId="120743BB" w14:textId="77777777">
            <w:pPr>
              <w:pStyle w:val="Geenafstand"/>
              <w:suppressAutoHyphens/>
              <w:rPr>
                <w:rFonts w:ascii="Verdana" w:hAnsi="Verdana"/>
                <w:sz w:val="18"/>
                <w:szCs w:val="18"/>
              </w:rPr>
            </w:pPr>
            <w:r w:rsidRPr="005F055E">
              <w:rPr>
                <w:rFonts w:ascii="Verdana" w:hAnsi="Verdana"/>
                <w:sz w:val="18"/>
                <w:szCs w:val="18"/>
              </w:rPr>
              <w:t>85,4%</w:t>
            </w:r>
          </w:p>
        </w:tc>
        <w:tc>
          <w:tcPr>
            <w:tcW w:w="1854" w:type="dxa"/>
          </w:tcPr>
          <w:p w:rsidRPr="005F055E" w:rsidR="0014318A" w:rsidP="00180EEB" w:rsidRDefault="0014318A" w14:paraId="3BBE1189" w14:textId="77777777">
            <w:pPr>
              <w:pStyle w:val="Geenafstand"/>
              <w:suppressAutoHyphens/>
              <w:rPr>
                <w:rFonts w:ascii="Verdana" w:hAnsi="Verdana"/>
                <w:sz w:val="18"/>
                <w:szCs w:val="18"/>
              </w:rPr>
            </w:pPr>
            <w:r w:rsidRPr="005F055E">
              <w:rPr>
                <w:rFonts w:ascii="Verdana" w:hAnsi="Verdana"/>
                <w:sz w:val="18"/>
                <w:szCs w:val="18"/>
              </w:rPr>
              <w:t>86,0%</w:t>
            </w:r>
          </w:p>
        </w:tc>
      </w:tr>
    </w:tbl>
    <w:p w:rsidRPr="005F055E" w:rsidR="0014318A" w:rsidP="00180EEB" w:rsidRDefault="0014318A" w14:paraId="51A428AD" w14:textId="77777777">
      <w:pPr>
        <w:pStyle w:val="Geenafstand"/>
        <w:suppressAutoHyphens/>
        <w:rPr>
          <w:szCs w:val="18"/>
        </w:rPr>
      </w:pPr>
      <w:r w:rsidRPr="005F055E">
        <w:rPr>
          <w:szCs w:val="18"/>
        </w:rPr>
        <w:t xml:space="preserve">Betekenis afkortingen: D(K)TP = difterie, kinkhoest, tetanus, poliomyelitis, </w:t>
      </w:r>
      <w:proofErr w:type="spellStart"/>
      <w:r w:rsidRPr="005F055E">
        <w:rPr>
          <w:szCs w:val="18"/>
        </w:rPr>
        <w:t>Hib</w:t>
      </w:r>
      <w:proofErr w:type="spellEnd"/>
      <w:r w:rsidRPr="005F055E">
        <w:rPr>
          <w:szCs w:val="18"/>
        </w:rPr>
        <w:t xml:space="preserve"> = </w:t>
      </w:r>
      <w:proofErr w:type="spellStart"/>
      <w:r w:rsidRPr="005F055E">
        <w:rPr>
          <w:i/>
          <w:iCs/>
          <w:szCs w:val="18"/>
        </w:rPr>
        <w:t>Haemophilus</w:t>
      </w:r>
      <w:proofErr w:type="spellEnd"/>
      <w:r w:rsidRPr="005F055E">
        <w:rPr>
          <w:i/>
          <w:iCs/>
          <w:szCs w:val="18"/>
        </w:rPr>
        <w:t xml:space="preserve"> </w:t>
      </w:r>
      <w:proofErr w:type="spellStart"/>
      <w:r w:rsidRPr="005F055E">
        <w:rPr>
          <w:i/>
          <w:iCs/>
          <w:szCs w:val="18"/>
        </w:rPr>
        <w:t>influenzae</w:t>
      </w:r>
      <w:proofErr w:type="spellEnd"/>
      <w:r w:rsidRPr="005F055E">
        <w:rPr>
          <w:i/>
          <w:iCs/>
          <w:szCs w:val="18"/>
        </w:rPr>
        <w:t xml:space="preserve"> </w:t>
      </w:r>
      <w:r w:rsidRPr="005F055E">
        <w:rPr>
          <w:szCs w:val="18"/>
        </w:rPr>
        <w:t xml:space="preserve">type b-ziekte, </w:t>
      </w:r>
      <w:proofErr w:type="spellStart"/>
      <w:r w:rsidRPr="005F055E">
        <w:rPr>
          <w:szCs w:val="18"/>
        </w:rPr>
        <w:t>Hep</w:t>
      </w:r>
      <w:proofErr w:type="spellEnd"/>
      <w:r w:rsidRPr="005F055E">
        <w:rPr>
          <w:szCs w:val="18"/>
        </w:rPr>
        <w:t xml:space="preserve"> B = hepatitis B, Pneu = pneumokokkenziekte, BMR = bof, mazelen, rodehond, </w:t>
      </w:r>
      <w:proofErr w:type="spellStart"/>
      <w:r w:rsidRPr="005F055E">
        <w:rPr>
          <w:szCs w:val="18"/>
        </w:rPr>
        <w:t>MenACWY</w:t>
      </w:r>
      <w:proofErr w:type="spellEnd"/>
      <w:r w:rsidRPr="005F055E">
        <w:rPr>
          <w:szCs w:val="18"/>
        </w:rPr>
        <w:t xml:space="preserve"> = meningokokken ACWY-ziekte.</w:t>
      </w:r>
    </w:p>
    <w:p w:rsidRPr="005F055E" w:rsidR="0014318A" w:rsidP="00180EEB" w:rsidRDefault="0014318A" w14:paraId="21B948B2" w14:textId="77777777">
      <w:pPr>
        <w:suppressAutoHyphens/>
        <w:rPr>
          <w:szCs w:val="18"/>
        </w:rPr>
      </w:pPr>
    </w:p>
    <w:p w:rsidRPr="005F055E" w:rsidR="00274792" w:rsidP="00180EEB" w:rsidRDefault="0014318A" w14:paraId="4E20F1D0" w14:textId="347608F8">
      <w:pPr>
        <w:suppressAutoHyphens/>
        <w:rPr>
          <w:szCs w:val="18"/>
        </w:rPr>
      </w:pPr>
      <w:r w:rsidRPr="005F055E">
        <w:rPr>
          <w:szCs w:val="18"/>
        </w:rPr>
        <w:t>Een terugblik in de ontwikkeling van de vaccinatiegraad vanaf 2000 is te vinden op De Staat van Volksgezondheid en Zorg, Rijksvaccinatieprogramma (RVP): deelname zuigelingen.</w:t>
      </w:r>
      <w:r w:rsidRPr="005F055E">
        <w:rPr>
          <w:szCs w:val="18"/>
          <w:vertAlign w:val="superscript"/>
        </w:rPr>
        <w:footnoteReference w:id="88"/>
      </w:r>
    </w:p>
    <w:p w:rsidRPr="005F055E" w:rsidR="00274792" w:rsidP="00180EEB" w:rsidRDefault="00274792" w14:paraId="7BDBC880" w14:textId="77777777">
      <w:pPr>
        <w:suppressAutoHyphens/>
      </w:pPr>
    </w:p>
    <w:p w:rsidRPr="005F055E" w:rsidR="00274792" w:rsidP="00180EEB" w:rsidRDefault="003E7003" w14:paraId="75F8D3BD" w14:textId="77777777">
      <w:pPr>
        <w:suppressAutoHyphens/>
      </w:pPr>
      <w:bookmarkStart w:name="_Hlk213344721" w:id="44"/>
      <w:r w:rsidRPr="005F055E">
        <w:t>Vraag 259</w:t>
      </w:r>
      <w:r w:rsidRPr="005F055E">
        <w:tab/>
      </w:r>
    </w:p>
    <w:p w:rsidRPr="005F055E" w:rsidR="00274792" w:rsidP="00180EEB" w:rsidRDefault="003E7003" w14:paraId="5C61C661" w14:textId="77777777">
      <w:pPr>
        <w:suppressAutoHyphens/>
      </w:pPr>
      <w:r w:rsidRPr="005F055E">
        <w:t>Is er inzicht over gezondheidskosten die worden gemaakt door verkeerde diagnoses richting vrouwen?</w:t>
      </w:r>
      <w:r w:rsidRPr="005F055E">
        <w:tab/>
      </w:r>
    </w:p>
    <w:p w:rsidRPr="005F055E" w:rsidR="003E7003" w:rsidP="00180EEB" w:rsidRDefault="003E7003" w14:paraId="02C37FE7" w14:textId="65DFF909">
      <w:pPr>
        <w:suppressAutoHyphens/>
      </w:pPr>
      <w:r w:rsidRPr="005F055E">
        <w:t>Antwoord</w:t>
      </w:r>
    </w:p>
    <w:p w:rsidRPr="005F055E" w:rsidR="00C50682" w:rsidP="00180EEB" w:rsidRDefault="00C50682" w14:paraId="76D7680C" w14:textId="591B1521">
      <w:pPr>
        <w:suppressAutoHyphens/>
        <w:rPr>
          <w:szCs w:val="20"/>
          <w:lang w:eastAsia="nl-NL"/>
        </w:rPr>
      </w:pPr>
      <w:r w:rsidRPr="005F055E">
        <w:rPr>
          <w:szCs w:val="20"/>
          <w:lang w:eastAsia="nl-NL"/>
        </w:rPr>
        <w:t xml:space="preserve">Ik beschik niet over een overzicht van de gezondheidskosten (zorguitgaven) die worden gemaakt door verkeerde diagnoses richting vrouwen. In een eerder uitgebracht rapport over de maatschappelijke kosten van gezondheidsproblemen bij </w:t>
      </w:r>
      <w:r w:rsidRPr="005F055E" w:rsidR="00E043BF">
        <w:rPr>
          <w:szCs w:val="20"/>
          <w:lang w:eastAsia="nl-NL"/>
        </w:rPr>
        <w:t>vrouwen wordt</w:t>
      </w:r>
      <w:r w:rsidRPr="005F055E">
        <w:rPr>
          <w:szCs w:val="20"/>
          <w:lang w:eastAsia="nl-NL"/>
        </w:rPr>
        <w:t xml:space="preserve"> aandacht besteed aan bijvoorbeeld onnodig gemaakte zorgkosten in het ziekenhuis voorafgaand aan de juiste diagnose voor klachten van vrouwen. Tevens wordt ingegaan op kosten die gepaard gaan met (onherstelbare) schade aan het lichaam die door een eerdere juiste diagnose voorkomen hadden kunnen worden.</w:t>
      </w:r>
      <w:r w:rsidR="00C0122C">
        <w:rPr>
          <w:rStyle w:val="Voetnootmarkering"/>
          <w:szCs w:val="20"/>
          <w:lang w:eastAsia="nl-NL"/>
        </w:rPr>
        <w:footnoteReference w:id="89"/>
      </w:r>
      <w:r w:rsidRPr="005F055E">
        <w:rPr>
          <w:szCs w:val="20"/>
          <w:lang w:eastAsia="nl-NL"/>
        </w:rPr>
        <w:t xml:space="preserve"> </w:t>
      </w:r>
    </w:p>
    <w:p w:rsidRPr="005F055E" w:rsidR="00274792" w:rsidP="00180EEB" w:rsidRDefault="00C50682" w14:paraId="7E05B2A1" w14:textId="5C9C8001">
      <w:pPr>
        <w:suppressAutoHyphens/>
      </w:pPr>
      <w:r w:rsidRPr="005F055E">
        <w:rPr>
          <w:szCs w:val="20"/>
          <w:lang w:eastAsia="nl-NL"/>
        </w:rPr>
        <w:t xml:space="preserve">In dit rapport is er een schatting gemaakt van potentieel te voorkomen kosten door betere herkenning, diagnose en behandeling van klachten. Het betreft </w:t>
      </w:r>
      <w:r w:rsidRPr="005F055E" w:rsidR="00E043BF">
        <w:rPr>
          <w:szCs w:val="20"/>
          <w:lang w:eastAsia="nl-NL"/>
        </w:rPr>
        <w:t>een viertal</w:t>
      </w:r>
      <w:r w:rsidRPr="005F055E">
        <w:rPr>
          <w:szCs w:val="20"/>
          <w:lang w:eastAsia="nl-NL"/>
        </w:rPr>
        <w:t xml:space="preserve"> casussen (twee vrouwspecifieke aandoeningen en twee vrouw sensitieve aandoeningen) die gerelateerd zijn aan endometriose, de overgang, en twee veelvoorkomende psychische aandoeningen en hart- en vaatziekten bij vrouwen in Nederland. Op basis van de bevindingen uit dit rapport is een schatting gemaakt dat tijdige diagnose en adequate behandeling van deze aandoeningen bij vrouwen in Nederland kan leiden tot totale potentiële baten van €7,6 miljard. </w:t>
      </w:r>
    </w:p>
    <w:bookmarkEnd w:id="44"/>
    <w:p w:rsidRPr="005F055E" w:rsidR="00274792" w:rsidP="00180EEB" w:rsidRDefault="003E7003" w14:paraId="6D3E8875" w14:textId="77777777">
      <w:pPr>
        <w:suppressAutoHyphens/>
      </w:pPr>
      <w:r w:rsidRPr="005F055E">
        <w:t>Vraag 260</w:t>
      </w:r>
      <w:r w:rsidRPr="005F055E">
        <w:tab/>
      </w:r>
    </w:p>
    <w:p w:rsidRPr="005F055E" w:rsidR="00274792" w:rsidP="00180EEB" w:rsidRDefault="003E7003" w14:paraId="625B2AAE" w14:textId="77777777">
      <w:pPr>
        <w:suppressAutoHyphens/>
      </w:pPr>
      <w:r w:rsidRPr="005F055E">
        <w:t xml:space="preserve">Wat zijn de meerkosten van </w:t>
      </w:r>
      <w:proofErr w:type="spellStart"/>
      <w:r w:rsidRPr="005F055E">
        <w:t>ongecontracteerde</w:t>
      </w:r>
      <w:proofErr w:type="spellEnd"/>
      <w:r w:rsidRPr="005F055E">
        <w:t xml:space="preserve"> zorg (tegenover gecontracteerde zorg), uitgesplitst in jaren vanaf 2000?</w:t>
      </w:r>
      <w:r w:rsidRPr="005F055E">
        <w:tab/>
      </w:r>
    </w:p>
    <w:p w:rsidRPr="005F055E" w:rsidR="00575A49" w:rsidP="00180EEB" w:rsidRDefault="003E7003" w14:paraId="08E9AD61" w14:textId="11C4C523">
      <w:pPr>
        <w:suppressAutoHyphens/>
      </w:pPr>
      <w:r w:rsidRPr="005F055E">
        <w:t>Antwoord</w:t>
      </w:r>
    </w:p>
    <w:p w:rsidRPr="005F055E" w:rsidR="00575A49" w:rsidP="00180EEB" w:rsidRDefault="00575A49" w14:paraId="07AD17BE" w14:textId="77777777">
      <w:pPr>
        <w:suppressAutoHyphens/>
        <w:spacing w:line="240" w:lineRule="atLeast"/>
        <w:rPr>
          <w:szCs w:val="18"/>
          <w:lang w:eastAsia="nl-NL"/>
        </w:rPr>
      </w:pPr>
      <w:r w:rsidRPr="005F055E">
        <w:rPr>
          <w:szCs w:val="18"/>
          <w:lang w:eastAsia="nl-NL"/>
        </w:rPr>
        <w:t>Als ik de vraag zo interpreteer dat er gevraagd wordt naar het verschil in kosten van individuele behandelingen tussen gecontracteerde en niet gecontracteerde zorg, dan kan ik deze vraag niet beantwoorden. Deze informatie is niet beschikbaar omdat dit niet wordt geregistreerd. Het is ook niet mogelijk om een indicatie te geven op basis van declaratiegegevens.</w:t>
      </w:r>
    </w:p>
    <w:p w:rsidRPr="005F055E" w:rsidR="00575A49" w:rsidP="00180EEB" w:rsidRDefault="00575A49" w14:paraId="0DB8DF9C" w14:textId="62A7C28E">
      <w:pPr>
        <w:suppressAutoHyphens/>
        <w:spacing w:line="240" w:lineRule="atLeast"/>
        <w:rPr>
          <w:szCs w:val="18"/>
          <w:lang w:eastAsia="nl-NL"/>
        </w:rPr>
      </w:pPr>
      <w:r w:rsidRPr="005F055E">
        <w:rPr>
          <w:szCs w:val="18"/>
          <w:lang w:eastAsia="nl-NL"/>
        </w:rPr>
        <w:t xml:space="preserve">Via de rapportages van </w:t>
      </w:r>
      <w:proofErr w:type="spellStart"/>
      <w:r w:rsidRPr="005F055E">
        <w:rPr>
          <w:szCs w:val="18"/>
          <w:lang w:eastAsia="nl-NL"/>
        </w:rPr>
        <w:t>Vektis</w:t>
      </w:r>
      <w:proofErr w:type="spellEnd"/>
      <w:r w:rsidRPr="005F055E">
        <w:rPr>
          <w:szCs w:val="18"/>
          <w:lang w:eastAsia="nl-NL"/>
        </w:rPr>
        <w:t xml:space="preserve"> die uw Kamer eerder ontvangen heeft is er wel informatie beschikbaar over de ontwikkeling van de omvang van de niet-gecontracteerde zorg. Voor de wijkverpleging zijn cijfers beschikbaar t/m 2021 en voor de </w:t>
      </w:r>
      <w:r w:rsidR="00D55762">
        <w:rPr>
          <w:szCs w:val="18"/>
          <w:lang w:eastAsia="nl-NL"/>
        </w:rPr>
        <w:t>GGZ</w:t>
      </w:r>
      <w:r w:rsidRPr="005F055E">
        <w:rPr>
          <w:szCs w:val="18"/>
          <w:lang w:eastAsia="nl-NL"/>
        </w:rPr>
        <w:t xml:space="preserve"> t/m 2019. </w:t>
      </w:r>
    </w:p>
    <w:p w:rsidRPr="005F055E" w:rsidR="009C0ACD" w:rsidP="00180EEB" w:rsidRDefault="009C0ACD" w14:paraId="26149DAD" w14:textId="7AE7A118">
      <w:pPr>
        <w:suppressAutoHyphens/>
        <w:spacing w:line="240" w:lineRule="atLeast"/>
        <w:rPr>
          <w:szCs w:val="18"/>
          <w:lang w:eastAsia="nl-NL"/>
        </w:rPr>
      </w:pPr>
      <w:r w:rsidRPr="005F055E">
        <w:rPr>
          <w:szCs w:val="18"/>
          <w:lang w:eastAsia="nl-NL"/>
        </w:rPr>
        <w:t xml:space="preserve">In de Ombuigingslijst 2025 van Financiën is er een schatting gemaakt van de opbrengst van het afschaffen van de vergoeding voor </w:t>
      </w:r>
      <w:proofErr w:type="spellStart"/>
      <w:r w:rsidRPr="005F055E">
        <w:rPr>
          <w:szCs w:val="18"/>
          <w:lang w:eastAsia="nl-NL"/>
        </w:rPr>
        <w:t>ongecontracteerde</w:t>
      </w:r>
      <w:proofErr w:type="spellEnd"/>
      <w:r w:rsidRPr="005F055E">
        <w:rPr>
          <w:szCs w:val="18"/>
          <w:lang w:eastAsia="nl-NL"/>
        </w:rPr>
        <w:t xml:space="preserve"> zorg. De opbrengst van deze maatregel wordt geschat op € 190 miljoen vanaf 2028. Het CPB schat de structurele opbrengst in Keuzes in Kaart 2027-2030 in op € 0,2 miljard vanaf 2030.</w:t>
      </w:r>
    </w:p>
    <w:p w:rsidRPr="005F055E" w:rsidR="00274792" w:rsidP="00180EEB" w:rsidRDefault="00575A49" w14:paraId="1E6F6675" w14:textId="05F00734">
      <w:pPr>
        <w:suppressAutoHyphens/>
        <w:spacing w:line="240" w:lineRule="atLeast"/>
      </w:pPr>
      <w:r w:rsidRPr="005F055E">
        <w:rPr>
          <w:szCs w:val="18"/>
          <w:lang w:eastAsia="nl-NL"/>
        </w:rPr>
        <w:t>Op dit moment wordt naar aanleiding van de afspraak E4 ‘We zorgen dat iedereen een eerlijke bijdrage levert’ uit het Aanvullend Zorg- en Welzijnsakkoord onder meer gekeken naar niet gecontracteerde zorg in de wijkverpleging, geestelijke gezondheidszorg en medisch-specialistische zorg. Ik verwacht uw Kamer op zijn vroegst in het eerste kwartaal van 2026 te kunnen informeren over de resultaten van dit traject.</w:t>
      </w:r>
    </w:p>
    <w:p w:rsidRPr="005F055E" w:rsidR="00274792" w:rsidP="00180EEB" w:rsidRDefault="00274792" w14:paraId="2F39596B" w14:textId="77777777">
      <w:pPr>
        <w:suppressAutoHyphens/>
      </w:pPr>
    </w:p>
    <w:p w:rsidRPr="005F055E" w:rsidR="00274792" w:rsidP="00180EEB" w:rsidRDefault="003E7003" w14:paraId="0DAC4CC9" w14:textId="77777777">
      <w:pPr>
        <w:suppressAutoHyphens/>
      </w:pPr>
      <w:r w:rsidRPr="005F055E">
        <w:t>Vraag 261</w:t>
      </w:r>
      <w:r w:rsidRPr="005F055E">
        <w:tab/>
      </w:r>
    </w:p>
    <w:p w:rsidRPr="005F055E" w:rsidR="00274792" w:rsidP="00180EEB" w:rsidRDefault="003E7003" w14:paraId="7C938965" w14:textId="77777777">
      <w:pPr>
        <w:suppressAutoHyphens/>
      </w:pPr>
      <w:r w:rsidRPr="005F055E">
        <w:t>Welke leefstijlinterventies die door de overheid zijn bekostigd, hebben geleid tot verbetering in leefstijl? Om hoeveel budget gaat het per succesvolle leefstijlinterventie en wat waren de concrete resultaten?</w:t>
      </w:r>
      <w:r w:rsidRPr="005F055E">
        <w:tab/>
      </w:r>
    </w:p>
    <w:p w:rsidR="006D333D" w:rsidP="00180EEB" w:rsidRDefault="006D333D" w14:paraId="5EAFAB32" w14:textId="77777777">
      <w:pPr>
        <w:suppressAutoHyphens/>
      </w:pPr>
    </w:p>
    <w:p w:rsidRPr="005F055E" w:rsidR="003E7003" w:rsidP="00180EEB" w:rsidRDefault="003E7003" w14:paraId="428B78C1" w14:textId="06329CA2">
      <w:pPr>
        <w:suppressAutoHyphens/>
      </w:pPr>
      <w:r w:rsidRPr="005F055E">
        <w:t>Antwoord</w:t>
      </w:r>
    </w:p>
    <w:p w:rsidRPr="005F055E" w:rsidR="0014318A" w:rsidP="00180EEB" w:rsidRDefault="0014318A" w14:paraId="7B376175" w14:textId="77777777">
      <w:pPr>
        <w:suppressAutoHyphens/>
        <w:rPr>
          <w:szCs w:val="18"/>
        </w:rPr>
      </w:pPr>
      <w:r w:rsidRPr="005F055E">
        <w:rPr>
          <w:szCs w:val="18"/>
        </w:rPr>
        <w:t xml:space="preserve">In de databank van Loket Gezond Leven (RIVM) staan leefstijlinterventies die zijn beoordeeld op effectiviteit. Deze interventies kunnen door verschillende organisaties en professionals worden ingezet en bekostigd. Vaak zijn dit gemeenten, </w:t>
      </w:r>
      <w:proofErr w:type="spellStart"/>
      <w:r w:rsidRPr="005F055E">
        <w:rPr>
          <w:szCs w:val="18"/>
        </w:rPr>
        <w:t>GGD’en</w:t>
      </w:r>
      <w:proofErr w:type="spellEnd"/>
      <w:r w:rsidRPr="005F055E">
        <w:rPr>
          <w:szCs w:val="18"/>
        </w:rPr>
        <w:t xml:space="preserve"> of scholen. De inzet van leefstijlinterventies gebeurt veelal als onderdeel van een bredere aanpak. Denk hierbij aan scholen die interventies inzetten binnen het programma Gezonde School. Omdat leefstijlinterventies vaak door andere organisaties worden ingezet en een onderdeel zijn van een bredere aanpak, is het niet mogelijk om uitgesplitst per leefstijlinterventie hier een budget aan te koppelen of concrete resultaten aan te verbinden.</w:t>
      </w:r>
    </w:p>
    <w:p w:rsidRPr="005F055E" w:rsidR="0014318A" w:rsidP="00180EEB" w:rsidRDefault="0014318A" w14:paraId="16A2CA48" w14:textId="77777777">
      <w:pPr>
        <w:suppressAutoHyphens/>
        <w:rPr>
          <w:szCs w:val="18"/>
        </w:rPr>
      </w:pPr>
    </w:p>
    <w:p w:rsidRPr="005F055E" w:rsidR="00274792" w:rsidP="00180EEB" w:rsidRDefault="0014318A" w14:paraId="14EAA874" w14:textId="2F42E9C3">
      <w:pPr>
        <w:suppressAutoHyphens/>
        <w:rPr>
          <w:szCs w:val="18"/>
        </w:rPr>
      </w:pPr>
      <w:r w:rsidRPr="005F055E">
        <w:rPr>
          <w:szCs w:val="18"/>
        </w:rPr>
        <w:t xml:space="preserve">Een leefstijlinterventie die vanuit de </w:t>
      </w:r>
      <w:proofErr w:type="spellStart"/>
      <w:r w:rsidRPr="005F055E">
        <w:rPr>
          <w:szCs w:val="18"/>
        </w:rPr>
        <w:t>Zvw</w:t>
      </w:r>
      <w:proofErr w:type="spellEnd"/>
      <w:r w:rsidRPr="005F055E">
        <w:rPr>
          <w:szCs w:val="18"/>
        </w:rPr>
        <w:t xml:space="preserve"> wordt vergoed en waar uitgebreide monitoring op loopt is de Gecombineerde Leefstijlinterventie (GLI) voor volwassenen met overgewicht of obesitas. Er zijn momenteel 9 verschillende GLI-programma’s voor volwassenen die worden vergoed vanuit de basisverzekering. Het maximumtarief in 2025 van een volledig programma is, zoals vastgesteld door de </w:t>
      </w:r>
      <w:proofErr w:type="spellStart"/>
      <w:r w:rsidRPr="005F055E">
        <w:rPr>
          <w:szCs w:val="18"/>
        </w:rPr>
        <w:t>NZa</w:t>
      </w:r>
      <w:proofErr w:type="spellEnd"/>
      <w:r w:rsidRPr="005F055E">
        <w:rPr>
          <w:szCs w:val="18"/>
        </w:rPr>
        <w:t>, €1.333,78. Dit bedrag is opgebouwd uit een intake, vier kwartalen behandelfase en vier kwartalen onderhoudsfase. Aan het einde van het GLI-traject hebben deelnemers, zo blijkt uit de meest recente rapportage van de GLI-monitor (RIVM 2024), gemiddeld 5 procent gewicht verloren en is de buikomvang gemiddeld met bijna 5 procent afgenomen. De kwaliteit van leven laat een flinke verbetering zien na deelname, deze is 13 punten hoger dan bij het begin van de GLI, op een schaal van 0 tot 100.</w:t>
      </w:r>
    </w:p>
    <w:p w:rsidR="00274792" w:rsidP="00180EEB" w:rsidRDefault="00274792" w14:paraId="72ABF792" w14:textId="77777777">
      <w:pPr>
        <w:suppressAutoHyphens/>
      </w:pPr>
    </w:p>
    <w:p w:rsidRPr="005F055E" w:rsidR="00274792" w:rsidP="00180EEB" w:rsidRDefault="003E7003" w14:paraId="69D5BBB9" w14:textId="77777777">
      <w:pPr>
        <w:suppressAutoHyphens/>
      </w:pPr>
      <w:bookmarkStart w:name="_Hlk213343407" w:id="45"/>
      <w:r w:rsidRPr="005F055E">
        <w:t>Vraag 262</w:t>
      </w:r>
      <w:r w:rsidRPr="005F055E">
        <w:tab/>
      </w:r>
    </w:p>
    <w:p w:rsidRPr="005F055E" w:rsidR="00274792" w:rsidP="00180EEB" w:rsidRDefault="003E7003" w14:paraId="68B06A31" w14:textId="77777777">
      <w:pPr>
        <w:suppressAutoHyphens/>
      </w:pPr>
      <w:r w:rsidRPr="005F055E">
        <w:t>Met welke criteria worden de gezondheidsvaardigheden van Nederlanders gemeten?</w:t>
      </w:r>
      <w:r w:rsidRPr="005F055E">
        <w:tab/>
      </w:r>
    </w:p>
    <w:p w:rsidRPr="005F055E" w:rsidR="003E7003" w:rsidP="00180EEB" w:rsidRDefault="003E7003" w14:paraId="7BA45A81" w14:textId="478F8A10">
      <w:pPr>
        <w:suppressAutoHyphens/>
      </w:pPr>
      <w:r w:rsidRPr="005F055E">
        <w:t>Antwoord</w:t>
      </w:r>
    </w:p>
    <w:p w:rsidRPr="005F055E" w:rsidR="0014318A" w:rsidP="00180EEB" w:rsidRDefault="0014318A" w14:paraId="4F8DFE45" w14:textId="58E5ED2C">
      <w:pPr>
        <w:suppressAutoHyphens/>
        <w:spacing w:line="252" w:lineRule="auto"/>
        <w:rPr>
          <w:rFonts w:cstheme="minorHAnsi"/>
          <w:szCs w:val="18"/>
        </w:rPr>
      </w:pPr>
      <w:r w:rsidRPr="005F055E">
        <w:rPr>
          <w:rFonts w:cstheme="minorHAnsi"/>
          <w:szCs w:val="18"/>
        </w:rPr>
        <w:t xml:space="preserve">De gezondheidsvaardigheden van Nederlanders worden gemeten met de Health </w:t>
      </w:r>
      <w:proofErr w:type="spellStart"/>
      <w:r w:rsidRPr="005F055E">
        <w:rPr>
          <w:rFonts w:cstheme="minorHAnsi"/>
          <w:szCs w:val="18"/>
        </w:rPr>
        <w:t>Literacy</w:t>
      </w:r>
      <w:proofErr w:type="spellEnd"/>
      <w:r w:rsidRPr="005F055E">
        <w:rPr>
          <w:rFonts w:cstheme="minorHAnsi"/>
          <w:szCs w:val="18"/>
        </w:rPr>
        <w:t xml:space="preserve"> Survey (HLS), bestaande uit 47 vragen over het verkrijgen, begrijpen, beoordelen en toepassen van informatie ten aanzien van gezondheidszorg, preventie van ziekte en gezondheidsbevordering. Deelnemers moeten bijvoorbeeld aangeven hoe moeilijk of gemakkelijk zij het vinden om te begrijpen wat de dokter zegt, om te bepalen welke vaccinaties zij nodig hebben of om beslissingen te nemen ter verbetering van de eigen gezondheid. De HLS is in 2011 voor het laatst in Nederland en 7 andere Europese afgenomen.</w:t>
      </w:r>
      <w:r w:rsidRPr="005F055E">
        <w:rPr>
          <w:rStyle w:val="Voetnootmarkering"/>
          <w:rFonts w:cstheme="minorHAnsi"/>
          <w:szCs w:val="18"/>
        </w:rPr>
        <w:footnoteReference w:id="90"/>
      </w:r>
      <w:r w:rsidRPr="005F055E">
        <w:rPr>
          <w:rFonts w:cstheme="minorHAnsi"/>
          <w:szCs w:val="18"/>
        </w:rPr>
        <w:t xml:space="preserve"> </w:t>
      </w:r>
    </w:p>
    <w:p w:rsidRPr="005F055E" w:rsidR="00274792" w:rsidP="00180EEB" w:rsidRDefault="0014318A" w14:paraId="7A5DAB87" w14:textId="05810924">
      <w:pPr>
        <w:suppressAutoHyphens/>
        <w:spacing w:line="252" w:lineRule="auto"/>
        <w:rPr>
          <w:rFonts w:cstheme="minorHAnsi"/>
          <w:szCs w:val="18"/>
        </w:rPr>
      </w:pPr>
      <w:proofErr w:type="spellStart"/>
      <w:r w:rsidRPr="00056279">
        <w:rPr>
          <w:rFonts w:cstheme="minorHAnsi"/>
          <w:szCs w:val="18"/>
          <w:lang w:val="en-US"/>
        </w:rPr>
        <w:t>Voortbouwend</w:t>
      </w:r>
      <w:proofErr w:type="spellEnd"/>
      <w:r w:rsidRPr="00056279">
        <w:rPr>
          <w:rFonts w:cstheme="minorHAnsi"/>
          <w:szCs w:val="18"/>
          <w:lang w:val="en-US"/>
        </w:rPr>
        <w:t xml:space="preserve"> op </w:t>
      </w:r>
      <w:proofErr w:type="spellStart"/>
      <w:r w:rsidRPr="00056279">
        <w:rPr>
          <w:rFonts w:cstheme="minorHAnsi"/>
          <w:szCs w:val="18"/>
          <w:lang w:val="en-US"/>
        </w:rPr>
        <w:t>deze</w:t>
      </w:r>
      <w:proofErr w:type="spellEnd"/>
      <w:r w:rsidRPr="00056279">
        <w:rPr>
          <w:rFonts w:cstheme="minorHAnsi"/>
          <w:szCs w:val="18"/>
          <w:lang w:val="en-US"/>
        </w:rPr>
        <w:t xml:space="preserve"> survey, is in 2018 het WHO Action Network on Measuring Population and Organizational Health Literacy (M-POHL) </w:t>
      </w:r>
      <w:proofErr w:type="spellStart"/>
      <w:r w:rsidRPr="00056279">
        <w:rPr>
          <w:rFonts w:cstheme="minorHAnsi"/>
          <w:szCs w:val="18"/>
          <w:lang w:val="en-US"/>
        </w:rPr>
        <w:t>opgericht</w:t>
      </w:r>
      <w:proofErr w:type="spellEnd"/>
      <w:r w:rsidRPr="00056279">
        <w:rPr>
          <w:rFonts w:cstheme="minorHAnsi"/>
          <w:szCs w:val="18"/>
          <w:lang w:val="en-US"/>
        </w:rPr>
        <w:t>.</w:t>
      </w:r>
      <w:r w:rsidRPr="005F055E">
        <w:rPr>
          <w:rStyle w:val="Voetnootmarkering"/>
          <w:rFonts w:cstheme="minorHAnsi"/>
          <w:szCs w:val="18"/>
        </w:rPr>
        <w:footnoteReference w:id="91"/>
      </w:r>
      <w:r w:rsidRPr="00056279">
        <w:rPr>
          <w:rFonts w:cstheme="minorHAnsi"/>
          <w:szCs w:val="18"/>
          <w:lang w:val="en-US"/>
        </w:rPr>
        <w:t xml:space="preserve"> </w:t>
      </w:r>
      <w:r w:rsidRPr="005F055E">
        <w:rPr>
          <w:rFonts w:cstheme="minorHAnsi"/>
          <w:szCs w:val="18"/>
        </w:rPr>
        <w:t>Het doel van M-POHL is het uitvoeren van internationaal vergelijkbare metingen van gezondheidsvaardigheden in de populatie (</w:t>
      </w:r>
      <w:proofErr w:type="spellStart"/>
      <w:r w:rsidRPr="005F055E">
        <w:rPr>
          <w:rFonts w:cstheme="minorHAnsi"/>
          <w:szCs w:val="18"/>
        </w:rPr>
        <w:t>population</w:t>
      </w:r>
      <w:proofErr w:type="spellEnd"/>
      <w:r w:rsidRPr="005F055E">
        <w:rPr>
          <w:rFonts w:cstheme="minorHAnsi"/>
          <w:szCs w:val="18"/>
        </w:rPr>
        <w:t xml:space="preserve"> </w:t>
      </w:r>
      <w:proofErr w:type="spellStart"/>
      <w:r w:rsidRPr="005F055E">
        <w:rPr>
          <w:rFonts w:cstheme="minorHAnsi"/>
          <w:szCs w:val="18"/>
        </w:rPr>
        <w:t>heatlh</w:t>
      </w:r>
      <w:proofErr w:type="spellEnd"/>
      <w:r w:rsidRPr="005F055E">
        <w:rPr>
          <w:rFonts w:cstheme="minorHAnsi"/>
          <w:szCs w:val="18"/>
        </w:rPr>
        <w:t xml:space="preserve"> </w:t>
      </w:r>
      <w:proofErr w:type="spellStart"/>
      <w:r w:rsidRPr="005F055E">
        <w:rPr>
          <w:rFonts w:cstheme="minorHAnsi"/>
          <w:szCs w:val="18"/>
        </w:rPr>
        <w:t>literacy</w:t>
      </w:r>
      <w:proofErr w:type="spellEnd"/>
      <w:r w:rsidRPr="005F055E">
        <w:rPr>
          <w:rFonts w:cstheme="minorHAnsi"/>
          <w:szCs w:val="18"/>
        </w:rPr>
        <w:t>) en van de mate waarin zorgorganisaties hun beleid, communicatie en dienstverlening afstemmen op gezondheidsvaardigheden van hun cliënten (</w:t>
      </w:r>
      <w:proofErr w:type="spellStart"/>
      <w:r w:rsidRPr="005F055E">
        <w:rPr>
          <w:rFonts w:cstheme="minorHAnsi"/>
          <w:szCs w:val="18"/>
        </w:rPr>
        <w:t>organizational</w:t>
      </w:r>
      <w:proofErr w:type="spellEnd"/>
      <w:r w:rsidRPr="005F055E">
        <w:rPr>
          <w:rFonts w:cstheme="minorHAnsi"/>
          <w:szCs w:val="18"/>
        </w:rPr>
        <w:t xml:space="preserve"> health </w:t>
      </w:r>
      <w:proofErr w:type="spellStart"/>
      <w:r w:rsidRPr="005F055E">
        <w:rPr>
          <w:rFonts w:cstheme="minorHAnsi"/>
          <w:szCs w:val="18"/>
        </w:rPr>
        <w:t>literacy</w:t>
      </w:r>
      <w:proofErr w:type="spellEnd"/>
      <w:r w:rsidRPr="005F055E">
        <w:rPr>
          <w:rFonts w:cstheme="minorHAnsi"/>
          <w:szCs w:val="18"/>
        </w:rPr>
        <w:t xml:space="preserve">). Op dit moment loopt een nieuwe ronde (HLS24), waaraan RIVM en </w:t>
      </w:r>
      <w:proofErr w:type="spellStart"/>
      <w:r w:rsidRPr="005F055E">
        <w:rPr>
          <w:rFonts w:cstheme="minorHAnsi"/>
          <w:szCs w:val="18"/>
        </w:rPr>
        <w:t>Nivel</w:t>
      </w:r>
      <w:proofErr w:type="spellEnd"/>
      <w:r w:rsidRPr="005F055E">
        <w:rPr>
          <w:rFonts w:cstheme="minorHAnsi"/>
          <w:szCs w:val="18"/>
        </w:rPr>
        <w:t xml:space="preserve"> namens Nederland deelnemen</w:t>
      </w:r>
      <w:bookmarkEnd w:id="45"/>
      <w:r w:rsidRPr="005F055E">
        <w:rPr>
          <w:rFonts w:cstheme="minorHAnsi"/>
          <w:szCs w:val="18"/>
        </w:rPr>
        <w:t xml:space="preserve">. </w:t>
      </w:r>
      <w:r w:rsidR="00C10109">
        <w:rPr>
          <w:rFonts w:cstheme="minorHAnsi"/>
          <w:szCs w:val="18"/>
        </w:rPr>
        <w:t xml:space="preserve">Analyses worden momenteel uitgevoerd en de bevindingen worden in 2026 gerapporteerd aan VWS. </w:t>
      </w:r>
    </w:p>
    <w:p w:rsidRPr="005F055E" w:rsidR="00274792" w:rsidP="00180EEB" w:rsidRDefault="00274792" w14:paraId="339E2141" w14:textId="77777777">
      <w:pPr>
        <w:suppressAutoHyphens/>
      </w:pPr>
    </w:p>
    <w:p w:rsidRPr="005F055E" w:rsidR="00274792" w:rsidP="00180EEB" w:rsidRDefault="003E7003" w14:paraId="2FF486D1" w14:textId="77777777">
      <w:pPr>
        <w:suppressAutoHyphens/>
      </w:pPr>
      <w:r w:rsidRPr="005F055E">
        <w:t>Vraag 263</w:t>
      </w:r>
      <w:r w:rsidRPr="005F055E">
        <w:tab/>
      </w:r>
    </w:p>
    <w:p w:rsidRPr="005F055E" w:rsidR="00274792" w:rsidP="00180EEB" w:rsidRDefault="003E7003" w14:paraId="2D586A59" w14:textId="77777777">
      <w:pPr>
        <w:suppressAutoHyphens/>
      </w:pPr>
      <w:r w:rsidRPr="005F055E">
        <w:t>Hoe staat het volgens die criteria met de gezondheidsvaardigheden van Nederlanders, uitgesplitst over verschillende inkomens- en opleidingsgroepen en samenstelling van huishouden?</w:t>
      </w:r>
      <w:r w:rsidRPr="005F055E">
        <w:tab/>
      </w:r>
    </w:p>
    <w:p w:rsidRPr="005F055E" w:rsidR="003E7003" w:rsidP="00180EEB" w:rsidRDefault="003E7003" w14:paraId="6B30F142" w14:textId="52E4C4A2">
      <w:pPr>
        <w:suppressAutoHyphens/>
      </w:pPr>
      <w:r w:rsidRPr="005F055E">
        <w:t>Antwoord</w:t>
      </w:r>
    </w:p>
    <w:p w:rsidRPr="005F055E" w:rsidR="0014318A" w:rsidP="00180EEB" w:rsidRDefault="0014318A" w14:paraId="5936467D" w14:textId="77777777">
      <w:pPr>
        <w:suppressAutoHyphens/>
        <w:spacing w:line="252" w:lineRule="auto"/>
        <w:rPr>
          <w:rFonts w:cstheme="minorHAnsi"/>
          <w:szCs w:val="18"/>
        </w:rPr>
      </w:pPr>
      <w:bookmarkStart w:name="_Hlk210977943" w:id="46"/>
      <w:r w:rsidRPr="005F055E">
        <w:rPr>
          <w:rFonts w:cstheme="minorHAnsi"/>
          <w:szCs w:val="18"/>
        </w:rPr>
        <w:t xml:space="preserve">Dit jaar </w:t>
      </w:r>
      <w:bookmarkEnd w:id="46"/>
      <w:r w:rsidRPr="005F055E">
        <w:rPr>
          <w:rFonts w:cstheme="minorHAnsi"/>
          <w:szCs w:val="18"/>
        </w:rPr>
        <w:t xml:space="preserve">hebben 11.000 Nederlandse burgers de Health </w:t>
      </w:r>
      <w:proofErr w:type="spellStart"/>
      <w:r w:rsidRPr="005F055E">
        <w:rPr>
          <w:rFonts w:cstheme="minorHAnsi"/>
          <w:szCs w:val="18"/>
        </w:rPr>
        <w:t>Literacy</w:t>
      </w:r>
      <w:proofErr w:type="spellEnd"/>
      <w:r w:rsidRPr="005F055E">
        <w:rPr>
          <w:rFonts w:cstheme="minorHAnsi"/>
          <w:szCs w:val="18"/>
        </w:rPr>
        <w:t xml:space="preserve"> Survey (HLS) ingevuld. Verschillende inkomens- en opleidingsgroepen komen hierin voldoende terug om bij nadere analyses een goed beeld te krijgen van gezondheidsvaardigheden in de Nederlandse populatie. Analyses worden momenteel uitgevoerd en de bevindingen worden in 2026 gerapporteerd aan VWS. </w:t>
      </w:r>
    </w:p>
    <w:p w:rsidRPr="005F055E" w:rsidR="00274792" w:rsidP="00180EEB" w:rsidRDefault="0014318A" w14:paraId="4942433F" w14:textId="37216BEE">
      <w:pPr>
        <w:suppressAutoHyphens/>
        <w:spacing w:line="252" w:lineRule="auto"/>
        <w:rPr>
          <w:rFonts w:cstheme="minorHAnsi"/>
          <w:szCs w:val="18"/>
        </w:rPr>
      </w:pPr>
      <w:r w:rsidRPr="005F055E">
        <w:rPr>
          <w:rFonts w:cstheme="minorHAnsi"/>
          <w:szCs w:val="18"/>
        </w:rPr>
        <w:t xml:space="preserve">Daarnaast neemt het </w:t>
      </w:r>
      <w:proofErr w:type="spellStart"/>
      <w:r w:rsidRPr="005F055E">
        <w:rPr>
          <w:rFonts w:cstheme="minorHAnsi"/>
          <w:szCs w:val="18"/>
        </w:rPr>
        <w:t>Nivel</w:t>
      </w:r>
      <w:proofErr w:type="spellEnd"/>
      <w:r w:rsidRPr="005F055E">
        <w:rPr>
          <w:rFonts w:cstheme="minorHAnsi"/>
          <w:szCs w:val="18"/>
        </w:rPr>
        <w:t xml:space="preserve"> periodiek een verkorte versie van de HLS-EU (16 items) af onder </w:t>
      </w:r>
      <w:r w:rsidR="005A374A">
        <w:rPr>
          <w:rFonts w:cstheme="minorHAnsi"/>
          <w:szCs w:val="18"/>
        </w:rPr>
        <w:t xml:space="preserve">zijn </w:t>
      </w:r>
      <w:r w:rsidRPr="005F055E">
        <w:rPr>
          <w:rFonts w:cstheme="minorHAnsi"/>
          <w:szCs w:val="18"/>
        </w:rPr>
        <w:t>Consumentenpanel gezondheidszorg. Dit panel bestaat uit 1500 deelnemers die representatief zijn voor de bevolking wat betreft leeftijd, geslacht en opleidingsniveau. In 2023 vulden 723 panelleden de vragenlijst in.</w:t>
      </w:r>
      <w:r w:rsidRPr="005F055E">
        <w:rPr>
          <w:rStyle w:val="Voetnootmarkering"/>
          <w:rFonts w:cstheme="minorHAnsi"/>
          <w:szCs w:val="18"/>
        </w:rPr>
        <w:footnoteReference w:id="92"/>
      </w:r>
      <w:r w:rsidRPr="005F055E">
        <w:rPr>
          <w:rFonts w:cstheme="minorHAnsi"/>
          <w:szCs w:val="18"/>
        </w:rPr>
        <w:t xml:space="preserve"> Van de panelleden met het laagste opleidingsniveau had 60% beperkte of onvoldoende gezondheidsvaardigheden, dit was 39% onder mensen met een gemiddeld opleidingsniveau en 27% onder mensen met een hoog opleidingsniveau. Verschillen wat betreft inkomen en samenstelling van huishoudens zijn niet onderzocht. Het panel omvat weinig mensen met een migratieachtergrond waardoor uitsplitsing naar deze groepen op basis van het consumentenpanel niet mogelijk is.</w:t>
      </w:r>
    </w:p>
    <w:p w:rsidRPr="005F055E" w:rsidR="00274792" w:rsidP="00180EEB" w:rsidRDefault="00274792" w14:paraId="31B7CBD8" w14:textId="77777777">
      <w:pPr>
        <w:suppressAutoHyphens/>
      </w:pPr>
      <w:bookmarkStart w:name="_Hlk213341535" w:id="47"/>
    </w:p>
    <w:p w:rsidRPr="005F055E" w:rsidR="00274792" w:rsidP="00180EEB" w:rsidRDefault="003E7003" w14:paraId="5CA50A2B" w14:textId="77777777">
      <w:pPr>
        <w:suppressAutoHyphens/>
      </w:pPr>
      <w:r w:rsidRPr="005F055E">
        <w:t>Vraag 264</w:t>
      </w:r>
      <w:r w:rsidRPr="005F055E">
        <w:tab/>
      </w:r>
    </w:p>
    <w:p w:rsidRPr="005F055E" w:rsidR="00274792" w:rsidP="00180EEB" w:rsidRDefault="003E7003" w14:paraId="5B7B8B0E" w14:textId="77777777">
      <w:pPr>
        <w:suppressAutoHyphens/>
      </w:pPr>
      <w:r w:rsidRPr="005F055E">
        <w:t>Hoe verhouden de gezondheidsvaardigheden van Nederlanders zich tot de gezondheidsvaardigheden van inwoners van andere Europese landen, Japan en Amerika en Canada bijvoorbeeld?</w:t>
      </w:r>
      <w:r w:rsidRPr="005F055E">
        <w:tab/>
      </w:r>
    </w:p>
    <w:p w:rsidR="008C3510" w:rsidP="00180EEB" w:rsidRDefault="008C3510" w14:paraId="3548A60A" w14:textId="77777777">
      <w:pPr>
        <w:suppressAutoHyphens/>
      </w:pPr>
    </w:p>
    <w:p w:rsidRPr="005F055E" w:rsidR="003E7003" w:rsidP="00180EEB" w:rsidRDefault="003E7003" w14:paraId="4FA46E7B" w14:textId="4FF2EBB0">
      <w:pPr>
        <w:suppressAutoHyphens/>
      </w:pPr>
      <w:r w:rsidRPr="005F055E">
        <w:t>Antwoord</w:t>
      </w:r>
    </w:p>
    <w:p w:rsidRPr="005F055E" w:rsidR="00274792" w:rsidP="00180EEB" w:rsidRDefault="00630335" w14:paraId="5CD2B8C4" w14:textId="1FC44F41">
      <w:pPr>
        <w:suppressAutoHyphens/>
        <w:spacing w:line="252" w:lineRule="auto"/>
        <w:rPr>
          <w:rFonts w:cstheme="minorHAnsi"/>
          <w:szCs w:val="18"/>
          <w:lang w:eastAsia="nl-NL"/>
        </w:rPr>
      </w:pPr>
      <w:r w:rsidRPr="005F055E">
        <w:rPr>
          <w:rFonts w:cstheme="minorHAnsi"/>
          <w:szCs w:val="18"/>
          <w:lang w:eastAsia="nl-NL"/>
        </w:rPr>
        <w:t>In 2011 is de HLS-EU voor het laatst uitgevoerd voor de Nederlandse populatie.</w:t>
      </w:r>
      <w:r w:rsidRPr="005F055E">
        <w:rPr>
          <w:rFonts w:cstheme="minorHAnsi"/>
          <w:szCs w:val="18"/>
          <w:vertAlign w:val="superscript"/>
          <w:lang w:eastAsia="nl-NL"/>
        </w:rPr>
        <w:footnoteReference w:id="93"/>
      </w:r>
      <w:r w:rsidRPr="005F055E">
        <w:rPr>
          <w:rFonts w:cstheme="minorHAnsi"/>
          <w:szCs w:val="18"/>
          <w:lang w:eastAsia="nl-NL"/>
        </w:rPr>
        <w:t xml:space="preserve"> Destijds had 28,6% van de Nederlandse HLS-EU deelnemers onvoldoende of beperkte gezondheidsvaardigheden. In andere deelnemende Europese landen (Duitsland, Ierland, Polen, Oostenrijk, Bulgarije, Griekenland en Spanje) lag dit percentage tussen 40% en 62%.</w:t>
      </w:r>
      <w:r w:rsidRPr="005F055E">
        <w:rPr>
          <w:rFonts w:cstheme="minorHAnsi"/>
          <w:szCs w:val="18"/>
          <w:vertAlign w:val="superscript"/>
          <w:lang w:eastAsia="nl-NL"/>
        </w:rPr>
        <w:footnoteReference w:id="94"/>
      </w:r>
      <w:r w:rsidRPr="005F055E">
        <w:rPr>
          <w:rFonts w:cstheme="minorHAnsi"/>
          <w:szCs w:val="18"/>
          <w:lang w:eastAsia="nl-NL"/>
        </w:rPr>
        <w:t xml:space="preserve"> Op dit moment nemen momenteel 21 landen waaronder Nederland deel aan de nieuwe ronde (HLS24) binnen het WHO Action Network on </w:t>
      </w:r>
      <w:proofErr w:type="spellStart"/>
      <w:r w:rsidRPr="005F055E">
        <w:rPr>
          <w:rFonts w:cstheme="minorHAnsi"/>
          <w:szCs w:val="18"/>
          <w:lang w:eastAsia="nl-NL"/>
        </w:rPr>
        <w:t>Measuring</w:t>
      </w:r>
      <w:proofErr w:type="spellEnd"/>
      <w:r w:rsidRPr="005F055E">
        <w:rPr>
          <w:rFonts w:cstheme="minorHAnsi"/>
          <w:szCs w:val="18"/>
          <w:lang w:eastAsia="nl-NL"/>
        </w:rPr>
        <w:t xml:space="preserve"> </w:t>
      </w:r>
      <w:proofErr w:type="spellStart"/>
      <w:r w:rsidRPr="005F055E">
        <w:rPr>
          <w:rFonts w:cstheme="minorHAnsi"/>
          <w:szCs w:val="18"/>
          <w:lang w:eastAsia="nl-NL"/>
        </w:rPr>
        <w:t>Population</w:t>
      </w:r>
      <w:proofErr w:type="spellEnd"/>
      <w:r w:rsidRPr="005F055E">
        <w:rPr>
          <w:rFonts w:cstheme="minorHAnsi"/>
          <w:szCs w:val="18"/>
          <w:lang w:eastAsia="nl-NL"/>
        </w:rPr>
        <w:t xml:space="preserve"> </w:t>
      </w:r>
      <w:proofErr w:type="spellStart"/>
      <w:r w:rsidRPr="005F055E">
        <w:rPr>
          <w:rFonts w:cstheme="minorHAnsi"/>
          <w:szCs w:val="18"/>
          <w:lang w:eastAsia="nl-NL"/>
        </w:rPr>
        <w:t>and</w:t>
      </w:r>
      <w:proofErr w:type="spellEnd"/>
      <w:r w:rsidRPr="005F055E">
        <w:rPr>
          <w:rFonts w:cstheme="minorHAnsi"/>
          <w:szCs w:val="18"/>
          <w:lang w:eastAsia="nl-NL"/>
        </w:rPr>
        <w:t xml:space="preserve"> </w:t>
      </w:r>
      <w:proofErr w:type="spellStart"/>
      <w:r w:rsidRPr="005F055E">
        <w:rPr>
          <w:rFonts w:cstheme="minorHAnsi"/>
          <w:szCs w:val="18"/>
          <w:lang w:eastAsia="nl-NL"/>
        </w:rPr>
        <w:t>Organizational</w:t>
      </w:r>
      <w:proofErr w:type="spellEnd"/>
      <w:r w:rsidRPr="005F055E">
        <w:rPr>
          <w:rFonts w:cstheme="minorHAnsi"/>
          <w:szCs w:val="18"/>
          <w:lang w:eastAsia="nl-NL"/>
        </w:rPr>
        <w:t xml:space="preserve"> Health </w:t>
      </w:r>
      <w:proofErr w:type="spellStart"/>
      <w:r w:rsidRPr="005F055E">
        <w:rPr>
          <w:rFonts w:cstheme="minorHAnsi"/>
          <w:szCs w:val="18"/>
          <w:lang w:eastAsia="nl-NL"/>
        </w:rPr>
        <w:t>Literacy</w:t>
      </w:r>
      <w:proofErr w:type="spellEnd"/>
      <w:r w:rsidRPr="005F055E">
        <w:rPr>
          <w:rFonts w:cstheme="minorHAnsi"/>
          <w:szCs w:val="18"/>
          <w:lang w:eastAsia="nl-NL"/>
        </w:rPr>
        <w:t xml:space="preserve"> (M-POHL).</w:t>
      </w:r>
      <w:r w:rsidRPr="005F055E">
        <w:rPr>
          <w:rFonts w:cstheme="minorHAnsi"/>
          <w:szCs w:val="18"/>
          <w:vertAlign w:val="superscript"/>
          <w:lang w:eastAsia="nl-NL"/>
        </w:rPr>
        <w:footnoteReference w:id="95"/>
      </w:r>
      <w:r w:rsidRPr="005F055E">
        <w:rPr>
          <w:rFonts w:cstheme="minorHAnsi"/>
          <w:szCs w:val="18"/>
          <w:lang w:eastAsia="nl-NL"/>
        </w:rPr>
        <w:t xml:space="preserve"> De bevindingen vanuit Nederland zullen met deze landen worden vergeleken.</w:t>
      </w:r>
      <w:r w:rsidR="00C10109">
        <w:rPr>
          <w:rFonts w:cstheme="minorHAnsi"/>
          <w:szCs w:val="18"/>
          <w:lang w:eastAsia="nl-NL"/>
        </w:rPr>
        <w:t xml:space="preserve"> Analyses worden momenteel uitgevoerd en de bevindingen worden in 2026 gerapporteerd aan VWS. </w:t>
      </w:r>
      <w:r w:rsidRPr="005F055E">
        <w:rPr>
          <w:rFonts w:cstheme="minorHAnsi"/>
          <w:szCs w:val="18"/>
          <w:lang w:eastAsia="nl-NL"/>
        </w:rPr>
        <w:t xml:space="preserve"> Een vergelijking met Japan, Amerika en Canada is voor de Nederlandse situatie niet bekend.</w:t>
      </w:r>
      <w:r w:rsidRPr="005F055E" w:rsidR="00D73F76">
        <w:rPr>
          <w:rFonts w:cstheme="minorHAnsi"/>
          <w:szCs w:val="18"/>
          <w:lang w:eastAsia="nl-NL"/>
        </w:rPr>
        <w:t xml:space="preserve"> </w:t>
      </w:r>
    </w:p>
    <w:bookmarkEnd w:id="47"/>
    <w:p w:rsidRPr="005F055E" w:rsidR="0014318A" w:rsidP="00180EEB" w:rsidRDefault="0014318A" w14:paraId="18714DB8" w14:textId="77777777">
      <w:pPr>
        <w:suppressAutoHyphens/>
      </w:pPr>
    </w:p>
    <w:p w:rsidRPr="005F055E" w:rsidR="00274792" w:rsidP="00180EEB" w:rsidRDefault="003E7003" w14:paraId="7CE5B978" w14:textId="77777777">
      <w:pPr>
        <w:suppressAutoHyphens/>
      </w:pPr>
      <w:r w:rsidRPr="005F055E">
        <w:t>Vraag 265</w:t>
      </w:r>
      <w:r w:rsidRPr="005F055E">
        <w:tab/>
      </w:r>
    </w:p>
    <w:p w:rsidRPr="005F055E" w:rsidR="00274792" w:rsidP="00180EEB" w:rsidRDefault="003E7003" w14:paraId="4042CC9D" w14:textId="77777777">
      <w:pPr>
        <w:suppressAutoHyphens/>
      </w:pPr>
      <w:r w:rsidRPr="005F055E">
        <w:t>Hoeveel verschillende cao’s zijn van toepassing op de verschillende medewerkers in de zorg?</w:t>
      </w:r>
      <w:r w:rsidRPr="005F055E">
        <w:tab/>
      </w:r>
    </w:p>
    <w:p w:rsidRPr="005F055E" w:rsidR="003E7003" w:rsidP="00180EEB" w:rsidRDefault="003E7003" w14:paraId="722F481C" w14:textId="140934FF">
      <w:pPr>
        <w:suppressAutoHyphens/>
      </w:pPr>
      <w:r w:rsidRPr="005F055E">
        <w:t>Antwoord</w:t>
      </w:r>
    </w:p>
    <w:p w:rsidR="006D333D" w:rsidP="00180EEB" w:rsidRDefault="00855C28" w14:paraId="6297A2DC" w14:textId="77777777">
      <w:pPr>
        <w:suppressAutoHyphens/>
        <w:spacing w:line="240" w:lineRule="atLeast"/>
        <w:rPr>
          <w:rFonts w:cs="Calibri"/>
          <w:color w:val="000000"/>
          <w:szCs w:val="18"/>
          <w:lang w:eastAsia="nl-NL"/>
        </w:rPr>
      </w:pPr>
      <w:r w:rsidRPr="005F055E">
        <w:rPr>
          <w:rFonts w:cs="Calibri"/>
          <w:color w:val="000000"/>
          <w:szCs w:val="18"/>
          <w:lang w:eastAsia="nl-NL"/>
        </w:rPr>
        <w:t xml:space="preserve">Van het sluiten, wijzigen of opzeggen van een cao moeten cao-partijen mededeling doen bij de minister van SZW. Nadat deze melding is bevestigd door middel van een kennisgeving van ontvangst treedt de aangemelde of gewijzigde cao in werking. Elke cao kent zijn eigen werkingssfeer. De werkingssfeer wordt bepaald door sociale partners. Het ministerie van SZW beoordeelt niet welke cao behoort tot de sector zorg en welzijn. Via het ministerie van SZW is daarom geen uitputtend overzicht te verkrijgen van de cao’s die tot de sector zorg en welzijn gerekend zouden moeten worden. Voorbeelden van cao’s waarvan de primaire werkingssfeer binnen zorg en welzijn ligt zijn: Cao </w:t>
      </w:r>
      <w:proofErr w:type="spellStart"/>
      <w:r w:rsidRPr="005F055E">
        <w:rPr>
          <w:rFonts w:cs="Calibri"/>
          <w:color w:val="000000"/>
          <w:szCs w:val="18"/>
          <w:lang w:eastAsia="nl-NL"/>
        </w:rPr>
        <w:t>Umc’s</w:t>
      </w:r>
      <w:proofErr w:type="spellEnd"/>
      <w:r w:rsidRPr="005F055E">
        <w:rPr>
          <w:rFonts w:cs="Calibri"/>
          <w:color w:val="000000"/>
          <w:szCs w:val="18"/>
          <w:lang w:eastAsia="nl-NL"/>
        </w:rPr>
        <w:t xml:space="preserve">, CAO Ziekenhuizen, Cao Zelfstandige Klinieken Nederland, Cao Ambulancezorg, Cao Huisartsenzorg, Cao </w:t>
      </w:r>
      <w:r w:rsidR="00D55762">
        <w:rPr>
          <w:rFonts w:cs="Calibri"/>
          <w:color w:val="000000"/>
          <w:szCs w:val="18"/>
          <w:lang w:eastAsia="nl-NL"/>
        </w:rPr>
        <w:t>GGZ</w:t>
      </w:r>
      <w:r w:rsidRPr="005F055E">
        <w:rPr>
          <w:rFonts w:cs="Calibri"/>
          <w:color w:val="000000"/>
          <w:szCs w:val="18"/>
          <w:lang w:eastAsia="nl-NL"/>
        </w:rPr>
        <w:t xml:space="preserve">, Cao VVT, Cao Gehandicaptenzorg, Cao Sociaal werk, Cao Jeugdzorg, Cao Kraamzorg, Cao Apotheken, Cao SBOH en Cao </w:t>
      </w:r>
      <w:proofErr w:type="spellStart"/>
      <w:r w:rsidRPr="005F055E">
        <w:rPr>
          <w:rFonts w:cs="Calibri"/>
          <w:color w:val="000000"/>
          <w:szCs w:val="18"/>
          <w:lang w:eastAsia="nl-NL"/>
        </w:rPr>
        <w:t>Sanquin</w:t>
      </w:r>
      <w:proofErr w:type="spellEnd"/>
      <w:r w:rsidRPr="005F055E">
        <w:rPr>
          <w:rFonts w:cs="Calibri"/>
          <w:color w:val="000000"/>
          <w:szCs w:val="18"/>
          <w:lang w:eastAsia="nl-NL"/>
        </w:rPr>
        <w:t xml:space="preserve">. </w:t>
      </w:r>
    </w:p>
    <w:p w:rsidRPr="005F055E" w:rsidR="00274792" w:rsidP="00180EEB" w:rsidRDefault="00855C28" w14:paraId="579684D4" w14:textId="692C4673">
      <w:pPr>
        <w:suppressAutoHyphens/>
        <w:spacing w:line="240" w:lineRule="atLeast"/>
        <w:rPr>
          <w:szCs w:val="18"/>
          <w:lang w:eastAsia="nl-NL"/>
        </w:rPr>
      </w:pPr>
      <w:r w:rsidRPr="005F055E">
        <w:rPr>
          <w:rFonts w:cs="Calibri"/>
          <w:color w:val="000000"/>
          <w:szCs w:val="18"/>
          <w:lang w:eastAsia="nl-NL"/>
        </w:rPr>
        <w:t>Daarnaast zijn er soms ook cao’s met een primaire werkingssfeer buiten zorg en welzijn (zoals bijvoorbeeld de Cao Gemeenten) van toepassing op werknemers die werken binnen zorg en welzijn.</w:t>
      </w:r>
    </w:p>
    <w:p w:rsidRPr="005F055E" w:rsidR="0014318A" w:rsidP="00180EEB" w:rsidRDefault="0014318A" w14:paraId="3CB3810C" w14:textId="77777777">
      <w:pPr>
        <w:suppressAutoHyphens/>
      </w:pPr>
    </w:p>
    <w:p w:rsidRPr="005F055E" w:rsidR="00274792" w:rsidP="00180EEB" w:rsidRDefault="003E7003" w14:paraId="4D42B623" w14:textId="77777777">
      <w:pPr>
        <w:suppressAutoHyphens/>
      </w:pPr>
      <w:r w:rsidRPr="005F055E">
        <w:t>Vraag 266</w:t>
      </w:r>
      <w:r w:rsidRPr="005F055E">
        <w:tab/>
      </w:r>
    </w:p>
    <w:p w:rsidRPr="005F055E" w:rsidR="00274792" w:rsidP="00180EEB" w:rsidRDefault="003E7003" w14:paraId="5656BC7C" w14:textId="77777777">
      <w:pPr>
        <w:suppressAutoHyphens/>
      </w:pPr>
      <w:r w:rsidRPr="005F055E">
        <w:t>Welke en hoeveel belangenorganisaties zijn betrokken bij de verschillende cao’s?</w:t>
      </w:r>
      <w:r w:rsidRPr="005F055E">
        <w:tab/>
      </w:r>
    </w:p>
    <w:p w:rsidRPr="005F055E" w:rsidR="003E7003" w:rsidP="00180EEB" w:rsidRDefault="003E7003" w14:paraId="1AEE5BCD" w14:textId="13524611">
      <w:pPr>
        <w:suppressAutoHyphens/>
      </w:pPr>
      <w:r w:rsidRPr="005F055E">
        <w:t>Antwoord</w:t>
      </w:r>
    </w:p>
    <w:p w:rsidRPr="005F055E" w:rsidR="00274792" w:rsidP="00180EEB" w:rsidRDefault="00855C28" w14:paraId="4DBCD819" w14:textId="400BB01E">
      <w:pPr>
        <w:suppressAutoHyphens/>
        <w:spacing w:line="240" w:lineRule="atLeast"/>
        <w:rPr>
          <w:szCs w:val="18"/>
          <w:lang w:eastAsia="nl-NL"/>
        </w:rPr>
      </w:pPr>
      <w:r w:rsidRPr="005F055E">
        <w:rPr>
          <w:szCs w:val="18"/>
          <w:lang w:eastAsia="nl-NL"/>
        </w:rPr>
        <w:t>In Nederland geldt het principe van contractsvrijheid. Cao’s worden afgesloten tussen werkgevers(organisaties) en vakbonden. Cao-partijen bepalen zelf met wie zij cao-onderhandelingen voeren en een cao sluiten. De betrokkenheid van partijen kan per cao verschillend zijn. Zoals aangegeven in het antwoord op vraag 265 beschikt het ministerie van VWS niet over een uitputtend overzicht van de cao’s die tot zorg en welzijn gerekend zouden moeten worden. Daarom kan ook geen compleet overzicht worden geven van de organisaties die betrokken zijn bij deze cao’s.</w:t>
      </w:r>
    </w:p>
    <w:p w:rsidRPr="005F055E" w:rsidR="0014318A" w:rsidP="00180EEB" w:rsidRDefault="0014318A" w14:paraId="0B014426" w14:textId="77777777">
      <w:pPr>
        <w:suppressAutoHyphens/>
      </w:pPr>
    </w:p>
    <w:p w:rsidRPr="005F055E" w:rsidR="00274792" w:rsidP="00180EEB" w:rsidRDefault="003E7003" w14:paraId="05314C24" w14:textId="77777777">
      <w:pPr>
        <w:suppressAutoHyphens/>
      </w:pPr>
      <w:r w:rsidRPr="005F055E">
        <w:t>Vraag 267</w:t>
      </w:r>
      <w:r w:rsidRPr="005F055E">
        <w:tab/>
      </w:r>
    </w:p>
    <w:p w:rsidRPr="005F055E" w:rsidR="00274792" w:rsidP="00180EEB" w:rsidRDefault="003E7003" w14:paraId="4CFB9E6C" w14:textId="77777777">
      <w:pPr>
        <w:suppressAutoHyphens/>
      </w:pPr>
      <w:r w:rsidRPr="005F055E">
        <w:t>Wat is de bevoegdheid van het kabinet over het arbeidstijdenbesluit, die bepaalt dat zorgmedewerkers niet meer dan acht uur per dag mogen werken?</w:t>
      </w:r>
      <w:r w:rsidRPr="005F055E">
        <w:tab/>
      </w:r>
    </w:p>
    <w:p w:rsidR="008C3510" w:rsidP="00180EEB" w:rsidRDefault="008C3510" w14:paraId="62C7A2C4" w14:textId="77777777">
      <w:pPr>
        <w:suppressAutoHyphens/>
      </w:pPr>
    </w:p>
    <w:p w:rsidRPr="005F055E" w:rsidR="003E7003" w:rsidP="00180EEB" w:rsidRDefault="003E7003" w14:paraId="4544843D" w14:textId="3F16A513">
      <w:pPr>
        <w:suppressAutoHyphens/>
      </w:pPr>
      <w:r w:rsidRPr="005F055E">
        <w:t>Antwoord</w:t>
      </w:r>
    </w:p>
    <w:p w:rsidRPr="005F055E" w:rsidR="00630335" w:rsidP="00180EEB" w:rsidRDefault="00630335" w14:paraId="216F387E" w14:textId="29B1BEB8">
      <w:pPr>
        <w:suppressAutoHyphens/>
        <w:spacing w:line="240" w:lineRule="atLeast"/>
        <w:rPr>
          <w:szCs w:val="18"/>
          <w:lang w:eastAsia="nl-NL"/>
        </w:rPr>
      </w:pPr>
      <w:r w:rsidRPr="005F055E">
        <w:rPr>
          <w:szCs w:val="18"/>
          <w:lang w:eastAsia="nl-NL"/>
        </w:rPr>
        <w:t xml:space="preserve">Het Arbeidstijdenbesluit bevat specifieke regels voor werk- en rusttijden voor specifieke beroepen of sectoren, zoals in de verpleging en verzorging. Daarbij gaat het om afwijkende rusttijden en regels voor aanwezigheids- en oproepdiensten. Dit zijn aanvullende regels op de algemene regels voor werk- en rusttijden uit de Arbeidstijdenwet. Deze regels zijn van belang voor de gezondheid en veiligheid van werknemers, zeker in de zorg waar er ook risico’s kunnen zijn voor patiënten als er te lang gewerkt wordt en te weinig pauze wordt genomen. Tegelijkertijd bieden de arbeidstijdenwet en het besluit ook flexibiliteit voor het werk in de zorg. Er is geen bepaling die stelt dat 8 uur per dag de maximum arbeidstijd is. </w:t>
      </w:r>
    </w:p>
    <w:p w:rsidRPr="005F055E" w:rsidR="00CF1801" w:rsidP="00180EEB" w:rsidRDefault="000F4D42" w14:paraId="315E4E0E" w14:textId="231C03CA">
      <w:pPr>
        <w:suppressAutoHyphens/>
        <w:spacing w:line="240" w:lineRule="atLeast"/>
        <w:rPr>
          <w:szCs w:val="18"/>
          <w:lang w:eastAsia="nl-NL"/>
        </w:rPr>
      </w:pPr>
      <w:r w:rsidRPr="005F055E">
        <w:rPr>
          <w:szCs w:val="18"/>
          <w:lang w:eastAsia="nl-NL"/>
        </w:rPr>
        <w:t xml:space="preserve">Eerder dit jaar </w:t>
      </w:r>
      <w:r w:rsidRPr="005F055E" w:rsidR="00630335">
        <w:rPr>
          <w:szCs w:val="18"/>
          <w:lang w:eastAsia="nl-NL"/>
        </w:rPr>
        <w:t>is er nog overleg geweest met werknemers- en werkgeverspartijen over de wenselijkheid en haalbaarheid van flexibilisering van de arbeidstijdenregelgeving. Dit was naar aanleiding van de motie van het lid Tielen d.d. 24 oktober 2024. Uit het overleg met werknemers- en werkgeverspartijen kwam naar voren dat er geen tot een geringe behoefte is aan onderzoek ten behoeve van flexibilisering van de arbeidstijdenregelgeving. Werknemers- en werkgeverspartijen kwamen gezamenlijk tot de conclusie dat een dergelijke flexibilisering niet opweegt tegen de risico’s die dat met zich meebrengt. De arbeidstijdenregels bieden namelijk een basisniveau van bescherming aan werknemers. Men vindt het belangrijk om dat in stand te houden. Ook gaven partijen aan dat er voldoende ruimte is binnen bestaande wetgeving voor flexibele arbeidstijden. Zo is het mogelijk om op bepaalde onderdelen via cao’s afwijkende of aanvullende afspraken te maken</w:t>
      </w:r>
      <w:r w:rsidRPr="005F055E" w:rsidR="0014318A">
        <w:rPr>
          <w:szCs w:val="18"/>
          <w:lang w:eastAsia="nl-NL"/>
        </w:rPr>
        <w:t>.</w:t>
      </w:r>
      <w:r w:rsidRPr="005F055E" w:rsidR="00CF1801">
        <w:rPr>
          <w:szCs w:val="18"/>
          <w:lang w:eastAsia="nl-NL"/>
        </w:rPr>
        <w:t xml:space="preserve"> </w:t>
      </w:r>
    </w:p>
    <w:p w:rsidRPr="005F055E" w:rsidR="00CF1801" w:rsidP="00180EEB" w:rsidRDefault="00CF1801" w14:paraId="37A7F1C2" w14:textId="77777777">
      <w:pPr>
        <w:suppressAutoHyphens/>
        <w:spacing w:line="240" w:lineRule="atLeast"/>
        <w:rPr>
          <w:szCs w:val="18"/>
          <w:lang w:eastAsia="nl-NL"/>
        </w:rPr>
      </w:pPr>
    </w:p>
    <w:p w:rsidRPr="005F055E" w:rsidR="00274792" w:rsidP="00180EEB" w:rsidRDefault="003E7003" w14:paraId="54E00B06" w14:textId="09E52ACF">
      <w:pPr>
        <w:suppressAutoHyphens/>
        <w:spacing w:line="240" w:lineRule="atLeast"/>
      </w:pPr>
      <w:r w:rsidRPr="005F055E">
        <w:t>Vraag 268</w:t>
      </w:r>
      <w:r w:rsidRPr="005F055E">
        <w:tab/>
      </w:r>
    </w:p>
    <w:p w:rsidRPr="005F055E" w:rsidR="00274792" w:rsidP="00180EEB" w:rsidRDefault="003E7003" w14:paraId="3B714A88" w14:textId="77777777">
      <w:pPr>
        <w:suppressAutoHyphens/>
      </w:pPr>
      <w:r w:rsidRPr="005F055E">
        <w:t>Hoeveel procent van de VWS-begroting wordt besteed aan ambtelijke (overhead) kosten?</w:t>
      </w:r>
      <w:r w:rsidRPr="005F055E">
        <w:tab/>
      </w:r>
    </w:p>
    <w:p w:rsidRPr="005F055E" w:rsidR="003E7003" w:rsidP="00180EEB" w:rsidRDefault="003E7003" w14:paraId="7091FDE9" w14:textId="3213C4CA">
      <w:pPr>
        <w:suppressAutoHyphens/>
      </w:pPr>
      <w:r w:rsidRPr="005F055E">
        <w:t>Antwoord</w:t>
      </w:r>
    </w:p>
    <w:p w:rsidRPr="005F055E" w:rsidR="0036427A" w:rsidP="00180EEB" w:rsidRDefault="0036427A" w14:paraId="1A3CFF25" w14:textId="535CD021">
      <w:pPr>
        <w:suppressAutoHyphens/>
        <w:spacing w:line="240" w:lineRule="atLeast"/>
        <w:rPr>
          <w:szCs w:val="18"/>
          <w:lang w:eastAsia="nl-NL"/>
        </w:rPr>
      </w:pPr>
      <w:r w:rsidRPr="005F055E">
        <w:rPr>
          <w:szCs w:val="18"/>
          <w:lang w:eastAsia="nl-NL"/>
        </w:rPr>
        <w:t xml:space="preserve">Volgens de definitie van overhead die </w:t>
      </w:r>
      <w:proofErr w:type="spellStart"/>
      <w:r w:rsidRPr="005F055E">
        <w:rPr>
          <w:szCs w:val="18"/>
          <w:lang w:eastAsia="nl-NL"/>
        </w:rPr>
        <w:t>Rijksbreed</w:t>
      </w:r>
      <w:proofErr w:type="spellEnd"/>
      <w:r w:rsidRPr="005F055E">
        <w:rPr>
          <w:szCs w:val="18"/>
          <w:lang w:eastAsia="nl-NL"/>
        </w:rPr>
        <w:t xml:space="preserve"> wordt gehanteerd, bestaat 50% van de totale formatie van kerndepartementen uit overheadfuncties. Dit betreft de functiefamilies bedrijfsvoering en lijnmanagement, inclusief de bedrijfsvoering-</w:t>
      </w:r>
      <w:proofErr w:type="spellStart"/>
      <w:r w:rsidRPr="005F055E">
        <w:rPr>
          <w:szCs w:val="18"/>
          <w:lang w:eastAsia="nl-NL"/>
        </w:rPr>
        <w:t>SSO’s</w:t>
      </w:r>
      <w:proofErr w:type="spellEnd"/>
      <w:r w:rsidRPr="005F055E">
        <w:rPr>
          <w:szCs w:val="18"/>
          <w:lang w:eastAsia="nl-NL"/>
        </w:rPr>
        <w:t xml:space="preserve"> voor het deel dat zij werkzaam zijn voor departementen (FMH, </w:t>
      </w:r>
      <w:proofErr w:type="spellStart"/>
      <w:r w:rsidRPr="005F055E">
        <w:rPr>
          <w:szCs w:val="18"/>
          <w:lang w:eastAsia="nl-NL"/>
        </w:rPr>
        <w:t>Doc-Direkt</w:t>
      </w:r>
      <w:proofErr w:type="spellEnd"/>
      <w:r w:rsidRPr="005F055E">
        <w:rPr>
          <w:szCs w:val="18"/>
          <w:lang w:eastAsia="nl-NL"/>
        </w:rPr>
        <w:t>, SSC ICT, UBR en P-</w:t>
      </w:r>
      <w:proofErr w:type="spellStart"/>
      <w:r w:rsidRPr="005F055E">
        <w:rPr>
          <w:szCs w:val="18"/>
          <w:lang w:eastAsia="nl-NL"/>
        </w:rPr>
        <w:t>Direkt</w:t>
      </w:r>
      <w:proofErr w:type="spellEnd"/>
      <w:r w:rsidRPr="005F055E">
        <w:rPr>
          <w:szCs w:val="18"/>
          <w:lang w:eastAsia="nl-NL"/>
        </w:rPr>
        <w:t>).</w:t>
      </w:r>
    </w:p>
    <w:p w:rsidRPr="005F055E" w:rsidR="0036427A" w:rsidP="00180EEB" w:rsidRDefault="0036427A" w14:paraId="3115000A" w14:textId="77777777">
      <w:pPr>
        <w:suppressAutoHyphens/>
        <w:spacing w:line="240" w:lineRule="atLeast"/>
        <w:rPr>
          <w:szCs w:val="18"/>
          <w:lang w:eastAsia="nl-NL"/>
        </w:rPr>
      </w:pPr>
    </w:p>
    <w:p w:rsidRPr="005F055E" w:rsidR="0036427A" w:rsidP="00180EEB" w:rsidRDefault="0036427A" w14:paraId="0DAF520F" w14:textId="31974FF5">
      <w:pPr>
        <w:suppressAutoHyphens/>
        <w:spacing w:line="240" w:lineRule="atLeast"/>
        <w:rPr>
          <w:szCs w:val="18"/>
          <w:lang w:eastAsia="nl-NL"/>
        </w:rPr>
      </w:pPr>
      <w:r w:rsidRPr="005F055E">
        <w:rPr>
          <w:szCs w:val="18"/>
          <w:lang w:eastAsia="nl-NL"/>
        </w:rPr>
        <w:t xml:space="preserve">De administratieve systemen van VWS zijn – conform </w:t>
      </w:r>
      <w:proofErr w:type="spellStart"/>
      <w:r w:rsidRPr="005F055E">
        <w:rPr>
          <w:szCs w:val="18"/>
          <w:lang w:eastAsia="nl-NL"/>
        </w:rPr>
        <w:t>Rijksbrede</w:t>
      </w:r>
      <w:proofErr w:type="spellEnd"/>
      <w:r w:rsidRPr="005F055E">
        <w:rPr>
          <w:szCs w:val="18"/>
          <w:lang w:eastAsia="nl-NL"/>
        </w:rPr>
        <w:t xml:space="preserve"> definities en voorschriften – niet zodanig ingericht dat deze vraag eenduidig kan worden beantwoord. </w:t>
      </w:r>
    </w:p>
    <w:p w:rsidRPr="005F055E" w:rsidR="0036427A" w:rsidP="00180EEB" w:rsidRDefault="0036427A" w14:paraId="19EBB56F" w14:textId="77777777">
      <w:pPr>
        <w:suppressAutoHyphens/>
        <w:spacing w:line="240" w:lineRule="atLeast"/>
        <w:rPr>
          <w:szCs w:val="18"/>
          <w:lang w:eastAsia="nl-NL"/>
        </w:rPr>
      </w:pPr>
      <w:r w:rsidRPr="005F055E">
        <w:rPr>
          <w:szCs w:val="18"/>
          <w:lang w:eastAsia="nl-NL"/>
        </w:rPr>
        <w:t>De totale uitgaven op de VWS-begroting zijn op € 7 miljard geraamd, exclusief Tegemoetkomingen en Rijksbijdragen. De apparaatsuitgaven (alle personele en materiële uitgaven) van het kerndepartement en agentschappen zijn begroot op € 1,5 miljard.</w:t>
      </w:r>
    </w:p>
    <w:p w:rsidRPr="005F055E" w:rsidR="0014318A" w:rsidP="00180EEB" w:rsidRDefault="0014318A" w14:paraId="2CF12ABF" w14:textId="77777777">
      <w:pPr>
        <w:suppressAutoHyphens/>
      </w:pPr>
    </w:p>
    <w:p w:rsidRPr="005F055E" w:rsidR="00274792" w:rsidP="00180EEB" w:rsidRDefault="003E7003" w14:paraId="70B866E4" w14:textId="77777777">
      <w:pPr>
        <w:suppressAutoHyphens/>
      </w:pPr>
      <w:r w:rsidRPr="005F055E">
        <w:t>Vraag 269</w:t>
      </w:r>
      <w:r w:rsidRPr="005F055E">
        <w:tab/>
      </w:r>
    </w:p>
    <w:p w:rsidRPr="005F055E" w:rsidR="00274792" w:rsidP="00180EEB" w:rsidRDefault="003E7003" w14:paraId="3A4112B9" w14:textId="77777777">
      <w:pPr>
        <w:suppressAutoHyphens/>
      </w:pPr>
      <w:r w:rsidRPr="005F055E">
        <w:t>Hoeveel fte zijn er momenteel in dienst bij het ministerie van VWS?</w:t>
      </w:r>
      <w:r w:rsidRPr="005F055E">
        <w:tab/>
      </w:r>
    </w:p>
    <w:p w:rsidRPr="005F055E" w:rsidR="003E7003" w:rsidP="00180EEB" w:rsidRDefault="003E7003" w14:paraId="2BC6C71C" w14:textId="6D503D00">
      <w:pPr>
        <w:suppressAutoHyphens/>
      </w:pPr>
      <w:r w:rsidRPr="005F055E">
        <w:t>Antwoord</w:t>
      </w:r>
    </w:p>
    <w:p w:rsidRPr="005F055E" w:rsidR="00274792" w:rsidP="00180EEB" w:rsidRDefault="00630335" w14:paraId="46708B65" w14:textId="3EDF7E1B">
      <w:pPr>
        <w:suppressAutoHyphens/>
        <w:spacing w:line="240" w:lineRule="atLeast"/>
      </w:pPr>
      <w:r w:rsidRPr="005F055E">
        <w:rPr>
          <w:szCs w:val="18"/>
          <w:lang w:eastAsia="nl-NL"/>
        </w:rPr>
        <w:t>Ultimo juni 2025 is binnen het kerndepartement van VWS sprake van 2.016 fte eigen personeel in dienst (exclusief Inspectie, Commissies en Raden en Dienst Uitvoering Subsidies aan Instellingen).</w:t>
      </w:r>
    </w:p>
    <w:p w:rsidRPr="005F055E" w:rsidR="0014318A" w:rsidP="00180EEB" w:rsidRDefault="0014318A" w14:paraId="4B396019" w14:textId="77777777">
      <w:pPr>
        <w:suppressAutoHyphens/>
      </w:pPr>
    </w:p>
    <w:p w:rsidRPr="005F055E" w:rsidR="00274792" w:rsidP="00180EEB" w:rsidRDefault="003E7003" w14:paraId="385C034D" w14:textId="77777777">
      <w:pPr>
        <w:suppressAutoHyphens/>
      </w:pPr>
      <w:r w:rsidRPr="005F055E">
        <w:t>Vraag 270</w:t>
      </w:r>
      <w:r w:rsidRPr="005F055E">
        <w:tab/>
      </w:r>
    </w:p>
    <w:p w:rsidRPr="005F055E" w:rsidR="00274792" w:rsidP="00180EEB" w:rsidRDefault="003E7003" w14:paraId="79DC7583" w14:textId="77777777">
      <w:pPr>
        <w:suppressAutoHyphens/>
      </w:pPr>
      <w:r w:rsidRPr="005F055E">
        <w:t>Kan bij alle beleidsmatig gereserveerde middelen worden toegelicht waarvoor ze gereserveerd zijn?</w:t>
      </w:r>
      <w:r w:rsidRPr="005F055E">
        <w:tab/>
      </w:r>
    </w:p>
    <w:p w:rsidR="008C3510" w:rsidP="00180EEB" w:rsidRDefault="008C3510" w14:paraId="0FA6027A" w14:textId="77777777">
      <w:pPr>
        <w:suppressAutoHyphens/>
      </w:pPr>
    </w:p>
    <w:p w:rsidRPr="005F055E" w:rsidR="003E7003" w:rsidP="00180EEB" w:rsidRDefault="003E7003" w14:paraId="03D15391" w14:textId="1FBC2361">
      <w:pPr>
        <w:suppressAutoHyphens/>
      </w:pPr>
      <w:r w:rsidRPr="005F055E">
        <w:t>Antwoord</w:t>
      </w:r>
    </w:p>
    <w:p w:rsidRPr="005F055E" w:rsidR="00274792" w:rsidP="00180EEB" w:rsidRDefault="00630335" w14:paraId="082865B9" w14:textId="1EF5B23E">
      <w:pPr>
        <w:suppressAutoHyphens/>
        <w:spacing w:line="240" w:lineRule="atLeast"/>
        <w:rPr>
          <w:szCs w:val="18"/>
          <w:lang w:eastAsia="nl-NL"/>
        </w:rPr>
      </w:pPr>
      <w:r w:rsidRPr="005F055E">
        <w:rPr>
          <w:szCs w:val="18"/>
          <w:lang w:eastAsia="nl-NL"/>
        </w:rPr>
        <w:t xml:space="preserve">In de Ontwerpbegroting 2026 staat onder “budgettaire gevolgen van beleid” de budgetflexibiliteit toegelicht. Hierin wordt ook toegelicht welke middelen beleidsmatig gereserveerd zijn. Dit is voor ieder artikel per instrument inzichtelijk gemaakt. </w:t>
      </w:r>
    </w:p>
    <w:p w:rsidRPr="005F055E" w:rsidR="00274792" w:rsidP="00180EEB" w:rsidRDefault="00274792" w14:paraId="0E127528" w14:textId="77777777">
      <w:pPr>
        <w:suppressAutoHyphens/>
      </w:pPr>
    </w:p>
    <w:p w:rsidRPr="005F055E" w:rsidR="00274792" w:rsidP="00180EEB" w:rsidRDefault="003E7003" w14:paraId="2DA4569A" w14:textId="77777777">
      <w:pPr>
        <w:suppressAutoHyphens/>
      </w:pPr>
      <w:r w:rsidRPr="005F055E">
        <w:t>Vraag 271</w:t>
      </w:r>
      <w:r w:rsidRPr="005F055E">
        <w:tab/>
      </w:r>
    </w:p>
    <w:p w:rsidRPr="005F055E" w:rsidR="00274792" w:rsidP="00180EEB" w:rsidRDefault="003E7003" w14:paraId="1BC3FF8B" w14:textId="77777777">
      <w:pPr>
        <w:suppressAutoHyphens/>
      </w:pPr>
      <w:r w:rsidRPr="005F055E">
        <w:t xml:space="preserve">Hoeveel van het beschikbare budget van €44,6 miljoen in 2026 is specifiek gereserveerd voor de profielopleiding tot arts </w:t>
      </w:r>
      <w:proofErr w:type="spellStart"/>
      <w:r w:rsidRPr="005F055E">
        <w:t>infectieziektenbestrijding</w:t>
      </w:r>
      <w:proofErr w:type="spellEnd"/>
      <w:r w:rsidRPr="005F055E">
        <w:t>?</w:t>
      </w:r>
      <w:r w:rsidRPr="005F055E">
        <w:tab/>
      </w:r>
    </w:p>
    <w:p w:rsidRPr="005F055E" w:rsidR="003E7003" w:rsidP="00180EEB" w:rsidRDefault="003E7003" w14:paraId="107FA5B7" w14:textId="149B1010">
      <w:pPr>
        <w:suppressAutoHyphens/>
      </w:pPr>
      <w:r w:rsidRPr="005F055E">
        <w:t>Antwoord</w:t>
      </w:r>
    </w:p>
    <w:p w:rsidRPr="005F055E" w:rsidR="00274792" w:rsidP="00180EEB" w:rsidRDefault="0014318A" w14:paraId="35C93381" w14:textId="3221DEB8">
      <w:pPr>
        <w:suppressAutoHyphens/>
      </w:pPr>
      <w:r w:rsidRPr="005F055E">
        <w:t xml:space="preserve">Voor de profielopleiding tot arts </w:t>
      </w:r>
      <w:proofErr w:type="spellStart"/>
      <w:r w:rsidRPr="005F055E">
        <w:t>infectieziektenbestrijding</w:t>
      </w:r>
      <w:proofErr w:type="spellEnd"/>
      <w:r w:rsidRPr="005F055E">
        <w:t xml:space="preserve"> zijn er voor de 1e fase 23 plaatsen beschikbaar gesteld en in de 2e fase 23 plaatsen. Voor beide fasen is een tarief bepaald per fte. De werkelijke uitgaven zijn afhankelijk van de daadwerkelijke in- en doorstroom, de deeltijdfactor en ontwikkelingen in het werkveld. Op basis van voorgaande periode ging ca. 25% van het totale beschikbare budget naar plekken voor de opleiding tot arts </w:t>
      </w:r>
      <w:proofErr w:type="spellStart"/>
      <w:r w:rsidRPr="005F055E">
        <w:t>infectieziektenbestrijding</w:t>
      </w:r>
      <w:proofErr w:type="spellEnd"/>
      <w:r w:rsidRPr="005F055E">
        <w:t>. Op basis hiervan is het de verwachting dat in 2026 maximaal ca. € 11 miljoen aangevraagd zal worden voor plekken binnen deze opleiding.</w:t>
      </w:r>
    </w:p>
    <w:p w:rsidRPr="005F055E" w:rsidR="00274792" w:rsidP="00180EEB" w:rsidRDefault="00274792" w14:paraId="0CFC66B5" w14:textId="77777777">
      <w:pPr>
        <w:suppressAutoHyphens/>
      </w:pPr>
    </w:p>
    <w:p w:rsidRPr="005F055E" w:rsidR="00274792" w:rsidP="00180EEB" w:rsidRDefault="003E7003" w14:paraId="0605F558" w14:textId="77777777">
      <w:pPr>
        <w:suppressAutoHyphens/>
      </w:pPr>
      <w:r w:rsidRPr="005F055E">
        <w:t>Vraag 272</w:t>
      </w:r>
      <w:r w:rsidRPr="005F055E">
        <w:tab/>
      </w:r>
    </w:p>
    <w:p w:rsidRPr="005F055E" w:rsidR="00274792" w:rsidP="00180EEB" w:rsidRDefault="003E7003" w14:paraId="363EA12A" w14:textId="77777777">
      <w:pPr>
        <w:suppressAutoHyphens/>
      </w:pPr>
      <w:r w:rsidRPr="005F055E">
        <w:t>Welke activiteiten kan de overheid niet meer ondernemen als gevolg van de bezuiniging op het budget ‘preventie schadelijk middelengebruik’?</w:t>
      </w:r>
      <w:r w:rsidRPr="005F055E">
        <w:tab/>
      </w:r>
    </w:p>
    <w:p w:rsidRPr="005F055E" w:rsidR="003E7003" w:rsidP="00180EEB" w:rsidRDefault="003E7003" w14:paraId="0C050E43" w14:textId="2DA1E0ED">
      <w:pPr>
        <w:suppressAutoHyphens/>
      </w:pPr>
      <w:r w:rsidRPr="005F055E">
        <w:t>Antwoord</w:t>
      </w:r>
    </w:p>
    <w:p w:rsidRPr="005F055E" w:rsidR="00274792" w:rsidP="00180EEB" w:rsidRDefault="00630335" w14:paraId="6CB5E1F0" w14:textId="1B7050FB">
      <w:pPr>
        <w:suppressAutoHyphens/>
        <w:spacing w:line="240" w:lineRule="atLeast"/>
        <w:rPr>
          <w:szCs w:val="18"/>
          <w:lang w:eastAsia="nl-NL"/>
        </w:rPr>
      </w:pPr>
      <w:r w:rsidRPr="005F055E">
        <w:rPr>
          <w:szCs w:val="18"/>
          <w:lang w:eastAsia="nl-NL"/>
        </w:rPr>
        <w:t xml:space="preserve">De bezuiniging op het budget ‘preventie schadelijk middelengebruik’ betekent onder meer dat een aantal subsidies wordt gekort, wordt afgebouwd en/of stopgezet. Zo is de subsidie voor het integrale preventieprogramma Opgroeien in een Kansrijke Omgeving, gericht op middelengebruik en mentale gezondheid in 2026 gehalveerd. In 2026 is er ook geen subsidie meer voor het programma </w:t>
      </w:r>
      <w:proofErr w:type="spellStart"/>
      <w:r w:rsidRPr="005F055E">
        <w:rPr>
          <w:szCs w:val="18"/>
          <w:lang w:eastAsia="nl-NL"/>
        </w:rPr>
        <w:t>IkPas</w:t>
      </w:r>
      <w:proofErr w:type="spellEnd"/>
      <w:r w:rsidRPr="005F055E">
        <w:rPr>
          <w:szCs w:val="18"/>
          <w:lang w:eastAsia="nl-NL"/>
        </w:rPr>
        <w:t xml:space="preserve">/Dry </w:t>
      </w:r>
      <w:proofErr w:type="spellStart"/>
      <w:r w:rsidRPr="005F055E">
        <w:rPr>
          <w:szCs w:val="18"/>
          <w:lang w:eastAsia="nl-NL"/>
        </w:rPr>
        <w:t>January</w:t>
      </w:r>
      <w:proofErr w:type="spellEnd"/>
      <w:r w:rsidRPr="005F055E">
        <w:rPr>
          <w:szCs w:val="18"/>
          <w:lang w:eastAsia="nl-NL"/>
        </w:rPr>
        <w:t xml:space="preserve"> dat je helpt om je alcoholgebruik te pauzeren en er is minder subsidie voor het programma </w:t>
      </w:r>
      <w:proofErr w:type="spellStart"/>
      <w:r w:rsidRPr="005F055E">
        <w:rPr>
          <w:szCs w:val="18"/>
          <w:lang w:eastAsia="nl-NL"/>
        </w:rPr>
        <w:t>vroegsignalering</w:t>
      </w:r>
      <w:proofErr w:type="spellEnd"/>
      <w:r w:rsidRPr="005F055E">
        <w:rPr>
          <w:szCs w:val="18"/>
          <w:lang w:eastAsia="nl-NL"/>
        </w:rPr>
        <w:t xml:space="preserve"> alcoholproblematiek en het platform Alles Over Drinken. Op het terrein van roken zijn er geen middelen meer om </w:t>
      </w:r>
      <w:proofErr w:type="spellStart"/>
      <w:r w:rsidRPr="005F055E">
        <w:rPr>
          <w:szCs w:val="18"/>
          <w:lang w:eastAsia="nl-NL"/>
        </w:rPr>
        <w:t>Stoptober</w:t>
      </w:r>
      <w:proofErr w:type="spellEnd"/>
      <w:r w:rsidRPr="005F055E">
        <w:rPr>
          <w:szCs w:val="18"/>
          <w:lang w:eastAsia="nl-NL"/>
        </w:rPr>
        <w:t xml:space="preserve"> te ondersteunen en kon de subsidie voor de Rookvrije Wijkaanpak niet worden verlengd. Met deze aanpak wordt op wijkniveau gewerkt aan betere toeleiding naar geschikte Stoppen met roken-zorg en normverandering op roken. Tot slot wordt de subsidie aan </w:t>
      </w:r>
      <w:proofErr w:type="spellStart"/>
      <w:r w:rsidRPr="005F055E">
        <w:rPr>
          <w:szCs w:val="18"/>
          <w:lang w:eastAsia="nl-NL"/>
        </w:rPr>
        <w:t>Mainline</w:t>
      </w:r>
      <w:proofErr w:type="spellEnd"/>
      <w:r w:rsidRPr="005F055E">
        <w:rPr>
          <w:szCs w:val="18"/>
          <w:lang w:eastAsia="nl-NL"/>
        </w:rPr>
        <w:t xml:space="preserve"> vanaf 2026 stapsgewijs afgebouwd. </w:t>
      </w:r>
    </w:p>
    <w:p w:rsidRPr="005F055E" w:rsidR="0014318A" w:rsidP="00180EEB" w:rsidRDefault="0014318A" w14:paraId="592861AC" w14:textId="77777777">
      <w:pPr>
        <w:suppressAutoHyphens/>
      </w:pPr>
    </w:p>
    <w:p w:rsidRPr="005F055E" w:rsidR="00274792" w:rsidP="00180EEB" w:rsidRDefault="003E7003" w14:paraId="40D65986" w14:textId="77777777">
      <w:pPr>
        <w:suppressAutoHyphens/>
      </w:pPr>
      <w:r w:rsidRPr="005F055E">
        <w:t>Vraag 273</w:t>
      </w:r>
      <w:r w:rsidRPr="005F055E">
        <w:tab/>
      </w:r>
    </w:p>
    <w:p w:rsidRPr="005F055E" w:rsidR="00274792" w:rsidP="00180EEB" w:rsidRDefault="003E7003" w14:paraId="6566D9C6" w14:textId="77777777">
      <w:pPr>
        <w:suppressAutoHyphens/>
      </w:pPr>
      <w:r w:rsidRPr="005F055E">
        <w:t>In hoeveel gevallen is een burgerhulpverlener eerder ter plekke bij een hartstilstand dan de ambulance?</w:t>
      </w:r>
      <w:r w:rsidRPr="005F055E">
        <w:tab/>
      </w:r>
    </w:p>
    <w:p w:rsidRPr="005F055E" w:rsidR="003E7003" w:rsidP="00180EEB" w:rsidRDefault="003E7003" w14:paraId="3900DD55" w14:textId="7A352F5C">
      <w:pPr>
        <w:suppressAutoHyphens/>
      </w:pPr>
      <w:r w:rsidRPr="005F055E">
        <w:t>Antwoord</w:t>
      </w:r>
    </w:p>
    <w:p w:rsidRPr="005F055E" w:rsidR="00274792" w:rsidP="00180EEB" w:rsidRDefault="00630335" w14:paraId="41690E86" w14:textId="586A00D9">
      <w:pPr>
        <w:suppressAutoHyphens/>
        <w:spacing w:line="240" w:lineRule="atLeast"/>
        <w:rPr>
          <w:szCs w:val="18"/>
          <w:lang w:eastAsia="nl-NL"/>
        </w:rPr>
      </w:pPr>
      <w:r w:rsidRPr="005F055E">
        <w:rPr>
          <w:szCs w:val="18"/>
          <w:lang w:eastAsia="nl-NL"/>
        </w:rPr>
        <w:t xml:space="preserve">In 2023 is in 78,8% van de gevallen de reanimatie gestart door een burgerhulpverlener via </w:t>
      </w:r>
      <w:proofErr w:type="spellStart"/>
      <w:r w:rsidRPr="005F055E">
        <w:rPr>
          <w:szCs w:val="18"/>
          <w:lang w:eastAsia="nl-NL"/>
        </w:rPr>
        <w:t>HartslagNu</w:t>
      </w:r>
      <w:proofErr w:type="spellEnd"/>
      <w:r w:rsidRPr="005F055E">
        <w:rPr>
          <w:szCs w:val="18"/>
          <w:vertAlign w:val="superscript"/>
          <w:lang w:eastAsia="nl-NL"/>
        </w:rPr>
        <w:footnoteReference w:id="96"/>
      </w:r>
      <w:r w:rsidRPr="005F055E">
        <w:rPr>
          <w:szCs w:val="18"/>
          <w:lang w:eastAsia="nl-NL"/>
        </w:rPr>
        <w:t xml:space="preserve">. </w:t>
      </w:r>
    </w:p>
    <w:p w:rsidR="00274792" w:rsidP="00180EEB" w:rsidRDefault="00274792" w14:paraId="377F2581" w14:textId="77777777">
      <w:pPr>
        <w:suppressAutoHyphens/>
      </w:pPr>
    </w:p>
    <w:p w:rsidRPr="005F055E" w:rsidR="00274792" w:rsidP="00180EEB" w:rsidRDefault="003E7003" w14:paraId="489810A6" w14:textId="77777777">
      <w:pPr>
        <w:suppressAutoHyphens/>
      </w:pPr>
      <w:r w:rsidRPr="005F055E">
        <w:t>Vraag 274</w:t>
      </w:r>
      <w:r w:rsidRPr="005F055E">
        <w:tab/>
      </w:r>
    </w:p>
    <w:p w:rsidRPr="005F055E" w:rsidR="00274792" w:rsidP="00180EEB" w:rsidRDefault="003E7003" w14:paraId="57A7DDBC" w14:textId="5DF250B5">
      <w:pPr>
        <w:suppressAutoHyphens/>
      </w:pPr>
      <w:r w:rsidRPr="005F055E">
        <w:t xml:space="preserve">Hoeveel </w:t>
      </w:r>
      <w:proofErr w:type="spellStart"/>
      <w:r w:rsidRPr="005F055E">
        <w:t>AED's</w:t>
      </w:r>
      <w:proofErr w:type="spellEnd"/>
      <w:r w:rsidRPr="005F055E">
        <w:t xml:space="preserve"> dienen er nog geïnstalleerd te worden om volledig landelijke dekking te hebben?</w:t>
      </w:r>
    </w:p>
    <w:p w:rsidRPr="005F055E" w:rsidR="003E7003" w:rsidP="00180EEB" w:rsidRDefault="003E7003" w14:paraId="7137DA2C" w14:textId="5948C484">
      <w:pPr>
        <w:suppressAutoHyphens/>
      </w:pPr>
      <w:r w:rsidRPr="005F055E">
        <w:t>Antwoord</w:t>
      </w:r>
    </w:p>
    <w:p w:rsidRPr="005F055E" w:rsidR="00274792" w:rsidP="00180EEB" w:rsidRDefault="007E044A" w14:paraId="4365360F" w14:textId="7AE0899B">
      <w:pPr>
        <w:suppressAutoHyphens/>
        <w:spacing w:line="240" w:lineRule="atLeast"/>
        <w:rPr>
          <w:szCs w:val="20"/>
          <w:lang w:eastAsia="nl-NL"/>
        </w:rPr>
      </w:pPr>
      <w:r w:rsidRPr="005F055E">
        <w:rPr>
          <w:szCs w:val="20"/>
          <w:lang w:eastAsia="nl-NL"/>
        </w:rPr>
        <w:t xml:space="preserve">In Nederland zijn momenteel circa 30.000 </w:t>
      </w:r>
      <w:proofErr w:type="spellStart"/>
      <w:r w:rsidRPr="005F055E">
        <w:rPr>
          <w:szCs w:val="20"/>
          <w:lang w:eastAsia="nl-NL"/>
        </w:rPr>
        <w:t>AED’s</w:t>
      </w:r>
      <w:proofErr w:type="spellEnd"/>
      <w:r w:rsidRPr="005F055E">
        <w:rPr>
          <w:szCs w:val="20"/>
          <w:lang w:eastAsia="nl-NL"/>
        </w:rPr>
        <w:t xml:space="preserve"> geregistreerd bij </w:t>
      </w:r>
      <w:proofErr w:type="spellStart"/>
      <w:r w:rsidRPr="005F055E">
        <w:rPr>
          <w:szCs w:val="20"/>
          <w:lang w:eastAsia="nl-NL"/>
        </w:rPr>
        <w:t>HartslagNu</w:t>
      </w:r>
      <w:proofErr w:type="spellEnd"/>
      <w:r w:rsidRPr="005F055E">
        <w:rPr>
          <w:szCs w:val="20"/>
          <w:lang w:eastAsia="nl-NL"/>
        </w:rPr>
        <w:t xml:space="preserve">. Om een volledig dekking te bereiken – waarbij binnen zes minuten levensreddende hulp kan worden geboden – zijn naar schatting 3.500 tot 4.000 extra </w:t>
      </w:r>
      <w:proofErr w:type="spellStart"/>
      <w:r w:rsidRPr="005F055E">
        <w:rPr>
          <w:szCs w:val="20"/>
          <w:lang w:eastAsia="nl-NL"/>
        </w:rPr>
        <w:t>AED’s</w:t>
      </w:r>
      <w:proofErr w:type="spellEnd"/>
      <w:r w:rsidRPr="005F055E">
        <w:rPr>
          <w:szCs w:val="20"/>
          <w:lang w:eastAsia="nl-NL"/>
        </w:rPr>
        <w:t xml:space="preserve"> noodzakelijk. Het enkel plaatsen van </w:t>
      </w:r>
      <w:proofErr w:type="spellStart"/>
      <w:r w:rsidRPr="005F055E">
        <w:rPr>
          <w:szCs w:val="20"/>
          <w:lang w:eastAsia="nl-NL"/>
        </w:rPr>
        <w:t>AED’s</w:t>
      </w:r>
      <w:proofErr w:type="spellEnd"/>
      <w:r w:rsidRPr="005F055E">
        <w:rPr>
          <w:szCs w:val="20"/>
          <w:lang w:eastAsia="nl-NL"/>
        </w:rPr>
        <w:t xml:space="preserve"> is niet voldoende. Er zijn ook</w:t>
      </w:r>
      <w:r w:rsidRPr="005F055E" w:rsidR="00D73F76">
        <w:rPr>
          <w:szCs w:val="20"/>
          <w:lang w:eastAsia="nl-NL"/>
        </w:rPr>
        <w:t xml:space="preserve"> </w:t>
      </w:r>
      <w:r w:rsidRPr="005F055E">
        <w:rPr>
          <w:szCs w:val="20"/>
          <w:lang w:eastAsia="nl-NL"/>
        </w:rPr>
        <w:t xml:space="preserve">voldoende burgerhulpverleners nodig. Gemeenten kunnen bij </w:t>
      </w:r>
      <w:proofErr w:type="spellStart"/>
      <w:r w:rsidRPr="005F055E">
        <w:rPr>
          <w:szCs w:val="20"/>
          <w:lang w:eastAsia="nl-NL"/>
        </w:rPr>
        <w:t>HartslagNu</w:t>
      </w:r>
      <w:proofErr w:type="spellEnd"/>
      <w:r w:rsidRPr="005F055E">
        <w:rPr>
          <w:szCs w:val="20"/>
          <w:lang w:eastAsia="nl-NL"/>
        </w:rPr>
        <w:t xml:space="preserve"> een analyse opvragen waarin inzichtelijk wordt gemaakt waar de combinatie van voldoende burgerhulpverleners, </w:t>
      </w:r>
      <w:proofErr w:type="spellStart"/>
      <w:r w:rsidRPr="005F055E">
        <w:rPr>
          <w:szCs w:val="20"/>
          <w:lang w:eastAsia="nl-NL"/>
        </w:rPr>
        <w:t>AED’s</w:t>
      </w:r>
      <w:proofErr w:type="spellEnd"/>
      <w:r w:rsidRPr="005F055E">
        <w:rPr>
          <w:szCs w:val="20"/>
          <w:lang w:eastAsia="nl-NL"/>
        </w:rPr>
        <w:t xml:space="preserve"> en het aantal reanimaties de grootste impact heeft.</w:t>
      </w:r>
      <w:r w:rsidRPr="005F055E" w:rsidR="00D73F76">
        <w:rPr>
          <w:szCs w:val="20"/>
          <w:lang w:eastAsia="nl-NL"/>
        </w:rPr>
        <w:t xml:space="preserve"> </w:t>
      </w:r>
    </w:p>
    <w:p w:rsidRPr="005F055E" w:rsidR="0014318A" w:rsidP="00180EEB" w:rsidRDefault="0014318A" w14:paraId="636C083C" w14:textId="77777777">
      <w:pPr>
        <w:suppressAutoHyphens/>
      </w:pPr>
    </w:p>
    <w:p w:rsidRPr="005F055E" w:rsidR="00274792" w:rsidP="00180EEB" w:rsidRDefault="003E7003" w14:paraId="52ABF5E8" w14:textId="77777777">
      <w:pPr>
        <w:suppressAutoHyphens/>
      </w:pPr>
      <w:r w:rsidRPr="005F055E">
        <w:t>Vraag 275</w:t>
      </w:r>
      <w:r w:rsidRPr="005F055E">
        <w:tab/>
      </w:r>
    </w:p>
    <w:p w:rsidRPr="005F055E" w:rsidR="00274792" w:rsidP="00180EEB" w:rsidRDefault="003E7003" w14:paraId="35FDEB31" w14:textId="77777777">
      <w:pPr>
        <w:suppressAutoHyphens/>
      </w:pPr>
      <w:r w:rsidRPr="005F055E">
        <w:t>Hoeveel reanimatiemeldingen en hoeveel daadwerkelijke reanimaties vinden er in Nederland jaarlijks buiten het ziekenhuis plaats?</w:t>
      </w:r>
      <w:r w:rsidRPr="005F055E">
        <w:tab/>
      </w:r>
    </w:p>
    <w:p w:rsidRPr="005F055E" w:rsidR="003E7003" w:rsidP="00180EEB" w:rsidRDefault="003E7003" w14:paraId="06B9B117" w14:textId="2A05A7AA">
      <w:pPr>
        <w:suppressAutoHyphens/>
      </w:pPr>
      <w:r w:rsidRPr="005F055E">
        <w:t>Antwoord</w:t>
      </w:r>
    </w:p>
    <w:p w:rsidRPr="005F055E" w:rsidR="00274792" w:rsidP="00180EEB" w:rsidRDefault="007E044A" w14:paraId="2906D40A" w14:textId="52C3C598">
      <w:pPr>
        <w:suppressAutoHyphens/>
        <w:spacing w:line="240" w:lineRule="atLeast"/>
        <w:rPr>
          <w:szCs w:val="18"/>
          <w:lang w:eastAsia="nl-NL"/>
        </w:rPr>
      </w:pPr>
      <w:r w:rsidRPr="005F055E">
        <w:rPr>
          <w:rFonts w:cs="Helvetica"/>
          <w:color w:val="000000" w:themeColor="text1"/>
          <w:szCs w:val="20"/>
          <w:lang w:eastAsia="nl-NL"/>
        </w:rPr>
        <w:t xml:space="preserve">Op basis van gegevens die door </w:t>
      </w:r>
      <w:proofErr w:type="spellStart"/>
      <w:r w:rsidRPr="005F055E">
        <w:rPr>
          <w:rFonts w:cs="Helvetica"/>
          <w:color w:val="000000" w:themeColor="text1"/>
          <w:szCs w:val="20"/>
          <w:lang w:eastAsia="nl-NL"/>
        </w:rPr>
        <w:t>HartslagNu</w:t>
      </w:r>
      <w:proofErr w:type="spellEnd"/>
      <w:r w:rsidRPr="005F055E">
        <w:rPr>
          <w:rFonts w:cs="Helvetica"/>
          <w:color w:val="000000" w:themeColor="text1"/>
          <w:szCs w:val="20"/>
          <w:lang w:eastAsia="nl-NL"/>
        </w:rPr>
        <w:t xml:space="preserve"> worden verzameld waren er in 2023</w:t>
      </w:r>
      <w:r w:rsidRPr="005F055E" w:rsidR="00D73F76">
        <w:rPr>
          <w:rFonts w:cs="Helvetica"/>
          <w:color w:val="000000" w:themeColor="text1"/>
          <w:szCs w:val="20"/>
          <w:lang w:eastAsia="nl-NL"/>
        </w:rPr>
        <w:t xml:space="preserve"> </w:t>
      </w:r>
      <w:r w:rsidRPr="005F055E">
        <w:rPr>
          <w:rFonts w:cs="Helvetica"/>
          <w:color w:val="000000" w:themeColor="text1"/>
          <w:szCs w:val="20"/>
          <w:lang w:eastAsia="nl-NL"/>
        </w:rPr>
        <w:t xml:space="preserve">12.456 geregistreerde reanimatiemeldingen buiten het ziekenhuis. Er zijn geen cijfers bekend of het aantal reanimatiemeldingen overeenkomt met het aantal daadwerkelijke reanimaties buiten het ziekenhuis. </w:t>
      </w:r>
    </w:p>
    <w:p w:rsidRPr="005F055E" w:rsidR="0014318A" w:rsidP="00180EEB" w:rsidRDefault="0014318A" w14:paraId="7E926A04" w14:textId="77777777">
      <w:pPr>
        <w:suppressAutoHyphens/>
      </w:pPr>
    </w:p>
    <w:p w:rsidRPr="005F055E" w:rsidR="00274792" w:rsidP="00180EEB" w:rsidRDefault="003E7003" w14:paraId="7BFBD8AE" w14:textId="77777777">
      <w:pPr>
        <w:suppressAutoHyphens/>
      </w:pPr>
      <w:r w:rsidRPr="005F055E">
        <w:t>Vraag 276</w:t>
      </w:r>
      <w:r w:rsidRPr="005F055E">
        <w:tab/>
      </w:r>
    </w:p>
    <w:p w:rsidRPr="005F055E" w:rsidR="00274792" w:rsidP="00180EEB" w:rsidRDefault="003E7003" w14:paraId="7DA7FBBB" w14:textId="77777777">
      <w:pPr>
        <w:suppressAutoHyphens/>
      </w:pPr>
      <w:r w:rsidRPr="005F055E">
        <w:t>Wat is in Nederland het overlevingspercentage van mensen die buiten het ziekenhuis worden gereanimeerd?</w:t>
      </w:r>
      <w:r w:rsidRPr="005F055E">
        <w:tab/>
      </w:r>
    </w:p>
    <w:p w:rsidRPr="005F055E" w:rsidR="003E7003" w:rsidP="00180EEB" w:rsidRDefault="003E7003" w14:paraId="1CCB7070" w14:textId="1A3BA7FB">
      <w:pPr>
        <w:suppressAutoHyphens/>
      </w:pPr>
      <w:r w:rsidRPr="005F055E">
        <w:t>Antwoord</w:t>
      </w:r>
    </w:p>
    <w:p w:rsidRPr="005F055E" w:rsidR="004F2D7A" w:rsidP="00180EEB" w:rsidRDefault="004F2D7A" w14:paraId="7D235229" w14:textId="0F2DE366">
      <w:pPr>
        <w:suppressAutoHyphens/>
        <w:spacing w:line="240" w:lineRule="atLeast"/>
        <w:rPr>
          <w:szCs w:val="20"/>
          <w:lang w:eastAsia="nl-NL"/>
        </w:rPr>
      </w:pPr>
      <w:r w:rsidRPr="005F055E">
        <w:rPr>
          <w:szCs w:val="20"/>
          <w:lang w:eastAsia="nl-NL"/>
        </w:rPr>
        <w:t>Uit recent onderzoek</w:t>
      </w:r>
      <w:r w:rsidRPr="005F055E">
        <w:rPr>
          <w:szCs w:val="20"/>
          <w:vertAlign w:val="superscript"/>
          <w:lang w:eastAsia="nl-NL"/>
        </w:rPr>
        <w:footnoteReference w:id="97"/>
      </w:r>
      <w:r w:rsidRPr="005F055E">
        <w:rPr>
          <w:szCs w:val="20"/>
          <w:lang w:eastAsia="nl-NL"/>
        </w:rPr>
        <w:t xml:space="preserve"> is gebleken dat de gemiddelde overlevingskans bij een hartstilstand</w:t>
      </w:r>
      <w:r w:rsidR="00E33183">
        <w:rPr>
          <w:szCs w:val="20"/>
          <w:lang w:eastAsia="nl-NL"/>
        </w:rPr>
        <w:t xml:space="preserve"> buiten het ziekenhuis</w:t>
      </w:r>
      <w:r w:rsidRPr="005F055E">
        <w:rPr>
          <w:szCs w:val="20"/>
          <w:lang w:eastAsia="nl-NL"/>
        </w:rPr>
        <w:t xml:space="preserve"> in Nederland op loopt tot 25% of zelfs hoger.</w:t>
      </w:r>
      <w:r w:rsidRPr="005F055E" w:rsidR="00D73F76">
        <w:rPr>
          <w:szCs w:val="20"/>
          <w:lang w:eastAsia="nl-NL"/>
        </w:rPr>
        <w:t xml:space="preserve"> </w:t>
      </w:r>
    </w:p>
    <w:p w:rsidR="006D333D" w:rsidP="00180EEB" w:rsidRDefault="006D333D" w14:paraId="048B0657" w14:textId="77777777">
      <w:pPr>
        <w:suppressAutoHyphens/>
      </w:pPr>
    </w:p>
    <w:p w:rsidRPr="005F055E" w:rsidR="00274792" w:rsidP="00180EEB" w:rsidRDefault="003E7003" w14:paraId="5DA8FB92" w14:textId="6E4FC024">
      <w:pPr>
        <w:suppressAutoHyphens/>
      </w:pPr>
      <w:r w:rsidRPr="005F055E">
        <w:t>Vraag 277</w:t>
      </w:r>
      <w:r w:rsidRPr="005F055E">
        <w:tab/>
      </w:r>
    </w:p>
    <w:p w:rsidRPr="005F055E" w:rsidR="00274792" w:rsidP="00180EEB" w:rsidRDefault="003E7003" w14:paraId="2DBD75EA" w14:textId="77777777">
      <w:pPr>
        <w:suppressAutoHyphens/>
      </w:pPr>
      <w:r w:rsidRPr="005F055E">
        <w:t>Hoe wordt het bedrag van circa €5 miljoen voor valpreventie verdeeld over de verschillende activiteiten (onder andere ondersteuning gemeenten/zorgprofessionals, campagne, technologie, monitor)?</w:t>
      </w:r>
      <w:r w:rsidRPr="005F055E">
        <w:tab/>
      </w:r>
    </w:p>
    <w:p w:rsidRPr="005F055E" w:rsidR="003E7003" w:rsidP="00180EEB" w:rsidRDefault="003E7003" w14:paraId="43A52B30" w14:textId="36C7E588">
      <w:pPr>
        <w:suppressAutoHyphens/>
      </w:pPr>
      <w:r w:rsidRPr="005F055E">
        <w:t>Antwoord</w:t>
      </w:r>
    </w:p>
    <w:p w:rsidRPr="005F055E" w:rsidR="00274792" w:rsidP="00180EEB" w:rsidRDefault="00274792" w14:paraId="7E15939D" w14:textId="77777777">
      <w:pPr>
        <w:suppressAutoHyphens/>
        <w:spacing w:line="240" w:lineRule="atLeast"/>
        <w:rPr>
          <w:szCs w:val="18"/>
          <w:lang w:eastAsia="nl-NL"/>
        </w:rPr>
      </w:pPr>
      <w:r w:rsidRPr="005F055E">
        <w:rPr>
          <w:szCs w:val="18"/>
          <w:lang w:eastAsia="nl-NL"/>
        </w:rPr>
        <w:t>Het budget dat voor gemeenten via de SPUK-gelden voor 2026 beschikbaar is voor implementatie van valpreventie komt neer op een bedrag van ca €45 miljoen. Het genoemde bedrag van circa €5 miljoen is beschikbaar voor de landelijke versterking en ondersteuning van deze implementatie en wordt ingezet over onderstaande activiteiten:</w:t>
      </w:r>
    </w:p>
    <w:p w:rsidRPr="005F055E" w:rsidR="00274792" w:rsidP="00180EEB" w:rsidRDefault="00274792" w14:paraId="1CCCED91" w14:textId="77777777">
      <w:pPr>
        <w:numPr>
          <w:ilvl w:val="0"/>
          <w:numId w:val="3"/>
        </w:numPr>
        <w:suppressAutoHyphens/>
        <w:spacing w:after="0" w:line="240" w:lineRule="atLeast"/>
        <w:rPr>
          <w:szCs w:val="18"/>
          <w:lang w:eastAsia="nl-NL"/>
        </w:rPr>
      </w:pPr>
      <w:r w:rsidRPr="005F055E">
        <w:rPr>
          <w:szCs w:val="18"/>
          <w:lang w:eastAsia="nl-NL"/>
        </w:rPr>
        <w:t>Ca. € 0,5 miljoen voor publiekscommunicatie, zoals de campagne tijdens de valpreventieweek</w:t>
      </w:r>
    </w:p>
    <w:p w:rsidRPr="005F055E" w:rsidR="00274792" w:rsidP="00180EEB" w:rsidRDefault="00274792" w14:paraId="7CC28D24" w14:textId="77777777">
      <w:pPr>
        <w:numPr>
          <w:ilvl w:val="0"/>
          <w:numId w:val="3"/>
        </w:numPr>
        <w:suppressAutoHyphens/>
        <w:spacing w:after="0" w:line="240" w:lineRule="atLeast"/>
        <w:rPr>
          <w:szCs w:val="18"/>
          <w:lang w:eastAsia="nl-NL"/>
        </w:rPr>
      </w:pPr>
      <w:r w:rsidRPr="005F055E">
        <w:rPr>
          <w:szCs w:val="18"/>
          <w:lang w:eastAsia="nl-NL"/>
        </w:rPr>
        <w:t xml:space="preserve">Ca. € 1 miljoen voor de inzet van kennisinstituten, zoals </w:t>
      </w:r>
      <w:proofErr w:type="spellStart"/>
      <w:r w:rsidRPr="005F055E">
        <w:rPr>
          <w:szCs w:val="18"/>
          <w:lang w:eastAsia="nl-NL"/>
        </w:rPr>
        <w:t>Veiligheidnl</w:t>
      </w:r>
      <w:proofErr w:type="spellEnd"/>
      <w:r w:rsidRPr="005F055E">
        <w:rPr>
          <w:szCs w:val="18"/>
          <w:lang w:eastAsia="nl-NL"/>
        </w:rPr>
        <w:t xml:space="preserve"> om gemeenten te ondersteunen</w:t>
      </w:r>
    </w:p>
    <w:p w:rsidRPr="005F055E" w:rsidR="00274792" w:rsidP="00180EEB" w:rsidRDefault="00274792" w14:paraId="4EADAA7E" w14:textId="77777777">
      <w:pPr>
        <w:numPr>
          <w:ilvl w:val="0"/>
          <w:numId w:val="3"/>
        </w:numPr>
        <w:suppressAutoHyphens/>
        <w:spacing w:after="0" w:line="240" w:lineRule="atLeast"/>
        <w:rPr>
          <w:szCs w:val="18"/>
          <w:lang w:eastAsia="nl-NL"/>
        </w:rPr>
      </w:pPr>
      <w:r w:rsidRPr="005F055E">
        <w:rPr>
          <w:szCs w:val="18"/>
          <w:lang w:eastAsia="nl-NL"/>
        </w:rPr>
        <w:t>Ca. € 2 miljoen voor monitoring en evaluatie, bijvoorbeeld door het RIVM</w:t>
      </w:r>
    </w:p>
    <w:p w:rsidRPr="005F055E" w:rsidR="00274792" w:rsidP="00180EEB" w:rsidRDefault="00274792" w14:paraId="77728CE5" w14:textId="77777777">
      <w:pPr>
        <w:numPr>
          <w:ilvl w:val="0"/>
          <w:numId w:val="3"/>
        </w:numPr>
        <w:suppressAutoHyphens/>
        <w:spacing w:after="0" w:line="240" w:lineRule="atLeast"/>
        <w:rPr>
          <w:szCs w:val="18"/>
          <w:lang w:eastAsia="nl-NL"/>
        </w:rPr>
      </w:pPr>
      <w:r w:rsidRPr="005F055E">
        <w:rPr>
          <w:szCs w:val="18"/>
          <w:lang w:eastAsia="nl-NL"/>
        </w:rPr>
        <w:t xml:space="preserve">Ca. € 1,5 miljoen voor technologie en innovatie, grotendeels voor een </w:t>
      </w:r>
      <w:proofErr w:type="spellStart"/>
      <w:r w:rsidRPr="005F055E">
        <w:rPr>
          <w:szCs w:val="18"/>
          <w:lang w:eastAsia="nl-NL"/>
        </w:rPr>
        <w:t>ZonMw</w:t>
      </w:r>
      <w:proofErr w:type="spellEnd"/>
      <w:r w:rsidRPr="005F055E">
        <w:rPr>
          <w:szCs w:val="18"/>
          <w:lang w:eastAsia="nl-NL"/>
        </w:rPr>
        <w:t xml:space="preserve"> subsidieoproep. </w:t>
      </w:r>
    </w:p>
    <w:p w:rsidRPr="005F055E" w:rsidR="00274792" w:rsidP="00180EEB" w:rsidRDefault="00274792" w14:paraId="14F38DBC" w14:textId="77777777">
      <w:pPr>
        <w:suppressAutoHyphens/>
      </w:pPr>
    </w:p>
    <w:p w:rsidRPr="005F055E" w:rsidR="00274792" w:rsidP="00180EEB" w:rsidRDefault="003E7003" w14:paraId="71A8BB96" w14:textId="77777777">
      <w:pPr>
        <w:suppressAutoHyphens/>
      </w:pPr>
      <w:r w:rsidRPr="005F055E">
        <w:t>Vraag 278</w:t>
      </w:r>
      <w:r w:rsidRPr="005F055E">
        <w:tab/>
      </w:r>
    </w:p>
    <w:p w:rsidRPr="005F055E" w:rsidR="00274792" w:rsidP="00180EEB" w:rsidRDefault="003E7003" w14:paraId="0BCE1029" w14:textId="77777777">
      <w:pPr>
        <w:suppressAutoHyphens/>
      </w:pPr>
      <w:r w:rsidRPr="005F055E">
        <w:t>Hoeveel van het subsidiebudget van €2 miljoen voor valpreventie is in 2025 reeds toegekend en aan welke partijen?</w:t>
      </w:r>
      <w:r w:rsidRPr="005F055E">
        <w:tab/>
      </w:r>
    </w:p>
    <w:p w:rsidRPr="005F055E" w:rsidR="003E7003" w:rsidP="00180EEB" w:rsidRDefault="003E7003" w14:paraId="3276BA9D" w14:textId="71314FC4">
      <w:pPr>
        <w:suppressAutoHyphens/>
      </w:pPr>
      <w:r w:rsidRPr="005F055E">
        <w:t>Antwoord</w:t>
      </w:r>
    </w:p>
    <w:p w:rsidRPr="005F055E" w:rsidR="004F2D7A" w:rsidP="00180EEB" w:rsidRDefault="004F2D7A" w14:paraId="3660F9C5" w14:textId="77777777">
      <w:pPr>
        <w:suppressAutoHyphens/>
        <w:spacing w:line="240" w:lineRule="atLeast"/>
        <w:rPr>
          <w:szCs w:val="18"/>
          <w:lang w:eastAsia="nl-NL"/>
        </w:rPr>
      </w:pPr>
      <w:r w:rsidRPr="005F055E">
        <w:rPr>
          <w:szCs w:val="18"/>
          <w:lang w:eastAsia="nl-NL"/>
        </w:rPr>
        <w:t xml:space="preserve">Van het subsidiebudget voor valpreventie is momenteel circa € 1 miljoen gerealiseerd voor de monitoring in 2025. Dit is toegekend aan het RIVM om de ontwikkeling van de samenwerking en resultaten in de ketenaanpak te onderzoeken en in beeld te brengen. </w:t>
      </w:r>
    </w:p>
    <w:p w:rsidRPr="005F055E" w:rsidR="00274792" w:rsidP="00180EEB" w:rsidRDefault="004F2D7A" w14:paraId="15923FAF" w14:textId="63E2A4BA">
      <w:pPr>
        <w:suppressAutoHyphens/>
        <w:spacing w:line="240" w:lineRule="atLeast"/>
        <w:rPr>
          <w:szCs w:val="18"/>
          <w:lang w:eastAsia="nl-NL"/>
        </w:rPr>
      </w:pPr>
      <w:r w:rsidRPr="005F055E">
        <w:rPr>
          <w:szCs w:val="18"/>
          <w:lang w:eastAsia="nl-NL"/>
        </w:rPr>
        <w:t>Voor het deel dat niet is benut, is er een kasschuif toegepast naar 2027.</w:t>
      </w:r>
    </w:p>
    <w:p w:rsidRPr="005F055E" w:rsidR="0014318A" w:rsidP="00180EEB" w:rsidRDefault="0014318A" w14:paraId="2D9E6462" w14:textId="77777777">
      <w:pPr>
        <w:suppressAutoHyphens/>
      </w:pPr>
    </w:p>
    <w:p w:rsidRPr="005F055E" w:rsidR="00274792" w:rsidP="00180EEB" w:rsidRDefault="003E7003" w14:paraId="0DE712AE" w14:textId="77777777">
      <w:pPr>
        <w:suppressAutoHyphens/>
      </w:pPr>
      <w:r w:rsidRPr="005F055E">
        <w:t>Vraag 279</w:t>
      </w:r>
      <w:r w:rsidRPr="005F055E">
        <w:tab/>
      </w:r>
    </w:p>
    <w:p w:rsidRPr="005F055E" w:rsidR="00274792" w:rsidP="00180EEB" w:rsidRDefault="003E7003" w14:paraId="2880D6D2" w14:textId="77777777">
      <w:pPr>
        <w:suppressAutoHyphens/>
      </w:pPr>
      <w:r w:rsidRPr="005F055E">
        <w:t>Hoeveel gemeenten nemen op dit moment deel aan de valpreventieketen en hoeveel zijn er in 2026 beoogd?</w:t>
      </w:r>
      <w:r w:rsidRPr="005F055E">
        <w:tab/>
      </w:r>
    </w:p>
    <w:p w:rsidRPr="005F055E" w:rsidR="003E7003" w:rsidP="00180EEB" w:rsidRDefault="003E7003" w14:paraId="0FE1DB46" w14:textId="74C44465">
      <w:pPr>
        <w:suppressAutoHyphens/>
      </w:pPr>
      <w:r w:rsidRPr="005F055E">
        <w:t>Antwoord</w:t>
      </w:r>
    </w:p>
    <w:p w:rsidRPr="005F055E" w:rsidR="00274792" w:rsidP="00180EEB" w:rsidRDefault="00274792" w14:paraId="233ACF19" w14:textId="77777777">
      <w:pPr>
        <w:suppressAutoHyphens/>
        <w:spacing w:line="240" w:lineRule="atLeast"/>
        <w:rPr>
          <w:szCs w:val="20"/>
          <w:lang w:eastAsia="nl-NL"/>
        </w:rPr>
      </w:pPr>
      <w:r w:rsidRPr="005F055E">
        <w:rPr>
          <w:szCs w:val="20"/>
          <w:lang w:eastAsia="nl-NL"/>
        </w:rPr>
        <w:t xml:space="preserve">In bijna alle gemeenten in Nederland (98 procent) is een begin gemaakt met de ketenaanpak valpreventie. Dat betekent overigens niet dat alle elementen van de ketenaanpak overal al goed zijn ingericht, sommige gemeenten zitten nog in de opstartfase. </w:t>
      </w:r>
    </w:p>
    <w:p w:rsidRPr="005F055E" w:rsidR="00274792" w:rsidP="00180EEB" w:rsidRDefault="00274792" w14:paraId="4F176B6F" w14:textId="48B62327">
      <w:pPr>
        <w:suppressAutoHyphens/>
        <w:spacing w:line="240" w:lineRule="atLeast"/>
        <w:rPr>
          <w:szCs w:val="20"/>
          <w:lang w:eastAsia="nl-NL"/>
        </w:rPr>
      </w:pPr>
      <w:r w:rsidRPr="005F055E">
        <w:rPr>
          <w:szCs w:val="20"/>
          <w:lang w:eastAsia="nl-NL"/>
        </w:rPr>
        <w:t>Het streven is dat in 2026 alle gemeenten begonnen zijn met de ketenaanpak.</w:t>
      </w:r>
    </w:p>
    <w:p w:rsidRPr="005F055E" w:rsidR="0014318A" w:rsidP="00180EEB" w:rsidRDefault="0014318A" w14:paraId="65451513" w14:textId="77777777">
      <w:pPr>
        <w:suppressAutoHyphens/>
      </w:pPr>
    </w:p>
    <w:p w:rsidRPr="005F055E" w:rsidR="00274792" w:rsidP="00180EEB" w:rsidRDefault="003E7003" w14:paraId="4CA05CC0" w14:textId="77777777">
      <w:pPr>
        <w:suppressAutoHyphens/>
      </w:pPr>
      <w:r w:rsidRPr="005F055E">
        <w:t>Vraag 280</w:t>
      </w:r>
      <w:r w:rsidRPr="005F055E">
        <w:tab/>
      </w:r>
    </w:p>
    <w:p w:rsidRPr="005F055E" w:rsidR="00274792" w:rsidP="00180EEB" w:rsidRDefault="003E7003" w14:paraId="57999E12" w14:textId="77777777">
      <w:pPr>
        <w:suppressAutoHyphens/>
      </w:pPr>
      <w:r w:rsidRPr="005F055E">
        <w:t>Wat is de status van de Staatscommissie Zorgstelsel?</w:t>
      </w:r>
      <w:r w:rsidRPr="005F055E">
        <w:tab/>
      </w:r>
    </w:p>
    <w:p w:rsidRPr="005F055E" w:rsidR="003E7003" w:rsidP="00180EEB" w:rsidRDefault="003E7003" w14:paraId="66A5D5C8" w14:textId="3F130452">
      <w:pPr>
        <w:suppressAutoHyphens/>
      </w:pPr>
      <w:r w:rsidRPr="005F055E">
        <w:t>Antwoord</w:t>
      </w:r>
    </w:p>
    <w:p w:rsidRPr="005F055E" w:rsidR="004F2D7A" w:rsidP="00180EEB" w:rsidRDefault="004F2D7A" w14:paraId="23490913" w14:textId="49C5B80A">
      <w:pPr>
        <w:suppressAutoHyphens/>
        <w:spacing w:line="240" w:lineRule="atLeast"/>
        <w:rPr>
          <w:szCs w:val="20"/>
          <w:lang w:eastAsia="nl-NL"/>
        </w:rPr>
      </w:pPr>
      <w:r w:rsidRPr="005F055E">
        <w:rPr>
          <w:szCs w:val="20"/>
          <w:lang w:eastAsia="nl-NL"/>
        </w:rPr>
        <w:t>Op 24 oktober 2024 is tijdens de Begrotingsbehandeling VWS 2025 de motie Krul c.s. ingediend en aangenomen over het treffen van voorbereidingen voor een staatscommissie voor advisering over een toekomstbestendige en weerbare inrichting van het Nederlandse zorgstelsel.</w:t>
      </w:r>
      <w:r w:rsidRPr="005F055E">
        <w:rPr>
          <w:szCs w:val="20"/>
          <w:vertAlign w:val="superscript"/>
          <w:lang w:eastAsia="nl-NL"/>
        </w:rPr>
        <w:footnoteReference w:id="98"/>
      </w:r>
    </w:p>
    <w:p w:rsidRPr="005F055E" w:rsidR="00274792" w:rsidP="00180EEB" w:rsidRDefault="004F2D7A" w14:paraId="542509E1" w14:textId="5B97C580">
      <w:pPr>
        <w:suppressAutoHyphens/>
        <w:spacing w:line="240" w:lineRule="atLeast"/>
        <w:rPr>
          <w:szCs w:val="18"/>
          <w:lang w:eastAsia="nl-NL"/>
        </w:rPr>
      </w:pPr>
      <w:r w:rsidRPr="005F055E">
        <w:rPr>
          <w:szCs w:val="18"/>
          <w:lang w:eastAsia="nl-NL"/>
        </w:rPr>
        <w:t>Het demissionair kabinet werkt momenteel aan de voorbereidingen van de instelling van de staatscommissie. Vanwege de recente wisselingen van bewindspersonen heeft dit enige vertraging opgelopen. Het streven is om uw Kamer hier op korte termijn nader per brief over te informeren en om de staatscommissie in het eerste kwartaal van 2026 in te stellen.</w:t>
      </w:r>
    </w:p>
    <w:p w:rsidRPr="005F055E" w:rsidR="00274792" w:rsidP="00180EEB" w:rsidRDefault="00274792" w14:paraId="076339E0" w14:textId="77777777">
      <w:pPr>
        <w:suppressAutoHyphens/>
      </w:pPr>
    </w:p>
    <w:p w:rsidRPr="005F055E" w:rsidR="00274792" w:rsidP="00180EEB" w:rsidRDefault="003E7003" w14:paraId="70A33440" w14:textId="77777777">
      <w:pPr>
        <w:suppressAutoHyphens/>
      </w:pPr>
      <w:r w:rsidRPr="005F055E">
        <w:t>Vraag 281</w:t>
      </w:r>
      <w:r w:rsidRPr="005F055E">
        <w:tab/>
      </w:r>
    </w:p>
    <w:p w:rsidRPr="005F055E" w:rsidR="00274792" w:rsidP="00180EEB" w:rsidRDefault="003E7003" w14:paraId="02C12B72" w14:textId="77777777">
      <w:pPr>
        <w:suppressAutoHyphens/>
      </w:pPr>
      <w:r w:rsidRPr="005F055E">
        <w:t>Op welke manier wordt ervoor gezorgd dat nieuwe medische innovaties, zoals combinatievaccins, tijdig beoordeeld kunnen worden, zodat er geen gezondheidswinst verloren gaat door vertraging in adviezen of besluiten?</w:t>
      </w:r>
      <w:r w:rsidRPr="005F055E">
        <w:tab/>
      </w:r>
    </w:p>
    <w:p w:rsidRPr="005F055E" w:rsidR="003E7003" w:rsidP="00180EEB" w:rsidRDefault="003E7003" w14:paraId="03075332" w14:textId="40186400">
      <w:pPr>
        <w:suppressAutoHyphens/>
      </w:pPr>
      <w:r w:rsidRPr="005F055E">
        <w:t>Antwoord</w:t>
      </w:r>
    </w:p>
    <w:p w:rsidRPr="005F055E" w:rsidR="004F2D7A" w:rsidP="00180EEB" w:rsidRDefault="004F2D7A" w14:paraId="7BBB75AC" w14:textId="286B26B7">
      <w:pPr>
        <w:suppressAutoHyphens/>
        <w:rPr>
          <w:szCs w:val="18"/>
          <w:lang w:eastAsia="nl-NL"/>
        </w:rPr>
      </w:pPr>
      <w:r w:rsidRPr="005F055E">
        <w:rPr>
          <w:szCs w:val="18"/>
          <w:lang w:eastAsia="nl-NL"/>
        </w:rPr>
        <w:t xml:space="preserve">De minister erkent dat combinatiebehandelingen een uitdaging vormen voor pakketbeheer. Bijvoorbeeld omdat het niet altijd mogelijk is voor het Zorginstituut om vast te stellen of deze behandelingen effectief en/of kosteneffectief zijn, omdat daar niet altijd de juiste klinische data voor is of omdat het niet bekend is of het middel waarmee het wordt vergeleken kosteneffectief wordt ingezet. Bij combinatietherapieën nemen de behandelkosten fors toe en vaak in mindere mate de effecten. Hierdoor is het waarschijnlijker dat deze therapieën niet kosteneffectief zijn. Het kan ook zijn dat het nieuwe middel moet worden gecombineerd met een bestaand middel dat al op de markt is zonder dat over het bestaande middel onderhandeld. Dat betekent dat alle korting behaald moet worden op het nieuwe middel. Bij de beoordeling van een combinatieproduct kan het tenslotte zo zijn dat beide middelen van dezelfde leverancier zijn of dat de gecombineerde middelen van verschillende leveranciers zijn. Omdat het de verantwoordelijkheid is van de nieuwe toetreder om de pakketwaardigheid aan te tonen is het lastig om de leverancier van het bestaande middel, wat al op de markt is, te bewegen om te onderhandelen over de prijs. </w:t>
      </w:r>
    </w:p>
    <w:p w:rsidRPr="005F055E" w:rsidR="00274792" w:rsidP="00180EEB" w:rsidRDefault="004F2D7A" w14:paraId="3BF5092F" w14:textId="0E6F663D">
      <w:pPr>
        <w:suppressAutoHyphens/>
        <w:rPr>
          <w:szCs w:val="18"/>
          <w:lang w:eastAsia="nl-NL"/>
        </w:rPr>
      </w:pPr>
      <w:r w:rsidRPr="005F055E">
        <w:rPr>
          <w:szCs w:val="18"/>
          <w:lang w:eastAsia="nl-NL"/>
        </w:rPr>
        <w:t>Nieuwe ontwikkelingen zoals combinatietherapieën vormen daarom bij uitstek een aanleiding om het systeem anders, toekomstbestendiger vorm te geven. Dat doet de minister van VWS dus ook. Daarin is het uitgangspunt: snel als het kan, uitgebreid als het moet. Door de beroepsgroep eerder te betrekken, kan bijvoorbeeld sneller worden bekeken wat de plaatsbepaling is van een nieuwe combinatie. Dus op welk moment in de behandeling zal de combinatie worden ingezet, en bij welke patiënten, en op grond van welke criteria. Ook kunnen beheersmaatregelen worden afgesproken, zoals gepast gebruik afspraken of nader onderzoek in de praktijk. En als de risico’s klein zijn, kan een middel of een combinatiemiddel zonder uitvoerige beoordeling instromen. De minister informeert uw Kamer over de voortgang nog voor het eind van dit jaar.</w:t>
      </w:r>
    </w:p>
    <w:p w:rsidRPr="005F055E" w:rsidR="00274792" w:rsidP="00180EEB" w:rsidRDefault="00274792" w14:paraId="1733C8B8" w14:textId="77777777">
      <w:pPr>
        <w:suppressAutoHyphens/>
      </w:pPr>
    </w:p>
    <w:p w:rsidRPr="005F055E" w:rsidR="00274792" w:rsidP="00180EEB" w:rsidRDefault="003E7003" w14:paraId="1C8E5B8D" w14:textId="77777777">
      <w:pPr>
        <w:suppressAutoHyphens/>
      </w:pPr>
      <w:r w:rsidRPr="005F055E">
        <w:t>Vraag 282</w:t>
      </w:r>
      <w:r w:rsidRPr="005F055E">
        <w:tab/>
      </w:r>
    </w:p>
    <w:p w:rsidRPr="005F055E" w:rsidR="00274792" w:rsidP="00180EEB" w:rsidRDefault="003E7003" w14:paraId="67FA8362" w14:textId="77777777">
      <w:pPr>
        <w:suppressAutoHyphens/>
      </w:pPr>
      <w:r w:rsidRPr="005F055E">
        <w:t>Kunt u aangeven hoe de zorg voor mensen met post covid en q-koorts na 2027 is geregeld?</w:t>
      </w:r>
      <w:r w:rsidRPr="005F055E">
        <w:tab/>
      </w:r>
    </w:p>
    <w:p w:rsidRPr="005F055E" w:rsidR="003E7003" w:rsidP="00180EEB" w:rsidRDefault="003E7003" w14:paraId="4B0F4A1A" w14:textId="1C5AF1CA">
      <w:pPr>
        <w:suppressAutoHyphens/>
      </w:pPr>
      <w:r w:rsidRPr="005F055E">
        <w:t>Antwoord</w:t>
      </w:r>
    </w:p>
    <w:p w:rsidRPr="005F055E" w:rsidR="0014318A" w:rsidP="00180EEB" w:rsidRDefault="0014318A" w14:paraId="02819859" w14:textId="77777777">
      <w:pPr>
        <w:suppressAutoHyphens/>
        <w:rPr>
          <w:szCs w:val="18"/>
        </w:rPr>
      </w:pPr>
      <w:bookmarkStart w:name="_Hlk211247207" w:id="48"/>
      <w:r w:rsidRPr="005F055E">
        <w:t>In de begroting is een structurele reeks opgenomen van 2,44 miljoen euro voor het borgen van kennis, onder andere over nazorg voor patiënten met Q-koorts en post-COVID. Het is belangrijk dat patiënten met post-COVID, Q-koorts vermoeidheidssyndroom (QVS) en andere postinfectieuze aandoeningen zo snel mogelijk terecht kunnen in de reguliere structuren van zorg en welzijn. Daar bestaan instellingen wiens taak het is om deze mensen te behandelen alsook te ondersteunen. De huidige initiatieven (post-COVID expertisecentra, Q-koortsambassadeur en post-COVID onderzoeksprogramma) zijn ook nadrukkelijk gericht op het inbedden van deze patiënten in de reguliere zorg en ondersteuning, zodat zij direct goed geholpen worden.</w:t>
      </w:r>
      <w:bookmarkEnd w:id="48"/>
    </w:p>
    <w:p w:rsidRPr="005F055E" w:rsidR="00274792" w:rsidP="00180EEB" w:rsidRDefault="003E7003" w14:paraId="5DAC15A2" w14:textId="77777777">
      <w:pPr>
        <w:suppressAutoHyphens/>
      </w:pPr>
      <w:r w:rsidRPr="005F055E">
        <w:t>Vraag 283</w:t>
      </w:r>
      <w:r w:rsidRPr="005F055E">
        <w:tab/>
      </w:r>
    </w:p>
    <w:p w:rsidRPr="005F055E" w:rsidR="00274792" w:rsidP="00180EEB" w:rsidRDefault="003E7003" w14:paraId="3D0CF475" w14:textId="350AF569">
      <w:pPr>
        <w:suppressAutoHyphens/>
      </w:pPr>
      <w:r w:rsidRPr="005F055E">
        <w:t>Waar en onder welk artikel/regel is de (via de Kamer tot stand gekomen) vergoeding van de jaarlijkse tandartscontrole in het basispakket verwerkt, en wat is het geraamde budgettaire effect?</w:t>
      </w:r>
    </w:p>
    <w:p w:rsidR="006D333D" w:rsidP="00180EEB" w:rsidRDefault="006D333D" w14:paraId="72BFE54D" w14:textId="77777777">
      <w:pPr>
        <w:suppressAutoHyphens/>
      </w:pPr>
    </w:p>
    <w:p w:rsidRPr="005F055E" w:rsidR="003E7003" w:rsidP="00180EEB" w:rsidRDefault="003E7003" w14:paraId="249AB658" w14:textId="647EE263">
      <w:pPr>
        <w:suppressAutoHyphens/>
      </w:pPr>
      <w:r w:rsidRPr="005F055E">
        <w:t>Antwoord</w:t>
      </w:r>
    </w:p>
    <w:p w:rsidRPr="005F055E" w:rsidR="004F2D7A" w:rsidP="00180EEB" w:rsidRDefault="004F2D7A" w14:paraId="08345220" w14:textId="5367D509">
      <w:pPr>
        <w:tabs>
          <w:tab w:val="left" w:pos="2220"/>
        </w:tabs>
        <w:suppressAutoHyphens/>
        <w:spacing w:line="240" w:lineRule="atLeast"/>
        <w:rPr>
          <w:szCs w:val="18"/>
          <w:lang w:eastAsia="nl-NL"/>
        </w:rPr>
      </w:pPr>
      <w:r w:rsidRPr="005F055E">
        <w:rPr>
          <w:szCs w:val="18"/>
          <w:lang w:eastAsia="nl-NL"/>
        </w:rPr>
        <w:t xml:space="preserve">Alleen verzekerden onder de 18 jaar kunnen momenteel aanspraak doen op periodieke tandartscontroles vanuit het basispakket. Dit is opgenomen in artikel 2.7, lid 4, onderdeel a. </w:t>
      </w:r>
    </w:p>
    <w:p w:rsidRPr="005F055E" w:rsidR="00274792" w:rsidP="00180EEB" w:rsidRDefault="004F2D7A" w14:paraId="38AA04AE" w14:textId="5164AF4F">
      <w:pPr>
        <w:tabs>
          <w:tab w:val="left" w:pos="2220"/>
        </w:tabs>
        <w:suppressAutoHyphens/>
        <w:spacing w:line="240" w:lineRule="atLeast"/>
        <w:rPr>
          <w:szCs w:val="18"/>
          <w:lang w:eastAsia="nl-NL"/>
        </w:rPr>
      </w:pPr>
      <w:r w:rsidRPr="005F055E">
        <w:rPr>
          <w:szCs w:val="18"/>
          <w:lang w:eastAsia="nl-NL"/>
        </w:rPr>
        <w:t>Als u doelt op de twee aangenomen moties waarin de regering wordt verzocht een jaarlijkse tandartscontrole in het basispakket op te nemen</w:t>
      </w:r>
      <w:r w:rsidRPr="005F055E">
        <w:rPr>
          <w:szCs w:val="18"/>
          <w:vertAlign w:val="superscript"/>
          <w:lang w:eastAsia="nl-NL"/>
        </w:rPr>
        <w:footnoteReference w:id="99"/>
      </w:r>
      <w:r w:rsidRPr="005F055E">
        <w:rPr>
          <w:szCs w:val="18"/>
          <w:vertAlign w:val="superscript"/>
          <w:lang w:eastAsia="nl-NL"/>
        </w:rPr>
        <w:t>,</w:t>
      </w:r>
      <w:r w:rsidRPr="005F055E">
        <w:rPr>
          <w:szCs w:val="18"/>
          <w:vertAlign w:val="superscript"/>
          <w:lang w:eastAsia="nl-NL"/>
        </w:rPr>
        <w:footnoteReference w:id="100"/>
      </w:r>
      <w:r w:rsidRPr="005F055E">
        <w:rPr>
          <w:szCs w:val="18"/>
          <w:lang w:eastAsia="nl-NL"/>
        </w:rPr>
        <w:t>, dan is het aan het nieuwe kabinet om te bezien of opname in het basispakket wenselijk is en hoe deze extra uitgaven financieel gedekt worden. Bovendien loopt het adviestraject van het Zorginstituut nog en wordt VWS nog geadviseerd over een passende aanspraak op mondzorg. In het kader van dit adviestraject heeft het Zorginstituut wel al een kostenanalyse opgeleverd waarin de budgetimpact van het toevoegen van 1 periodieke controle per jaar aan het basispakket berekend is.</w:t>
      </w:r>
      <w:r w:rsidRPr="005F055E">
        <w:rPr>
          <w:szCs w:val="18"/>
          <w:vertAlign w:val="superscript"/>
          <w:lang w:eastAsia="nl-NL"/>
        </w:rPr>
        <w:footnoteReference w:id="101"/>
      </w:r>
      <w:r w:rsidRPr="005F055E">
        <w:rPr>
          <w:szCs w:val="18"/>
          <w:lang w:eastAsia="nl-NL"/>
        </w:rPr>
        <w:t xml:space="preserve"> De geschatte budgetimpact ligt tussen € 137 en 150 miljoen met een eigen risico van € 385 en tussen € 297 en 321 miljoen zonder eigen risico. Genoemde bedragen zijn in prijspeil 2023.</w:t>
      </w:r>
    </w:p>
    <w:p w:rsidRPr="005F055E" w:rsidR="008C3510" w:rsidP="00180EEB" w:rsidRDefault="008C3510" w14:paraId="7EF3CE7F" w14:textId="77777777">
      <w:pPr>
        <w:suppressAutoHyphens/>
      </w:pPr>
    </w:p>
    <w:p w:rsidRPr="005F055E" w:rsidR="00274792" w:rsidP="00180EEB" w:rsidRDefault="003E7003" w14:paraId="7A8F8CF1" w14:textId="77777777">
      <w:pPr>
        <w:suppressAutoHyphens/>
      </w:pPr>
      <w:r w:rsidRPr="005F055E">
        <w:t>Vraag 284</w:t>
      </w:r>
      <w:r w:rsidRPr="005F055E">
        <w:tab/>
      </w:r>
    </w:p>
    <w:p w:rsidRPr="005F055E" w:rsidR="00274792" w:rsidP="00180EEB" w:rsidRDefault="003E7003" w14:paraId="6EA27B65" w14:textId="77777777">
      <w:pPr>
        <w:suppressAutoHyphens/>
      </w:pPr>
      <w:r w:rsidRPr="005F055E">
        <w:t>Wordt er voldoende gecompenseerd voor loon- en prijsbijstellingen of zijn er posten waar dit niet het geval is?</w:t>
      </w:r>
      <w:r w:rsidRPr="005F055E">
        <w:tab/>
      </w:r>
    </w:p>
    <w:p w:rsidRPr="005F055E" w:rsidR="003E7003" w:rsidP="00180EEB" w:rsidRDefault="003E7003" w14:paraId="5E5211DA" w14:textId="701EF4CE">
      <w:pPr>
        <w:suppressAutoHyphens/>
      </w:pPr>
      <w:r w:rsidRPr="005F055E">
        <w:t>Antwoord</w:t>
      </w:r>
    </w:p>
    <w:p w:rsidRPr="005F055E" w:rsidR="00274792" w:rsidP="00180EEB" w:rsidRDefault="007E044A" w14:paraId="79773A51" w14:textId="62B1E82F">
      <w:pPr>
        <w:suppressAutoHyphens/>
        <w:spacing w:line="240" w:lineRule="atLeast"/>
        <w:rPr>
          <w:szCs w:val="18"/>
          <w:lang w:eastAsia="nl-NL"/>
        </w:rPr>
      </w:pPr>
      <w:r w:rsidRPr="005F055E">
        <w:rPr>
          <w:szCs w:val="18"/>
          <w:lang w:eastAsia="nl-NL"/>
        </w:rPr>
        <w:t xml:space="preserve">In de eerste suppletoire begroting 2025 van VWS, samenhangende met de Voorjaarsnota 2025, is toegelicht dat een deel van de </w:t>
      </w:r>
      <w:proofErr w:type="spellStart"/>
      <w:r w:rsidRPr="005F055E">
        <w:rPr>
          <w:szCs w:val="18"/>
          <w:lang w:eastAsia="nl-NL"/>
        </w:rPr>
        <w:t>loonbĳstelling</w:t>
      </w:r>
      <w:proofErr w:type="spellEnd"/>
      <w:r w:rsidRPr="005F055E">
        <w:rPr>
          <w:szCs w:val="18"/>
          <w:lang w:eastAsia="nl-NL"/>
        </w:rPr>
        <w:t xml:space="preserve"> wordt ingezet ter dekking van verschillende intensiveringen op de VWS-begroting, waaronder de inzet van </w:t>
      </w:r>
      <w:proofErr w:type="spellStart"/>
      <w:r w:rsidRPr="005F055E">
        <w:rPr>
          <w:szCs w:val="18"/>
          <w:lang w:eastAsia="nl-NL"/>
        </w:rPr>
        <w:t>vrĳwilligers</w:t>
      </w:r>
      <w:proofErr w:type="spellEnd"/>
      <w:r w:rsidRPr="005F055E">
        <w:rPr>
          <w:szCs w:val="18"/>
          <w:lang w:eastAsia="nl-NL"/>
        </w:rPr>
        <w:t xml:space="preserve"> in de palliatieve terminale zorg, de aanpassing van de regeling dienstverlening aan huis en het alternatief invullen van de aanvullende apparaatstaakstelling uit amendement Bontenbal c.s.. Hierdoor resteerden er minder middelen voor inflatiecorrectie.</w:t>
      </w:r>
      <w:r w:rsidRPr="005F055E" w:rsidR="0059532D">
        <w:rPr>
          <w:szCs w:val="18"/>
          <w:lang w:eastAsia="nl-NL"/>
        </w:rPr>
        <w:t xml:space="preserve"> Het niet of slechts gedeeltelijk corrigeren voor inflatie leidt tot relatief minder financiële ruimte bij gesubsidieerde instellingen, omdat de betrokken instellingen wel geconfronteerd worden met hogere lonen en prijzen. De doorwerking van het niet volledig doorvoeren van de inflatiecorrectie kan verschillend uitwerken voor de gesubsidieerde organisaties. Door een zo optimaal mogelijke inzet van de uitgekeerde subsidies, kunnen de effecten van de korting binnen de betrokken organisaties waar mogelijk gemitigeerd worden</w:t>
      </w:r>
    </w:p>
    <w:p w:rsidRPr="005F055E" w:rsidR="0014318A" w:rsidP="00180EEB" w:rsidRDefault="0014318A" w14:paraId="731743CD" w14:textId="77777777">
      <w:pPr>
        <w:suppressAutoHyphens/>
      </w:pPr>
    </w:p>
    <w:p w:rsidRPr="005F055E" w:rsidR="00274792" w:rsidP="00180EEB" w:rsidRDefault="003E7003" w14:paraId="551E7EE4" w14:textId="77777777">
      <w:pPr>
        <w:suppressAutoHyphens/>
      </w:pPr>
      <w:r w:rsidRPr="005F055E">
        <w:t>Vraag 285</w:t>
      </w:r>
      <w:r w:rsidRPr="005F055E">
        <w:tab/>
      </w:r>
    </w:p>
    <w:p w:rsidRPr="005F055E" w:rsidR="00274792" w:rsidP="00180EEB" w:rsidRDefault="003E7003" w14:paraId="52FA2F10" w14:textId="77777777">
      <w:pPr>
        <w:suppressAutoHyphens/>
      </w:pPr>
      <w:r w:rsidRPr="005F055E">
        <w:t>Hoeveel ziekenhuizen zitten er in de financiële problemen?</w:t>
      </w:r>
      <w:r w:rsidRPr="005F055E">
        <w:tab/>
      </w:r>
    </w:p>
    <w:p w:rsidRPr="005F055E" w:rsidR="003E7003" w:rsidP="00180EEB" w:rsidRDefault="003E7003" w14:paraId="0D83C7C4" w14:textId="0DF6DFF3">
      <w:pPr>
        <w:suppressAutoHyphens/>
      </w:pPr>
      <w:r w:rsidRPr="005F055E">
        <w:t>Antwoord</w:t>
      </w:r>
    </w:p>
    <w:p w:rsidRPr="005F055E" w:rsidR="004F2D7A" w:rsidP="00180EEB" w:rsidRDefault="004F2D7A" w14:paraId="4F5A993E" w14:textId="54708B0F">
      <w:pPr>
        <w:suppressAutoHyphens/>
        <w:spacing w:line="240" w:lineRule="atLeast"/>
        <w:rPr>
          <w:szCs w:val="18"/>
          <w:lang w:eastAsia="nl-NL"/>
        </w:rPr>
      </w:pPr>
      <w:r w:rsidRPr="005F055E">
        <w:rPr>
          <w:szCs w:val="18"/>
          <w:lang w:eastAsia="nl-NL"/>
        </w:rPr>
        <w:t xml:space="preserve">Wanneer ziekenhuizen in financiële problemen (dreigen) te komen, en de continuïteit van de zorg in het geding dreigt te komen, gelden de </w:t>
      </w:r>
      <w:proofErr w:type="spellStart"/>
      <w:r w:rsidRPr="005F055E">
        <w:rPr>
          <w:szCs w:val="18"/>
          <w:lang w:eastAsia="nl-NL"/>
        </w:rPr>
        <w:t>Early</w:t>
      </w:r>
      <w:proofErr w:type="spellEnd"/>
      <w:r w:rsidRPr="005F055E">
        <w:rPr>
          <w:szCs w:val="18"/>
          <w:lang w:eastAsia="nl-NL"/>
        </w:rPr>
        <w:t xml:space="preserve"> </w:t>
      </w:r>
      <w:proofErr w:type="spellStart"/>
      <w:r w:rsidRPr="005F055E">
        <w:rPr>
          <w:szCs w:val="18"/>
          <w:lang w:eastAsia="nl-NL"/>
        </w:rPr>
        <w:t>Warning</w:t>
      </w:r>
      <w:proofErr w:type="spellEnd"/>
      <w:r w:rsidRPr="005F055E">
        <w:rPr>
          <w:szCs w:val="18"/>
          <w:lang w:eastAsia="nl-NL"/>
        </w:rPr>
        <w:t xml:space="preserve"> System (EWS)-afspraken. Op basis van deze afspraken doet een zorgverzekeraar een </w:t>
      </w:r>
      <w:proofErr w:type="spellStart"/>
      <w:r w:rsidRPr="005F055E">
        <w:rPr>
          <w:szCs w:val="18"/>
          <w:lang w:eastAsia="nl-NL"/>
        </w:rPr>
        <w:t>Early</w:t>
      </w:r>
      <w:proofErr w:type="spellEnd"/>
      <w:r w:rsidRPr="005F055E">
        <w:rPr>
          <w:szCs w:val="18"/>
          <w:lang w:eastAsia="nl-NL"/>
        </w:rPr>
        <w:t xml:space="preserve"> </w:t>
      </w:r>
      <w:proofErr w:type="spellStart"/>
      <w:r w:rsidRPr="005F055E">
        <w:rPr>
          <w:szCs w:val="18"/>
          <w:lang w:eastAsia="nl-NL"/>
        </w:rPr>
        <w:t>Warning</w:t>
      </w:r>
      <w:proofErr w:type="spellEnd"/>
      <w:r w:rsidRPr="005F055E">
        <w:rPr>
          <w:szCs w:val="18"/>
          <w:lang w:eastAsia="nl-NL"/>
        </w:rPr>
        <w:t xml:space="preserve"> Melding bij de </w:t>
      </w:r>
      <w:proofErr w:type="spellStart"/>
      <w:r w:rsidRPr="005F055E">
        <w:rPr>
          <w:szCs w:val="18"/>
          <w:lang w:eastAsia="nl-NL"/>
        </w:rPr>
        <w:t>NZa</w:t>
      </w:r>
      <w:proofErr w:type="spellEnd"/>
      <w:r w:rsidRPr="005F055E">
        <w:rPr>
          <w:szCs w:val="18"/>
          <w:lang w:eastAsia="nl-NL"/>
        </w:rPr>
        <w:t xml:space="preserve"> als zij risico’s ziet voor de continuïteit van zorg op de korte termijn. De </w:t>
      </w:r>
      <w:proofErr w:type="spellStart"/>
      <w:r w:rsidRPr="005F055E">
        <w:rPr>
          <w:szCs w:val="18"/>
          <w:lang w:eastAsia="nl-NL"/>
        </w:rPr>
        <w:t>NZa</w:t>
      </w:r>
      <w:proofErr w:type="spellEnd"/>
      <w:r w:rsidRPr="005F055E">
        <w:rPr>
          <w:szCs w:val="18"/>
          <w:lang w:eastAsia="nl-NL"/>
        </w:rPr>
        <w:t xml:space="preserve"> meldt dit vervolgens aan het ministerie van VWS.</w:t>
      </w:r>
    </w:p>
    <w:p w:rsidRPr="005F055E" w:rsidR="004F2D7A" w:rsidP="00180EEB" w:rsidRDefault="004F2D7A" w14:paraId="161319C0" w14:textId="063CC152">
      <w:pPr>
        <w:suppressAutoHyphens/>
        <w:spacing w:line="240" w:lineRule="atLeast"/>
        <w:rPr>
          <w:szCs w:val="18"/>
          <w:lang w:eastAsia="nl-NL"/>
        </w:rPr>
      </w:pPr>
      <w:r w:rsidRPr="005F055E">
        <w:rPr>
          <w:szCs w:val="18"/>
          <w:lang w:eastAsia="nl-NL"/>
        </w:rPr>
        <w:t xml:space="preserve">In 2024 en 2025 (tot 10 oktober 2025) heeft de </w:t>
      </w:r>
      <w:proofErr w:type="spellStart"/>
      <w:r w:rsidRPr="005F055E">
        <w:rPr>
          <w:szCs w:val="18"/>
          <w:lang w:eastAsia="nl-NL"/>
        </w:rPr>
        <w:t>NZa</w:t>
      </w:r>
      <w:proofErr w:type="spellEnd"/>
      <w:r w:rsidRPr="005F055E">
        <w:rPr>
          <w:szCs w:val="18"/>
          <w:lang w:eastAsia="nl-NL"/>
        </w:rPr>
        <w:t xml:space="preserve"> over acht ziekenhuizen een signaal ontvangen. Bij geen van die signalen ging het om korte termijn liquiditeitsproblemen. In veel gevallen is sprake van bredere problematiek, zoals personeelstekort of herprofilering, en gaat het niet om acute financiële problemen.</w:t>
      </w:r>
      <w:r w:rsidRPr="005F055E" w:rsidR="00D73F76">
        <w:rPr>
          <w:szCs w:val="18"/>
          <w:lang w:eastAsia="nl-NL"/>
        </w:rPr>
        <w:t xml:space="preserve"> </w:t>
      </w:r>
    </w:p>
    <w:p w:rsidRPr="005F055E" w:rsidR="004F2D7A" w:rsidP="00180EEB" w:rsidRDefault="004F2D7A" w14:paraId="375F0F6E" w14:textId="5E90FA52">
      <w:pPr>
        <w:suppressAutoHyphens/>
        <w:spacing w:line="240" w:lineRule="atLeast"/>
        <w:rPr>
          <w:szCs w:val="18"/>
          <w:lang w:eastAsia="nl-NL"/>
        </w:rPr>
      </w:pPr>
      <w:r w:rsidRPr="005F055E">
        <w:rPr>
          <w:szCs w:val="18"/>
          <w:lang w:eastAsia="nl-NL"/>
        </w:rPr>
        <w:t>Overigens hangt het antwoord van deze vraag ook af van hoe ‘financiële problemen’ wordt gedefinieerd. Dat blijkt ook uit recent verschenen rapporten waarin verschillende methoden voor het analyseren van de cijfers uit de jaarverantwoording van zorginstellingen worden gebruikt.</w:t>
      </w:r>
    </w:p>
    <w:p w:rsidRPr="005F055E" w:rsidR="004F2D7A" w:rsidP="00180EEB" w:rsidRDefault="004F2D7A" w14:paraId="29A2A113" w14:textId="46E6EDCD">
      <w:pPr>
        <w:suppressAutoHyphens/>
        <w:spacing w:line="240" w:lineRule="atLeast"/>
        <w:rPr>
          <w:szCs w:val="18"/>
          <w:lang w:eastAsia="nl-NL"/>
        </w:rPr>
      </w:pPr>
      <w:r w:rsidRPr="005F055E">
        <w:rPr>
          <w:szCs w:val="18"/>
          <w:lang w:eastAsia="nl-NL"/>
        </w:rPr>
        <w:t xml:space="preserve">Uit de EY Barometer Nederlandse Gezondheidszorg 2025 blijkt dat de gemiddelde rating van de topklinische ziekenhuizen en de algemene ziekenhuizen in 2024 gelijk is gebleven ten opzichte van 2023. De gemiddelde rating van de </w:t>
      </w:r>
      <w:proofErr w:type="spellStart"/>
      <w:r w:rsidRPr="005F055E">
        <w:rPr>
          <w:szCs w:val="18"/>
          <w:lang w:eastAsia="nl-NL"/>
        </w:rPr>
        <w:t>UMC’s</w:t>
      </w:r>
      <w:proofErr w:type="spellEnd"/>
      <w:r w:rsidRPr="005F055E">
        <w:rPr>
          <w:szCs w:val="18"/>
          <w:lang w:eastAsia="nl-NL"/>
        </w:rPr>
        <w:t xml:space="preserve"> is in 2024 gedaald ten opzichte van een jaar eerder. Desondanks is de rating van de </w:t>
      </w:r>
      <w:proofErr w:type="spellStart"/>
      <w:r w:rsidRPr="005F055E">
        <w:rPr>
          <w:szCs w:val="18"/>
          <w:lang w:eastAsia="nl-NL"/>
        </w:rPr>
        <w:t>UMC’s</w:t>
      </w:r>
      <w:proofErr w:type="spellEnd"/>
      <w:r w:rsidRPr="005F055E">
        <w:rPr>
          <w:szCs w:val="18"/>
          <w:lang w:eastAsia="nl-NL"/>
        </w:rPr>
        <w:t xml:space="preserve"> nog altijd de hoogste rating van alle </w:t>
      </w:r>
      <w:proofErr w:type="spellStart"/>
      <w:r w:rsidRPr="005F055E">
        <w:rPr>
          <w:szCs w:val="18"/>
          <w:lang w:eastAsia="nl-NL"/>
        </w:rPr>
        <w:t>subsectoren</w:t>
      </w:r>
      <w:proofErr w:type="spellEnd"/>
      <w:r w:rsidRPr="005F055E">
        <w:rPr>
          <w:szCs w:val="18"/>
          <w:lang w:eastAsia="nl-NL"/>
        </w:rPr>
        <w:t xml:space="preserve">. BDO komt in de BDO Benchmark Ziekenhuizen en </w:t>
      </w:r>
      <w:proofErr w:type="spellStart"/>
      <w:r w:rsidRPr="005F055E">
        <w:rPr>
          <w:szCs w:val="18"/>
          <w:lang w:eastAsia="nl-NL"/>
        </w:rPr>
        <w:t>UMC’s</w:t>
      </w:r>
      <w:proofErr w:type="spellEnd"/>
      <w:r w:rsidRPr="005F055E">
        <w:rPr>
          <w:szCs w:val="18"/>
          <w:lang w:eastAsia="nl-NL"/>
        </w:rPr>
        <w:t xml:space="preserve"> 2025 tot vergelijkbare bevindingen. </w:t>
      </w:r>
    </w:p>
    <w:p w:rsidRPr="005F055E" w:rsidR="004F2D7A" w:rsidP="00180EEB" w:rsidRDefault="004F2D7A" w14:paraId="23BCAA5F" w14:textId="243DBB33">
      <w:pPr>
        <w:suppressAutoHyphens/>
        <w:spacing w:line="240" w:lineRule="atLeast"/>
        <w:rPr>
          <w:szCs w:val="18"/>
          <w:lang w:eastAsia="nl-NL"/>
        </w:rPr>
      </w:pPr>
      <w:r w:rsidRPr="005F055E">
        <w:rPr>
          <w:szCs w:val="18"/>
          <w:lang w:eastAsia="nl-NL"/>
        </w:rPr>
        <w:t xml:space="preserve">Als enkel wordt gekeken naar het behaalde rendement in 2024 dan behalen alle </w:t>
      </w:r>
      <w:proofErr w:type="spellStart"/>
      <w:r w:rsidRPr="005F055E">
        <w:rPr>
          <w:szCs w:val="18"/>
          <w:lang w:eastAsia="nl-NL"/>
        </w:rPr>
        <w:t>UMC’s</w:t>
      </w:r>
      <w:proofErr w:type="spellEnd"/>
      <w:r w:rsidRPr="005F055E">
        <w:rPr>
          <w:szCs w:val="18"/>
          <w:lang w:eastAsia="nl-NL"/>
        </w:rPr>
        <w:t xml:space="preserve"> en topklinische ziekenhuizen een positief resultaat. Het aantal algemene ziekenhuizen met een negatief resultaat is ongeveer gehalveerd ten opzichte van 2023.</w:t>
      </w:r>
    </w:p>
    <w:p w:rsidRPr="005F055E" w:rsidR="00274792" w:rsidP="00180EEB" w:rsidRDefault="00274792" w14:paraId="045762BF" w14:textId="77777777">
      <w:pPr>
        <w:suppressAutoHyphens/>
      </w:pPr>
    </w:p>
    <w:p w:rsidRPr="005F055E" w:rsidR="00274792" w:rsidP="00180EEB" w:rsidRDefault="003E7003" w14:paraId="259D6899" w14:textId="77777777">
      <w:pPr>
        <w:suppressAutoHyphens/>
      </w:pPr>
      <w:r w:rsidRPr="005F055E">
        <w:t>Vraag 286</w:t>
      </w:r>
      <w:r w:rsidRPr="005F055E">
        <w:tab/>
      </w:r>
    </w:p>
    <w:p w:rsidRPr="005F055E" w:rsidR="00274792" w:rsidP="00180EEB" w:rsidRDefault="003E7003" w14:paraId="1864A931" w14:textId="77777777">
      <w:pPr>
        <w:suppressAutoHyphens/>
      </w:pPr>
      <w:r w:rsidRPr="005F055E">
        <w:t>In welke delen van het land is het personeelstekort in de zorg het meest nijpend?</w:t>
      </w:r>
      <w:r w:rsidRPr="005F055E">
        <w:tab/>
      </w:r>
    </w:p>
    <w:p w:rsidRPr="005F055E" w:rsidR="003E7003" w:rsidP="00180EEB" w:rsidRDefault="003E7003" w14:paraId="13936F71" w14:textId="22C2708D">
      <w:pPr>
        <w:suppressAutoHyphens/>
      </w:pPr>
      <w:r w:rsidRPr="005F055E">
        <w:t>Antwoord</w:t>
      </w:r>
    </w:p>
    <w:p w:rsidRPr="005F055E" w:rsidR="00274792" w:rsidP="00180EEB" w:rsidRDefault="00855C28" w14:paraId="4FA25E9C" w14:textId="5E252B7D">
      <w:pPr>
        <w:suppressAutoHyphens/>
        <w:spacing w:line="240" w:lineRule="atLeast"/>
        <w:rPr>
          <w:szCs w:val="20"/>
          <w:lang w:eastAsia="nl-NL"/>
        </w:rPr>
      </w:pPr>
      <w:r w:rsidRPr="005F055E">
        <w:rPr>
          <w:szCs w:val="20"/>
          <w:lang w:eastAsia="nl-NL"/>
        </w:rPr>
        <w:t>Uit de spanningsindicator van het UWV voor het tweede kwartaal 2025 blijkt dat de arbeidsmarkt voor zorg- en welzijnsberoepen in alle provincies zeer krap is. De spanningsindicator zegt iets over de verhouding tussen het aantal openstaande vacatures en het aantal werkloze werkzoekenden. De krapte is relatief het grootste in de provincie Zeeland, op enige afstand gevolgd door Utrecht.</w:t>
      </w:r>
    </w:p>
    <w:p w:rsidRPr="005F055E" w:rsidR="0014318A" w:rsidP="00180EEB" w:rsidRDefault="0014318A" w14:paraId="7D01719B" w14:textId="77777777">
      <w:pPr>
        <w:suppressAutoHyphens/>
      </w:pPr>
    </w:p>
    <w:p w:rsidRPr="005F055E" w:rsidR="00274792" w:rsidP="00180EEB" w:rsidRDefault="003E7003" w14:paraId="613462D6" w14:textId="77777777">
      <w:pPr>
        <w:suppressAutoHyphens/>
      </w:pPr>
      <w:r w:rsidRPr="005F055E">
        <w:t>Vraag 287</w:t>
      </w:r>
      <w:r w:rsidRPr="005F055E">
        <w:tab/>
      </w:r>
    </w:p>
    <w:p w:rsidRPr="005F055E" w:rsidR="00274792" w:rsidP="00180EEB" w:rsidRDefault="003E7003" w14:paraId="43CE3FE9" w14:textId="2FEAFF23">
      <w:pPr>
        <w:suppressAutoHyphens/>
      </w:pPr>
      <w:r w:rsidRPr="005F055E">
        <w:t>Wat zijn de eerste resultaten van de pilot wijkgerichte vaccinatieaanpak met de G4-gemeenten?</w:t>
      </w:r>
    </w:p>
    <w:p w:rsidRPr="005F055E" w:rsidR="003E7003" w:rsidP="00180EEB" w:rsidRDefault="003E7003" w14:paraId="1A26EF3C" w14:textId="31C092D8">
      <w:pPr>
        <w:suppressAutoHyphens/>
      </w:pPr>
      <w:r w:rsidRPr="005F055E">
        <w:t>Antwoord</w:t>
      </w:r>
    </w:p>
    <w:p w:rsidRPr="005F055E" w:rsidR="00274792" w:rsidP="00180EEB" w:rsidRDefault="004F2D7A" w14:paraId="77F7AE84" w14:textId="30E44BC9">
      <w:pPr>
        <w:suppressAutoHyphens/>
      </w:pPr>
      <w:r w:rsidRPr="005F055E">
        <w:rPr>
          <w:szCs w:val="18"/>
          <w:lang w:eastAsia="nl-NL"/>
        </w:rPr>
        <w:t xml:space="preserve">De pilot met de G4-gemeenten loopt nog en zal begin 2026 worden geëvalueerd. De pilot richt zich op het intensiveren en uitbreiden van de wijkgerichte aanpak, waarmee onder andere in Amsterdam en Den Haag al goede ervaringen zijn opgedaan. Eerste cijfers, van vóór de start van de pilot, laten positieve resultaten zien. Zo is de opkomst voor de vaccinaties voor schoolgaande kinderen en jongeren in Amsterdam in 2024 gestegen, het sterkst in de gebieden waar extra op de wijkgerichte aanpak is ingezet: de opkomst voor de BMR- en DTP-vaccinatie voor 9-jarigen steeg in de wijken Bos en </w:t>
      </w:r>
      <w:proofErr w:type="spellStart"/>
      <w:r w:rsidRPr="005F055E">
        <w:rPr>
          <w:szCs w:val="18"/>
          <w:lang w:eastAsia="nl-NL"/>
        </w:rPr>
        <w:t>Lommer</w:t>
      </w:r>
      <w:proofErr w:type="spellEnd"/>
      <w:r w:rsidRPr="005F055E">
        <w:rPr>
          <w:szCs w:val="18"/>
          <w:lang w:eastAsia="nl-NL"/>
        </w:rPr>
        <w:t>, Slotervaart en Bijlmer Centrum met respectievelijk 15, 7 en 9 procentpunt ten opzichte van 2023.</w:t>
      </w:r>
      <w:r w:rsidRPr="005F055E">
        <w:rPr>
          <w:szCs w:val="18"/>
          <w:vertAlign w:val="superscript"/>
          <w:lang w:eastAsia="nl-NL"/>
        </w:rPr>
        <w:footnoteReference w:id="102"/>
      </w:r>
      <w:r w:rsidRPr="005F055E">
        <w:rPr>
          <w:szCs w:val="18"/>
          <w:lang w:eastAsia="nl-NL"/>
        </w:rPr>
        <w:t xml:space="preserve"> Ook in Den Haag is een trendbreuk zichtbaar tussen 2023 en 2024: het aantal gezette maternale kinkhoest-, BMR1- en DKTP-vaccinaties steeg daar met respectievelijk 14, 4 en 9 procent.</w:t>
      </w:r>
      <w:r w:rsidRPr="005F055E">
        <w:rPr>
          <w:szCs w:val="18"/>
          <w:vertAlign w:val="superscript"/>
          <w:lang w:eastAsia="nl-NL"/>
        </w:rPr>
        <w:footnoteReference w:id="103"/>
      </w:r>
      <w:r w:rsidRPr="005F055E">
        <w:rPr>
          <w:szCs w:val="18"/>
          <w:lang w:eastAsia="nl-NL"/>
        </w:rPr>
        <w:t xml:space="preserve"> Vanzelfsprekend is het belangrijk om de baten goed af te wegen tegen de kosten. Dat zal in de evaluatie van de pilot begin 2026 gedaan worden.</w:t>
      </w:r>
      <w:r w:rsidR="00AE04BC">
        <w:rPr>
          <w:szCs w:val="18"/>
          <w:lang w:eastAsia="nl-NL"/>
        </w:rPr>
        <w:t xml:space="preserve"> De opkoms</w:t>
      </w:r>
      <w:r w:rsidR="0001735C">
        <w:rPr>
          <w:szCs w:val="18"/>
          <w:lang w:eastAsia="nl-NL"/>
        </w:rPr>
        <w:t xml:space="preserve">t voor vaccinatie van zuigelingen laat geen zichtbare stijging zien. </w:t>
      </w:r>
    </w:p>
    <w:p w:rsidRPr="005F055E" w:rsidR="00EF1412" w:rsidP="00180EEB" w:rsidRDefault="00EF1412" w14:paraId="44102B3A" w14:textId="77777777">
      <w:pPr>
        <w:suppressAutoHyphens/>
      </w:pPr>
    </w:p>
    <w:p w:rsidRPr="005F055E" w:rsidR="00274792" w:rsidP="00180EEB" w:rsidRDefault="003E7003" w14:paraId="2F601B52" w14:textId="04A9BABA">
      <w:pPr>
        <w:suppressAutoHyphens/>
      </w:pPr>
      <w:bookmarkStart w:name="_Hlk213355311" w:id="49"/>
      <w:r w:rsidRPr="005F055E">
        <w:t>Vraag 288</w:t>
      </w:r>
      <w:r w:rsidRPr="005F055E">
        <w:tab/>
      </w:r>
    </w:p>
    <w:p w:rsidRPr="005F055E" w:rsidR="00274792" w:rsidP="00180EEB" w:rsidRDefault="003E7003" w14:paraId="78D4680E" w14:textId="77777777">
      <w:pPr>
        <w:suppressAutoHyphens/>
      </w:pPr>
      <w:r w:rsidRPr="005F055E">
        <w:t>Hoe hebben de gezondheidsverschillen tussen verschillende bevolkingsgroepen zich in de afgelopen vijf jaar ontwikkeld?</w:t>
      </w:r>
      <w:r w:rsidRPr="005F055E">
        <w:tab/>
      </w:r>
    </w:p>
    <w:p w:rsidRPr="005F055E" w:rsidR="003E7003" w:rsidP="00180EEB" w:rsidRDefault="003E7003" w14:paraId="62B49894" w14:textId="1504EBBD">
      <w:pPr>
        <w:suppressAutoHyphens/>
      </w:pPr>
      <w:r w:rsidRPr="005F055E">
        <w:t>Antwoord</w:t>
      </w:r>
    </w:p>
    <w:p w:rsidRPr="005F055E" w:rsidR="00274792" w:rsidP="00180EEB" w:rsidRDefault="00855C28" w14:paraId="29132E8E" w14:textId="1E5CAD12">
      <w:pPr>
        <w:suppressAutoHyphens/>
        <w:spacing w:line="240" w:lineRule="atLeast"/>
        <w:rPr>
          <w:szCs w:val="18"/>
          <w:lang w:eastAsia="nl-NL"/>
        </w:rPr>
      </w:pPr>
      <w:r w:rsidRPr="005F055E">
        <w:rPr>
          <w:szCs w:val="20"/>
          <w:lang w:eastAsia="nl-NL"/>
        </w:rPr>
        <w:t>In Nederland is nog altijd sprake van verschillen in gezondheid tussen groepen, die mede te maken hebben met de maatschappelijke positie van mensen.</w:t>
      </w:r>
      <w:r w:rsidRPr="005F055E">
        <w:rPr>
          <w:szCs w:val="20"/>
          <w:vertAlign w:val="superscript"/>
          <w:lang w:eastAsia="nl-NL"/>
        </w:rPr>
        <w:footnoteReference w:id="104"/>
      </w:r>
      <w:r w:rsidRPr="005F055E">
        <w:rPr>
          <w:szCs w:val="20"/>
          <w:lang w:eastAsia="nl-NL"/>
        </w:rPr>
        <w:t xml:space="preserve"> Volgens het RIVM is een periode van vijf jaar te kort om ontwikkelingen goed te beoordelen. Er zijn in de afgelopen vijf jaar geen duidelijke aanwijzingen voor een toe- of afname van gezondheidsverschillen tussen groepen. Zo leefden in 2024 mannen bij geboorte 1,5 jaar langer in goed ervaren gezondheid dan vrouwen, tegenover 1,6 jaar in 2019.</w:t>
      </w:r>
      <w:r w:rsidRPr="005F055E">
        <w:rPr>
          <w:szCs w:val="20"/>
          <w:vertAlign w:val="superscript"/>
          <w:lang w:eastAsia="nl-NL"/>
        </w:rPr>
        <w:footnoteReference w:id="105"/>
      </w:r>
      <w:r w:rsidRPr="005F055E">
        <w:rPr>
          <w:szCs w:val="20"/>
          <w:lang w:eastAsia="nl-NL"/>
        </w:rPr>
        <w:t xml:space="preserve"> Het verschil in levensverwachting in goed ervaren gezondheid tussen de groep met basisonderwijs, vmbo of mbo-1 en de groep met een hbo- of wo-opleiding was 14 jaar in de periode tussen 2021 en 2024 en 14,3 jaar in 2017-2020 (zie ook antwoord vraag 96).</w:t>
      </w:r>
      <w:r w:rsidRPr="005F055E">
        <w:rPr>
          <w:szCs w:val="20"/>
          <w:vertAlign w:val="superscript"/>
          <w:lang w:eastAsia="nl-NL"/>
        </w:rPr>
        <w:footnoteReference w:id="106"/>
      </w:r>
      <w:r w:rsidRPr="005F055E">
        <w:rPr>
          <w:szCs w:val="20"/>
          <w:lang w:eastAsia="nl-NL"/>
        </w:rPr>
        <w:t xml:space="preserve"> </w:t>
      </w:r>
      <w:r w:rsidR="00EF1412">
        <w:rPr>
          <w:szCs w:val="20"/>
          <w:lang w:eastAsia="nl-NL"/>
        </w:rPr>
        <w:t xml:space="preserve"> Het </w:t>
      </w:r>
      <w:r w:rsidRPr="00EF1412" w:rsidR="00EF1412">
        <w:rPr>
          <w:szCs w:val="20"/>
          <w:lang w:eastAsia="nl-NL"/>
        </w:rPr>
        <w:t>verschil in levensverwachting in goed ervaren gezondheid tussen de groep met havo, vwo, mbo2-4 ten opzichte van de groep met basisonderwijs, vmbo of mbo-1 en de groep met een hbo- of wo-opleiding, was respectievelijk 8,3 jaar en 5,7 jaar in de periode 2021-2024 en 7,8 en 6,5 jaar in de periode 2017-2021</w:t>
      </w:r>
      <w:r w:rsidR="00EF1412">
        <w:rPr>
          <w:szCs w:val="20"/>
          <w:lang w:eastAsia="nl-NL"/>
        </w:rPr>
        <w:t>.</w:t>
      </w:r>
      <w:r w:rsidR="00EF1412">
        <w:rPr>
          <w:rStyle w:val="Voetnootmarkering"/>
          <w:szCs w:val="20"/>
          <w:lang w:eastAsia="nl-NL"/>
        </w:rPr>
        <w:footnoteReference w:id="107"/>
      </w:r>
      <w:r w:rsidR="00EF1412">
        <w:rPr>
          <w:szCs w:val="20"/>
          <w:lang w:eastAsia="nl-NL"/>
        </w:rPr>
        <w:t xml:space="preserve"> </w:t>
      </w:r>
      <w:r w:rsidRPr="005F055E">
        <w:rPr>
          <w:szCs w:val="20"/>
          <w:lang w:eastAsia="nl-NL"/>
        </w:rPr>
        <w:t>Over een langere periode (1999-2023) zijn de verschillen tussen opleidingsgroepen in ervaren gezondheid, overgewicht en roken licht toegenomen.</w:t>
      </w:r>
      <w:r w:rsidRPr="005F055E">
        <w:rPr>
          <w:szCs w:val="20"/>
          <w:vertAlign w:val="superscript"/>
          <w:lang w:eastAsia="nl-NL"/>
        </w:rPr>
        <w:footnoteReference w:id="108"/>
      </w:r>
    </w:p>
    <w:p w:rsidRPr="005F055E" w:rsidR="0014318A" w:rsidP="00180EEB" w:rsidRDefault="0014318A" w14:paraId="452CC43B" w14:textId="77777777">
      <w:pPr>
        <w:suppressAutoHyphens/>
      </w:pPr>
    </w:p>
    <w:bookmarkEnd w:id="49"/>
    <w:p w:rsidRPr="005F055E" w:rsidR="00274792" w:rsidP="00180EEB" w:rsidRDefault="003E7003" w14:paraId="40B6760E" w14:textId="77777777">
      <w:pPr>
        <w:suppressAutoHyphens/>
      </w:pPr>
      <w:r w:rsidRPr="005F055E">
        <w:t>Vraag 289</w:t>
      </w:r>
      <w:r w:rsidRPr="005F055E">
        <w:tab/>
      </w:r>
    </w:p>
    <w:p w:rsidRPr="005F055E" w:rsidR="00274792" w:rsidP="00180EEB" w:rsidRDefault="003E7003" w14:paraId="385AA9B5" w14:textId="77777777">
      <w:pPr>
        <w:suppressAutoHyphens/>
      </w:pPr>
      <w:r w:rsidRPr="005F055E">
        <w:t>Op welke concrete manieren worden mantelzorgers en vrijwilligers in de zorg ondersteund?</w:t>
      </w:r>
      <w:r w:rsidRPr="005F055E">
        <w:tab/>
      </w:r>
    </w:p>
    <w:p w:rsidRPr="005F055E" w:rsidR="003E7003" w:rsidP="00180EEB" w:rsidRDefault="003E7003" w14:paraId="454E400E" w14:textId="32DBE12F">
      <w:pPr>
        <w:suppressAutoHyphens/>
      </w:pPr>
      <w:r w:rsidRPr="005F055E">
        <w:t>Antwoord</w:t>
      </w:r>
    </w:p>
    <w:p w:rsidRPr="005F055E" w:rsidR="004F2D7A" w:rsidP="00180EEB" w:rsidRDefault="004F2D7A" w14:paraId="5BC32BC5" w14:textId="6E3FC936">
      <w:pPr>
        <w:suppressAutoHyphens/>
        <w:spacing w:line="240" w:lineRule="atLeast"/>
        <w:rPr>
          <w:szCs w:val="18"/>
          <w:lang w:eastAsia="nl-NL"/>
        </w:rPr>
      </w:pPr>
      <w:r w:rsidRPr="005F055E">
        <w:rPr>
          <w:szCs w:val="18"/>
          <w:lang w:eastAsia="nl-NL"/>
        </w:rPr>
        <w:t>Er zijn veel verschillende manieren waarop mantelzorgers en vrijwilligers in de zorg worden ondersteund. Voor mantelzorgers geldt dat gemeenten vanuit de Wmo-2015 de taak hebben om mantelzorgondersteuning en -waardering aan te bieden. De precieze invulling hiervan verschilt per gemeente. Dit gebeurt bijvoorbeeld door middel van financiële regelingen, zoals een cadeaubon als mantelzorgwaardering en tegemoetkoming bij parkeerkosten, emotionele ondersteuning, waaronder lotgenotencontact, en vervangende mantelzorg, zoals respijtzorg aan huis en logeerzorg.</w:t>
      </w:r>
    </w:p>
    <w:p w:rsidRPr="005F055E" w:rsidR="004F2D7A" w:rsidP="00180EEB" w:rsidRDefault="004F2D7A" w14:paraId="7E990ACA" w14:textId="322C70DD">
      <w:pPr>
        <w:suppressAutoHyphens/>
        <w:spacing w:line="240" w:lineRule="atLeast"/>
        <w:rPr>
          <w:szCs w:val="18"/>
          <w:lang w:eastAsia="nl-NL"/>
        </w:rPr>
      </w:pPr>
      <w:r w:rsidRPr="005F055E">
        <w:rPr>
          <w:szCs w:val="18"/>
          <w:lang w:eastAsia="nl-NL"/>
        </w:rPr>
        <w:t>Vanuit de Mantelzorgagenda 2023-2026 zet de staatssecretaris Langdurige en Maatschappelijke Zorg in op de ondersteuning van mantelzorgers. In het Hoofdlijnenakkoord Ouderenzorg</w:t>
      </w:r>
      <w:r w:rsidRPr="005F055E">
        <w:rPr>
          <w:szCs w:val="18"/>
          <w:vertAlign w:val="superscript"/>
          <w:lang w:eastAsia="nl-NL"/>
        </w:rPr>
        <w:footnoteReference w:id="109"/>
      </w:r>
      <w:r w:rsidRPr="005F055E">
        <w:rPr>
          <w:szCs w:val="18"/>
          <w:lang w:eastAsia="nl-NL"/>
        </w:rPr>
        <w:t xml:space="preserve"> en de Werkagenda VN-verdrag Handicap</w:t>
      </w:r>
      <w:r w:rsidRPr="005F055E">
        <w:rPr>
          <w:szCs w:val="18"/>
          <w:vertAlign w:val="superscript"/>
          <w:lang w:eastAsia="nl-NL"/>
        </w:rPr>
        <w:footnoteReference w:id="110"/>
      </w:r>
      <w:r w:rsidRPr="005F055E">
        <w:rPr>
          <w:szCs w:val="18"/>
          <w:lang w:eastAsia="nl-NL"/>
        </w:rPr>
        <w:t xml:space="preserve"> zijn deze ambities aangescherpt om zo onder meer het ondersteuningsaanbod voor mantelzorgers verder te versterken en de gelijkwaardige samenwerking tussen formele en informele zorg te stimuleren.</w:t>
      </w:r>
    </w:p>
    <w:p w:rsidRPr="005F055E" w:rsidR="00274792" w:rsidP="00180EEB" w:rsidRDefault="004F2D7A" w14:paraId="6D0F231C" w14:textId="761023B9">
      <w:pPr>
        <w:suppressAutoHyphens/>
        <w:spacing w:line="240" w:lineRule="atLeast"/>
        <w:rPr>
          <w:szCs w:val="18"/>
          <w:lang w:eastAsia="nl-NL"/>
        </w:rPr>
      </w:pPr>
      <w:r w:rsidRPr="005F055E">
        <w:rPr>
          <w:szCs w:val="18"/>
          <w:lang w:eastAsia="nl-NL"/>
        </w:rPr>
        <w:t>Voor vrijwilligers in de zorg zijn er ook verschillende vormen van ondersteuning. Zo kunnen vrijwilligers bij sommige (vrijwilligers)organisaties een beloning of een vrijwilligersvergoeding ontvangen. De vrijwilligersvergoeding wordt bepaald door de vrijwilligersorganisatie zelf. Een andere vorm van ondersteuning is dat vrijwilligers via de Regeling Gratis VOG kosteloos een VOG kunnen aanvragen. Ook bestaan er ter ondersteuning verschillende vormen van deskundigheidsbevordering en persoonlijke begeleiding. Tot slot wordt er ingezet in het verminderen regeldruk bij vrijwilligers, zoals het bieden van ondersteuning bij vrijwilligers om zich te houden aan wettelijke verplichtingen. Hierover is de Tweede Kamer op 28 november 2024 geïnformeerd.</w:t>
      </w:r>
      <w:r w:rsidRPr="005F055E">
        <w:rPr>
          <w:szCs w:val="18"/>
          <w:vertAlign w:val="superscript"/>
          <w:lang w:eastAsia="nl-NL"/>
        </w:rPr>
        <w:footnoteReference w:id="111"/>
      </w:r>
    </w:p>
    <w:p w:rsidRPr="005F055E" w:rsidR="00EF1412" w:rsidP="00180EEB" w:rsidRDefault="00EF1412" w14:paraId="7C355ABB" w14:textId="77777777">
      <w:pPr>
        <w:suppressAutoHyphens/>
      </w:pPr>
    </w:p>
    <w:p w:rsidRPr="005F055E" w:rsidR="00274792" w:rsidP="00180EEB" w:rsidRDefault="003E7003" w14:paraId="673B13B3" w14:textId="77777777">
      <w:pPr>
        <w:suppressAutoHyphens/>
      </w:pPr>
      <w:r w:rsidRPr="005F055E">
        <w:t>Vraag 290</w:t>
      </w:r>
      <w:r w:rsidRPr="005F055E">
        <w:tab/>
      </w:r>
    </w:p>
    <w:p w:rsidRPr="005F055E" w:rsidR="00274792" w:rsidP="00180EEB" w:rsidRDefault="003E7003" w14:paraId="341DF699" w14:textId="77777777">
      <w:pPr>
        <w:suppressAutoHyphens/>
      </w:pPr>
      <w:r w:rsidRPr="005F055E">
        <w:t>Hoe hebben de gezondheidsverschillen per socio-economische klasse voor ouderen zich in de afgelopen vijf jaar ontwikkeld?</w:t>
      </w:r>
      <w:r w:rsidRPr="005F055E">
        <w:tab/>
      </w:r>
    </w:p>
    <w:p w:rsidRPr="005F055E" w:rsidR="003E7003" w:rsidP="00180EEB" w:rsidRDefault="003E7003" w14:paraId="65FC2E34" w14:textId="606F97C3">
      <w:pPr>
        <w:suppressAutoHyphens/>
      </w:pPr>
      <w:r w:rsidRPr="005F055E">
        <w:t>Antwoord</w:t>
      </w:r>
    </w:p>
    <w:p w:rsidRPr="005F055E" w:rsidR="00274792" w:rsidP="00180EEB" w:rsidRDefault="00855C28" w14:paraId="575AD97B" w14:textId="7631F851">
      <w:pPr>
        <w:suppressAutoHyphens/>
        <w:spacing w:line="240" w:lineRule="atLeast"/>
        <w:rPr>
          <w:szCs w:val="20"/>
          <w:lang w:eastAsia="nl-NL"/>
        </w:rPr>
      </w:pPr>
      <w:r w:rsidRPr="005F055E">
        <w:rPr>
          <w:szCs w:val="20"/>
          <w:lang w:eastAsia="nl-NL"/>
        </w:rPr>
        <w:t>In Nederland bestaan verschillen in gezondheid tussen hoge en lage sociaaleconomische groepen bij ouderen. Volgens het RIVM is vijf jaar een te korte periode is om ontwikkelingen in gezondheid goed te beoordelen. Er zijn in de afgelopen vijf jaar geen duidelijke aanwijzingen voor een toe- of afname van gezondheidsverschillen per socio-economische klasse onder ouderen. Zo was het verschil in levensverwachting in goed ervaren gezondheid op 65-jarige leeftijd tussen de groep met basisonderwijs, vmbo-opleiding of mbo-1 opleiding en een hbo- of wo-opleiding in de periode 2017-2020 4,2 jaar en 4,1 jaar in de periode 2021-2024.</w:t>
      </w:r>
      <w:bookmarkStart w:name="_ftnref1" w:id="50"/>
      <w:r w:rsidRPr="005F055E">
        <w:rPr>
          <w:szCs w:val="20"/>
          <w:vertAlign w:val="superscript"/>
          <w:lang w:eastAsia="nl-NL"/>
        </w:rPr>
        <w:footnoteReference w:id="112"/>
      </w:r>
      <w:bookmarkEnd w:id="50"/>
      <w:r w:rsidRPr="005F055E">
        <w:rPr>
          <w:szCs w:val="20"/>
          <w:lang w:eastAsia="nl-NL"/>
        </w:rPr>
        <w:t xml:space="preserve"> </w:t>
      </w:r>
    </w:p>
    <w:p w:rsidRPr="005F055E" w:rsidR="00274792" w:rsidP="00180EEB" w:rsidRDefault="00274792" w14:paraId="28E878AA" w14:textId="77777777">
      <w:pPr>
        <w:suppressAutoHyphens/>
      </w:pPr>
    </w:p>
    <w:p w:rsidRPr="005F055E" w:rsidR="00274792" w:rsidP="00180EEB" w:rsidRDefault="003E7003" w14:paraId="6DE7F09E" w14:textId="77777777">
      <w:pPr>
        <w:suppressAutoHyphens/>
      </w:pPr>
      <w:r w:rsidRPr="005F055E">
        <w:t>Vraag 291</w:t>
      </w:r>
      <w:r w:rsidRPr="005F055E">
        <w:tab/>
      </w:r>
    </w:p>
    <w:p w:rsidRPr="005F055E" w:rsidR="00274792" w:rsidP="00180EEB" w:rsidRDefault="003E7003" w14:paraId="7C14E0DE" w14:textId="77777777">
      <w:pPr>
        <w:suppressAutoHyphens/>
      </w:pPr>
      <w:r w:rsidRPr="005F055E">
        <w:t>Hoeveel geld wordt er geïnvesteerd in het bevorderen van een wijkgerichte aanpak van (ouderen)zorg?</w:t>
      </w:r>
      <w:r w:rsidRPr="005F055E">
        <w:tab/>
      </w:r>
    </w:p>
    <w:p w:rsidRPr="005F055E" w:rsidR="003E7003" w:rsidP="00180EEB" w:rsidRDefault="003E7003" w14:paraId="168567EB" w14:textId="7606C087">
      <w:pPr>
        <w:suppressAutoHyphens/>
      </w:pPr>
      <w:r w:rsidRPr="005F055E">
        <w:t>Antwoord</w:t>
      </w:r>
    </w:p>
    <w:p w:rsidRPr="005F055E" w:rsidR="004F2D7A" w:rsidP="00180EEB" w:rsidRDefault="004F2D7A" w14:paraId="2A2532F0" w14:textId="3EA7DC69">
      <w:pPr>
        <w:suppressAutoHyphens/>
        <w:spacing w:line="240" w:lineRule="atLeast"/>
        <w:rPr>
          <w:szCs w:val="18"/>
          <w:lang w:eastAsia="nl-NL"/>
        </w:rPr>
      </w:pPr>
      <w:r w:rsidRPr="005F055E">
        <w:rPr>
          <w:szCs w:val="18"/>
          <w:lang w:eastAsia="nl-NL"/>
        </w:rPr>
        <w:t xml:space="preserve">Wijkgerichte zorg, waarbij mensen hulp krijgen in de eigen leefomgeving, is belangrijk. Vanuit het ministerie van VWS wordt daarom geïnvesteerd in een sterkere eerstelijnszorg. Hiervoor is in het </w:t>
      </w:r>
      <w:proofErr w:type="spellStart"/>
      <w:r w:rsidRPr="005F055E">
        <w:rPr>
          <w:szCs w:val="18"/>
          <w:lang w:eastAsia="nl-NL"/>
        </w:rPr>
        <w:t>ZonMw</w:t>
      </w:r>
      <w:proofErr w:type="spellEnd"/>
      <w:r w:rsidRPr="005F055E">
        <w:rPr>
          <w:szCs w:val="18"/>
          <w:lang w:eastAsia="nl-NL"/>
        </w:rPr>
        <w:t xml:space="preserve"> programma ‘</w:t>
      </w:r>
      <w:r w:rsidRPr="005F055E">
        <w:rPr>
          <w:i/>
          <w:iCs/>
          <w:szCs w:val="18"/>
          <w:lang w:eastAsia="nl-NL"/>
        </w:rPr>
        <w:t>Versterking organisatie eerstelijnszorg’</w:t>
      </w:r>
      <w:r w:rsidRPr="005F055E">
        <w:rPr>
          <w:szCs w:val="18"/>
          <w:lang w:eastAsia="nl-NL"/>
        </w:rPr>
        <w:t xml:space="preserve"> € 104 miljoen beschikbaar voor de periode 2023-2026.</w:t>
      </w:r>
    </w:p>
    <w:p w:rsidRPr="005F055E" w:rsidR="004F2D7A" w:rsidP="00180EEB" w:rsidRDefault="004F2D7A" w14:paraId="130E2E53" w14:textId="48BF72FF">
      <w:pPr>
        <w:suppressAutoHyphens/>
        <w:spacing w:line="240" w:lineRule="atLeast"/>
        <w:rPr>
          <w:szCs w:val="18"/>
          <w:lang w:eastAsia="nl-NL"/>
        </w:rPr>
      </w:pPr>
      <w:r w:rsidRPr="005F055E">
        <w:rPr>
          <w:szCs w:val="18"/>
          <w:lang w:eastAsia="nl-NL"/>
        </w:rPr>
        <w:t>Een deel van deze middelen wordt ingezet voor de versterking van de wijkgerichte aanpak, door het faciliteren van de inrichting van hechte wijkverbanden. Een hecht wijkverband is een samenwerking waarin tenminste de huisarts, wijkverpleging, apotheker en sociaal domein professional elkaar in de wijk goed kunnen vinden en samenwerken aan goede zorg en ondersteuning in de wijk.</w:t>
      </w:r>
    </w:p>
    <w:p w:rsidRPr="005F055E" w:rsidR="00274792" w:rsidP="00180EEB" w:rsidRDefault="004F2D7A" w14:paraId="4DFD9AC5" w14:textId="7822C0D5">
      <w:pPr>
        <w:suppressAutoHyphens/>
        <w:spacing w:line="240" w:lineRule="atLeast"/>
        <w:rPr>
          <w:szCs w:val="18"/>
          <w:lang w:eastAsia="nl-NL"/>
        </w:rPr>
      </w:pPr>
      <w:r w:rsidRPr="005F055E">
        <w:rPr>
          <w:szCs w:val="18"/>
          <w:lang w:eastAsia="nl-NL"/>
        </w:rPr>
        <w:t>Daarnaast zijn in het AZWA afspraken gemaakt over investeringen in de verbinding tussen stevige lokale teams en hechte wijkverbanden. Daarvoor is een financiële reeks opgenomen, startend met € 30 miljoen in 2027 oplopend tot € 58 miljoen structureel na 2030.</w:t>
      </w:r>
    </w:p>
    <w:p w:rsidRPr="005F055E" w:rsidR="00274792" w:rsidP="00180EEB" w:rsidRDefault="00274792" w14:paraId="22565E57" w14:textId="77777777">
      <w:pPr>
        <w:suppressAutoHyphens/>
      </w:pPr>
    </w:p>
    <w:p w:rsidRPr="005F055E" w:rsidR="00274792" w:rsidP="00180EEB" w:rsidRDefault="003E7003" w14:paraId="243CA54E" w14:textId="77777777">
      <w:pPr>
        <w:suppressAutoHyphens/>
      </w:pPr>
      <w:r w:rsidRPr="005F055E">
        <w:t>Vraag 292</w:t>
      </w:r>
      <w:r w:rsidRPr="005F055E">
        <w:tab/>
      </w:r>
    </w:p>
    <w:p w:rsidRPr="005F055E" w:rsidR="00274792" w:rsidP="00180EEB" w:rsidRDefault="003E7003" w14:paraId="6B896349" w14:textId="77777777">
      <w:pPr>
        <w:suppressAutoHyphens/>
      </w:pPr>
      <w:r w:rsidRPr="005F055E">
        <w:t>Hoe lang zijn de wachtlijsten voor verpleeghuizen momenteel?</w:t>
      </w:r>
      <w:r w:rsidRPr="005F055E">
        <w:tab/>
      </w:r>
    </w:p>
    <w:p w:rsidRPr="005F055E" w:rsidR="003E7003" w:rsidP="00180EEB" w:rsidRDefault="003E7003" w14:paraId="16F072D9" w14:textId="459E78B4">
      <w:pPr>
        <w:suppressAutoHyphens/>
      </w:pPr>
      <w:r w:rsidRPr="005F055E">
        <w:t>Antwoord</w:t>
      </w:r>
    </w:p>
    <w:p w:rsidRPr="005F055E" w:rsidR="004F2D7A" w:rsidP="00180EEB" w:rsidRDefault="004F2D7A" w14:paraId="499B39DB" w14:textId="41A51DCF">
      <w:pPr>
        <w:suppressAutoHyphens/>
        <w:spacing w:line="276" w:lineRule="auto"/>
        <w:rPr>
          <w:kern w:val="2"/>
          <w:szCs w:val="18"/>
          <w14:ligatures w14:val="standardContextual"/>
        </w:rPr>
      </w:pPr>
      <w:r w:rsidRPr="005F055E">
        <w:rPr>
          <w:kern w:val="2"/>
          <w:szCs w:val="18"/>
          <w14:ligatures w14:val="standardContextual"/>
        </w:rPr>
        <w:t>De meest recente wachtlijstinformatie voor verpleging en verzorging is van 1 augustus 2025. In de wachtlijstmonitor wordt onderscheid gemaakt tussen drie categorieën wachtenden: Urgent plaatsen; Actief plaatsen; Wachten op voorkeur. Het merendeel van de wachtenden wacht op voorkeur en ontvangt momenteel zorg thuis en er is ook geen dringende noodzaak tot opname in het verpleeghuis. Dit geldt wel voor de urgent wachtenden en de actief te plaatsen cliënten. Voor deze cliënten is er een actief beleid van zorgkantoren om binnen de geldende termijnen, een plek in een verpleeghuis te regelen.</w:t>
      </w:r>
    </w:p>
    <w:tbl>
      <w:tblPr>
        <w:tblStyle w:val="TableGrid14"/>
        <w:tblW w:w="0" w:type="auto"/>
        <w:tblLook w:val="04A0" w:firstRow="1" w:lastRow="0" w:firstColumn="1" w:lastColumn="0" w:noHBand="0" w:noVBand="1"/>
      </w:tblPr>
      <w:tblGrid>
        <w:gridCol w:w="2507"/>
        <w:gridCol w:w="1457"/>
      </w:tblGrid>
      <w:tr w:rsidRPr="005F055E" w:rsidR="004F2D7A" w:rsidTr="005E2643" w14:paraId="3DF602D9" w14:textId="77777777">
        <w:tc>
          <w:tcPr>
            <w:tcW w:w="2507" w:type="dxa"/>
          </w:tcPr>
          <w:p w:rsidRPr="005F055E" w:rsidR="004F2D7A" w:rsidP="00180EEB" w:rsidRDefault="004F2D7A" w14:paraId="630756E1" w14:textId="77777777">
            <w:pPr>
              <w:suppressAutoHyphens/>
              <w:spacing w:line="276" w:lineRule="auto"/>
              <w:rPr>
                <w:rFonts w:ascii="Verdana" w:hAnsi="Verdana"/>
                <w:b/>
                <w:bCs/>
                <w:kern w:val="2"/>
                <w:sz w:val="18"/>
                <w:szCs w:val="18"/>
                <w14:ligatures w14:val="standardContextual"/>
              </w:rPr>
            </w:pPr>
          </w:p>
        </w:tc>
        <w:tc>
          <w:tcPr>
            <w:tcW w:w="1457" w:type="dxa"/>
          </w:tcPr>
          <w:p w:rsidRPr="005F055E" w:rsidR="004F2D7A" w:rsidP="00180EEB" w:rsidRDefault="004F2D7A" w14:paraId="2B9CEB27"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1-8-2025</w:t>
            </w:r>
          </w:p>
        </w:tc>
      </w:tr>
      <w:tr w:rsidRPr="005F055E" w:rsidR="004F2D7A" w:rsidTr="005E2643" w14:paraId="7693EA50" w14:textId="77777777">
        <w:tc>
          <w:tcPr>
            <w:tcW w:w="2507" w:type="dxa"/>
          </w:tcPr>
          <w:p w:rsidRPr="005F055E" w:rsidR="004F2D7A" w:rsidP="00180EEB" w:rsidRDefault="004F2D7A" w14:paraId="21D803D8"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Urgent plaatsen</w:t>
            </w:r>
          </w:p>
        </w:tc>
        <w:tc>
          <w:tcPr>
            <w:tcW w:w="1457" w:type="dxa"/>
          </w:tcPr>
          <w:p w:rsidRPr="005F055E" w:rsidR="004F2D7A" w:rsidP="00180EEB" w:rsidRDefault="004F2D7A" w14:paraId="7718341B"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312</w:t>
            </w:r>
          </w:p>
        </w:tc>
      </w:tr>
      <w:tr w:rsidRPr="005F055E" w:rsidR="004F2D7A" w:rsidTr="005E2643" w14:paraId="24ADBE03" w14:textId="77777777">
        <w:tc>
          <w:tcPr>
            <w:tcW w:w="2507" w:type="dxa"/>
          </w:tcPr>
          <w:p w:rsidRPr="005F055E" w:rsidR="004F2D7A" w:rsidP="00180EEB" w:rsidRDefault="004F2D7A" w14:paraId="2390FEAB"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Actief plaatsen</w:t>
            </w:r>
          </w:p>
        </w:tc>
        <w:tc>
          <w:tcPr>
            <w:tcW w:w="1457" w:type="dxa"/>
          </w:tcPr>
          <w:p w:rsidRPr="005F055E" w:rsidR="004F2D7A" w:rsidP="00180EEB" w:rsidRDefault="004F2D7A" w14:paraId="0C86A67D"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3.852</w:t>
            </w:r>
          </w:p>
        </w:tc>
      </w:tr>
      <w:tr w:rsidRPr="005F055E" w:rsidR="004F2D7A" w:rsidTr="005E2643" w14:paraId="4DB4F713" w14:textId="77777777">
        <w:tc>
          <w:tcPr>
            <w:tcW w:w="2507" w:type="dxa"/>
          </w:tcPr>
          <w:p w:rsidRPr="005F055E" w:rsidR="004F2D7A" w:rsidP="00180EEB" w:rsidRDefault="004F2D7A" w14:paraId="385F4033"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Wachten op voorkeur</w:t>
            </w:r>
          </w:p>
        </w:tc>
        <w:tc>
          <w:tcPr>
            <w:tcW w:w="1457" w:type="dxa"/>
          </w:tcPr>
          <w:p w:rsidRPr="005F055E" w:rsidR="004F2D7A" w:rsidP="00180EEB" w:rsidRDefault="004F2D7A" w14:paraId="392EA677"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13.763</w:t>
            </w:r>
          </w:p>
        </w:tc>
      </w:tr>
      <w:tr w:rsidRPr="005F055E" w:rsidR="004F2D7A" w:rsidTr="005E2643" w14:paraId="26692CBB" w14:textId="77777777">
        <w:tc>
          <w:tcPr>
            <w:tcW w:w="2507" w:type="dxa"/>
          </w:tcPr>
          <w:p w:rsidRPr="005F055E" w:rsidR="004F2D7A" w:rsidP="00180EEB" w:rsidRDefault="004F2D7A" w14:paraId="3277778F" w14:textId="77777777">
            <w:pPr>
              <w:suppressAutoHyphens/>
              <w:spacing w:line="276" w:lineRule="auto"/>
              <w:rPr>
                <w:rFonts w:ascii="Verdana" w:hAnsi="Verdana"/>
                <w:b/>
                <w:bCs/>
                <w:kern w:val="2"/>
                <w:sz w:val="18"/>
                <w:szCs w:val="18"/>
                <w14:ligatures w14:val="standardContextual"/>
              </w:rPr>
            </w:pPr>
            <w:r w:rsidRPr="005F055E">
              <w:rPr>
                <w:rFonts w:ascii="Verdana" w:hAnsi="Verdana"/>
                <w:b/>
                <w:bCs/>
                <w:kern w:val="2"/>
                <w:sz w:val="18"/>
                <w:szCs w:val="18"/>
                <w14:ligatures w14:val="standardContextual"/>
              </w:rPr>
              <w:t>Totaal</w:t>
            </w:r>
          </w:p>
        </w:tc>
        <w:tc>
          <w:tcPr>
            <w:tcW w:w="1457" w:type="dxa"/>
          </w:tcPr>
          <w:p w:rsidRPr="005F055E" w:rsidR="004F2D7A" w:rsidP="00180EEB" w:rsidRDefault="004F2D7A" w14:paraId="2C3272C1" w14:textId="77777777">
            <w:pPr>
              <w:suppressAutoHyphens/>
              <w:spacing w:line="276" w:lineRule="auto"/>
              <w:rPr>
                <w:rFonts w:ascii="Verdana" w:hAnsi="Verdana"/>
                <w:kern w:val="2"/>
                <w:sz w:val="18"/>
                <w:szCs w:val="18"/>
                <w14:ligatures w14:val="standardContextual"/>
              </w:rPr>
            </w:pPr>
            <w:r w:rsidRPr="005F055E">
              <w:rPr>
                <w:rFonts w:ascii="Verdana" w:hAnsi="Verdana"/>
                <w:kern w:val="2"/>
                <w:sz w:val="18"/>
                <w:szCs w:val="18"/>
                <w14:ligatures w14:val="standardContextual"/>
              </w:rPr>
              <w:t>17.927</w:t>
            </w:r>
          </w:p>
        </w:tc>
      </w:tr>
    </w:tbl>
    <w:p w:rsidRPr="005F055E" w:rsidR="00274792" w:rsidP="00180EEB" w:rsidRDefault="00274792" w14:paraId="37C174CA" w14:textId="77777777">
      <w:pPr>
        <w:suppressAutoHyphens/>
      </w:pPr>
    </w:p>
    <w:p w:rsidRPr="005F055E" w:rsidR="00274792" w:rsidP="00180EEB" w:rsidRDefault="003E7003" w14:paraId="166DE0A3" w14:textId="77777777">
      <w:pPr>
        <w:suppressAutoHyphens/>
      </w:pPr>
      <w:r w:rsidRPr="005F055E">
        <w:t>Vraag 293</w:t>
      </w:r>
      <w:r w:rsidRPr="005F055E">
        <w:tab/>
      </w:r>
    </w:p>
    <w:p w:rsidRPr="005F055E" w:rsidR="00274792" w:rsidP="00180EEB" w:rsidRDefault="003E7003" w14:paraId="57FCD5F5" w14:textId="77777777">
      <w:pPr>
        <w:suppressAutoHyphens/>
      </w:pPr>
      <w:r w:rsidRPr="005F055E">
        <w:t>Op welke manier wordt de ambitie om administratieve lasten terug te dringen versterkt door het voornemen van de minister van Economische Zaken om 500 regels te schrappen?</w:t>
      </w:r>
      <w:r w:rsidRPr="005F055E">
        <w:tab/>
      </w:r>
    </w:p>
    <w:p w:rsidRPr="005F055E" w:rsidR="003E7003" w:rsidP="00180EEB" w:rsidRDefault="003E7003" w14:paraId="2172A575" w14:textId="104F9466">
      <w:pPr>
        <w:suppressAutoHyphens/>
      </w:pPr>
      <w:r w:rsidRPr="005F055E">
        <w:t>Antwoord</w:t>
      </w:r>
    </w:p>
    <w:p w:rsidRPr="005F055E" w:rsidR="00274792" w:rsidP="00180EEB" w:rsidRDefault="004F2D7A" w14:paraId="23D4D144" w14:textId="6509890C">
      <w:pPr>
        <w:suppressAutoHyphens/>
        <w:spacing w:line="240" w:lineRule="atLeast"/>
        <w:rPr>
          <w:szCs w:val="20"/>
          <w:lang w:eastAsia="nl-NL"/>
        </w:rPr>
      </w:pPr>
      <w:r w:rsidRPr="005F055E">
        <w:rPr>
          <w:szCs w:val="20"/>
          <w:lang w:eastAsia="nl-NL"/>
        </w:rPr>
        <w:t xml:space="preserve">De plannen van de minister van Economische Zaken richten zich hoofdzakelijk op ondernemers binnen het bedrijfsleven met als doel het versterken van het ondernemersklimaat en het bevorderen van het concurrentievermogen van Nederland. Regeldruk onder zorgverleners wordt daarentegen geadresseerd binnen bijvoorbeeld de Regiegroep Aanpak Regeldruk, het programma [Ont]Regel de Zorg binnen het Ministerie van VWS en de afspraken in het AZWA. Tegelijkertijd vullen alle trajecten rond regeldrukvermindering elkaar uiteraard aan. Bij alle ministeries en in alle sectoren is het van belang dat kritisch wordt gekeken naar bestaande regels. Ongeacht welke sector het betreft komt het immers voor dat regels ooit meerwaarde hadden maar door veranderende omstandigheden minder relevant worden en daarom geschrapt of versimpeld kunnen worden. Het is goed dat hier meer aandacht voor komt. </w:t>
      </w:r>
    </w:p>
    <w:p w:rsidRPr="005F055E" w:rsidR="0014318A" w:rsidP="00180EEB" w:rsidRDefault="0014318A" w14:paraId="067D8C00" w14:textId="77777777">
      <w:pPr>
        <w:suppressAutoHyphens/>
      </w:pPr>
    </w:p>
    <w:p w:rsidRPr="005F055E" w:rsidR="00274792" w:rsidP="00180EEB" w:rsidRDefault="003E7003" w14:paraId="07C701B5" w14:textId="77777777">
      <w:pPr>
        <w:suppressAutoHyphens/>
      </w:pPr>
      <w:r w:rsidRPr="005F055E">
        <w:t>Vraag 294</w:t>
      </w:r>
      <w:r w:rsidRPr="005F055E">
        <w:tab/>
      </w:r>
    </w:p>
    <w:p w:rsidRPr="005F055E" w:rsidR="00274792" w:rsidP="00180EEB" w:rsidRDefault="003E7003" w14:paraId="25835423" w14:textId="77777777">
      <w:pPr>
        <w:suppressAutoHyphens/>
      </w:pPr>
      <w:r w:rsidRPr="005F055E">
        <w:t>Klopt het dat, vanwege de bezuinigingen die het kabinet-Schoof doorvoert, het afgesproken budget voor de uitvoeringsplannen van de Green Deal in 2026 met €1.025.000 naar is beneden bijgesteld? En klopt het dat in plaats van de afgesproken €9.1 miljoen in 2026 dus €8.075.000 beschikbaar is?</w:t>
      </w:r>
      <w:r w:rsidRPr="005F055E">
        <w:tab/>
      </w:r>
    </w:p>
    <w:p w:rsidRPr="005F055E" w:rsidR="003E7003" w:rsidP="00180EEB" w:rsidRDefault="003E7003" w14:paraId="46423CF0" w14:textId="78992091">
      <w:pPr>
        <w:suppressAutoHyphens/>
      </w:pPr>
      <w:r w:rsidRPr="005F055E">
        <w:t>Antwoord</w:t>
      </w:r>
    </w:p>
    <w:p w:rsidRPr="005F055E" w:rsidR="004F04EB" w:rsidP="00180EEB" w:rsidRDefault="004F04EB" w14:paraId="6D448831" w14:textId="77777777">
      <w:pPr>
        <w:suppressAutoHyphens/>
        <w:rPr>
          <w:szCs w:val="18"/>
        </w:rPr>
      </w:pPr>
      <w:r w:rsidRPr="005F055E">
        <w:rPr>
          <w:szCs w:val="18"/>
        </w:rPr>
        <w:t xml:space="preserve">Ja, dat klopt. Het kabinet heeft een taakstelling op subsidies doorgevoerd, van structureel 1 miljard euro </w:t>
      </w:r>
      <w:proofErr w:type="spellStart"/>
      <w:r w:rsidRPr="005F055E">
        <w:rPr>
          <w:szCs w:val="18"/>
        </w:rPr>
        <w:t>Rijksbreed</w:t>
      </w:r>
      <w:proofErr w:type="spellEnd"/>
      <w:r w:rsidRPr="005F055E">
        <w:rPr>
          <w:szCs w:val="18"/>
        </w:rPr>
        <w:t xml:space="preserve">. Deze bezuiniging is verdeeld over alle ministeries en is verwerkt in de begrotingen. </w:t>
      </w:r>
    </w:p>
    <w:p w:rsidRPr="005F055E" w:rsidR="004F04EB" w:rsidP="00180EEB" w:rsidRDefault="004F04EB" w14:paraId="7929B73C" w14:textId="79FC7D24">
      <w:pPr>
        <w:suppressAutoHyphens/>
        <w:rPr>
          <w:szCs w:val="18"/>
        </w:rPr>
      </w:pPr>
      <w:r w:rsidRPr="005F055E">
        <w:rPr>
          <w:szCs w:val="18"/>
        </w:rPr>
        <w:t>De Kamer is op 21 oktober 2024 geïnformeerd over hoe deze bezuiniging is doorgevoerd in de begroting van VWS</w:t>
      </w:r>
      <w:r w:rsidRPr="005F055E">
        <w:rPr>
          <w:rStyle w:val="Voetnootmarkering"/>
          <w:szCs w:val="18"/>
        </w:rPr>
        <w:footnoteReference w:id="113"/>
      </w:r>
      <w:r w:rsidRPr="005F055E">
        <w:rPr>
          <w:szCs w:val="18"/>
        </w:rPr>
        <w:t xml:space="preserve">. Het gaat om een neerwaartse bijstelling van destijds nog niet juridisch verplichte ruimte op de VWS begroting voor 2026 (art. 4 </w:t>
      </w:r>
      <w:proofErr w:type="spellStart"/>
      <w:r w:rsidRPr="005F055E">
        <w:rPr>
          <w:szCs w:val="18"/>
        </w:rPr>
        <w:t>Zorgbreed</w:t>
      </w:r>
      <w:proofErr w:type="spellEnd"/>
      <w:r w:rsidRPr="005F055E">
        <w:rPr>
          <w:szCs w:val="18"/>
        </w:rPr>
        <w:t xml:space="preserve"> beleid (art. 4.1)</w:t>
      </w:r>
      <w:r w:rsidR="00E043BF">
        <w:rPr>
          <w:szCs w:val="18"/>
        </w:rPr>
        <w:t>)</w:t>
      </w:r>
      <w:r w:rsidRPr="005F055E">
        <w:rPr>
          <w:szCs w:val="18"/>
        </w:rPr>
        <w:t xml:space="preserve">. </w:t>
      </w:r>
    </w:p>
    <w:p w:rsidRPr="005F055E" w:rsidR="004F04EB" w:rsidP="00180EEB" w:rsidRDefault="004F04EB" w14:paraId="50676751" w14:textId="77777777">
      <w:pPr>
        <w:suppressAutoHyphens/>
      </w:pPr>
      <w:r w:rsidRPr="005F055E">
        <w:t>Daardoor is het bedrag voor 2026 lager uitgekomen.</w:t>
      </w:r>
    </w:p>
    <w:p w:rsidRPr="005F055E" w:rsidR="00274792" w:rsidP="00180EEB" w:rsidRDefault="00274792" w14:paraId="2D82A062" w14:textId="77777777">
      <w:pPr>
        <w:suppressAutoHyphens/>
      </w:pPr>
    </w:p>
    <w:p w:rsidRPr="005F055E" w:rsidR="00274792" w:rsidP="00180EEB" w:rsidRDefault="003E7003" w14:paraId="157D6D3A" w14:textId="77777777">
      <w:pPr>
        <w:suppressAutoHyphens/>
      </w:pPr>
      <w:r w:rsidRPr="005F055E">
        <w:t>Vraag 295</w:t>
      </w:r>
      <w:r w:rsidRPr="005F055E">
        <w:tab/>
      </w:r>
    </w:p>
    <w:p w:rsidRPr="005F055E" w:rsidR="00274792" w:rsidP="00180EEB" w:rsidRDefault="003E7003" w14:paraId="6BF4A70B" w14:textId="77777777">
      <w:pPr>
        <w:suppressAutoHyphens/>
      </w:pPr>
      <w:r w:rsidRPr="005F055E">
        <w:t>Hoeveel organisaties hebben naast de partijen die de Green Deal met elkaar hebben afgesloten eind 2022 in zorg en welzijn de Green Deal Duurzame Zorg 3.0 ondertekend?</w:t>
      </w:r>
      <w:r w:rsidRPr="005F055E">
        <w:tab/>
      </w:r>
    </w:p>
    <w:p w:rsidRPr="005F055E" w:rsidR="003E7003" w:rsidP="00180EEB" w:rsidRDefault="003E7003" w14:paraId="7628AF4E" w14:textId="07D405F1">
      <w:pPr>
        <w:suppressAutoHyphens/>
      </w:pPr>
      <w:r w:rsidRPr="005F055E">
        <w:t>Antwoord</w:t>
      </w:r>
    </w:p>
    <w:p w:rsidRPr="005F055E" w:rsidR="004F04EB" w:rsidP="00180EEB" w:rsidRDefault="004F04EB" w14:paraId="43E1D577" w14:textId="77777777">
      <w:pPr>
        <w:suppressAutoHyphens/>
      </w:pPr>
      <w:r w:rsidRPr="005F055E">
        <w:t xml:space="preserve">Sinds 2022 hebben 620 organisaties de Green Deal Samen werken aan duurzame zorg 3.0 ondertekend. Een overzicht van alle ondertekenaars is te vinden op </w:t>
      </w:r>
      <w:hyperlink w:history="1" r:id="rId26">
        <w:r w:rsidRPr="005F055E">
          <w:rPr>
            <w:rStyle w:val="Hyperlink"/>
          </w:rPr>
          <w:t>www.greendealduurzamezorg.nl</w:t>
        </w:r>
      </w:hyperlink>
    </w:p>
    <w:p w:rsidRPr="005F055E" w:rsidR="00274792" w:rsidP="00180EEB" w:rsidRDefault="00274792" w14:paraId="172DA61F" w14:textId="77777777">
      <w:pPr>
        <w:suppressAutoHyphens/>
      </w:pPr>
    </w:p>
    <w:p w:rsidRPr="005F055E" w:rsidR="00274792" w:rsidP="00180EEB" w:rsidRDefault="003E7003" w14:paraId="790EACA5" w14:textId="77777777">
      <w:pPr>
        <w:suppressAutoHyphens/>
      </w:pPr>
      <w:r w:rsidRPr="005F055E">
        <w:t>Vraag 296</w:t>
      </w:r>
      <w:r w:rsidRPr="005F055E">
        <w:tab/>
      </w:r>
    </w:p>
    <w:p w:rsidRPr="005F055E" w:rsidR="00274792" w:rsidP="00180EEB" w:rsidRDefault="003E7003" w14:paraId="446E7770" w14:textId="77777777">
      <w:pPr>
        <w:suppressAutoHyphens/>
      </w:pPr>
      <w:r w:rsidRPr="005F055E">
        <w:t>Hoe worden de organisaties ondersteund die de Green Deal Duurzame Zorg omarmen om ook daadwerkelijk de high-impact verduurzamingsslag te maken?</w:t>
      </w:r>
      <w:r w:rsidRPr="005F055E">
        <w:tab/>
      </w:r>
    </w:p>
    <w:p w:rsidRPr="005F055E" w:rsidR="003E7003" w:rsidP="00180EEB" w:rsidRDefault="003E7003" w14:paraId="11DA47AA" w14:textId="430225BC">
      <w:pPr>
        <w:suppressAutoHyphens/>
      </w:pPr>
      <w:r w:rsidRPr="005F055E">
        <w:t>Antwoord</w:t>
      </w:r>
    </w:p>
    <w:p w:rsidRPr="005F055E" w:rsidR="004F04EB" w:rsidP="00180EEB" w:rsidRDefault="004F04EB" w14:paraId="37C2AB34" w14:textId="77777777">
      <w:pPr>
        <w:suppressAutoHyphens/>
      </w:pPr>
      <w:r w:rsidRPr="005F055E">
        <w:t>Organisaties die de Green Deal DZ 3.0. ondertekend hebben worden op verschillende manieren met verschillende instrumenten door VWS ondersteund:</w:t>
      </w:r>
    </w:p>
    <w:p w:rsidRPr="005F055E" w:rsidR="004F04EB" w:rsidP="00180EEB" w:rsidRDefault="004F04EB" w14:paraId="422EBFFC" w14:textId="77777777">
      <w:pPr>
        <w:pStyle w:val="Lijstalinea"/>
        <w:numPr>
          <w:ilvl w:val="0"/>
          <w:numId w:val="19"/>
        </w:numPr>
        <w:suppressAutoHyphens/>
      </w:pPr>
      <w:r w:rsidRPr="005F055E">
        <w:t xml:space="preserve">Door communicatie (o.a. over websites waar specifiek informatie over verduurzaming van de zorg te vinden is). Zo is er de website </w:t>
      </w:r>
      <w:hyperlink w:history="1" r:id="rId27">
        <w:r w:rsidRPr="005F055E">
          <w:rPr>
            <w:rStyle w:val="Hyperlink"/>
          </w:rPr>
          <w:t>www.vergroendezorg.nl</w:t>
        </w:r>
      </w:hyperlink>
      <w:r w:rsidRPr="005F055E">
        <w:t xml:space="preserve"> waarop allerlei best </w:t>
      </w:r>
      <w:proofErr w:type="spellStart"/>
      <w:r w:rsidRPr="005F055E">
        <w:t>practices</w:t>
      </w:r>
      <w:proofErr w:type="spellEnd"/>
      <w:r w:rsidRPr="005F055E">
        <w:t xml:space="preserve">, tips en informatie is te vinden. </w:t>
      </w:r>
    </w:p>
    <w:p w:rsidRPr="005F055E" w:rsidR="004F04EB" w:rsidP="00180EEB" w:rsidRDefault="004F04EB" w14:paraId="1687F513" w14:textId="77777777">
      <w:pPr>
        <w:pStyle w:val="Lijstalinea"/>
        <w:numPr>
          <w:ilvl w:val="0"/>
          <w:numId w:val="19"/>
        </w:numPr>
        <w:suppressAutoHyphens/>
      </w:pPr>
      <w:r w:rsidRPr="005F055E">
        <w:t>Door kennis en onderzoek (zowel de ontwikkeling als verspreiding ervan). Zo geeft de voetafdrukstudie van het RIVM inzicht in waar de meeste klimaat en milieu impact zit.</w:t>
      </w:r>
    </w:p>
    <w:p w:rsidRPr="005F055E" w:rsidR="004F04EB" w:rsidP="00180EEB" w:rsidRDefault="004F04EB" w14:paraId="78D19B29" w14:textId="77777777">
      <w:pPr>
        <w:pStyle w:val="Lijstalinea"/>
        <w:numPr>
          <w:ilvl w:val="0"/>
          <w:numId w:val="19"/>
        </w:numPr>
        <w:suppressAutoHyphens/>
      </w:pPr>
      <w:r w:rsidRPr="005F055E">
        <w:t>Door waar mogelijk belemmeringen in wet- en regelgeving op te lossen .</w:t>
      </w:r>
    </w:p>
    <w:p w:rsidRPr="005F055E" w:rsidR="004F04EB" w:rsidP="00180EEB" w:rsidRDefault="004F04EB" w14:paraId="1C3A7C1E" w14:textId="77777777">
      <w:pPr>
        <w:pStyle w:val="Lijstalinea"/>
        <w:numPr>
          <w:ilvl w:val="0"/>
          <w:numId w:val="19"/>
        </w:numPr>
        <w:suppressAutoHyphens/>
      </w:pPr>
      <w:r w:rsidRPr="005F055E">
        <w:t xml:space="preserve">Door incidentele financiële ondersteuning (via subsidies of de tijdelijke Innovatie en Opschalingsregeling Duurzaamheid van </w:t>
      </w:r>
      <w:proofErr w:type="spellStart"/>
      <w:r w:rsidRPr="005F055E">
        <w:t>ZonMw</w:t>
      </w:r>
      <w:proofErr w:type="spellEnd"/>
      <w:r w:rsidRPr="005F055E">
        <w:t>).</w:t>
      </w:r>
    </w:p>
    <w:p w:rsidRPr="005F055E" w:rsidR="004F04EB" w:rsidP="00180EEB" w:rsidRDefault="004F04EB" w14:paraId="0AB84712" w14:textId="77777777">
      <w:pPr>
        <w:pStyle w:val="Lijstalinea"/>
        <w:numPr>
          <w:ilvl w:val="0"/>
          <w:numId w:val="19"/>
        </w:numPr>
        <w:suppressAutoHyphens/>
      </w:pPr>
      <w:r w:rsidRPr="005F055E">
        <w:t xml:space="preserve">Door het organiseren van speciale bijeenkomsten (expertmeetings of </w:t>
      </w:r>
      <w:proofErr w:type="spellStart"/>
      <w:r w:rsidRPr="005F055E">
        <w:t>webinars</w:t>
      </w:r>
      <w:proofErr w:type="spellEnd"/>
      <w:r w:rsidRPr="005F055E">
        <w:t>) voor de sector waarbij een speciaal thema inzake verduurzaming centraal staat (bv de bedrijventafel circulariteit in de zorg).</w:t>
      </w:r>
    </w:p>
    <w:p w:rsidRPr="005F055E" w:rsidR="00274792" w:rsidP="00180EEB" w:rsidRDefault="00274792" w14:paraId="48D604BF" w14:textId="77777777">
      <w:pPr>
        <w:suppressAutoHyphens/>
      </w:pPr>
    </w:p>
    <w:p w:rsidRPr="005F055E" w:rsidR="00274792" w:rsidP="00180EEB" w:rsidRDefault="003E7003" w14:paraId="50EB1B48" w14:textId="77777777">
      <w:pPr>
        <w:suppressAutoHyphens/>
      </w:pPr>
      <w:r w:rsidRPr="005F055E">
        <w:t>Vraag 297</w:t>
      </w:r>
      <w:r w:rsidRPr="005F055E">
        <w:tab/>
      </w:r>
    </w:p>
    <w:p w:rsidRPr="005F055E" w:rsidR="00274792" w:rsidP="00180EEB" w:rsidRDefault="003E7003" w14:paraId="35A7D0A1" w14:textId="77777777">
      <w:pPr>
        <w:suppressAutoHyphens/>
      </w:pPr>
      <w:r w:rsidRPr="005F055E">
        <w:t>Hoeveel geld is er nodig om de nationale strategie vrouwengezondheid vorm te geven als in het Verenigd Koninkrijk of Australië is gedaan?</w:t>
      </w:r>
      <w:r w:rsidRPr="005F055E">
        <w:tab/>
      </w:r>
    </w:p>
    <w:p w:rsidRPr="005F055E" w:rsidR="003E7003" w:rsidP="00180EEB" w:rsidRDefault="003E7003" w14:paraId="7DFBEFD7" w14:textId="01FB7AAC">
      <w:pPr>
        <w:suppressAutoHyphens/>
      </w:pPr>
      <w:r w:rsidRPr="005F055E">
        <w:t>Antwoord</w:t>
      </w:r>
    </w:p>
    <w:p w:rsidRPr="005F055E" w:rsidR="00274792" w:rsidP="00180EEB" w:rsidRDefault="00855C28" w14:paraId="26172BDE" w14:textId="39DB8353">
      <w:pPr>
        <w:suppressAutoHyphens/>
        <w:spacing w:line="240" w:lineRule="atLeast"/>
        <w:rPr>
          <w:sz w:val="22"/>
          <w:szCs w:val="20"/>
          <w:lang w:eastAsia="nl-NL"/>
        </w:rPr>
      </w:pPr>
      <w:r w:rsidRPr="005F055E">
        <w:rPr>
          <w:szCs w:val="20"/>
          <w:lang w:eastAsia="nl-NL"/>
        </w:rPr>
        <w:t>Met de toezending van de Nationale Strategie Vrouwengezondheid</w:t>
      </w:r>
      <w:r w:rsidRPr="005F055E">
        <w:rPr>
          <w:szCs w:val="20"/>
          <w:vertAlign w:val="superscript"/>
          <w:lang w:eastAsia="nl-NL"/>
        </w:rPr>
        <w:footnoteReference w:id="114"/>
      </w:r>
      <w:r w:rsidRPr="005F055E">
        <w:rPr>
          <w:szCs w:val="20"/>
          <w:lang w:eastAsia="nl-NL"/>
        </w:rPr>
        <w:t xml:space="preserve"> heb ik u op de hoogte gesteld van de inzet van VWS op dit onderwerp. Australië heeft aanzienlijke investeringen aangekondigd in vrouwengezondheid met als doel de toegang tot zorg te verbeteren, de kosten te verlagen en meer keuze te bieden aan vrouwen. Het Verenigd Koninkrijk heeft een plan opgesteld voor 10 jaar waarin beschreven wordt hoe de gezondheid van vrouwen verbeterd moet worden. Ik heb kennisgenomen van de beide strategieën. Ik ben niet bekend met de bedragen die hiermee gemoeid zijn. Omdat de zorg in die landen op andere wijze georganiseerd en bekostigd wordt is het niet goed mogelijk een vergelijking te maken met de Nederlandse situatie.</w:t>
      </w:r>
      <w:r w:rsidRPr="005F055E" w:rsidR="00D73F76">
        <w:rPr>
          <w:szCs w:val="20"/>
          <w:lang w:eastAsia="nl-NL"/>
        </w:rPr>
        <w:t xml:space="preserve"> </w:t>
      </w:r>
    </w:p>
    <w:p w:rsidRPr="005F055E" w:rsidR="00274792" w:rsidP="00180EEB" w:rsidRDefault="00274792" w14:paraId="68DD11C1" w14:textId="77777777">
      <w:pPr>
        <w:suppressAutoHyphens/>
      </w:pPr>
    </w:p>
    <w:p w:rsidRPr="005F055E" w:rsidR="00274792" w:rsidP="00180EEB" w:rsidRDefault="003E7003" w14:paraId="6C588BA6" w14:textId="77777777">
      <w:pPr>
        <w:suppressAutoHyphens/>
      </w:pPr>
      <w:r w:rsidRPr="005F055E">
        <w:t>Vraag 298</w:t>
      </w:r>
      <w:r w:rsidRPr="005F055E">
        <w:tab/>
      </w:r>
    </w:p>
    <w:p w:rsidRPr="005F055E" w:rsidR="00274792" w:rsidP="00180EEB" w:rsidRDefault="003E7003" w14:paraId="381F3FD3" w14:textId="77777777">
      <w:pPr>
        <w:suppressAutoHyphens/>
      </w:pPr>
      <w:r w:rsidRPr="005F055E">
        <w:t>Hoeveel middelen zijn er nu per jaar gereserveerd voor de nationale vrouwengezondheid strategie?</w:t>
      </w:r>
      <w:r w:rsidRPr="005F055E">
        <w:tab/>
      </w:r>
    </w:p>
    <w:p w:rsidRPr="005F055E" w:rsidR="003E7003" w:rsidP="00180EEB" w:rsidRDefault="003E7003" w14:paraId="452CF5F4" w14:textId="1BF243C9">
      <w:pPr>
        <w:suppressAutoHyphens/>
      </w:pPr>
      <w:r w:rsidRPr="005F055E">
        <w:t>Antwoord</w:t>
      </w:r>
    </w:p>
    <w:p w:rsidRPr="005F055E" w:rsidR="00855C28" w:rsidP="00180EEB" w:rsidRDefault="00855C28" w14:paraId="79ECA0EC" w14:textId="4B6D9333">
      <w:pPr>
        <w:suppressAutoHyphens/>
        <w:spacing w:line="240" w:lineRule="atLeast"/>
        <w:rPr>
          <w:szCs w:val="20"/>
          <w:lang w:eastAsia="nl-NL"/>
        </w:rPr>
      </w:pPr>
      <w:r w:rsidRPr="005F055E">
        <w:rPr>
          <w:szCs w:val="20"/>
          <w:lang w:eastAsia="nl-NL"/>
        </w:rPr>
        <w:t>Met de toezending van de Nationale Strategie Vrouwengezondheid</w:t>
      </w:r>
      <w:r w:rsidRPr="005F055E">
        <w:rPr>
          <w:szCs w:val="20"/>
          <w:vertAlign w:val="superscript"/>
          <w:lang w:eastAsia="nl-NL"/>
        </w:rPr>
        <w:footnoteReference w:id="115"/>
      </w:r>
      <w:r w:rsidRPr="005F055E">
        <w:rPr>
          <w:szCs w:val="20"/>
          <w:lang w:eastAsia="nl-NL"/>
        </w:rPr>
        <w:t xml:space="preserve"> heb ik u op de hoogte gesteld van de inzet van VWS. </w:t>
      </w:r>
      <w:bookmarkStart w:name="_Hlk213356664" w:id="51"/>
      <w:r w:rsidRPr="005F055E">
        <w:rPr>
          <w:szCs w:val="20"/>
          <w:lang w:eastAsia="nl-NL"/>
        </w:rPr>
        <w:t>Zoals ik in deze brief en bijlage heb aangegeven wordt voor de nationale strategie vrouwengezondheid</w:t>
      </w:r>
      <w:r w:rsidR="00822588">
        <w:rPr>
          <w:szCs w:val="20"/>
          <w:lang w:eastAsia="nl-NL"/>
        </w:rPr>
        <w:t xml:space="preserve"> </w:t>
      </w:r>
      <w:r w:rsidRPr="005F055E">
        <w:rPr>
          <w:szCs w:val="20"/>
          <w:lang w:eastAsia="nl-NL"/>
        </w:rPr>
        <w:t xml:space="preserve">naast de middelen die al beschikbaar zijn gesteld voor het kennisprogramma rondom vrouwspecifieke gezondheid bij </w:t>
      </w:r>
      <w:proofErr w:type="spellStart"/>
      <w:r w:rsidRPr="005F055E">
        <w:rPr>
          <w:szCs w:val="20"/>
          <w:lang w:eastAsia="nl-NL"/>
        </w:rPr>
        <w:t>ZonMw</w:t>
      </w:r>
      <w:proofErr w:type="spellEnd"/>
      <w:r w:rsidRPr="005F055E">
        <w:rPr>
          <w:szCs w:val="20"/>
          <w:vertAlign w:val="superscript"/>
          <w:lang w:eastAsia="nl-NL"/>
        </w:rPr>
        <w:footnoteReference w:id="116"/>
      </w:r>
      <w:r w:rsidRPr="005F055E">
        <w:rPr>
          <w:szCs w:val="20"/>
          <w:lang w:eastAsia="nl-NL"/>
        </w:rPr>
        <w:t xml:space="preserve"> (6 x € 2.5 miljoen per jaar)</w:t>
      </w:r>
      <w:r w:rsidR="00822588">
        <w:rPr>
          <w:szCs w:val="20"/>
          <w:lang w:eastAsia="nl-NL"/>
        </w:rPr>
        <w:t xml:space="preserve">, </w:t>
      </w:r>
      <w:r w:rsidRPr="005F055E" w:rsidR="00822588">
        <w:rPr>
          <w:szCs w:val="20"/>
          <w:lang w:eastAsia="nl-NL"/>
        </w:rPr>
        <w:t xml:space="preserve">geen </w:t>
      </w:r>
      <w:r w:rsidRPr="00C64B91" w:rsidR="00822588">
        <w:rPr>
          <w:szCs w:val="20"/>
          <w:lang w:eastAsia="nl-NL"/>
        </w:rPr>
        <w:t>beschikbaar</w:t>
      </w:r>
      <w:r w:rsidR="00822588">
        <w:rPr>
          <w:i/>
          <w:iCs/>
          <w:szCs w:val="20"/>
          <w:lang w:eastAsia="nl-NL"/>
        </w:rPr>
        <w:t xml:space="preserve"> </w:t>
      </w:r>
      <w:r w:rsidRPr="005F055E" w:rsidR="00822588">
        <w:rPr>
          <w:szCs w:val="20"/>
          <w:lang w:eastAsia="nl-NL"/>
        </w:rPr>
        <w:t>budget vrijgemaakt</w:t>
      </w:r>
      <w:r w:rsidR="00822588">
        <w:rPr>
          <w:szCs w:val="20"/>
          <w:lang w:eastAsia="nl-NL"/>
        </w:rPr>
        <w:t xml:space="preserve">. </w:t>
      </w:r>
    </w:p>
    <w:bookmarkEnd w:id="51"/>
    <w:p w:rsidRPr="005F055E" w:rsidR="00274792" w:rsidP="00180EEB" w:rsidRDefault="00274792" w14:paraId="0A11FC59" w14:textId="77777777">
      <w:pPr>
        <w:suppressAutoHyphens/>
      </w:pPr>
    </w:p>
    <w:p w:rsidRPr="005F055E" w:rsidR="00274792" w:rsidP="00180EEB" w:rsidRDefault="003E7003" w14:paraId="0AE80C66" w14:textId="77777777">
      <w:pPr>
        <w:suppressAutoHyphens/>
      </w:pPr>
      <w:r w:rsidRPr="005F055E">
        <w:t>Vraag 299</w:t>
      </w:r>
      <w:r w:rsidRPr="005F055E">
        <w:tab/>
      </w:r>
    </w:p>
    <w:p w:rsidRPr="005F055E" w:rsidR="00274792" w:rsidP="00180EEB" w:rsidRDefault="003E7003" w14:paraId="737E8B85" w14:textId="77777777">
      <w:pPr>
        <w:suppressAutoHyphens/>
      </w:pPr>
      <w:r w:rsidRPr="005F055E">
        <w:t>Hoeveel kost het om fysiotherapie op te nemen in het basispakket? Kan dit worden uitgesplitst naar tien behandelingen, twintig behandelingen of onbeperkt?</w:t>
      </w:r>
      <w:r w:rsidRPr="005F055E">
        <w:tab/>
      </w:r>
    </w:p>
    <w:p w:rsidRPr="005F055E" w:rsidR="003E7003" w:rsidP="00180EEB" w:rsidRDefault="003E7003" w14:paraId="1E1E9DCE" w14:textId="03306AD1">
      <w:pPr>
        <w:suppressAutoHyphens/>
      </w:pPr>
      <w:r w:rsidRPr="005F055E">
        <w:t>Antwoord</w:t>
      </w:r>
    </w:p>
    <w:p w:rsidRPr="005F055E" w:rsidR="00DE1EAC" w:rsidP="00180EEB" w:rsidRDefault="00AB4F6B" w14:paraId="44910E07" w14:textId="77777777">
      <w:pPr>
        <w:tabs>
          <w:tab w:val="left" w:pos="2220"/>
        </w:tabs>
        <w:suppressAutoHyphens/>
        <w:spacing w:line="240" w:lineRule="atLeast"/>
        <w:rPr>
          <w:szCs w:val="18"/>
          <w:lang w:eastAsia="nl-NL"/>
        </w:rPr>
      </w:pPr>
      <w:r w:rsidRPr="005F055E">
        <w:rPr>
          <w:szCs w:val="18"/>
          <w:lang w:eastAsia="nl-NL"/>
        </w:rPr>
        <w:t xml:space="preserve">Volgens het rapport </w:t>
      </w:r>
      <w:r w:rsidRPr="005F055E">
        <w:rPr>
          <w:i/>
          <w:iCs/>
          <w:szCs w:val="18"/>
          <w:lang w:eastAsia="nl-NL"/>
        </w:rPr>
        <w:t>Passende aanspraak fysio- en oefentherapie</w:t>
      </w:r>
      <w:r w:rsidRPr="005F055E">
        <w:rPr>
          <w:szCs w:val="18"/>
          <w:lang w:eastAsia="nl-NL"/>
        </w:rPr>
        <w:t xml:space="preserve"> van het Zorginstituut</w:t>
      </w:r>
      <w:r w:rsidRPr="005F055E">
        <w:rPr>
          <w:szCs w:val="18"/>
          <w:vertAlign w:val="superscript"/>
          <w:lang w:eastAsia="nl-NL"/>
        </w:rPr>
        <w:footnoteReference w:id="117"/>
      </w:r>
      <w:r w:rsidRPr="005F055E">
        <w:rPr>
          <w:szCs w:val="18"/>
          <w:lang w:eastAsia="nl-NL"/>
        </w:rPr>
        <w:t xml:space="preserve"> werd in 2022 € 0,67 miljard aan eerstelijnsfysiotherapie én eerstelijnsoefentherapie vergoed vanuit de basisverzekering. Daarnaast werd € 1,11 miljard vergoed via aanvullende verzekeringen. Het is niet bekend hoeveel patiënten zelf betalen voor deze zorg buiten de verzekeringen om. Daardoor heeft VWS geen volledig beeld van de totale kosten als álle fysio- en oefentherapie onbeperkt opgenomen zou worden in het basispakket.</w:t>
      </w:r>
    </w:p>
    <w:p w:rsidRPr="005F055E" w:rsidR="00274792" w:rsidP="00180EEB" w:rsidRDefault="0067609F" w14:paraId="467A8C84" w14:textId="1996ADAA">
      <w:pPr>
        <w:tabs>
          <w:tab w:val="left" w:pos="2220"/>
        </w:tabs>
        <w:suppressAutoHyphens/>
        <w:spacing w:line="240" w:lineRule="atLeast"/>
        <w:rPr>
          <w:szCs w:val="18"/>
          <w:lang w:eastAsia="nl-NL"/>
        </w:rPr>
      </w:pPr>
      <w:r w:rsidRPr="005F055E">
        <w:rPr>
          <w:szCs w:val="18"/>
          <w:lang w:eastAsia="nl-NL"/>
        </w:rPr>
        <w:t xml:space="preserve">Voor een volledig beeld en een uitsplitsing naar tien of twintig behandelingen, moet bovendien met meerdere zaken rekening worden gehouden. Zo moet er bijvoorbeeld rekening worden gehouden met eventuele gedragseffecten als gevolg van de uitbreiding van de vergoeding uit het basispakket, de invloed van het eigen risico op de zorgafname, eventuele verplaatsing van zorg van de tweede naar de eerste lijn, en met de gevolgen voor patiënten die nu onbeperkt fysio- of oefentherapie vergoed krijgen vanuit de basisverzekering, omdat zij een aandoening hebben die is opgenomen in Bijlage 1 van het Besluit zorgverzekering (in de volksmond ook wel bekend als de ‘chronische lijst’). </w:t>
      </w:r>
      <w:r w:rsidRPr="005F055E" w:rsidR="00AB4F6B">
        <w:rPr>
          <w:szCs w:val="18"/>
          <w:lang w:eastAsia="nl-NL"/>
        </w:rPr>
        <w:t xml:space="preserve">Daarnaast moet zorg ook bewezen effectief zijn. Hiervoor is een kwaliteitskader </w:t>
      </w:r>
      <w:proofErr w:type="spellStart"/>
      <w:r w:rsidRPr="005F055E" w:rsidR="00AB4F6B">
        <w:rPr>
          <w:szCs w:val="18"/>
          <w:lang w:eastAsia="nl-NL"/>
        </w:rPr>
        <w:t>randvoorwaardelijk</w:t>
      </w:r>
      <w:proofErr w:type="spellEnd"/>
      <w:r w:rsidRPr="005F055E" w:rsidR="00AB4F6B">
        <w:rPr>
          <w:szCs w:val="18"/>
          <w:lang w:eastAsia="nl-NL"/>
        </w:rPr>
        <w:t xml:space="preserve">. </w:t>
      </w:r>
      <w:r w:rsidRPr="005F055E">
        <w:rPr>
          <w:szCs w:val="18"/>
          <w:lang w:eastAsia="nl-NL"/>
        </w:rPr>
        <w:t>Nader onderzoek en analyse zou uitgevoerd kunnen worden om een zo’n volledig mogelijk beeld te krijgen. Een dergelijk onderzoek is op korte termijn niet haalbaar.</w:t>
      </w:r>
    </w:p>
    <w:p w:rsidRPr="005F055E" w:rsidR="00194494" w:rsidP="00180EEB" w:rsidRDefault="00194494" w14:paraId="727B0AC3" w14:textId="77777777">
      <w:pPr>
        <w:suppressAutoHyphens/>
      </w:pPr>
    </w:p>
    <w:p w:rsidRPr="005F055E" w:rsidR="00274792" w:rsidP="00180EEB" w:rsidRDefault="003E7003" w14:paraId="120C8016" w14:textId="49DE5BF8">
      <w:pPr>
        <w:suppressAutoHyphens/>
      </w:pPr>
      <w:r w:rsidRPr="005F055E">
        <w:t>Vraag 300</w:t>
      </w:r>
      <w:r w:rsidRPr="005F055E">
        <w:tab/>
      </w:r>
    </w:p>
    <w:p w:rsidRPr="005F055E" w:rsidR="00274792" w:rsidP="00180EEB" w:rsidRDefault="003E7003" w14:paraId="3483A280" w14:textId="77777777">
      <w:pPr>
        <w:suppressAutoHyphens/>
      </w:pPr>
      <w:r w:rsidRPr="005F055E">
        <w:t>Is er momenteel een arbeidsmarkttekort in de fysiotherapie? Zo ja, om hoeveel fte gaat het?</w:t>
      </w:r>
      <w:r w:rsidRPr="005F055E">
        <w:tab/>
      </w:r>
    </w:p>
    <w:p w:rsidRPr="005F055E" w:rsidR="003E7003" w:rsidP="00180EEB" w:rsidRDefault="003E7003" w14:paraId="1798B624" w14:textId="049A74E8">
      <w:pPr>
        <w:suppressAutoHyphens/>
      </w:pPr>
      <w:r w:rsidRPr="005F055E">
        <w:t>Antwoord</w:t>
      </w:r>
    </w:p>
    <w:p w:rsidRPr="005F055E" w:rsidR="0067609F" w:rsidP="00180EEB" w:rsidRDefault="0067609F" w14:paraId="77C0F019" w14:textId="4F33205F">
      <w:pPr>
        <w:suppressAutoHyphens/>
        <w:spacing w:line="240" w:lineRule="atLeast"/>
        <w:rPr>
          <w:szCs w:val="20"/>
          <w:lang w:eastAsia="nl-NL"/>
        </w:rPr>
      </w:pPr>
      <w:r w:rsidRPr="005F055E">
        <w:rPr>
          <w:szCs w:val="20"/>
          <w:lang w:eastAsia="nl-NL"/>
        </w:rPr>
        <w:t>De Nederlandse Zorgautoriteit (</w:t>
      </w:r>
      <w:proofErr w:type="spellStart"/>
      <w:r w:rsidRPr="005F055E">
        <w:rPr>
          <w:szCs w:val="20"/>
          <w:lang w:eastAsia="nl-NL"/>
        </w:rPr>
        <w:t>NZa</w:t>
      </w:r>
      <w:proofErr w:type="spellEnd"/>
      <w:r w:rsidRPr="005F055E">
        <w:rPr>
          <w:szCs w:val="20"/>
          <w:lang w:eastAsia="nl-NL"/>
        </w:rPr>
        <w:t xml:space="preserve">) voert momenteel een marktonderzoek uit naar de fysiotherapeutische sector. In de tussenrapportage concludeert de </w:t>
      </w:r>
      <w:proofErr w:type="spellStart"/>
      <w:r w:rsidRPr="005F055E">
        <w:rPr>
          <w:szCs w:val="20"/>
          <w:lang w:eastAsia="nl-NL"/>
        </w:rPr>
        <w:t>NZa</w:t>
      </w:r>
      <w:proofErr w:type="spellEnd"/>
      <w:r w:rsidRPr="005F055E">
        <w:rPr>
          <w:szCs w:val="20"/>
          <w:lang w:eastAsia="nl-NL"/>
        </w:rPr>
        <w:t xml:space="preserve"> dat er op de korte termijn geen sprake is van een toegankelijkheidsprobleem. De huidige capaciteit aan fysiotherapeuten lijkt toereikend om te voorzien in de bestaande zichtbare zorgvraag en wacht- en reistijden binnen de sector zijn over het algemeen kort. </w:t>
      </w:r>
    </w:p>
    <w:p w:rsidRPr="005F055E" w:rsidR="00274792" w:rsidP="00180EEB" w:rsidRDefault="0067609F" w14:paraId="7FA74C5A" w14:textId="776DAA0F">
      <w:pPr>
        <w:suppressAutoHyphens/>
        <w:spacing w:line="240" w:lineRule="atLeast"/>
        <w:rPr>
          <w:szCs w:val="20"/>
          <w:lang w:eastAsia="nl-NL"/>
        </w:rPr>
      </w:pPr>
      <w:r w:rsidRPr="005F055E">
        <w:rPr>
          <w:szCs w:val="20"/>
          <w:lang w:eastAsia="nl-NL"/>
        </w:rPr>
        <w:t xml:space="preserve">Tegelijkertijd ontvangt VWS wel signalen vanuit het veld over knelpunten op de arbeidsmarkt binnen de fysiotherapie. Diverse partijen melden dat vacatures lastig te vervullen zijn en dat fysiotherapeuten het beroep in toenemende mate verlaten. Eind 2025 levert de </w:t>
      </w:r>
      <w:proofErr w:type="spellStart"/>
      <w:r w:rsidRPr="005F055E">
        <w:rPr>
          <w:szCs w:val="20"/>
          <w:lang w:eastAsia="nl-NL"/>
        </w:rPr>
        <w:t>NZa</w:t>
      </w:r>
      <w:proofErr w:type="spellEnd"/>
      <w:r w:rsidRPr="005F055E">
        <w:rPr>
          <w:szCs w:val="20"/>
          <w:lang w:eastAsia="nl-NL"/>
        </w:rPr>
        <w:t xml:space="preserve"> haar definitieve rapportage op, waar naar verwachting ook meer recente cijfers zijn opgenomen over de ontwikkelingen binnen de fysiotherapeutische markt. </w:t>
      </w:r>
    </w:p>
    <w:p w:rsidRPr="005F055E" w:rsidR="004F04EB" w:rsidP="00180EEB" w:rsidRDefault="004F04EB" w14:paraId="2FD32AE5" w14:textId="77777777">
      <w:pPr>
        <w:suppressAutoHyphens/>
      </w:pPr>
    </w:p>
    <w:p w:rsidRPr="005F055E" w:rsidR="00274792" w:rsidP="00180EEB" w:rsidRDefault="003E7003" w14:paraId="60DD3FDF" w14:textId="77777777">
      <w:pPr>
        <w:suppressAutoHyphens/>
      </w:pPr>
      <w:r w:rsidRPr="005F055E">
        <w:t>Vraag 301</w:t>
      </w:r>
      <w:r w:rsidRPr="005F055E">
        <w:tab/>
      </w:r>
    </w:p>
    <w:p w:rsidRPr="005F055E" w:rsidR="00274792" w:rsidP="00180EEB" w:rsidRDefault="003E7003" w14:paraId="4297E1FA" w14:textId="77777777">
      <w:pPr>
        <w:suppressAutoHyphens/>
      </w:pPr>
      <w:r w:rsidRPr="005F055E">
        <w:t>Kan een schatting worden gegeven van de extra kosten die ontstaan door het mijden van mondzorg en de 640.000 volwassen die om financiële redenen niet eens per twee jaar naar de tandarts gaat?</w:t>
      </w:r>
      <w:r w:rsidRPr="005F055E">
        <w:tab/>
      </w:r>
    </w:p>
    <w:p w:rsidRPr="005F055E" w:rsidR="003E7003" w:rsidP="00180EEB" w:rsidRDefault="003E7003" w14:paraId="58902F6F" w14:textId="22E83DCF">
      <w:pPr>
        <w:suppressAutoHyphens/>
      </w:pPr>
      <w:r w:rsidRPr="005F055E">
        <w:t>Antwoord</w:t>
      </w:r>
    </w:p>
    <w:p w:rsidRPr="005F055E" w:rsidR="0067609F" w:rsidP="00180EEB" w:rsidRDefault="0067609F" w14:paraId="16C2597A" w14:textId="5BEA20B4">
      <w:pPr>
        <w:suppressAutoHyphens/>
        <w:spacing w:line="240" w:lineRule="atLeast"/>
        <w:rPr>
          <w:szCs w:val="20"/>
          <w:lang w:eastAsia="nl-NL"/>
        </w:rPr>
      </w:pPr>
      <w:r w:rsidRPr="005F055E">
        <w:rPr>
          <w:szCs w:val="20"/>
          <w:lang w:eastAsia="nl-NL"/>
        </w:rPr>
        <w:t xml:space="preserve">We weten dat het mijden van mondzorg kan leiden tot het ontstaan van ernstiger mondziekten en daarmee verdere gevolgen voor de mondgezondheid, algemene gezondheid of deelname aan de maatschappij kan hebben. En dat het mijden van mondzorg tot extra kosten kan leiden. Ik kan uw Kamer echter geen kwantitatieve inschatting geven van de extra kosten die ontstaan doordat naar schatting 640.000 mensen om financiële redenen niet eens per twee jaar naar de tandarts gaan. </w:t>
      </w:r>
    </w:p>
    <w:p w:rsidRPr="005F055E" w:rsidR="00274792" w:rsidP="00180EEB" w:rsidRDefault="0067609F" w14:paraId="78C38569" w14:textId="1B7F75BF">
      <w:pPr>
        <w:suppressAutoHyphens/>
      </w:pPr>
      <w:r w:rsidRPr="005F055E">
        <w:rPr>
          <w:szCs w:val="20"/>
          <w:lang w:eastAsia="nl-NL"/>
        </w:rPr>
        <w:t>Zoals in het Eindverslag</w:t>
      </w:r>
      <w:r w:rsidRPr="005F055E">
        <w:rPr>
          <w:szCs w:val="20"/>
          <w:vertAlign w:val="superscript"/>
          <w:lang w:eastAsia="nl-NL"/>
        </w:rPr>
        <w:footnoteReference w:id="118"/>
      </w:r>
      <w:r w:rsidRPr="005F055E">
        <w:rPr>
          <w:szCs w:val="20"/>
          <w:lang w:eastAsia="nl-NL"/>
        </w:rPr>
        <w:t xml:space="preserve"> van het project ‘vermindering van mondzorgmijding vanwege financiële redenen” is genoemd, laten onderzoeken zien dat er een wisselwerking is tussen het hebben van mondziekten en (onder andere) diabetes en hart- en vaatziekten en dat er een causaal verband is tussen het hebben van mondziekten en depressieve klachten. Ook wordt het aantal verloren gezonde levensjaren als gevolg van mondziekten geschat op 3,5 miljard euro</w:t>
      </w:r>
      <w:r w:rsidRPr="005F055E">
        <w:rPr>
          <w:szCs w:val="20"/>
          <w:vertAlign w:val="superscript"/>
          <w:lang w:eastAsia="nl-NL"/>
        </w:rPr>
        <w:footnoteReference w:id="119"/>
      </w:r>
      <w:r w:rsidRPr="005F055E">
        <w:rPr>
          <w:szCs w:val="20"/>
          <w:lang w:eastAsia="nl-NL"/>
        </w:rPr>
        <w:t xml:space="preserve"> (uitgedrukt in </w:t>
      </w:r>
      <w:proofErr w:type="spellStart"/>
      <w:r w:rsidRPr="005F055E">
        <w:rPr>
          <w:szCs w:val="20"/>
          <w:lang w:eastAsia="nl-NL"/>
        </w:rPr>
        <w:t>DALY’s</w:t>
      </w:r>
      <w:proofErr w:type="spellEnd"/>
      <w:r w:rsidRPr="005F055E">
        <w:rPr>
          <w:szCs w:val="20"/>
          <w:lang w:eastAsia="nl-NL"/>
        </w:rPr>
        <w:t>). Het terugdringen van mondziekten kent dus bredere baten, het is echter zeer lastig om deze bredere baten te koppelen aan individuele maatregelen.</w:t>
      </w:r>
      <w:r w:rsidRPr="005F055E" w:rsidR="00AB4F6B">
        <w:rPr>
          <w:szCs w:val="20"/>
          <w:lang w:eastAsia="nl-NL"/>
        </w:rPr>
        <w:t xml:space="preserve"> Dat heeft verschillende oorzaken. Ook is er geen bewijs voor een causaal verband tussen frequente tandartscontroles en mondzorgkosten, dat bemoeilijkt het berekenen van de bredere kosten en baten.</w:t>
      </w:r>
      <w:r w:rsidRPr="005F055E">
        <w:rPr>
          <w:szCs w:val="20"/>
          <w:lang w:eastAsia="nl-NL"/>
        </w:rPr>
        <w:t xml:space="preserve"> In het adviestraject van het Zorginstituut over een passende aanspraak voor mondzorg zal ook aandacht besteed worden aan de bredere baten van mondzorg.</w:t>
      </w:r>
    </w:p>
    <w:p w:rsidR="008C3510" w:rsidP="00180EEB" w:rsidRDefault="008C3510" w14:paraId="14EFEA17" w14:textId="77777777">
      <w:pPr>
        <w:suppressAutoHyphens/>
      </w:pPr>
    </w:p>
    <w:p w:rsidR="006D333D" w:rsidP="00180EEB" w:rsidRDefault="006D333D" w14:paraId="340AE391" w14:textId="77777777">
      <w:pPr>
        <w:suppressAutoHyphens/>
      </w:pPr>
    </w:p>
    <w:p w:rsidRPr="005F055E" w:rsidR="00274792" w:rsidP="00180EEB" w:rsidRDefault="003E7003" w14:paraId="1B3B82B5" w14:textId="46CCA60C">
      <w:pPr>
        <w:suppressAutoHyphens/>
      </w:pPr>
      <w:r w:rsidRPr="005F055E">
        <w:t>Vraag 302</w:t>
      </w:r>
      <w:r w:rsidRPr="005F055E">
        <w:tab/>
      </w:r>
    </w:p>
    <w:p w:rsidRPr="005F055E" w:rsidR="00274792" w:rsidP="00180EEB" w:rsidRDefault="003E7003" w14:paraId="3127DB62" w14:textId="77777777">
      <w:pPr>
        <w:suppressAutoHyphens/>
      </w:pPr>
      <w:r w:rsidRPr="005F055E">
        <w:t>Hoeveel van de 640.000 mensen die mondzorg mijden zijn naar verwachting geholpen met de maatregel mondzorg voor minima uit het AZWA?</w:t>
      </w:r>
      <w:r w:rsidRPr="005F055E">
        <w:tab/>
      </w:r>
    </w:p>
    <w:p w:rsidRPr="005F055E" w:rsidR="003E7003" w:rsidP="00180EEB" w:rsidRDefault="003E7003" w14:paraId="2E78A38C" w14:textId="55121120">
      <w:pPr>
        <w:suppressAutoHyphens/>
      </w:pPr>
      <w:r w:rsidRPr="005F055E">
        <w:t>Antwoord</w:t>
      </w:r>
    </w:p>
    <w:p w:rsidRPr="005F055E" w:rsidR="0067609F" w:rsidP="00180EEB" w:rsidRDefault="0067609F" w14:paraId="2A078007" w14:textId="7C456274">
      <w:pPr>
        <w:suppressAutoHyphens/>
        <w:spacing w:line="240" w:lineRule="atLeast"/>
        <w:rPr>
          <w:szCs w:val="20"/>
          <w:lang w:eastAsia="nl-NL"/>
        </w:rPr>
      </w:pPr>
      <w:r w:rsidRPr="005F055E">
        <w:rPr>
          <w:szCs w:val="20"/>
          <w:lang w:eastAsia="nl-NL"/>
        </w:rPr>
        <w:t xml:space="preserve">Het is nu nog niet mogelijk om aan te geven hoeveel mensen naar verwachting geholpen kunnen worden. De afspraak in het AZWA vergt nog nadere uitwerking. </w:t>
      </w:r>
    </w:p>
    <w:p w:rsidRPr="005F055E" w:rsidR="0067609F" w:rsidP="00180EEB" w:rsidRDefault="0067609F" w14:paraId="05E6AF5A" w14:textId="030CB73F">
      <w:pPr>
        <w:suppressAutoHyphens/>
        <w:spacing w:line="240" w:lineRule="atLeast"/>
        <w:rPr>
          <w:szCs w:val="20"/>
          <w:lang w:eastAsia="nl-NL"/>
        </w:rPr>
      </w:pPr>
      <w:r w:rsidRPr="005F055E">
        <w:rPr>
          <w:szCs w:val="20"/>
          <w:lang w:eastAsia="nl-NL"/>
        </w:rPr>
        <w:t>In het AZWA zijn afspraken gemaakt op het gebied van medische preventie. Onderdeel hiervan vormt een ontwikkelagenda, waarbij in samenspraak met de relevante AZWA-partijen maatregelen in kaart worden gebracht die zorgvraag kunnen tegengaan. Deze maatregelen worden nader onderbouwd, zodat daarover besluitvorming kan plaatsvinden. Voor de jaren 2027 en 2028 is € 45 miljoen gereserveerd hiervoor. Mondzorg voor minima is één van de onderwerpen op deze ontwikkelagenda. De komende maanden worden de stappen verder uitgewerkt.</w:t>
      </w:r>
      <w:r w:rsidRPr="005F055E" w:rsidR="00D73F76">
        <w:rPr>
          <w:szCs w:val="20"/>
          <w:lang w:eastAsia="nl-NL"/>
        </w:rPr>
        <w:t xml:space="preserve"> </w:t>
      </w:r>
      <w:r w:rsidRPr="005F055E">
        <w:rPr>
          <w:szCs w:val="20"/>
          <w:lang w:eastAsia="nl-NL"/>
        </w:rPr>
        <w:t xml:space="preserve"> </w:t>
      </w:r>
    </w:p>
    <w:p w:rsidRPr="005F055E" w:rsidR="00274792" w:rsidP="00180EEB" w:rsidRDefault="0067609F" w14:paraId="0EA91FD7" w14:textId="03D4D750">
      <w:pPr>
        <w:suppressAutoHyphens/>
      </w:pPr>
      <w:r w:rsidRPr="005F055E">
        <w:rPr>
          <w:szCs w:val="20"/>
          <w:lang w:eastAsia="nl-NL"/>
        </w:rPr>
        <w:t>Overigens brengt het Ministerie van VWS samen met veldpartijen de verschillende mogelijkheden voor gerichte regelingen voor minima in beeld. Dit ter eventuele besluitvorming aan een nieuw Kabinet. Uw Kamer ontvangt hier dit najaar een rapport over. Ook is het Zorginstituut Nederland gevraagd om een advies uit te brengen over een passende aanspraak voor mondzorg.</w:t>
      </w:r>
    </w:p>
    <w:p w:rsidRPr="005F055E" w:rsidR="00274792" w:rsidP="00180EEB" w:rsidRDefault="003E7003" w14:paraId="2478E203" w14:textId="77777777">
      <w:pPr>
        <w:suppressAutoHyphens/>
      </w:pPr>
      <w:r w:rsidRPr="005F055E">
        <w:t>Vraag 303</w:t>
      </w:r>
      <w:r w:rsidRPr="005F055E">
        <w:tab/>
      </w:r>
    </w:p>
    <w:p w:rsidRPr="005F055E" w:rsidR="00274792" w:rsidP="00180EEB" w:rsidRDefault="003E7003" w14:paraId="632582C7" w14:textId="77777777">
      <w:pPr>
        <w:suppressAutoHyphens/>
      </w:pPr>
      <w:r w:rsidRPr="005F055E">
        <w:t>Hoe heeft het aantal ouderen met een zorg- of ondersteuningsbehoefte zich ontwikkeld in de afgelopen vijf jaar? Hoe zal dit zich in de komende vijf jaar verder ontwikkelen?</w:t>
      </w:r>
      <w:r w:rsidRPr="005F055E">
        <w:tab/>
      </w:r>
    </w:p>
    <w:p w:rsidRPr="005F055E" w:rsidR="003E7003" w:rsidP="00180EEB" w:rsidRDefault="003E7003" w14:paraId="6526ECC0" w14:textId="4C83461C">
      <w:pPr>
        <w:suppressAutoHyphens/>
      </w:pPr>
      <w:r w:rsidRPr="005F055E">
        <w:t>Antwoord</w:t>
      </w:r>
    </w:p>
    <w:p w:rsidRPr="005F055E" w:rsidR="00274792" w:rsidP="00180EEB" w:rsidRDefault="0067609F" w14:paraId="37668E52" w14:textId="1754D103">
      <w:pPr>
        <w:suppressAutoHyphens/>
        <w:rPr>
          <w:rFonts w:cs="Calibri"/>
          <w:b/>
          <w:bCs/>
          <w:szCs w:val="20"/>
          <w:lang w:eastAsia="nl-NL"/>
        </w:rPr>
      </w:pPr>
      <w:r w:rsidRPr="005F055E">
        <w:rPr>
          <w:szCs w:val="20"/>
          <w:lang w:eastAsia="nl-NL"/>
        </w:rPr>
        <w:t>Volgens cijfers van het CBS – Monitor Langdurige Zorg (</w:t>
      </w:r>
      <w:proofErr w:type="spellStart"/>
      <w:r>
        <w:fldChar w:fldCharType="begin"/>
      </w:r>
      <w:r>
        <w:instrText>HYPERLINK "https://mlzopendata.cbs.nl/" \l "/MLZ/nl/dataset/40098NED/table?dl=A2FEE"</w:instrText>
      </w:r>
      <w:r>
        <w:fldChar w:fldCharType="separate"/>
      </w:r>
      <w:r w:rsidRPr="005F055E">
        <w:rPr>
          <w:color w:val="0563C1" w:themeColor="hyperlink"/>
          <w:szCs w:val="20"/>
          <w:u w:val="single"/>
          <w:lang w:eastAsia="nl-NL"/>
        </w:rPr>
        <w:t>StatLine</w:t>
      </w:r>
      <w:proofErr w:type="spellEnd"/>
      <w:r w:rsidRPr="005F055E">
        <w:rPr>
          <w:color w:val="0563C1" w:themeColor="hyperlink"/>
          <w:szCs w:val="20"/>
          <w:u w:val="single"/>
          <w:lang w:eastAsia="nl-NL"/>
        </w:rPr>
        <w:t xml:space="preserve"> - Personen met indicatie; grondslag, zzp, stand en in- en uitstroom, kwartaal</w:t>
      </w:r>
      <w:r>
        <w:fldChar w:fldCharType="end"/>
      </w:r>
      <w:r w:rsidRPr="005F055E">
        <w:rPr>
          <w:szCs w:val="20"/>
          <w:lang w:eastAsia="nl-NL"/>
        </w:rPr>
        <w:t xml:space="preserve">) is het aantal cliënten met een indicatie voor verpleging en verzorging (VV) gestegen van circa 171.000 in 2020 tot circa 198.000 in 2025. Op basis van de meest recente </w:t>
      </w:r>
      <w:proofErr w:type="spellStart"/>
      <w:r w:rsidRPr="005F055E">
        <w:rPr>
          <w:szCs w:val="20"/>
          <w:lang w:eastAsia="nl-NL"/>
        </w:rPr>
        <w:t>middellangetermijnraming</w:t>
      </w:r>
      <w:proofErr w:type="spellEnd"/>
      <w:r w:rsidRPr="005F055E">
        <w:rPr>
          <w:szCs w:val="20"/>
          <w:lang w:eastAsia="nl-NL"/>
        </w:rPr>
        <w:t xml:space="preserve"> (MLT) van het CPB is de verwachting dat de VV-populatie op grond van demografische ontwikkelingen jaarlijks met ongeveer 2,7% toeneemt. Daarmee zou het aantal cliënten in 2030 uitkomen op circa 225.000.</w:t>
      </w:r>
    </w:p>
    <w:p w:rsidRPr="005F055E" w:rsidR="004F04EB" w:rsidP="00180EEB" w:rsidRDefault="004F04EB" w14:paraId="2DCD8370" w14:textId="77777777">
      <w:pPr>
        <w:suppressAutoHyphens/>
      </w:pPr>
    </w:p>
    <w:p w:rsidRPr="005F055E" w:rsidR="00274792" w:rsidP="00180EEB" w:rsidRDefault="003E7003" w14:paraId="55A9349C" w14:textId="77777777">
      <w:pPr>
        <w:suppressAutoHyphens/>
      </w:pPr>
      <w:r w:rsidRPr="005F055E">
        <w:t>Vraag 304</w:t>
      </w:r>
      <w:r w:rsidRPr="005F055E">
        <w:tab/>
      </w:r>
    </w:p>
    <w:p w:rsidRPr="005F055E" w:rsidR="00274792" w:rsidP="00180EEB" w:rsidRDefault="003E7003" w14:paraId="5214CE66" w14:textId="77777777">
      <w:pPr>
        <w:suppressAutoHyphens/>
      </w:pPr>
      <w:r w:rsidRPr="005F055E">
        <w:t xml:space="preserve">Wanneer kunnen de uitkomsten van het onderzoek naar de bekostiging van </w:t>
      </w:r>
      <w:proofErr w:type="spellStart"/>
      <w:r w:rsidRPr="005F055E">
        <w:t>reablement</w:t>
      </w:r>
      <w:proofErr w:type="spellEnd"/>
      <w:r w:rsidRPr="005F055E">
        <w:t xml:space="preserve"> verwacht worden?</w:t>
      </w:r>
      <w:r w:rsidRPr="005F055E">
        <w:tab/>
      </w:r>
    </w:p>
    <w:p w:rsidRPr="005F055E" w:rsidR="003E7003" w:rsidP="00180EEB" w:rsidRDefault="003E7003" w14:paraId="2155791D" w14:textId="575424CE">
      <w:pPr>
        <w:suppressAutoHyphens/>
      </w:pPr>
      <w:r w:rsidRPr="005F055E">
        <w:t>Antwoord</w:t>
      </w:r>
    </w:p>
    <w:p w:rsidRPr="005F055E" w:rsidR="00274792" w:rsidP="00180EEB" w:rsidRDefault="0067609F" w14:paraId="3E3C736D" w14:textId="2BE3155E">
      <w:pPr>
        <w:suppressAutoHyphens/>
        <w:spacing w:line="240" w:lineRule="atLeast"/>
        <w:rPr>
          <w:szCs w:val="18"/>
          <w:lang w:eastAsia="nl-NL"/>
        </w:rPr>
      </w:pPr>
      <w:r w:rsidRPr="005F055E">
        <w:rPr>
          <w:szCs w:val="18"/>
          <w:lang w:eastAsia="nl-NL"/>
        </w:rPr>
        <w:t>De uitkomsten van het onderzoek worden eind 2025 verwacht.</w:t>
      </w:r>
    </w:p>
    <w:p w:rsidRPr="005F055E" w:rsidR="004F04EB" w:rsidP="00180EEB" w:rsidRDefault="004F04EB" w14:paraId="47B62535" w14:textId="77777777">
      <w:pPr>
        <w:suppressAutoHyphens/>
      </w:pPr>
    </w:p>
    <w:p w:rsidRPr="005F055E" w:rsidR="00274792" w:rsidP="00180EEB" w:rsidRDefault="003E7003" w14:paraId="1556D521" w14:textId="77777777">
      <w:pPr>
        <w:suppressAutoHyphens/>
      </w:pPr>
      <w:r w:rsidRPr="005F055E">
        <w:t>Vraag 305</w:t>
      </w:r>
      <w:r w:rsidRPr="005F055E">
        <w:tab/>
      </w:r>
    </w:p>
    <w:p w:rsidRPr="005F055E" w:rsidR="00274792" w:rsidP="00180EEB" w:rsidRDefault="003E7003" w14:paraId="583160DB" w14:textId="77777777">
      <w:pPr>
        <w:suppressAutoHyphens/>
      </w:pPr>
      <w:r w:rsidRPr="005F055E">
        <w:t xml:space="preserve">Op welke manier wordt meer maatwerk in de </w:t>
      </w:r>
      <w:proofErr w:type="spellStart"/>
      <w:r w:rsidRPr="005F055E">
        <w:t>Wlz</w:t>
      </w:r>
      <w:proofErr w:type="spellEnd"/>
      <w:r w:rsidRPr="005F055E">
        <w:t xml:space="preserve"> mogelijk gemaakt?</w:t>
      </w:r>
      <w:r w:rsidRPr="005F055E">
        <w:tab/>
      </w:r>
    </w:p>
    <w:p w:rsidRPr="005F055E" w:rsidR="003E7003" w:rsidP="00180EEB" w:rsidRDefault="003E7003" w14:paraId="67140E92" w14:textId="3F3B1214">
      <w:pPr>
        <w:suppressAutoHyphens/>
      </w:pPr>
      <w:r w:rsidRPr="005F055E">
        <w:t>Antwoord</w:t>
      </w:r>
    </w:p>
    <w:p w:rsidRPr="005F055E" w:rsidR="00194494" w:rsidP="00180EEB" w:rsidRDefault="0067609F" w14:paraId="6CC6C784" w14:textId="54906A4C">
      <w:pPr>
        <w:suppressAutoHyphens/>
      </w:pPr>
      <w:r w:rsidRPr="005F055E">
        <w:rPr>
          <w:szCs w:val="18"/>
          <w:lang w:eastAsia="nl-NL"/>
        </w:rPr>
        <w:t xml:space="preserve">Bij maatwerk in de </w:t>
      </w:r>
      <w:proofErr w:type="spellStart"/>
      <w:r w:rsidRPr="005F055E">
        <w:rPr>
          <w:szCs w:val="18"/>
          <w:lang w:eastAsia="nl-NL"/>
        </w:rPr>
        <w:t>Wlz</w:t>
      </w:r>
      <w:proofErr w:type="spellEnd"/>
      <w:r w:rsidRPr="005F055E">
        <w:rPr>
          <w:szCs w:val="18"/>
          <w:lang w:eastAsia="nl-NL"/>
        </w:rPr>
        <w:t xml:space="preserve"> gaat het om het bekostigen van zorg die aansluit op de zorgbehoefte van de individuele cliënt. Dit maatwerk is vooral aan de orde bij cliënten die hun zorg thuis ontvangen, waaronder cliënten met een persoonsgebonden budget (pgb). Regelgeving maakt het mogelijk dat thuis extra zorg kan worden gefinancierd dan ten opzichte van de zorg die beschikbaar is op basis van het best passend zorgprofiel. Dit maatwerk kan bijvoorbeeld op basis van de regeling Extra kosten thuis, diverse toeslagen voor specifieke cliëntsituaties en de regeling </w:t>
      </w:r>
      <w:proofErr w:type="spellStart"/>
      <w:r w:rsidRPr="005F055E">
        <w:rPr>
          <w:szCs w:val="18"/>
          <w:lang w:eastAsia="nl-NL"/>
        </w:rPr>
        <w:t>meerzorg</w:t>
      </w:r>
      <w:proofErr w:type="spellEnd"/>
      <w:r w:rsidRPr="005F055E">
        <w:rPr>
          <w:szCs w:val="18"/>
          <w:lang w:eastAsia="nl-NL"/>
        </w:rPr>
        <w:t xml:space="preserve"> (voor cliënten met een bijzondere zorgbehoefte). Wanneer meer maatwerk nodig is, wordt dit bezien op basis van casuïstiek en wordt in overleg met vertegenwoordigers van cliëntenorganisaties en de zorgkantoren naar een passende oplossing gezocht.</w:t>
      </w:r>
    </w:p>
    <w:p w:rsidRPr="005F055E" w:rsidR="00194494" w:rsidP="00180EEB" w:rsidRDefault="00194494" w14:paraId="749A836F" w14:textId="77777777">
      <w:pPr>
        <w:suppressAutoHyphens/>
      </w:pPr>
    </w:p>
    <w:p w:rsidRPr="005F055E" w:rsidR="00274792" w:rsidP="00180EEB" w:rsidRDefault="003E7003" w14:paraId="01107175" w14:textId="20E10C1D">
      <w:pPr>
        <w:suppressAutoHyphens/>
      </w:pPr>
      <w:r w:rsidRPr="005F055E">
        <w:t>Vraag 306</w:t>
      </w:r>
      <w:r w:rsidRPr="005F055E">
        <w:tab/>
      </w:r>
    </w:p>
    <w:p w:rsidRPr="005F055E" w:rsidR="00274792" w:rsidP="00180EEB" w:rsidRDefault="003E7003" w14:paraId="379F3561" w14:textId="77777777">
      <w:pPr>
        <w:suppressAutoHyphens/>
      </w:pPr>
      <w:r w:rsidRPr="005F055E">
        <w:t xml:space="preserve">Wanneer kan het afwegingskader zorg met verblijf in de </w:t>
      </w:r>
      <w:proofErr w:type="spellStart"/>
      <w:r w:rsidRPr="005F055E">
        <w:t>Wlz</w:t>
      </w:r>
      <w:proofErr w:type="spellEnd"/>
      <w:r w:rsidRPr="005F055E">
        <w:t xml:space="preserve"> verwacht worden?</w:t>
      </w:r>
      <w:r w:rsidRPr="005F055E">
        <w:tab/>
      </w:r>
    </w:p>
    <w:p w:rsidRPr="005F055E" w:rsidR="003E7003" w:rsidP="00180EEB" w:rsidRDefault="003E7003" w14:paraId="077FEA5C" w14:textId="6EDD374B">
      <w:pPr>
        <w:suppressAutoHyphens/>
      </w:pPr>
      <w:r w:rsidRPr="005F055E">
        <w:t>Antwoord</w:t>
      </w:r>
    </w:p>
    <w:p w:rsidRPr="005F055E" w:rsidR="00855C28" w:rsidP="00180EEB" w:rsidRDefault="00855C28" w14:paraId="11B9A9E4" w14:textId="77777777">
      <w:pPr>
        <w:suppressAutoHyphens/>
        <w:rPr>
          <w:rFonts w:cs="Calibri"/>
          <w:szCs w:val="18"/>
          <w:lang w:eastAsia="nl-NL"/>
        </w:rPr>
      </w:pPr>
      <w:r w:rsidRPr="005F055E">
        <w:rPr>
          <w:rFonts w:cs="Calibri"/>
          <w:szCs w:val="18"/>
          <w:lang w:eastAsia="nl-NL"/>
        </w:rPr>
        <w:t xml:space="preserve">In het Hoofdlijnenakkoord Ouderenzorg is afgesproken dat in de </w:t>
      </w:r>
      <w:proofErr w:type="spellStart"/>
      <w:r w:rsidRPr="005F055E">
        <w:rPr>
          <w:rFonts w:cs="Calibri"/>
          <w:szCs w:val="18"/>
          <w:lang w:eastAsia="nl-NL"/>
        </w:rPr>
        <w:t>Wlz</w:t>
      </w:r>
      <w:proofErr w:type="spellEnd"/>
      <w:r w:rsidRPr="005F055E">
        <w:rPr>
          <w:rFonts w:cs="Calibri"/>
          <w:szCs w:val="18"/>
          <w:lang w:eastAsia="nl-NL"/>
        </w:rPr>
        <w:t xml:space="preserve"> een afwegingskader voor verblijf wordt ingevoerd op basis waarvan wordt bepaald of een oudere in aanmerking komt voor verblijf in een verpleeghuis. Op verzoek van VWS ontwikkelt het Zorginstituut dit afwegingskader. De verwachting is dat het afwegingskader in april 2026 gereed is. </w:t>
      </w:r>
    </w:p>
    <w:p w:rsidRPr="005F055E" w:rsidR="00212E67" w:rsidP="00180EEB" w:rsidRDefault="00855C28" w14:paraId="7670953C" w14:textId="434ACFEF">
      <w:pPr>
        <w:suppressAutoHyphens/>
        <w:rPr>
          <w:rFonts w:cs="Calibri"/>
          <w:szCs w:val="18"/>
          <w:lang w:eastAsia="nl-NL"/>
        </w:rPr>
      </w:pPr>
      <w:r w:rsidRPr="005F055E">
        <w:rPr>
          <w:rFonts w:cs="Calibri"/>
          <w:szCs w:val="18"/>
          <w:lang w:eastAsia="nl-NL"/>
        </w:rPr>
        <w:t>Parallel worden, zoals afgesproken in het Hoofdlijnenakkoord Ouderenzorg, de juridische, organisatorische en uitvoeringstechnische consequenties in beeld gebracht. Op basis van de uitkomsten worden de benodigde wijzigingen in wet- en regelgeving in gang gezet. Het streven is om per 1 januari 2028 het afwegingskader, met de benodigde wijzigingen in wet- en regelgeving,</w:t>
      </w:r>
      <w:r w:rsidRPr="005F055E" w:rsidR="00D73F76">
        <w:rPr>
          <w:rFonts w:cs="Calibri"/>
          <w:szCs w:val="18"/>
          <w:lang w:eastAsia="nl-NL"/>
        </w:rPr>
        <w:t xml:space="preserve"> </w:t>
      </w:r>
      <w:r w:rsidRPr="005F055E">
        <w:rPr>
          <w:rFonts w:cs="Calibri"/>
          <w:szCs w:val="18"/>
          <w:lang w:eastAsia="nl-NL"/>
        </w:rPr>
        <w:t>in te voeren.</w:t>
      </w:r>
    </w:p>
    <w:p w:rsidR="00D544B0" w:rsidP="00180EEB" w:rsidRDefault="00D544B0" w14:paraId="79F15144" w14:textId="77777777">
      <w:pPr>
        <w:suppressAutoHyphens/>
      </w:pPr>
    </w:p>
    <w:p w:rsidRPr="005F055E" w:rsidR="00212E67" w:rsidP="00180EEB" w:rsidRDefault="003E7003" w14:paraId="67D450C9" w14:textId="3052F798">
      <w:pPr>
        <w:suppressAutoHyphens/>
      </w:pPr>
      <w:r w:rsidRPr="005F055E">
        <w:t>Vraag 307</w:t>
      </w:r>
      <w:r w:rsidRPr="005F055E">
        <w:tab/>
      </w:r>
    </w:p>
    <w:p w:rsidRPr="005F055E" w:rsidR="00212E67" w:rsidP="00180EEB" w:rsidRDefault="003E7003" w14:paraId="5336A53C" w14:textId="726DCE1A">
      <w:pPr>
        <w:suppressAutoHyphens/>
      </w:pPr>
      <w:r w:rsidRPr="005F055E">
        <w:t>Hoe groot is het tekort aan zorggeschikte woningen voor ouderen met een beperking momenteel?</w:t>
      </w:r>
    </w:p>
    <w:p w:rsidRPr="005F055E" w:rsidR="003E7003" w:rsidP="00180EEB" w:rsidRDefault="003E7003" w14:paraId="514E6D70" w14:textId="572C228F">
      <w:pPr>
        <w:suppressAutoHyphens/>
      </w:pPr>
      <w:r w:rsidRPr="005F055E">
        <w:t>Antwoord</w:t>
      </w:r>
    </w:p>
    <w:p w:rsidRPr="005F055E" w:rsidR="00212E67" w:rsidP="00180EEB" w:rsidRDefault="007E044A" w14:paraId="37B56479" w14:textId="41B7703E">
      <w:pPr>
        <w:suppressAutoHyphens/>
        <w:spacing w:line="240" w:lineRule="atLeast"/>
        <w:rPr>
          <w:szCs w:val="18"/>
          <w:lang w:eastAsia="nl-NL"/>
        </w:rPr>
      </w:pPr>
      <w:r w:rsidRPr="005F055E">
        <w:rPr>
          <w:szCs w:val="18"/>
          <w:lang w:eastAsia="nl-NL"/>
        </w:rPr>
        <w:t>Het is niet mogelijk om op basis van de huidige beschikbare informatie aan te geven hoe groot het huidige tekort aan zorggeschikte woningen is. Wel is op basis van een prognose van het RIVM/ABF bekend dat een toename van 40.000 zorggeschikte woningen tot en met 2030 gewenst is (en ook is vastgelegd in de woondealafspraken).</w:t>
      </w:r>
      <w:r w:rsidRPr="005F055E" w:rsidR="00D73F76">
        <w:rPr>
          <w:szCs w:val="18"/>
          <w:lang w:eastAsia="nl-NL"/>
        </w:rPr>
        <w:t xml:space="preserve"> </w:t>
      </w:r>
    </w:p>
    <w:p w:rsidRPr="005F055E" w:rsidR="004F04EB" w:rsidP="00180EEB" w:rsidRDefault="004F04EB" w14:paraId="69705DC3" w14:textId="77777777">
      <w:pPr>
        <w:suppressAutoHyphens/>
      </w:pPr>
    </w:p>
    <w:p w:rsidRPr="005F055E" w:rsidR="00212E67" w:rsidP="00180EEB" w:rsidRDefault="003E7003" w14:paraId="4F170303" w14:textId="77777777">
      <w:pPr>
        <w:suppressAutoHyphens/>
      </w:pPr>
      <w:r w:rsidRPr="005F055E">
        <w:t>Vraag 308</w:t>
      </w:r>
      <w:r w:rsidRPr="005F055E">
        <w:tab/>
      </w:r>
    </w:p>
    <w:p w:rsidRPr="005F055E" w:rsidR="00212E67" w:rsidP="00180EEB" w:rsidRDefault="003E7003" w14:paraId="3A03053D" w14:textId="77777777">
      <w:pPr>
        <w:suppressAutoHyphens/>
      </w:pPr>
      <w:r w:rsidRPr="005F055E">
        <w:t>Hoe groot is het tekort aan geschikte woningen voor ouderen momenteel?</w:t>
      </w:r>
      <w:r w:rsidRPr="005F055E">
        <w:tab/>
      </w:r>
    </w:p>
    <w:p w:rsidRPr="005F055E" w:rsidR="003E7003" w:rsidP="00180EEB" w:rsidRDefault="003E7003" w14:paraId="48C94D5C" w14:textId="40DB5970">
      <w:pPr>
        <w:suppressAutoHyphens/>
      </w:pPr>
      <w:r w:rsidRPr="005F055E">
        <w:t>Antwoord</w:t>
      </w:r>
    </w:p>
    <w:p w:rsidRPr="005F055E" w:rsidR="0067609F" w:rsidP="00180EEB" w:rsidRDefault="0067609F" w14:paraId="5D89DF1B" w14:textId="77777777">
      <w:pPr>
        <w:suppressAutoHyphens/>
        <w:spacing w:line="240" w:lineRule="atLeast"/>
        <w:rPr>
          <w:szCs w:val="20"/>
          <w:lang w:eastAsia="nl-NL"/>
        </w:rPr>
      </w:pPr>
      <w:r w:rsidRPr="005F055E">
        <w:rPr>
          <w:szCs w:val="20"/>
          <w:lang w:eastAsia="nl-NL"/>
        </w:rPr>
        <w:t xml:space="preserve">Er is geen registratie van het ‘tekort aan seniorenwoningen’. Op basis van een ramingsmodel van onderzoeksinstituut ABF is een inschatting gemaakt van het aantal extra woningen dat de komende jaren nodig is voor ouderen. Hierbij is vooral de groei van het aantal ouderen van belang. In het kader van het programma WOZO (Wonen, Zorg en Ondersteuning voor Ouderen) zijn in 2022 afspraken gemaakt over een uitbreiding met 290.000 woningen voor ouderen in de periode t/m 2030 (170.000 </w:t>
      </w:r>
      <w:proofErr w:type="spellStart"/>
      <w:r w:rsidRPr="005F055E">
        <w:rPr>
          <w:szCs w:val="20"/>
          <w:lang w:eastAsia="nl-NL"/>
        </w:rPr>
        <w:t>nultredenwoningen</w:t>
      </w:r>
      <w:proofErr w:type="spellEnd"/>
      <w:r w:rsidRPr="005F055E">
        <w:rPr>
          <w:szCs w:val="20"/>
          <w:lang w:eastAsia="nl-NL"/>
        </w:rPr>
        <w:t>, 80.000 geclusterde woningen, 40.000 zorggeschikte woningen).</w:t>
      </w:r>
    </w:p>
    <w:p w:rsidRPr="005F055E" w:rsidR="00212E67" w:rsidP="00180EEB" w:rsidRDefault="00212E67" w14:paraId="47B1A970" w14:textId="77777777">
      <w:pPr>
        <w:suppressAutoHyphens/>
      </w:pPr>
    </w:p>
    <w:p w:rsidRPr="005F055E" w:rsidR="00212E67" w:rsidP="00180EEB" w:rsidRDefault="003E7003" w14:paraId="6839006F" w14:textId="77777777">
      <w:pPr>
        <w:suppressAutoHyphens/>
      </w:pPr>
      <w:r w:rsidRPr="005F055E">
        <w:t>Vraag 309</w:t>
      </w:r>
      <w:r w:rsidRPr="005F055E">
        <w:tab/>
      </w:r>
    </w:p>
    <w:p w:rsidRPr="005F055E" w:rsidR="00212E67" w:rsidP="00180EEB" w:rsidRDefault="003E7003" w14:paraId="42B23DBC" w14:textId="77777777">
      <w:pPr>
        <w:suppressAutoHyphens/>
      </w:pPr>
      <w:r w:rsidRPr="005F055E">
        <w:t>Op welke manier wordt de verlaging van de eerder ingevoerde bezuiniging op de ouderenzorg bekostigd?</w:t>
      </w:r>
      <w:r w:rsidRPr="005F055E">
        <w:tab/>
      </w:r>
    </w:p>
    <w:p w:rsidRPr="005F055E" w:rsidR="003E7003" w:rsidP="00180EEB" w:rsidRDefault="003E7003" w14:paraId="6DA99CEF" w14:textId="6DD29530">
      <w:pPr>
        <w:suppressAutoHyphens/>
      </w:pPr>
      <w:r w:rsidRPr="005F055E">
        <w:t>Antwoord</w:t>
      </w:r>
    </w:p>
    <w:p w:rsidRPr="005F055E" w:rsidR="00212E67" w:rsidP="00180EEB" w:rsidRDefault="0067609F" w14:paraId="08791C26" w14:textId="3559E419">
      <w:pPr>
        <w:suppressAutoHyphens/>
        <w:spacing w:line="240" w:lineRule="atLeast"/>
        <w:rPr>
          <w:szCs w:val="18"/>
          <w:lang w:eastAsia="nl-NL"/>
        </w:rPr>
      </w:pPr>
      <w:r w:rsidRPr="005F055E">
        <w:rPr>
          <w:szCs w:val="18"/>
          <w:lang w:eastAsia="nl-NL"/>
        </w:rPr>
        <w:t xml:space="preserve">De verzachting van de tariefmaatregelen op de ouderenzorg is financieel gedekt binnen het geheel van afspraken die zijn gemaakt in het Hoofdlijnenakkoord Ouderenzorg (HLO). Onderdeel daarvan zijn een tijdelijke bijdrage vanuit de enveloppe voor betere ouderenzorg en de opbrengsten van de maatregel gericht op vereenvoudiging van de leveringsvormen voor </w:t>
      </w:r>
      <w:proofErr w:type="spellStart"/>
      <w:r w:rsidRPr="005F055E">
        <w:rPr>
          <w:szCs w:val="18"/>
          <w:lang w:eastAsia="nl-NL"/>
        </w:rPr>
        <w:t>Wlz</w:t>
      </w:r>
      <w:proofErr w:type="spellEnd"/>
      <w:r w:rsidRPr="005F055E">
        <w:rPr>
          <w:szCs w:val="18"/>
          <w:lang w:eastAsia="nl-NL"/>
        </w:rPr>
        <w:t>-ouderenzorg thuis.</w:t>
      </w:r>
    </w:p>
    <w:p w:rsidRPr="005F055E" w:rsidR="00212E67" w:rsidP="00180EEB" w:rsidRDefault="00212E67" w14:paraId="205F0AA4" w14:textId="77777777">
      <w:pPr>
        <w:suppressAutoHyphens/>
      </w:pPr>
    </w:p>
    <w:p w:rsidR="006D333D" w:rsidP="00180EEB" w:rsidRDefault="006D333D" w14:paraId="58B51C30" w14:textId="77777777">
      <w:pPr>
        <w:suppressAutoHyphens/>
      </w:pPr>
    </w:p>
    <w:p w:rsidRPr="005F055E" w:rsidR="00212E67" w:rsidP="00180EEB" w:rsidRDefault="003E7003" w14:paraId="0DF8EF2C" w14:textId="20C8F6E9">
      <w:pPr>
        <w:suppressAutoHyphens/>
      </w:pPr>
      <w:r w:rsidRPr="005F055E">
        <w:t>Vraag 310</w:t>
      </w:r>
      <w:r w:rsidRPr="005F055E">
        <w:tab/>
      </w:r>
    </w:p>
    <w:p w:rsidRPr="005F055E" w:rsidR="00212E67" w:rsidP="00180EEB" w:rsidRDefault="003E7003" w14:paraId="5FB66BB6" w14:textId="77777777">
      <w:pPr>
        <w:suppressAutoHyphens/>
      </w:pPr>
      <w:r w:rsidRPr="005F055E">
        <w:t>Hoeveel mantelzorgers krijgen extra ondersteuning op basis van de bestuurlijke afspraken in het Hoofdlijnenakkoord Ouderenzorg?</w:t>
      </w:r>
      <w:r w:rsidRPr="005F055E">
        <w:tab/>
      </w:r>
    </w:p>
    <w:p w:rsidRPr="005F055E" w:rsidR="003E7003" w:rsidP="00180EEB" w:rsidRDefault="003E7003" w14:paraId="1EF666DA" w14:textId="21FC1B77">
      <w:pPr>
        <w:suppressAutoHyphens/>
      </w:pPr>
      <w:r w:rsidRPr="005F055E">
        <w:t>Antwoord</w:t>
      </w:r>
    </w:p>
    <w:p w:rsidRPr="005F055E" w:rsidR="00212E67" w:rsidP="00180EEB" w:rsidRDefault="004F04EB" w14:paraId="173B7BCC" w14:textId="2817D400">
      <w:pPr>
        <w:suppressAutoHyphens/>
        <w:rPr>
          <w:szCs w:val="18"/>
        </w:rPr>
      </w:pPr>
      <w:r w:rsidRPr="005F055E">
        <w:rPr>
          <w:szCs w:val="18"/>
        </w:rPr>
        <w:t>Er zijn landelijk geen exacte cijfers beschikbaar over het gebruik van (de verschillende vormen van) mantelzorgondersteuning. In het Hoofdlijnenakkoord Ouderenzorg (HLO) zijn meerdere maatregelen opgenomen die bijdragen aan de versterking van het ondersteuningsaanbod voor mantelzorgers. Zoals in het HLO opgenomen worden deze afspraken momenteel inhoudelijk nader uitgewerkt met de VNG en ZN. De uitvoering hiervan kan, gelet op de beleidsruimte en bestedingsvrijheid van gemeenten, op lokaal niveau verschillen.</w:t>
      </w:r>
      <w:r w:rsidRPr="005F055E" w:rsidR="00D73F76">
        <w:rPr>
          <w:szCs w:val="18"/>
        </w:rPr>
        <w:t xml:space="preserve"> </w:t>
      </w:r>
    </w:p>
    <w:p w:rsidRPr="005F055E" w:rsidR="00212E67" w:rsidP="00180EEB" w:rsidRDefault="00212E67" w14:paraId="545C5BFD" w14:textId="77777777">
      <w:pPr>
        <w:suppressAutoHyphens/>
      </w:pPr>
    </w:p>
    <w:p w:rsidRPr="005F055E" w:rsidR="00212E67" w:rsidP="00180EEB" w:rsidRDefault="003E7003" w14:paraId="57921229" w14:textId="77777777">
      <w:pPr>
        <w:suppressAutoHyphens/>
      </w:pPr>
      <w:r w:rsidRPr="005F055E">
        <w:t>Vraag 311</w:t>
      </w:r>
      <w:r w:rsidRPr="005F055E">
        <w:tab/>
      </w:r>
    </w:p>
    <w:p w:rsidRPr="005F055E" w:rsidR="00212E67" w:rsidP="00180EEB" w:rsidRDefault="003E7003" w14:paraId="4B895147" w14:textId="77777777">
      <w:pPr>
        <w:suppressAutoHyphens/>
      </w:pPr>
      <w:r w:rsidRPr="005F055E">
        <w:t>Hoeveel van de €600 miljoen gereserveerd voor verzorgingstehuizen is er nog over? Is er geld ‘kwijtgeraakt’ voor de ouderenzorg, inclusief huisvesting?</w:t>
      </w:r>
      <w:r w:rsidRPr="005F055E">
        <w:tab/>
      </w:r>
    </w:p>
    <w:p w:rsidR="00D544B0" w:rsidP="00180EEB" w:rsidRDefault="00D544B0" w14:paraId="37E2578C" w14:textId="77777777">
      <w:pPr>
        <w:suppressAutoHyphens/>
      </w:pPr>
    </w:p>
    <w:p w:rsidRPr="005F055E" w:rsidR="003E7003" w:rsidP="00180EEB" w:rsidRDefault="003E7003" w14:paraId="6DD46D91" w14:textId="39C78FBF">
      <w:pPr>
        <w:suppressAutoHyphens/>
      </w:pPr>
      <w:r w:rsidRPr="005F055E">
        <w:t>Antwoord</w:t>
      </w:r>
    </w:p>
    <w:p w:rsidRPr="005F055E" w:rsidR="0067609F" w:rsidP="00180EEB" w:rsidRDefault="0067609F" w14:paraId="21AF292C" w14:textId="037562A1">
      <w:pPr>
        <w:suppressAutoHyphens/>
        <w:spacing w:line="240" w:lineRule="atLeast"/>
        <w:rPr>
          <w:szCs w:val="18"/>
          <w:lang w:eastAsia="nl-NL"/>
        </w:rPr>
      </w:pPr>
      <w:r w:rsidRPr="005F055E">
        <w:rPr>
          <w:szCs w:val="18"/>
          <w:lang w:eastAsia="nl-NL"/>
        </w:rPr>
        <w:t>Bijgaande tabel geeft een overzicht van de benutting van de enveloppe voor betere ouderenzorg op de Aanvullende Post bij het ministerie van Financiën. De bedragen zijn hierbij afgerond op miljoenen.</w:t>
      </w:r>
    </w:p>
    <w:p w:rsidRPr="005F055E" w:rsidR="0067609F" w:rsidP="00180EEB" w:rsidRDefault="0067609F" w14:paraId="2E5BB380" w14:textId="4955629D">
      <w:pPr>
        <w:suppressAutoHyphens/>
        <w:spacing w:line="240" w:lineRule="atLeast"/>
        <w:rPr>
          <w:szCs w:val="18"/>
          <w:lang w:eastAsia="nl-NL"/>
        </w:rPr>
      </w:pPr>
      <w:r w:rsidRPr="005F055E">
        <w:rPr>
          <w:noProof/>
          <w:szCs w:val="18"/>
        </w:rPr>
        <w:drawing>
          <wp:inline distT="0" distB="0" distL="0" distR="0" wp14:anchorId="20036F34" wp14:editId="3ECDD616">
            <wp:extent cx="5732145" cy="1781810"/>
            <wp:effectExtent l="0" t="0" r="1905" b="8890"/>
            <wp:docPr id="1849510860"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10860" name="Picture 1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732145" cy="1781810"/>
                    </a:xfrm>
                    <a:prstGeom prst="rect">
                      <a:avLst/>
                    </a:prstGeom>
                    <a:noFill/>
                    <a:ln>
                      <a:noFill/>
                    </a:ln>
                  </pic:spPr>
                </pic:pic>
              </a:graphicData>
            </a:graphic>
          </wp:inline>
        </w:drawing>
      </w:r>
    </w:p>
    <w:p w:rsidR="006D333D" w:rsidP="00180EEB" w:rsidRDefault="0067609F" w14:paraId="2DEB6D6B" w14:textId="77777777">
      <w:pPr>
        <w:suppressAutoHyphens/>
        <w:spacing w:line="240" w:lineRule="atLeast"/>
        <w:rPr>
          <w:szCs w:val="18"/>
          <w:lang w:eastAsia="nl-NL"/>
        </w:rPr>
      </w:pPr>
      <w:r w:rsidRPr="005F055E">
        <w:rPr>
          <w:szCs w:val="18"/>
          <w:lang w:eastAsia="nl-NL"/>
        </w:rPr>
        <w:t xml:space="preserve">In het Hoofdlijnenakkoord (HLA) is vanaf 2027 structureel € 600 miljoen beschikbaar gesteld voor investeringen in </w:t>
      </w:r>
      <w:r w:rsidRPr="005F055E">
        <w:rPr>
          <w:szCs w:val="20"/>
          <w:lang w:eastAsia="nl-NL"/>
        </w:rPr>
        <w:t>verzorgings- en verpleeghuisplekken</w:t>
      </w:r>
      <w:r w:rsidRPr="005F055E">
        <w:rPr>
          <w:szCs w:val="18"/>
          <w:lang w:eastAsia="nl-NL"/>
        </w:rPr>
        <w:t>. Met de toevoeging van de loon- en prijsbijstelling over 2025 kwam aanvullend structureel € 27,8 miljoen beschikbaar. Een deel van de envelop is inmiddels tijdelijk ingezet voor afspraken in het Hoofdlijnenakkoord ouderenzorg (HLO). In de jaren 2027-2029 gaat het om respectievelijk € 229 miljoen, € 148 miljoen en € 41 miljoen. Omdat de financiële afspraken in het HLO al per 2026 ingaan is een deel van de middelen naar 2026 geschoven (€ 171 miljoen euro vanuit 2027, € 92 miljoen euro vanuit 2028 en € 18 miljoen vanuit 2029). Daarnaast wordt er in 2027 € 65 miljoen euro ingezet ter (</w:t>
      </w:r>
      <w:proofErr w:type="spellStart"/>
      <w:r w:rsidRPr="005F055E">
        <w:rPr>
          <w:szCs w:val="18"/>
          <w:lang w:eastAsia="nl-NL"/>
        </w:rPr>
        <w:t>intertemporele</w:t>
      </w:r>
      <w:proofErr w:type="spellEnd"/>
      <w:r w:rsidRPr="005F055E">
        <w:rPr>
          <w:szCs w:val="18"/>
          <w:lang w:eastAsia="nl-NL"/>
        </w:rPr>
        <w:t>) dekking van de motie Dobbe en Westerveld</w:t>
      </w:r>
      <w:r w:rsidRPr="005F055E">
        <w:rPr>
          <w:szCs w:val="18"/>
          <w:vertAlign w:val="superscript"/>
          <w:lang w:eastAsia="nl-NL"/>
        </w:rPr>
        <w:footnoteReference w:id="120"/>
      </w:r>
      <w:r w:rsidRPr="005F055E">
        <w:rPr>
          <w:szCs w:val="18"/>
          <w:lang w:eastAsia="nl-NL"/>
        </w:rPr>
        <w:t xml:space="preserve"> om de tariefmaatregel meerjarig contracteren in de gehandicaptenzorg en de langdurige </w:t>
      </w:r>
      <w:r w:rsidR="00D55762">
        <w:rPr>
          <w:szCs w:val="18"/>
          <w:lang w:eastAsia="nl-NL"/>
        </w:rPr>
        <w:t>GGZ</w:t>
      </w:r>
      <w:r w:rsidRPr="005F055E">
        <w:rPr>
          <w:szCs w:val="18"/>
          <w:lang w:eastAsia="nl-NL"/>
        </w:rPr>
        <w:t xml:space="preserve"> voor 2026 niet in te laten gaan. Ook wordt er € 4,4 miljoen euro in 2027 en vanaf 2028 structureel € 7,7 miljoen ingezet voor het toevoegen van twee doelgroepen in de aanspraak op gespecialiseerde langdurige zorg (traject ‘laag volume hoog complex’ (LVHC)). Ter dekking van structurele problematiek op de Rijksbegroting wordt structureel € 150 miljoen euro vanaf 2027 ingezet. Als laatste vindt er een kasschuif plaats van € 91 miljoen van 2029 naar 2028 om andere kasschuiven op de VWS-begroting mogelijk te maken zonder het saldo in deze jaren te belasten. Er resteert nu een structureel bedrag van € 470 miljoen dat </w:t>
      </w:r>
      <w:r w:rsidRPr="005F055E" w:rsidR="002F2AED">
        <w:rPr>
          <w:szCs w:val="18"/>
          <w:lang w:eastAsia="nl-NL"/>
        </w:rPr>
        <w:t>beschikbaar is</w:t>
      </w:r>
      <w:r w:rsidRPr="005F055E">
        <w:rPr>
          <w:szCs w:val="18"/>
          <w:lang w:eastAsia="nl-NL"/>
        </w:rPr>
        <w:t xml:space="preserve"> voor de realisatie van moderne verzorgingshuizen, zoals toegelicht in</w:t>
      </w:r>
      <w:r w:rsidRPr="005F055E" w:rsidR="002F2AED">
        <w:rPr>
          <w:szCs w:val="18"/>
          <w:lang w:eastAsia="nl-NL"/>
        </w:rPr>
        <w:t xml:space="preserve"> de</w:t>
      </w:r>
      <w:r w:rsidRPr="005F055E">
        <w:rPr>
          <w:szCs w:val="18"/>
          <w:lang w:eastAsia="nl-NL"/>
        </w:rPr>
        <w:t xml:space="preserve"> brief </w:t>
      </w:r>
      <w:r w:rsidRPr="005F055E" w:rsidR="002F2AED">
        <w:rPr>
          <w:szCs w:val="18"/>
          <w:lang w:eastAsia="nl-NL"/>
        </w:rPr>
        <w:t xml:space="preserve">van </w:t>
      </w:r>
    </w:p>
    <w:p w:rsidRPr="005F055E" w:rsidR="0067609F" w:rsidP="00180EEB" w:rsidRDefault="002F2AED" w14:paraId="58F73D9C" w14:textId="37074B95">
      <w:pPr>
        <w:suppressAutoHyphens/>
        <w:spacing w:line="240" w:lineRule="atLeast"/>
        <w:rPr>
          <w:szCs w:val="18"/>
          <w:lang w:eastAsia="nl-NL"/>
        </w:rPr>
      </w:pPr>
      <w:r w:rsidRPr="005F055E">
        <w:rPr>
          <w:szCs w:val="18"/>
          <w:lang w:eastAsia="nl-NL"/>
        </w:rPr>
        <w:t xml:space="preserve">de staatssecretaris Langdurige en Maatschappelijke Zorg </w:t>
      </w:r>
      <w:r w:rsidRPr="005F055E" w:rsidR="0067609F">
        <w:rPr>
          <w:szCs w:val="18"/>
          <w:lang w:eastAsia="nl-NL"/>
        </w:rPr>
        <w:t>over vergrijzing en het integrale ouderenbeleid</w:t>
      </w:r>
      <w:r w:rsidRPr="005F055E" w:rsidR="0067609F">
        <w:rPr>
          <w:szCs w:val="18"/>
          <w:vertAlign w:val="superscript"/>
          <w:lang w:eastAsia="nl-NL"/>
        </w:rPr>
        <w:footnoteReference w:id="121"/>
      </w:r>
      <w:r w:rsidRPr="005F055E" w:rsidR="0067609F">
        <w:rPr>
          <w:szCs w:val="18"/>
          <w:lang w:eastAsia="nl-NL"/>
        </w:rPr>
        <w:t xml:space="preserve">. </w:t>
      </w:r>
      <w:r w:rsidRPr="005F055E" w:rsidR="0067609F">
        <w:rPr>
          <w:szCs w:val="20"/>
          <w:lang w:eastAsia="nl-NL"/>
        </w:rPr>
        <w:t>Op dit moment worden de details uitgewerkt van het op termijn introduceren van de moderne verzorgingshuizen.</w:t>
      </w:r>
    </w:p>
    <w:p w:rsidRPr="005F055E" w:rsidR="00212E67" w:rsidP="00180EEB" w:rsidRDefault="00212E67" w14:paraId="66FA3C43" w14:textId="77777777">
      <w:pPr>
        <w:suppressAutoHyphens/>
      </w:pPr>
    </w:p>
    <w:p w:rsidRPr="005F055E" w:rsidR="00212E67" w:rsidP="00180EEB" w:rsidRDefault="003E7003" w14:paraId="3AB024F2" w14:textId="77777777">
      <w:pPr>
        <w:suppressAutoHyphens/>
      </w:pPr>
      <w:r w:rsidRPr="005F055E">
        <w:t>Vraag 312</w:t>
      </w:r>
      <w:r w:rsidRPr="005F055E">
        <w:tab/>
      </w:r>
    </w:p>
    <w:p w:rsidRPr="005F055E" w:rsidR="00212E67" w:rsidP="00180EEB" w:rsidRDefault="003E7003" w14:paraId="3F132319" w14:textId="77777777">
      <w:pPr>
        <w:suppressAutoHyphens/>
      </w:pPr>
      <w:r w:rsidRPr="005F055E">
        <w:t>Klopt het dat de monitor geclusterd wonen een verwachte onderschatting is?</w:t>
      </w:r>
      <w:r w:rsidRPr="005F055E">
        <w:tab/>
      </w:r>
    </w:p>
    <w:p w:rsidRPr="005F055E" w:rsidR="003E7003" w:rsidP="00180EEB" w:rsidRDefault="003E7003" w14:paraId="097C529C" w14:textId="128623AB">
      <w:pPr>
        <w:suppressAutoHyphens/>
      </w:pPr>
      <w:r w:rsidRPr="005F055E">
        <w:t>Antwoord</w:t>
      </w:r>
    </w:p>
    <w:p w:rsidRPr="005F055E" w:rsidR="0067609F" w:rsidP="00180EEB" w:rsidRDefault="0067609F" w14:paraId="17B4946A" w14:textId="77777777">
      <w:pPr>
        <w:suppressAutoHyphens/>
        <w:spacing w:line="240" w:lineRule="atLeast"/>
        <w:rPr>
          <w:szCs w:val="18"/>
          <w:lang w:eastAsia="nl-NL"/>
        </w:rPr>
      </w:pPr>
      <w:r w:rsidRPr="005F055E">
        <w:rPr>
          <w:szCs w:val="20"/>
          <w:lang w:eastAsia="nl-NL"/>
        </w:rPr>
        <w:t xml:space="preserve">Er is op dit moment geen reden te veronderstellen dat de uitbreiding met 290.000 woningen voor ouderen in de periode tot en met 2030 een onderschatting is. Op dit moment wordt er ook onderzoek gedaan naar de vraag op de langere termijn na 2030. </w:t>
      </w:r>
    </w:p>
    <w:p w:rsidRPr="005F055E" w:rsidR="00212E67" w:rsidP="00180EEB" w:rsidRDefault="00212E67" w14:paraId="37369E45" w14:textId="77777777">
      <w:pPr>
        <w:suppressAutoHyphens/>
      </w:pPr>
    </w:p>
    <w:p w:rsidRPr="005F055E" w:rsidR="00212E67" w:rsidP="00180EEB" w:rsidRDefault="003E7003" w14:paraId="7249D3B1" w14:textId="77777777">
      <w:pPr>
        <w:suppressAutoHyphens/>
      </w:pPr>
      <w:r w:rsidRPr="005F055E">
        <w:t>Vraag 313</w:t>
      </w:r>
      <w:r w:rsidRPr="005F055E">
        <w:tab/>
      </w:r>
    </w:p>
    <w:p w:rsidRPr="005F055E" w:rsidR="00212E67" w:rsidP="00180EEB" w:rsidRDefault="003E7003" w14:paraId="7ED00E9C" w14:textId="77777777">
      <w:pPr>
        <w:suppressAutoHyphens/>
      </w:pPr>
      <w:r w:rsidRPr="005F055E">
        <w:t>Hoeveel plekken zijn er momenteel beschikbaar in de crisisopvang voor ouderen die niet meer thuis kunnen wonen?</w:t>
      </w:r>
      <w:r w:rsidRPr="005F055E">
        <w:tab/>
      </w:r>
    </w:p>
    <w:p w:rsidRPr="005F055E" w:rsidR="003E7003" w:rsidP="00180EEB" w:rsidRDefault="003E7003" w14:paraId="0179D2C3" w14:textId="154B24D0">
      <w:pPr>
        <w:suppressAutoHyphens/>
      </w:pPr>
      <w:r w:rsidRPr="005F055E">
        <w:t>Antwoord</w:t>
      </w:r>
    </w:p>
    <w:p w:rsidRPr="005F055E" w:rsidR="00212E67" w:rsidP="00180EEB" w:rsidRDefault="00B90292" w14:paraId="7936F9A3" w14:textId="1192BD75">
      <w:pPr>
        <w:suppressAutoHyphens/>
        <w:spacing w:line="240" w:lineRule="atLeast"/>
        <w:rPr>
          <w:szCs w:val="18"/>
          <w:lang w:eastAsia="nl-NL"/>
        </w:rPr>
      </w:pPr>
      <w:r w:rsidRPr="005F055E">
        <w:rPr>
          <w:szCs w:val="18"/>
          <w:lang w:eastAsia="nl-NL"/>
        </w:rPr>
        <w:t>Er wordt niet apart geregistreerd hoeveel plekken er beschikbaar zijn voor crisisopvang voor ouderen die niet meer thuis kunnen wonen. Plekken in het verpleeghuis worden daartoe niet apart gelabeld. Beschikbare plekken worden zowel ingezet voor mensen die op de wachtlijst staan als voor mensen die met spoed een plek nodig hebben. De inzet van plekken kan daarmee ook telkens veranderen. De zorgkantoren kijken bij het bemiddelen van cliënten naar de voorkeuren van cliënten en de urgentie.</w:t>
      </w:r>
    </w:p>
    <w:p w:rsidRPr="005F055E" w:rsidR="00212E67" w:rsidP="00180EEB" w:rsidRDefault="00212E67" w14:paraId="0CE52B96" w14:textId="77777777">
      <w:pPr>
        <w:suppressAutoHyphens/>
      </w:pPr>
    </w:p>
    <w:p w:rsidRPr="005F055E" w:rsidR="00212E67" w:rsidP="00180EEB" w:rsidRDefault="003E7003" w14:paraId="176E9F96" w14:textId="77777777">
      <w:pPr>
        <w:suppressAutoHyphens/>
      </w:pPr>
      <w:r w:rsidRPr="005F055E">
        <w:t>Vraag 314</w:t>
      </w:r>
      <w:r w:rsidRPr="005F055E">
        <w:tab/>
      </w:r>
    </w:p>
    <w:p w:rsidRPr="005F055E" w:rsidR="00212E67" w:rsidP="00180EEB" w:rsidRDefault="003E7003" w14:paraId="6152925C" w14:textId="77777777">
      <w:pPr>
        <w:suppressAutoHyphens/>
      </w:pPr>
      <w:r w:rsidRPr="005F055E">
        <w:t>In hoeverre zijn de beschikbare middelen binnen de envelop ouderenzorg op de Aanvullende post (ter waarde van €470 miljoen structureel) afdoende voor het realiseren van voldoende passende huisvesting voor ouderen?</w:t>
      </w:r>
      <w:r w:rsidRPr="005F055E">
        <w:tab/>
      </w:r>
    </w:p>
    <w:p w:rsidRPr="005F055E" w:rsidR="003E7003" w:rsidP="00180EEB" w:rsidRDefault="003E7003" w14:paraId="39973D23" w14:textId="09ECED26">
      <w:pPr>
        <w:suppressAutoHyphens/>
      </w:pPr>
      <w:r w:rsidRPr="005F055E">
        <w:t>Antwoord</w:t>
      </w:r>
    </w:p>
    <w:p w:rsidRPr="005F055E" w:rsidR="00212E67" w:rsidP="00180EEB" w:rsidRDefault="0067609F" w14:paraId="62DDD65E" w14:textId="352CC51D">
      <w:pPr>
        <w:suppressAutoHyphens/>
        <w:spacing w:line="240" w:lineRule="atLeast"/>
        <w:rPr>
          <w:szCs w:val="18"/>
          <w:lang w:eastAsia="nl-NL"/>
        </w:rPr>
      </w:pPr>
      <w:bookmarkStart w:name="_Hlk210644955" w:id="52"/>
      <w:r w:rsidRPr="005F055E">
        <w:rPr>
          <w:szCs w:val="20"/>
          <w:lang w:eastAsia="nl-NL"/>
        </w:rPr>
        <w:t xml:space="preserve">De beschikbare middelen bieden mogelijkheden voor een serieuze verbetering van de ouderenhuisvesting. In vervolg op het onderzoek naar de herintroductie van verzorgingshuizen gaat de staatssecretaris Langdurige en Maatschappelijke Zorg de komende maanden in gesprek met het veld over de mogelijke invulling van de extra zorg en ondersteuning, de stimulering van de bouwopgave en de ontwikkeling van zorgzame gemeenschappen. Zij </w:t>
      </w:r>
      <w:bookmarkEnd w:id="52"/>
      <w:r w:rsidRPr="005F055E">
        <w:rPr>
          <w:szCs w:val="20"/>
          <w:lang w:eastAsia="nl-NL"/>
        </w:rPr>
        <w:t>verwacht dat ze u begin 2026 meer duidelijkheid kan geven over de resultaten van deze verkenning. Dan zal er ook duidelijkheid zijn over de verwachte financiële gevolgen.</w:t>
      </w:r>
    </w:p>
    <w:p w:rsidRPr="005F055E" w:rsidR="004F04EB" w:rsidP="00180EEB" w:rsidRDefault="004F04EB" w14:paraId="7A163FCB" w14:textId="77777777">
      <w:pPr>
        <w:suppressAutoHyphens/>
      </w:pPr>
    </w:p>
    <w:p w:rsidRPr="005F055E" w:rsidR="00212E67" w:rsidP="00180EEB" w:rsidRDefault="003E7003" w14:paraId="089D06AD" w14:textId="77777777">
      <w:pPr>
        <w:suppressAutoHyphens/>
      </w:pPr>
      <w:r w:rsidRPr="005F055E">
        <w:t>Vraag 315</w:t>
      </w:r>
      <w:r w:rsidRPr="005F055E">
        <w:tab/>
      </w:r>
    </w:p>
    <w:p w:rsidRPr="005F055E" w:rsidR="00212E67" w:rsidP="00180EEB" w:rsidRDefault="003E7003" w14:paraId="5DC46165" w14:textId="77777777">
      <w:pPr>
        <w:suppressAutoHyphens/>
      </w:pPr>
      <w:r w:rsidRPr="005F055E">
        <w:t>Hoe zal de vraag naar inzet van vrijwilligers in de palliatieve zorg zich naar verwachting ontwikkelen in de komende vijf jaar?</w:t>
      </w:r>
      <w:r w:rsidRPr="005F055E">
        <w:tab/>
      </w:r>
    </w:p>
    <w:p w:rsidRPr="005F055E" w:rsidR="003E7003" w:rsidP="00180EEB" w:rsidRDefault="003E7003" w14:paraId="7A112754" w14:textId="0B15C8C8">
      <w:pPr>
        <w:suppressAutoHyphens/>
      </w:pPr>
      <w:r w:rsidRPr="005F055E">
        <w:t>Antwoord</w:t>
      </w:r>
    </w:p>
    <w:p w:rsidRPr="005F055E" w:rsidR="007E044A" w:rsidP="00180EEB" w:rsidRDefault="007E044A" w14:paraId="69A5C069" w14:textId="77777777">
      <w:pPr>
        <w:suppressAutoHyphens/>
        <w:spacing w:line="240" w:lineRule="atLeast"/>
        <w:rPr>
          <w:szCs w:val="20"/>
          <w:lang w:eastAsia="nl-NL"/>
        </w:rPr>
      </w:pPr>
      <w:r w:rsidRPr="005F055E">
        <w:rPr>
          <w:szCs w:val="18"/>
          <w:lang w:eastAsia="nl-NL"/>
        </w:rPr>
        <w:t>Een precieze prognose van de vraag naar de inzet van vrijwilligers valt niet te geven. Uit de jaarlijkse registratierapportage van Associatie Hospicezorg Nederland (</w:t>
      </w:r>
      <w:proofErr w:type="spellStart"/>
      <w:r w:rsidRPr="005F055E">
        <w:rPr>
          <w:szCs w:val="18"/>
          <w:lang w:eastAsia="nl-NL"/>
        </w:rPr>
        <w:t>AHzN</w:t>
      </w:r>
      <w:proofErr w:type="spellEnd"/>
      <w:r w:rsidRPr="005F055E">
        <w:rPr>
          <w:szCs w:val="18"/>
          <w:lang w:eastAsia="nl-NL"/>
        </w:rPr>
        <w:t>) en Vrijwilligers Palliatieve Terminale Zorg Nederland (VPTZ)</w:t>
      </w:r>
      <w:r w:rsidRPr="005F055E">
        <w:rPr>
          <w:szCs w:val="18"/>
          <w:vertAlign w:val="superscript"/>
          <w:lang w:eastAsia="nl-NL"/>
        </w:rPr>
        <w:footnoteReference w:customMarkFollows="1" w:id="122"/>
        <w:t>[1]</w:t>
      </w:r>
      <w:r w:rsidRPr="005F055E">
        <w:rPr>
          <w:szCs w:val="18"/>
          <w:lang w:eastAsia="nl-NL"/>
        </w:rPr>
        <w:t xml:space="preserve"> blijkt dat er in 2024 14.242 vrijwilligers ondersteuning hebben verleend aan mensen in de palliatieve fase, thuis of in een hospice. Hun ondersteuning is aanvullend op de zorg die wordt geboden door zorgprofessionals en mantelzorgers. De behoefte aan inzet van vrijwilligers in de palliatieve zorg zal in de komende vijf jaar toenemen met het oog op de verwachte stijging van het aantal mensen in de palliatieve fase. De verwachte stijging van het aantal sterfgevallen is 1,5% per jaar (CBS-prognose). Vrijwilligers in de palliatieve terminale zorg worden daarnaast steeds beter gevonden waardoor hier vaker een beroep op wordt gedaan.</w:t>
      </w:r>
    </w:p>
    <w:p w:rsidRPr="005F055E" w:rsidR="00212E67" w:rsidP="00180EEB" w:rsidRDefault="00212E67" w14:paraId="05EB94C6" w14:textId="77777777">
      <w:pPr>
        <w:suppressAutoHyphens/>
      </w:pPr>
    </w:p>
    <w:p w:rsidRPr="005F055E" w:rsidR="00212E67" w:rsidP="00180EEB" w:rsidRDefault="003E7003" w14:paraId="3F5DBAE8" w14:textId="77777777">
      <w:pPr>
        <w:suppressAutoHyphens/>
      </w:pPr>
      <w:r w:rsidRPr="005F055E">
        <w:t>Vraag 316</w:t>
      </w:r>
      <w:r w:rsidRPr="005F055E">
        <w:tab/>
      </w:r>
    </w:p>
    <w:p w:rsidRPr="005F055E" w:rsidR="00212E67" w:rsidP="00180EEB" w:rsidRDefault="003E7003" w14:paraId="438D4006" w14:textId="77777777">
      <w:pPr>
        <w:suppressAutoHyphens/>
      </w:pPr>
      <w:r w:rsidRPr="005F055E">
        <w:t>Hoe en met welke middelen wordt de verduurzamingsslag in verpleeghuiszorg mogelijk c.q. de greendeal 3.0?</w:t>
      </w:r>
      <w:r w:rsidRPr="005F055E">
        <w:tab/>
      </w:r>
    </w:p>
    <w:p w:rsidRPr="005F055E" w:rsidR="003E7003" w:rsidP="00180EEB" w:rsidRDefault="003E7003" w14:paraId="7F1EAEFB" w14:textId="09D82196">
      <w:pPr>
        <w:suppressAutoHyphens/>
      </w:pPr>
      <w:r w:rsidRPr="005F055E">
        <w:t>Antwoord</w:t>
      </w:r>
    </w:p>
    <w:p w:rsidRPr="005F055E" w:rsidR="004F04EB" w:rsidP="00180EEB" w:rsidRDefault="004F04EB" w14:paraId="0DD1DCAC" w14:textId="77777777">
      <w:pPr>
        <w:suppressAutoHyphens/>
      </w:pPr>
      <w:r w:rsidRPr="005F055E">
        <w:t xml:space="preserve">In de brief van 17 april jl. heeft SJPS toegelicht hoe de zorgsector, inclusief de langdurige zorg, in samenwerking met VWS en het Rijk werkt aan de verduurzaming van de zorg. Verduurzamen is een verantwoordelijkheid van zorgaanbieders zelf, maar wordt met kennis, onderzoek, regelgeving en financiële middelen ondersteund door de rijksoverheid. In de Green Deal </w:t>
      </w:r>
      <w:r w:rsidRPr="005F055E">
        <w:rPr>
          <w:i/>
          <w:iCs/>
        </w:rPr>
        <w:t>Samen werken aan duurzame zorg</w:t>
      </w:r>
      <w:r w:rsidRPr="005F055E">
        <w:t xml:space="preserve"> (GDDZ 3.0) hebben partijen, waaronder </w:t>
      </w:r>
      <w:proofErr w:type="spellStart"/>
      <w:r w:rsidRPr="005F055E">
        <w:t>Actiz</w:t>
      </w:r>
      <w:proofErr w:type="spellEnd"/>
      <w:r w:rsidRPr="005F055E">
        <w:t xml:space="preserve"> Ouderenzorg, concrete doelen en afspraken gemaakt over verduurzamen. De afspraken geven richting en houvast aan individuele zorginstellingen om de verduurzaming vorm te geven. </w:t>
      </w:r>
    </w:p>
    <w:p w:rsidRPr="005F055E" w:rsidR="004F04EB" w:rsidP="00180EEB" w:rsidRDefault="004F04EB" w14:paraId="470B6031" w14:textId="77777777">
      <w:pPr>
        <w:suppressAutoHyphens/>
      </w:pPr>
      <w:r w:rsidRPr="005F055E">
        <w:t xml:space="preserve">Om de verduurzaming van de zorg te ondersteunen is incidenteel € 42 miljoen vrijgemaakt voor de periode 2023 tot en met 2026 voor de gehele zorg. Op basis van de GDDZ 3.0 en het </w:t>
      </w:r>
      <w:r w:rsidRPr="005F055E">
        <w:rPr>
          <w:i/>
          <w:iCs/>
        </w:rPr>
        <w:t>Uitvoeringsprogramma verduurzamen (publieke) zorg en welzijn</w:t>
      </w:r>
      <w:r w:rsidRPr="005F055E">
        <w:t xml:space="preserve"> worden de middelen ingezet voor onderzoek, kennis, implementatie en opschaling. Via </w:t>
      </w:r>
      <w:proofErr w:type="spellStart"/>
      <w:r w:rsidRPr="005F055E">
        <w:t>ZonMw</w:t>
      </w:r>
      <w:proofErr w:type="spellEnd"/>
      <w:r w:rsidRPr="005F055E">
        <w:t xml:space="preserve"> zijn middelen beschikbaar gesteld om met behulp van implementatie en opschalingscoaches zorginstellingen (waaronder de langdurige zorg) te ondersteunen bij het beter, sneller en duurzaam implementeren en opschalen van initiatieven die bijdragen aan de verduurzaming van de zorgsector. </w:t>
      </w:r>
    </w:p>
    <w:p w:rsidRPr="005F055E" w:rsidR="004F04EB" w:rsidP="00180EEB" w:rsidRDefault="004F04EB" w14:paraId="1A760A00" w14:textId="77777777">
      <w:pPr>
        <w:suppressAutoHyphens/>
      </w:pPr>
      <w:r w:rsidRPr="005F055E">
        <w:t xml:space="preserve">Voor het verduurzamen van het vastgoed – de grootste financiële opgave ten aanzien van verduurzaming – is er de subsidieregeling Duurzaam Maatschappelijk Vastgoed van het ministerie van VRO. Deze is beschikbaar tot en met 2030. Zorginstellingen, zorg- en </w:t>
      </w:r>
      <w:proofErr w:type="spellStart"/>
      <w:r w:rsidRPr="005F055E">
        <w:t>welzijnsbreed</w:t>
      </w:r>
      <w:proofErr w:type="spellEnd"/>
      <w:r w:rsidRPr="005F055E">
        <w:t xml:space="preserve">, kunnen daar gebruik van maken. Daarnaast is voor de aanbieders van langdurige zorg, de normatieve huisvestingscomponent (NHC) op een zodanig niveau vastgesteld dat bij nieuwbouw en renovatie voldaan kan worden aan de actuele eisen op het gebied van duurzaamheid (en brandveiligheid). De middelen hiervoor zijn vanaf 2026 toegevoegd aan het </w:t>
      </w:r>
      <w:proofErr w:type="spellStart"/>
      <w:r w:rsidRPr="005F055E">
        <w:t>Wlz</w:t>
      </w:r>
      <w:proofErr w:type="spellEnd"/>
      <w:r w:rsidRPr="005F055E">
        <w:t>-kader.</w:t>
      </w:r>
      <w:r w:rsidRPr="005F055E">
        <w:rPr>
          <w:rStyle w:val="Voetnootmarkering"/>
        </w:rPr>
        <w:footnoteReference w:id="123"/>
      </w:r>
      <w:r w:rsidRPr="005F055E">
        <w:t xml:space="preserve"> </w:t>
      </w:r>
    </w:p>
    <w:p w:rsidRPr="005F055E" w:rsidR="004F04EB" w:rsidP="00180EEB" w:rsidRDefault="004F04EB" w14:paraId="3D6A5F71" w14:textId="77777777">
      <w:pPr>
        <w:suppressAutoHyphens/>
      </w:pPr>
      <w:r w:rsidRPr="005F055E">
        <w:t>Het Expertisecentrum Verduurzaming Zorg ondersteunt zorginstellingen bij het verduurzamen van hun vastgoed. Bijvoorbeeld met het invullen van de portefeuille-routekaarten waardoor zorgaanbieders inzicht krijgen in hun CO</w:t>
      </w:r>
      <w:r w:rsidRPr="005F055E">
        <w:rPr>
          <w:vertAlign w:val="subscript"/>
        </w:rPr>
        <w:t>2</w:t>
      </w:r>
      <w:r w:rsidRPr="005F055E">
        <w:t xml:space="preserve">-emissie en energieverbruik. Daarnaast publiceert het EVZ kennisartikelen met praktijkvoorbeelden en tips. Er worden bijeenkomsten georganiseerd en </w:t>
      </w:r>
      <w:proofErr w:type="spellStart"/>
      <w:r w:rsidRPr="005F055E">
        <w:t>webinars</w:t>
      </w:r>
      <w:proofErr w:type="spellEnd"/>
      <w:r w:rsidRPr="005F055E">
        <w:t xml:space="preserve"> om zorgorganisaties zoveel mogelijk te helpen en hen te stimuleren om over te gaan op duurzame energie.</w:t>
      </w:r>
    </w:p>
    <w:p w:rsidRPr="005F055E" w:rsidR="00212E67" w:rsidP="00180EEB" w:rsidRDefault="00212E67" w14:paraId="746A91DA" w14:textId="77777777">
      <w:pPr>
        <w:suppressAutoHyphens/>
      </w:pPr>
    </w:p>
    <w:p w:rsidRPr="005F055E" w:rsidR="00212E67" w:rsidP="00180EEB" w:rsidRDefault="003E7003" w14:paraId="0424A5F2" w14:textId="77777777">
      <w:pPr>
        <w:suppressAutoHyphens/>
      </w:pPr>
      <w:r w:rsidRPr="005F055E">
        <w:t>Vraag 317</w:t>
      </w:r>
      <w:r w:rsidRPr="005F055E">
        <w:tab/>
      </w:r>
    </w:p>
    <w:p w:rsidRPr="005F055E" w:rsidR="00212E67" w:rsidP="00180EEB" w:rsidRDefault="003E7003" w14:paraId="2A8AB17A" w14:textId="77777777">
      <w:pPr>
        <w:suppressAutoHyphens/>
      </w:pPr>
      <w:r w:rsidRPr="005F055E">
        <w:t>Wat is er in 2025 bereikt op het gebied van het terugdringen van de arbeidsmarkttekorten in de zorg door middel van het gebruik van Artificiële Intelligentie (AI)?</w:t>
      </w:r>
      <w:r w:rsidRPr="005F055E">
        <w:tab/>
      </w:r>
    </w:p>
    <w:p w:rsidRPr="005F055E" w:rsidR="003E7003" w:rsidP="00180EEB" w:rsidRDefault="003E7003" w14:paraId="572BE1EC" w14:textId="0CFEEB04">
      <w:pPr>
        <w:suppressAutoHyphens/>
      </w:pPr>
      <w:r w:rsidRPr="005F055E">
        <w:t>Antwoord</w:t>
      </w:r>
    </w:p>
    <w:p w:rsidRPr="005F055E" w:rsidR="004F04EB" w:rsidP="00180EEB" w:rsidRDefault="004F04EB" w14:paraId="7E40242C" w14:textId="6F74D511">
      <w:pPr>
        <w:suppressAutoHyphens/>
      </w:pPr>
      <w:r w:rsidRPr="005F055E">
        <w:t xml:space="preserve">In 2025 was vanuit de Stimuleringsregeling Technologie in Ondersteuning en Zorg (STOZ) €54 miljoen beschikbaar voor de opschaling van digitale en hybride processen in ondersteuning en zorg. De STOZ heeft mede als doel arbeidsverlichting. Processen waar aanvragen voor ingediend konden worden zijn o.a. </w:t>
      </w:r>
      <w:proofErr w:type="spellStart"/>
      <w:r w:rsidRPr="005F055E">
        <w:t>spraakgestuurd</w:t>
      </w:r>
      <w:proofErr w:type="spellEnd"/>
      <w:r w:rsidRPr="005F055E">
        <w:t xml:space="preserve"> rapporteren en planning met AI-software. Inmiddels is de regeling gesloten en blijkt het animo bij organisaties groot met een totaal van 1281 aanvragen. </w:t>
      </w:r>
    </w:p>
    <w:p w:rsidRPr="005F055E" w:rsidR="00212E67" w:rsidP="00180EEB" w:rsidRDefault="004F04EB" w14:paraId="6A90DCA6" w14:textId="457AF5C3">
      <w:pPr>
        <w:suppressAutoHyphens/>
      </w:pPr>
      <w:r w:rsidRPr="005F055E">
        <w:t>Verder zijn er in 2025 afspraken gemaakt in het Aanvullend Zorg en Welzijnsakkoord (AZWA), waarbij het eerste hoofdstuk gaat over het terugdringen van administratieve lasten.</w:t>
      </w:r>
      <w:r w:rsidRPr="005F055E" w:rsidR="00D73F76">
        <w:t xml:space="preserve"> </w:t>
      </w:r>
      <w:r w:rsidRPr="005F055E">
        <w:t>De afspraken in het AZWA zijn een versnelling op enkele thema’s en dragen bij aan het terugdringen van de administratieve tijd naar maximaal 20 procent van de werktijd in 2030. Het versneld en verantwoord inzetten van AI is één van de afspraken om de administratieve lasten terug te dringen, de werkdruk van professionals te verlichten en zo de druk op de arbeidsmarkt te verlagen. Graag verwijst de Minister van VWS in dit kader ook naar de brief aan uw Kamer van 6 oktober jl. over de “</w:t>
      </w:r>
      <w:r w:rsidRPr="005F055E">
        <w:rPr>
          <w:i/>
          <w:iCs/>
        </w:rPr>
        <w:t>Inzet op realisatie AI in de zorg</w:t>
      </w:r>
      <w:r w:rsidRPr="005F055E">
        <w:t xml:space="preserve">” (kenmerk 4231928-1089437-DICIO). </w:t>
      </w:r>
    </w:p>
    <w:p w:rsidRPr="005F055E" w:rsidR="00212E67" w:rsidP="00180EEB" w:rsidRDefault="00212E67" w14:paraId="55F5AF4F" w14:textId="77777777">
      <w:pPr>
        <w:suppressAutoHyphens/>
      </w:pPr>
    </w:p>
    <w:p w:rsidRPr="005F055E" w:rsidR="00212E67" w:rsidP="00180EEB" w:rsidRDefault="003E7003" w14:paraId="0DB4BDEC" w14:textId="77777777">
      <w:pPr>
        <w:suppressAutoHyphens/>
      </w:pPr>
      <w:r w:rsidRPr="005F055E">
        <w:t>Vraag 318</w:t>
      </w:r>
      <w:r w:rsidRPr="005F055E">
        <w:tab/>
      </w:r>
    </w:p>
    <w:p w:rsidRPr="005F055E" w:rsidR="00212E67" w:rsidP="00180EEB" w:rsidRDefault="003E7003" w14:paraId="52EA2224" w14:textId="77777777">
      <w:pPr>
        <w:suppressAutoHyphens/>
      </w:pPr>
      <w:r w:rsidRPr="005F055E">
        <w:t>Hoe wordt de doelstelling om de administratietijd van zorgprofessionals te verminderen naar maximaal twintig procent in 2030 concreet gerealiseerd?</w:t>
      </w:r>
      <w:r w:rsidRPr="005F055E">
        <w:tab/>
      </w:r>
    </w:p>
    <w:p w:rsidR="00D544B0" w:rsidP="00180EEB" w:rsidRDefault="00D544B0" w14:paraId="5DDE2E97" w14:textId="77777777">
      <w:pPr>
        <w:suppressAutoHyphens/>
      </w:pPr>
    </w:p>
    <w:p w:rsidRPr="005F055E" w:rsidR="003E7003" w:rsidP="00180EEB" w:rsidRDefault="003E7003" w14:paraId="4986F59F" w14:textId="01456271">
      <w:pPr>
        <w:suppressAutoHyphens/>
      </w:pPr>
      <w:r w:rsidRPr="005F055E">
        <w:t>Antwoord</w:t>
      </w:r>
    </w:p>
    <w:p w:rsidRPr="005F055E" w:rsidR="00212E67" w:rsidP="00180EEB" w:rsidRDefault="0067609F" w14:paraId="7CDE73E8" w14:textId="21BE85F1">
      <w:pPr>
        <w:suppressAutoHyphens/>
      </w:pPr>
      <w:r w:rsidRPr="005F055E">
        <w:rPr>
          <w:szCs w:val="20"/>
          <w:lang w:eastAsia="nl-NL"/>
        </w:rPr>
        <w:t>Met het IZA hebben betrokken partijen, aangevuld met enkele andere leden, afgesproken om binnen de Regiegroep Aanpak Regeldruk aan de hand van een werkagenda gezamenlijk te werken aan regeldrukvermindering. Vanuit het principe ‘</w:t>
      </w:r>
      <w:proofErr w:type="spellStart"/>
      <w:r w:rsidRPr="005F055E">
        <w:rPr>
          <w:szCs w:val="20"/>
          <w:lang w:eastAsia="nl-NL"/>
        </w:rPr>
        <w:t>whole</w:t>
      </w:r>
      <w:proofErr w:type="spellEnd"/>
      <w:r w:rsidRPr="005F055E">
        <w:rPr>
          <w:szCs w:val="20"/>
          <w:lang w:eastAsia="nl-NL"/>
        </w:rPr>
        <w:t xml:space="preserve"> system in </w:t>
      </w:r>
      <w:proofErr w:type="spellStart"/>
      <w:r w:rsidRPr="005F055E">
        <w:rPr>
          <w:szCs w:val="20"/>
          <w:lang w:eastAsia="nl-NL"/>
        </w:rPr>
        <w:t>the</w:t>
      </w:r>
      <w:proofErr w:type="spellEnd"/>
      <w:r w:rsidRPr="005F055E">
        <w:rPr>
          <w:szCs w:val="20"/>
          <w:lang w:eastAsia="nl-NL"/>
        </w:rPr>
        <w:t xml:space="preserve"> room’ worden partijen op hun verantwoordelijkheden aangesproken, wordt voortgang gemonitord en wordt complexe casuïstiek gezamenlijk besproken om tot oplossingen te komen. Alle partijen hebben gezamenlijk als doel dat zorgverleners gemiddeld maximaal 20% van hun tijd per week aan administratie besteden. Deze inzet wordt versterkt door de afspraken in het AZWA, waarmee een aanvullende impuls wordt gegeven aan de activiteiten binnen (en buiten) de Regiegroep Aanpak Regeldruk. Zo wordt ingezet op het opschalen van succesvolle doorbraakprojecten</w:t>
      </w:r>
      <w:r w:rsidR="003B089D">
        <w:rPr>
          <w:szCs w:val="20"/>
          <w:lang w:eastAsia="nl-NL"/>
        </w:rPr>
        <w:t xml:space="preserve">, </w:t>
      </w:r>
      <w:r w:rsidR="003B089D">
        <w:t xml:space="preserve">zoals Zinvolle Registratie (ZIRE) op intensive </w:t>
      </w:r>
      <w:proofErr w:type="spellStart"/>
      <w:r w:rsidR="003B089D">
        <w:t>cares</w:t>
      </w:r>
      <w:proofErr w:type="spellEnd"/>
      <w:r w:rsidR="003B089D">
        <w:t xml:space="preserve"> binnen de medisch-specialistische zorg. Ook zijn afspraken gemaakt rond</w:t>
      </w:r>
      <w:r w:rsidRPr="005F055E">
        <w:rPr>
          <w:szCs w:val="20"/>
          <w:lang w:eastAsia="nl-NL"/>
        </w:rPr>
        <w:t xml:space="preserve"> het verminderen van regeldruk als gevolg van machtigingen en verklaringen en (verschillen tussen) inkoop- en verantwoordingseisen. </w:t>
      </w:r>
      <w:r w:rsidR="003B089D">
        <w:rPr>
          <w:szCs w:val="20"/>
          <w:lang w:eastAsia="nl-NL"/>
        </w:rPr>
        <w:t>A</w:t>
      </w:r>
      <w:r w:rsidR="003B089D">
        <w:t xml:space="preserve">fgesproken is dat betrokken (branche)verenigingen een top 10 machtigingen en aanvullende verklaringen en een top 10 inkoop- en verantwoordingseisen aanleveren bij zorgverzekeraars, op basis waarvan wordt geanalyseerd hoe regeldruk kan worden verminderd. </w:t>
      </w:r>
      <w:r w:rsidRPr="005F055E">
        <w:rPr>
          <w:szCs w:val="20"/>
          <w:lang w:eastAsia="nl-NL"/>
        </w:rPr>
        <w:t>Ook zijn afspraken gemaakt over het bevorderen van digitalisering (bv. AI) en gegevensuitwisseling.</w:t>
      </w:r>
      <w:r w:rsidR="003B089D">
        <w:rPr>
          <w:szCs w:val="20"/>
          <w:lang w:eastAsia="nl-NL"/>
        </w:rPr>
        <w:t xml:space="preserve"> </w:t>
      </w:r>
      <w:r w:rsidR="003B089D">
        <w:t xml:space="preserve">Gezamenlijk zullen alle afspraken en maatregelen zich </w:t>
      </w:r>
      <w:proofErr w:type="spellStart"/>
      <w:r w:rsidR="003B089D">
        <w:t>doorvertalen</w:t>
      </w:r>
      <w:proofErr w:type="spellEnd"/>
      <w:r w:rsidR="003B089D">
        <w:t xml:space="preserve"> naar merkbare vermindering van regeldruk op de werkvloer van zorgprofessionals, alsook tot uiting komen in bijvoorbeeld de bestaande landelijke metingen door het Centraal Bureau voor de Statistiek. </w:t>
      </w:r>
    </w:p>
    <w:p w:rsidRPr="005F055E" w:rsidR="00306ADC" w:rsidP="00180EEB" w:rsidRDefault="00306ADC" w14:paraId="37FB8829" w14:textId="77777777">
      <w:pPr>
        <w:suppressAutoHyphens/>
      </w:pPr>
    </w:p>
    <w:p w:rsidRPr="005F055E" w:rsidR="00212E67" w:rsidP="00180EEB" w:rsidRDefault="003E7003" w14:paraId="65AAEAE0" w14:textId="77777777">
      <w:pPr>
        <w:suppressAutoHyphens/>
      </w:pPr>
      <w:r w:rsidRPr="005F055E">
        <w:t>Vraag 319</w:t>
      </w:r>
      <w:r w:rsidRPr="005F055E">
        <w:tab/>
      </w:r>
    </w:p>
    <w:p w:rsidRPr="005F055E" w:rsidR="00212E67" w:rsidP="00180EEB" w:rsidRDefault="003E7003" w14:paraId="76FB6652" w14:textId="77777777">
      <w:pPr>
        <w:suppressAutoHyphens/>
      </w:pPr>
      <w:r w:rsidRPr="005F055E">
        <w:t>Hoe wordt bij de inzet op vermindering van regeldruk administratieve lasten van zorgprofessionals gezorgd dat de kwaliteit van zorg gewaarborgd en inzichtelijk blijft?</w:t>
      </w:r>
      <w:r w:rsidRPr="005F055E">
        <w:tab/>
      </w:r>
    </w:p>
    <w:p w:rsidRPr="005F055E" w:rsidR="003E7003" w:rsidP="00180EEB" w:rsidRDefault="003E7003" w14:paraId="5989BB43" w14:textId="69016E90">
      <w:pPr>
        <w:suppressAutoHyphens/>
      </w:pPr>
      <w:r w:rsidRPr="005F055E">
        <w:t>Antwoord</w:t>
      </w:r>
    </w:p>
    <w:p w:rsidRPr="005F055E" w:rsidR="00212E67" w:rsidP="00180EEB" w:rsidRDefault="0067609F" w14:paraId="5439F966" w14:textId="193325E4">
      <w:pPr>
        <w:suppressAutoHyphens/>
        <w:spacing w:line="240" w:lineRule="atLeast"/>
        <w:rPr>
          <w:szCs w:val="20"/>
          <w:lang w:eastAsia="nl-NL"/>
        </w:rPr>
      </w:pPr>
      <w:r w:rsidRPr="005F055E">
        <w:rPr>
          <w:szCs w:val="20"/>
          <w:lang w:eastAsia="nl-NL"/>
        </w:rPr>
        <w:t xml:space="preserve">Bij vermindering van regeldruk moet altijd een zorgvuldige afweging plaatsvinden met andere maatschappelijke belangen waaronder in ieder geval de kwaliteit van zorg. Dat wordt ook breed gedragen onder alle betrokken partijen die meewerken aan regeldrukvermindering. Zo is bijvoorbeeld in de AZWA-afspraak over het opschalen van doorbraakprojecten samen met partijen afgesproken dat het behoud van de kwaliteit van zorg als expliciete randvoorwaarde wordt gehanteerd. </w:t>
      </w:r>
    </w:p>
    <w:p w:rsidRPr="005F055E" w:rsidR="00212E67" w:rsidP="00180EEB" w:rsidRDefault="00212E67" w14:paraId="57BB9321" w14:textId="77777777">
      <w:pPr>
        <w:suppressAutoHyphens/>
      </w:pPr>
    </w:p>
    <w:p w:rsidR="006D333D" w:rsidP="00180EEB" w:rsidRDefault="006D333D" w14:paraId="6DCEAEEF" w14:textId="77777777">
      <w:pPr>
        <w:suppressAutoHyphens/>
      </w:pPr>
    </w:p>
    <w:p w:rsidRPr="005F055E" w:rsidR="00212E67" w:rsidP="00180EEB" w:rsidRDefault="003E7003" w14:paraId="1FFD1BE8" w14:textId="3BD176FD">
      <w:pPr>
        <w:suppressAutoHyphens/>
      </w:pPr>
      <w:r w:rsidRPr="005F055E">
        <w:t>Vraag 320</w:t>
      </w:r>
      <w:r w:rsidRPr="005F055E">
        <w:tab/>
      </w:r>
    </w:p>
    <w:p w:rsidRPr="005F055E" w:rsidR="00212E67" w:rsidP="00180EEB" w:rsidRDefault="003E7003" w14:paraId="26CF713F" w14:textId="77777777">
      <w:pPr>
        <w:suppressAutoHyphens/>
      </w:pPr>
      <w:r w:rsidRPr="005F055E">
        <w:t>Welke andere sectoren dan de verpleeghuiszorg kunnen in de toekomst ook profiteren van de herindicatievereenvoudiging zoals afgesproken in het Hoofdlijnenakkoord Ouderenzorg?</w:t>
      </w:r>
      <w:r w:rsidRPr="005F055E">
        <w:tab/>
      </w:r>
    </w:p>
    <w:p w:rsidRPr="005F055E" w:rsidR="003E7003" w:rsidP="00180EEB" w:rsidRDefault="003E7003" w14:paraId="13E1E5C4" w14:textId="7F383A6D">
      <w:pPr>
        <w:suppressAutoHyphens/>
      </w:pPr>
      <w:r w:rsidRPr="005F055E">
        <w:t>Antwoord</w:t>
      </w:r>
    </w:p>
    <w:p w:rsidRPr="005F055E" w:rsidR="00212E67" w:rsidP="00180EEB" w:rsidRDefault="007E044A" w14:paraId="4E7FA3BA" w14:textId="401EEE17">
      <w:pPr>
        <w:suppressAutoHyphens/>
        <w:spacing w:line="240" w:lineRule="atLeast"/>
        <w:rPr>
          <w:szCs w:val="18"/>
          <w:lang w:eastAsia="nl-NL"/>
        </w:rPr>
      </w:pPr>
      <w:r w:rsidRPr="005F055E">
        <w:rPr>
          <w:szCs w:val="18"/>
          <w:lang w:eastAsia="nl-NL"/>
        </w:rPr>
        <w:t xml:space="preserve">Ook de GHZ en de </w:t>
      </w:r>
      <w:r w:rsidR="00D55762">
        <w:rPr>
          <w:szCs w:val="18"/>
          <w:lang w:eastAsia="nl-NL"/>
        </w:rPr>
        <w:t>GGZ</w:t>
      </w:r>
      <w:r w:rsidRPr="005F055E">
        <w:rPr>
          <w:szCs w:val="18"/>
          <w:lang w:eastAsia="nl-NL"/>
        </w:rPr>
        <w:t xml:space="preserve"> kunnen in de toekomst profiteren van de herindicatievereenvoudiging zoals afgesproken in het Hoofdlijnenakkoord Ouderenzorg. Het CIZ onderzoekt samen met alle sectoren hoe de vereenvoudiging het beste vorm kan krijgen waarbij in ieder geval uitgegaan wordt van het verkorten van het aanvraagformulier. </w:t>
      </w:r>
    </w:p>
    <w:p w:rsidRPr="005F055E" w:rsidR="00306ADC" w:rsidP="00180EEB" w:rsidRDefault="00306ADC" w14:paraId="264495E1" w14:textId="77777777">
      <w:pPr>
        <w:suppressAutoHyphens/>
      </w:pPr>
    </w:p>
    <w:p w:rsidRPr="005F055E" w:rsidR="00212E67" w:rsidP="00180EEB" w:rsidRDefault="003E7003" w14:paraId="7DAF8C0A" w14:textId="77777777">
      <w:pPr>
        <w:suppressAutoHyphens/>
      </w:pPr>
      <w:r w:rsidRPr="005F055E">
        <w:t>Vraag 321</w:t>
      </w:r>
      <w:r w:rsidRPr="005F055E">
        <w:tab/>
      </w:r>
    </w:p>
    <w:p w:rsidRPr="005F055E" w:rsidR="00212E67" w:rsidP="00180EEB" w:rsidRDefault="003E7003" w14:paraId="525C7F6C" w14:textId="77777777">
      <w:pPr>
        <w:suppressAutoHyphens/>
      </w:pPr>
      <w:r w:rsidRPr="005F055E">
        <w:t>Welke AI-partijen zijn onderdeel van de NL AI-coalitie in de zorg?</w:t>
      </w:r>
      <w:r w:rsidRPr="005F055E">
        <w:tab/>
      </w:r>
    </w:p>
    <w:p w:rsidRPr="005F055E" w:rsidR="003E7003" w:rsidP="00180EEB" w:rsidRDefault="003E7003" w14:paraId="5C383D4F" w14:textId="529C5457">
      <w:pPr>
        <w:suppressAutoHyphens/>
      </w:pPr>
      <w:r w:rsidRPr="005F055E">
        <w:t>Antwoord</w:t>
      </w:r>
    </w:p>
    <w:p w:rsidRPr="005F055E" w:rsidR="00212E67" w:rsidP="00180EEB" w:rsidRDefault="00B90292" w14:paraId="78D34C64" w14:textId="44F2909C">
      <w:pPr>
        <w:suppressAutoHyphens/>
        <w:spacing w:line="240" w:lineRule="atLeast"/>
        <w:rPr>
          <w:szCs w:val="18"/>
          <w:lang w:eastAsia="nl-NL"/>
        </w:rPr>
      </w:pPr>
      <w:r w:rsidRPr="005F055E">
        <w:rPr>
          <w:szCs w:val="18"/>
          <w:lang w:eastAsia="nl-NL"/>
        </w:rPr>
        <w:t>De werkgroep Gezondheid en Zorg van de AI Coalitie voor Nederland (AIC4NL, voorheen Nederlandse AI Coalitie) is een initiatief van de AIC4NL</w:t>
      </w:r>
      <w:r w:rsidRPr="005F055E" w:rsidR="001D7516">
        <w:rPr>
          <w:rStyle w:val="Voetnootmarkering"/>
          <w:szCs w:val="18"/>
          <w:lang w:eastAsia="nl-NL"/>
        </w:rPr>
        <w:footnoteReference w:id="124"/>
      </w:r>
      <w:r w:rsidRPr="005F055E">
        <w:rPr>
          <w:szCs w:val="18"/>
          <w:lang w:eastAsia="nl-NL"/>
        </w:rPr>
        <w:t xml:space="preserve"> in samenwerking met het ministerie van VWS, Health Holland en Dutch Digital Delta. De werkgroep heeft momenteel meer dan 130 deelnemende organisaties, waaronder o.a. MKB, </w:t>
      </w:r>
      <w:proofErr w:type="spellStart"/>
      <w:r w:rsidRPr="005F055E">
        <w:rPr>
          <w:szCs w:val="18"/>
          <w:lang w:eastAsia="nl-NL"/>
        </w:rPr>
        <w:t>start-ups</w:t>
      </w:r>
      <w:proofErr w:type="spellEnd"/>
      <w:r w:rsidRPr="005F055E">
        <w:rPr>
          <w:szCs w:val="18"/>
          <w:lang w:eastAsia="nl-NL"/>
        </w:rPr>
        <w:t>, academische ziekenhuizen, kennisinstellingen, zorginstellingen en zorgkoepels. Daarnaast wordt er afhankelijk van de activiteiten en context gericht samengewerkt met andere relevante partijen.</w:t>
      </w:r>
    </w:p>
    <w:p w:rsidRPr="005F055E" w:rsidR="00212E67" w:rsidP="00180EEB" w:rsidRDefault="003E7003" w14:paraId="3B0FF3CE" w14:textId="77777777">
      <w:pPr>
        <w:suppressAutoHyphens/>
      </w:pPr>
      <w:r w:rsidRPr="005F055E">
        <w:t>Vraag 322</w:t>
      </w:r>
      <w:r w:rsidRPr="005F055E">
        <w:tab/>
      </w:r>
    </w:p>
    <w:p w:rsidRPr="005F055E" w:rsidR="00212E67" w:rsidP="00180EEB" w:rsidRDefault="003E7003" w14:paraId="6A31426C" w14:textId="77777777">
      <w:pPr>
        <w:suppressAutoHyphens/>
      </w:pPr>
      <w:r w:rsidRPr="005F055E">
        <w:t>Welke maatregelen uit deze begroting komen ten goede aan chronisch zieken?</w:t>
      </w:r>
    </w:p>
    <w:p w:rsidRPr="005F055E" w:rsidR="003E7003" w:rsidP="00180EEB" w:rsidRDefault="003E7003" w14:paraId="7494E6DF" w14:textId="7ECE1F8B">
      <w:pPr>
        <w:suppressAutoHyphens/>
      </w:pPr>
      <w:r w:rsidRPr="005F055E">
        <w:t>Antwoord</w:t>
      </w:r>
    </w:p>
    <w:p w:rsidRPr="005F055E" w:rsidR="0067609F" w:rsidP="00180EEB" w:rsidRDefault="0067609F" w14:paraId="138D2E92" w14:textId="77777777">
      <w:pPr>
        <w:suppressAutoHyphens/>
        <w:spacing w:line="240" w:lineRule="atLeast"/>
        <w:rPr>
          <w:szCs w:val="18"/>
          <w:lang w:eastAsia="nl-NL"/>
        </w:rPr>
      </w:pPr>
      <w:r w:rsidRPr="005F055E">
        <w:rPr>
          <w:szCs w:val="18"/>
          <w:lang w:eastAsia="nl-NL"/>
        </w:rPr>
        <w:t xml:space="preserve">De maatregelen die vallen onder de beleidsartikelen 1 Volksgezondheid, 2 Curatieve zorg, 3 Langdurige zorg en ondersteuning, 4 </w:t>
      </w:r>
      <w:proofErr w:type="spellStart"/>
      <w:r w:rsidRPr="005F055E">
        <w:rPr>
          <w:szCs w:val="18"/>
          <w:lang w:eastAsia="nl-NL"/>
        </w:rPr>
        <w:t>Zorgbreed</w:t>
      </w:r>
      <w:proofErr w:type="spellEnd"/>
      <w:r w:rsidRPr="005F055E">
        <w:rPr>
          <w:szCs w:val="18"/>
          <w:lang w:eastAsia="nl-NL"/>
        </w:rPr>
        <w:t xml:space="preserve"> beleid, 5 Jeugd en 6 Sport en bewegen komen, onder andere, ten goede aan chronisch zieken. Hieronder vallen maatregelen aangaande gezondheidsverbetering, ziektepreventie, verpleging en verzorging vanuit verschillende wetten, en specifieke programma’s zoals re-integratiemethode Individuele Plaatsing en Steun en de Stimuleringsregeling Technologie in Ondersteuning en Zorg.</w:t>
      </w:r>
    </w:p>
    <w:p w:rsidRPr="005F055E" w:rsidR="00212E67" w:rsidP="00180EEB" w:rsidRDefault="003E7003" w14:paraId="6D5EAE88" w14:textId="77777777">
      <w:pPr>
        <w:suppressAutoHyphens/>
      </w:pPr>
      <w:r w:rsidRPr="005F055E">
        <w:t>Vraag 323</w:t>
      </w:r>
      <w:r w:rsidRPr="005F055E">
        <w:tab/>
      </w:r>
    </w:p>
    <w:p w:rsidRPr="005F055E" w:rsidR="00212E67" w:rsidP="00180EEB" w:rsidRDefault="003E7003" w14:paraId="7EDF36CD" w14:textId="77777777">
      <w:pPr>
        <w:suppressAutoHyphens/>
      </w:pPr>
      <w:r w:rsidRPr="005F055E">
        <w:t>Hoeveel van de miljoenen uit de envelop ouderenzorg wordt in 2026 daadwerkelijk ingezet voor de herinvoering van moderne verzorgingshuizen, en in welke regio’s start de uitvoering?</w:t>
      </w:r>
      <w:r w:rsidRPr="005F055E">
        <w:tab/>
      </w:r>
    </w:p>
    <w:p w:rsidR="008C3510" w:rsidP="00180EEB" w:rsidRDefault="008C3510" w14:paraId="3AF389FD" w14:textId="77777777">
      <w:pPr>
        <w:suppressAutoHyphens/>
      </w:pPr>
    </w:p>
    <w:p w:rsidRPr="005F055E" w:rsidR="003E7003" w:rsidP="00180EEB" w:rsidRDefault="003E7003" w14:paraId="0F69FDCA" w14:textId="7E1306A9">
      <w:pPr>
        <w:suppressAutoHyphens/>
      </w:pPr>
      <w:r w:rsidRPr="005F055E">
        <w:t>Antwoord</w:t>
      </w:r>
    </w:p>
    <w:p w:rsidRPr="005F055E" w:rsidR="0067609F" w:rsidP="00180EEB" w:rsidRDefault="0067609F" w14:paraId="1A366499" w14:textId="77777777">
      <w:pPr>
        <w:suppressAutoHyphens/>
        <w:spacing w:line="240" w:lineRule="atLeast"/>
        <w:rPr>
          <w:szCs w:val="20"/>
          <w:lang w:eastAsia="nl-NL"/>
        </w:rPr>
      </w:pPr>
      <w:r w:rsidRPr="005F055E">
        <w:rPr>
          <w:szCs w:val="20"/>
          <w:lang w:eastAsia="nl-NL"/>
        </w:rPr>
        <w:t xml:space="preserve">In 2026 zijn er geen middelen beschikbaar voor de herintroductie van de moderne verzorgingshuizen. De envelop uit het hoofdlijnenakkoord bevat middelen vanaf 2027. Via een kasschuif zijn wel middelen uit de envelop ouderenzorg in 2026 tijdelijk ingezet voor het Hoofdlijnenakkoord Ouderenzorg. In vervolg op onderzoek naar de herintroductie van verzorgingshuizen gaat de staatssecretaris Langdurige en Maatschappelijke Zorg de komende maanden in gesprek met het veld over de mogelijke invulling van de extra zorg en ondersteuning, de stimulering van de bouwopgave en de ontwikkeling van zorgzame gemeenschappen. De staatssecretaris verwacht dat zij u begin 2026 meer duidelijkheid kan geven over de resultaten van de verkenning. </w:t>
      </w:r>
    </w:p>
    <w:p w:rsidRPr="005F055E" w:rsidR="00212E67" w:rsidP="00180EEB" w:rsidRDefault="00212E67" w14:paraId="57F2E984" w14:textId="77777777">
      <w:pPr>
        <w:suppressAutoHyphens/>
        <w:rPr>
          <w:highlight w:val="yellow"/>
        </w:rPr>
      </w:pPr>
    </w:p>
    <w:p w:rsidR="00180EEB" w:rsidP="00180EEB" w:rsidRDefault="00180EEB" w14:paraId="2FF22D13" w14:textId="77777777">
      <w:pPr>
        <w:suppressAutoHyphens/>
      </w:pPr>
    </w:p>
    <w:p w:rsidRPr="005F055E" w:rsidR="00212E67" w:rsidP="00180EEB" w:rsidRDefault="003E7003" w14:paraId="08E608B5" w14:textId="0BA7659F">
      <w:pPr>
        <w:suppressAutoHyphens/>
      </w:pPr>
      <w:r w:rsidRPr="005F055E">
        <w:t>Vraag 324</w:t>
      </w:r>
      <w:r w:rsidRPr="005F055E">
        <w:tab/>
      </w:r>
    </w:p>
    <w:p w:rsidRPr="005F055E" w:rsidR="00212E67" w:rsidP="00180EEB" w:rsidRDefault="003E7003" w14:paraId="28D9C9D3" w14:textId="77777777">
      <w:pPr>
        <w:suppressAutoHyphens/>
      </w:pPr>
      <w:r w:rsidRPr="005F055E">
        <w:t>Onder welke posten zijn middelen ‘om eenheid van taal en techniek te realiseren voor verbetering van de elektronische gegevensuitwisseling’ onderverdeeld?</w:t>
      </w:r>
      <w:r w:rsidRPr="005F055E">
        <w:tab/>
      </w:r>
    </w:p>
    <w:p w:rsidRPr="005F055E" w:rsidR="003E7003" w:rsidP="00180EEB" w:rsidRDefault="003E7003" w14:paraId="7039DCC3" w14:textId="7BE8B0F6">
      <w:pPr>
        <w:suppressAutoHyphens/>
      </w:pPr>
      <w:r w:rsidRPr="005F055E">
        <w:t>Antwoord</w:t>
      </w:r>
    </w:p>
    <w:p w:rsidRPr="008C3510" w:rsidR="00B90292" w:rsidP="00180EEB" w:rsidRDefault="001D7516" w14:paraId="77B21696" w14:textId="7356FBCB">
      <w:pPr>
        <w:suppressAutoHyphens/>
        <w:spacing w:line="240" w:lineRule="atLeast"/>
        <w:rPr>
          <w:szCs w:val="18"/>
          <w:lang w:eastAsia="nl-NL"/>
        </w:rPr>
      </w:pPr>
      <w:r w:rsidRPr="008C3510">
        <w:rPr>
          <w:szCs w:val="18"/>
          <w:lang w:eastAsia="nl-NL"/>
        </w:rPr>
        <w:t xml:space="preserve">De middelen </w:t>
      </w:r>
      <w:r w:rsidRPr="008C3510">
        <w:t xml:space="preserve">voor eenheid van taal en techniek zijn opgenomen op de VWS-begroting bij artikel 4.3 “Informatiebeleid”. De middelen worden verstrekt als opdrachten aan ICTU en bijdrage aan het agentschap RIVM. Zie vraag 329 welke bedragen hiermee zijn gemoeid. </w:t>
      </w:r>
      <w:r w:rsidRPr="008C3510">
        <w:rPr>
          <w:szCs w:val="18"/>
          <w:lang w:eastAsia="nl-NL"/>
        </w:rPr>
        <w:t xml:space="preserve">Daarnaast worden subsidies verstrekt aan partijen zoals </w:t>
      </w:r>
      <w:proofErr w:type="spellStart"/>
      <w:r w:rsidRPr="008C3510">
        <w:rPr>
          <w:szCs w:val="18"/>
          <w:lang w:eastAsia="nl-NL"/>
        </w:rPr>
        <w:t>Nictiz</w:t>
      </w:r>
      <w:proofErr w:type="spellEnd"/>
      <w:r w:rsidRPr="008C3510">
        <w:rPr>
          <w:szCs w:val="18"/>
          <w:lang w:eastAsia="nl-NL"/>
        </w:rPr>
        <w:t xml:space="preserve"> en </w:t>
      </w:r>
      <w:proofErr w:type="spellStart"/>
      <w:r w:rsidRPr="008C3510">
        <w:rPr>
          <w:szCs w:val="18"/>
          <w:lang w:eastAsia="nl-NL"/>
        </w:rPr>
        <w:t>Cumuluz</w:t>
      </w:r>
      <w:proofErr w:type="spellEnd"/>
      <w:r w:rsidRPr="008C3510">
        <w:rPr>
          <w:szCs w:val="18"/>
          <w:lang w:eastAsia="nl-NL"/>
        </w:rPr>
        <w:t>, die bijdragen aan het behalen van de VWS-doelstellingen voor gegevensuitwisseling.</w:t>
      </w:r>
    </w:p>
    <w:p w:rsidRPr="005F055E" w:rsidR="00212E67" w:rsidP="00180EEB" w:rsidRDefault="00212E67" w14:paraId="7EFD20A5" w14:textId="77777777">
      <w:pPr>
        <w:suppressAutoHyphens/>
      </w:pPr>
    </w:p>
    <w:p w:rsidRPr="005F055E" w:rsidR="00212E67" w:rsidP="00180EEB" w:rsidRDefault="003E7003" w14:paraId="035176C4" w14:textId="77777777">
      <w:pPr>
        <w:suppressAutoHyphens/>
      </w:pPr>
      <w:r w:rsidRPr="005F055E">
        <w:t>Vraag 325</w:t>
      </w:r>
      <w:r w:rsidRPr="005F055E">
        <w:tab/>
      </w:r>
    </w:p>
    <w:p w:rsidRPr="005F055E" w:rsidR="00212E67" w:rsidP="00180EEB" w:rsidRDefault="003E7003" w14:paraId="016B722C" w14:textId="77777777">
      <w:pPr>
        <w:suppressAutoHyphens/>
      </w:pPr>
      <w:r w:rsidRPr="005F055E">
        <w:t>Wat is het tijdpad voor de inzet op het verbeteren van databeschikbaarheid in de zorg?</w:t>
      </w:r>
      <w:r w:rsidRPr="005F055E">
        <w:tab/>
      </w:r>
    </w:p>
    <w:p w:rsidRPr="005F055E" w:rsidR="003E7003" w:rsidP="00180EEB" w:rsidRDefault="003E7003" w14:paraId="76D70F63" w14:textId="6745F240">
      <w:pPr>
        <w:suppressAutoHyphens/>
      </w:pPr>
      <w:r w:rsidRPr="005F055E">
        <w:t>Antwoord</w:t>
      </w:r>
    </w:p>
    <w:p w:rsidRPr="005F055E" w:rsidR="00B90292" w:rsidP="00180EEB" w:rsidRDefault="00B90292" w14:paraId="1BE5C630" w14:textId="77777777">
      <w:pPr>
        <w:suppressAutoHyphens/>
        <w:spacing w:line="240" w:lineRule="atLeast"/>
        <w:rPr>
          <w:szCs w:val="20"/>
          <w:lang w:eastAsia="nl-NL"/>
        </w:rPr>
      </w:pPr>
      <w:r w:rsidRPr="005F055E">
        <w:rPr>
          <w:szCs w:val="20"/>
          <w:lang w:eastAsia="nl-NL"/>
        </w:rPr>
        <w:t>In de kamerbrief Nationale Visie en Strategie voor het Gezondheidsinformatiestelsel</w:t>
      </w:r>
      <w:r w:rsidRPr="005F055E">
        <w:rPr>
          <w:szCs w:val="20"/>
          <w:vertAlign w:val="superscript"/>
          <w:lang w:eastAsia="nl-NL"/>
        </w:rPr>
        <w:footnoteReference w:id="125"/>
      </w:r>
      <w:r w:rsidRPr="005F055E">
        <w:rPr>
          <w:szCs w:val="20"/>
          <w:lang w:eastAsia="nl-NL"/>
        </w:rPr>
        <w:t xml:space="preserve"> staan de 3 plateaus genoemd waarlangs de transitie naar databeschikbaarheid voor gezondheid, zorg en preventie verloopt.</w:t>
      </w:r>
    </w:p>
    <w:p w:rsidRPr="005F055E" w:rsidR="00B90292" w:rsidP="00180EEB" w:rsidRDefault="00B90292" w14:paraId="58F0EE1C" w14:textId="77777777">
      <w:pPr>
        <w:suppressAutoHyphens/>
        <w:spacing w:line="240" w:lineRule="atLeast"/>
        <w:rPr>
          <w:szCs w:val="20"/>
          <w:lang w:eastAsia="nl-NL"/>
        </w:rPr>
      </w:pPr>
      <w:r w:rsidRPr="005F055E">
        <w:rPr>
          <w:szCs w:val="20"/>
          <w:lang w:eastAsia="nl-NL"/>
        </w:rPr>
        <w:t>Plateau 1: interoperabiliteit georganiseerd, 2023 t/m 2026</w:t>
      </w:r>
    </w:p>
    <w:p w:rsidRPr="005F055E" w:rsidR="00B90292" w:rsidP="00180EEB" w:rsidRDefault="00B90292" w14:paraId="2DEB9DBC" w14:textId="77777777">
      <w:pPr>
        <w:suppressAutoHyphens/>
        <w:spacing w:line="240" w:lineRule="atLeast"/>
        <w:rPr>
          <w:szCs w:val="20"/>
          <w:lang w:eastAsia="nl-NL"/>
        </w:rPr>
      </w:pPr>
      <w:r w:rsidRPr="005F055E">
        <w:rPr>
          <w:szCs w:val="20"/>
          <w:lang w:eastAsia="nl-NL"/>
        </w:rPr>
        <w:t>Plateau 2: Netwerkzorg georganiseerd, 2027 t/m 2030</w:t>
      </w:r>
    </w:p>
    <w:p w:rsidRPr="005F055E" w:rsidR="00B90292" w:rsidP="00180EEB" w:rsidRDefault="00B90292" w14:paraId="33BBE3C7" w14:textId="7CCE17D6">
      <w:pPr>
        <w:suppressAutoHyphens/>
        <w:spacing w:line="240" w:lineRule="atLeast"/>
        <w:rPr>
          <w:szCs w:val="20"/>
          <w:lang w:eastAsia="nl-NL"/>
        </w:rPr>
      </w:pPr>
      <w:r w:rsidRPr="005F055E">
        <w:rPr>
          <w:szCs w:val="20"/>
          <w:lang w:eastAsia="nl-NL"/>
        </w:rPr>
        <w:t>Plateau 3: Integraal georganiseerd, 2031 t/m 2035</w:t>
      </w:r>
    </w:p>
    <w:p w:rsidRPr="005F055E" w:rsidR="00B90292" w:rsidP="00180EEB" w:rsidRDefault="00B90292" w14:paraId="4A1E08AF" w14:textId="77777777">
      <w:pPr>
        <w:suppressAutoHyphens/>
        <w:spacing w:line="240" w:lineRule="atLeast"/>
        <w:rPr>
          <w:szCs w:val="20"/>
          <w:lang w:eastAsia="nl-NL"/>
        </w:rPr>
      </w:pPr>
      <w:r w:rsidRPr="005F055E">
        <w:rPr>
          <w:szCs w:val="20"/>
          <w:lang w:eastAsia="nl-NL"/>
        </w:rPr>
        <w:t xml:space="preserve">In Plateau 1 werken we aan de geprioriteerde WEGIZ gegevensuitwisselingen en de basis functionaliteiten om databeschikbaarheid in de zorg mogelijk te maken. </w:t>
      </w:r>
    </w:p>
    <w:p w:rsidRPr="005F055E" w:rsidR="00B90292" w:rsidP="00180EEB" w:rsidRDefault="00B90292" w14:paraId="7D3FEEAC" w14:textId="337638B4">
      <w:pPr>
        <w:suppressAutoHyphens/>
        <w:spacing w:line="240" w:lineRule="atLeast"/>
        <w:rPr>
          <w:szCs w:val="20"/>
          <w:lang w:eastAsia="nl-NL"/>
        </w:rPr>
      </w:pPr>
      <w:r w:rsidRPr="005F055E">
        <w:rPr>
          <w:szCs w:val="20"/>
          <w:lang w:eastAsia="nl-NL"/>
        </w:rPr>
        <w:t>In Plateau 2 realiseren we databeschikbaarheid in de zorg ter ondersteuning van netwerkzorg én de integratie met de EHDS.</w:t>
      </w:r>
      <w:r w:rsidRPr="005F055E" w:rsidR="00D73F76">
        <w:rPr>
          <w:szCs w:val="20"/>
          <w:lang w:eastAsia="nl-NL"/>
        </w:rPr>
        <w:t xml:space="preserve"> </w:t>
      </w:r>
    </w:p>
    <w:p w:rsidRPr="005F055E" w:rsidR="00212E67" w:rsidP="00180EEB" w:rsidRDefault="00B90292" w14:paraId="4EB1EB8E" w14:textId="4B5A8BA1">
      <w:pPr>
        <w:suppressAutoHyphens/>
        <w:spacing w:line="240" w:lineRule="atLeast"/>
      </w:pPr>
      <w:r w:rsidRPr="005F055E">
        <w:rPr>
          <w:szCs w:val="20"/>
          <w:lang w:eastAsia="nl-NL"/>
        </w:rPr>
        <w:t>In Plateau 3 wordt het Sociaal Domein aangesloten op basis van integrale databeschikbaarheid voor gezondheid, zorg en preventie.</w:t>
      </w:r>
    </w:p>
    <w:p w:rsidRPr="005F055E" w:rsidR="00212E67" w:rsidP="00180EEB" w:rsidRDefault="00212E67" w14:paraId="00C07591" w14:textId="77777777">
      <w:pPr>
        <w:suppressAutoHyphens/>
      </w:pPr>
    </w:p>
    <w:p w:rsidRPr="005F055E" w:rsidR="00212E67" w:rsidP="00180EEB" w:rsidRDefault="003E7003" w14:paraId="0943556B" w14:textId="77777777">
      <w:pPr>
        <w:suppressAutoHyphens/>
      </w:pPr>
      <w:r w:rsidRPr="005F055E">
        <w:t>Vraag 326</w:t>
      </w:r>
      <w:r w:rsidRPr="005F055E">
        <w:tab/>
      </w:r>
    </w:p>
    <w:p w:rsidRPr="005F055E" w:rsidR="00212E67" w:rsidP="00180EEB" w:rsidRDefault="003E7003" w14:paraId="1D5684EC" w14:textId="77777777">
      <w:pPr>
        <w:suppressAutoHyphens/>
      </w:pPr>
      <w:r w:rsidRPr="005F055E">
        <w:t xml:space="preserve">Wanneer wordt de </w:t>
      </w:r>
      <w:proofErr w:type="spellStart"/>
      <w:r w:rsidRPr="005F055E">
        <w:t>opt</w:t>
      </w:r>
      <w:proofErr w:type="spellEnd"/>
      <w:r w:rsidRPr="005F055E">
        <w:t>-out voor gegevensuitwisseling in de acute zorg ingevoerd?</w:t>
      </w:r>
      <w:r w:rsidRPr="005F055E">
        <w:tab/>
      </w:r>
    </w:p>
    <w:p w:rsidRPr="005F055E" w:rsidR="003E7003" w:rsidP="00180EEB" w:rsidRDefault="003E7003" w14:paraId="33762E32" w14:textId="773091CE">
      <w:pPr>
        <w:suppressAutoHyphens/>
      </w:pPr>
      <w:r w:rsidRPr="005F055E">
        <w:t>Antwoord</w:t>
      </w:r>
    </w:p>
    <w:p w:rsidRPr="005F055E" w:rsidR="00B90292" w:rsidP="00180EEB" w:rsidRDefault="00B90292" w14:paraId="6183B80A" w14:textId="61D05677">
      <w:pPr>
        <w:suppressAutoHyphens/>
        <w:spacing w:line="240" w:lineRule="atLeast"/>
        <w:rPr>
          <w:szCs w:val="20"/>
          <w:lang w:eastAsia="nl-NL"/>
        </w:rPr>
      </w:pPr>
      <w:r w:rsidRPr="005F055E">
        <w:rPr>
          <w:szCs w:val="20"/>
          <w:lang w:eastAsia="nl-NL"/>
        </w:rPr>
        <w:t xml:space="preserve">Er wordt hard gewerkt aan het mogelijk maken van een </w:t>
      </w:r>
      <w:proofErr w:type="spellStart"/>
      <w:r w:rsidRPr="005F055E">
        <w:rPr>
          <w:szCs w:val="20"/>
          <w:lang w:eastAsia="nl-NL"/>
        </w:rPr>
        <w:t>opt</w:t>
      </w:r>
      <w:proofErr w:type="spellEnd"/>
      <w:r w:rsidRPr="005F055E">
        <w:rPr>
          <w:szCs w:val="20"/>
          <w:lang w:eastAsia="nl-NL"/>
        </w:rPr>
        <w:t>-out in de acute zorg, waarbij gegevens breed kunnen worden uitgewisseld, maar waarbij burgers ook kunnen aangeven wanneer zij niet willen dat hun gegevens worden gedeeld. In dat kader is gewerkt aan het wetsvoorstel opvraagbaarheid gegevens bij acute zorg (</w:t>
      </w:r>
      <w:proofErr w:type="spellStart"/>
      <w:r w:rsidRPr="005F055E">
        <w:rPr>
          <w:szCs w:val="20"/>
          <w:lang w:eastAsia="nl-NL"/>
        </w:rPr>
        <w:t>Wogaz</w:t>
      </w:r>
      <w:proofErr w:type="spellEnd"/>
      <w:r w:rsidRPr="005F055E">
        <w:rPr>
          <w:szCs w:val="20"/>
          <w:lang w:eastAsia="nl-NL"/>
        </w:rPr>
        <w:t xml:space="preserve">). </w:t>
      </w:r>
    </w:p>
    <w:p w:rsidRPr="005F055E" w:rsidR="00B90292" w:rsidP="00180EEB" w:rsidRDefault="00B90292" w14:paraId="2A416470" w14:textId="494471D8">
      <w:pPr>
        <w:suppressAutoHyphens/>
        <w:spacing w:line="240" w:lineRule="atLeast"/>
        <w:rPr>
          <w:szCs w:val="20"/>
          <w:lang w:eastAsia="nl-NL"/>
        </w:rPr>
      </w:pPr>
      <w:r w:rsidRPr="005F055E">
        <w:rPr>
          <w:szCs w:val="20"/>
          <w:lang w:eastAsia="nl-NL"/>
        </w:rPr>
        <w:t xml:space="preserve">In februari 2025 is de EHDS-verordening in werking getreden. De EHDS heeft qua reikwijdte grote overlap met de </w:t>
      </w:r>
      <w:proofErr w:type="spellStart"/>
      <w:r w:rsidRPr="005F055E">
        <w:rPr>
          <w:szCs w:val="20"/>
          <w:lang w:eastAsia="nl-NL"/>
        </w:rPr>
        <w:t>Wogaz</w:t>
      </w:r>
      <w:proofErr w:type="spellEnd"/>
      <w:r w:rsidRPr="005F055E">
        <w:rPr>
          <w:szCs w:val="20"/>
          <w:lang w:eastAsia="nl-NL"/>
        </w:rPr>
        <w:t xml:space="preserve">. De EHDS biedt daarnaast de mogelijkheid om, via beperkingsrechten, een </w:t>
      </w:r>
      <w:proofErr w:type="spellStart"/>
      <w:r w:rsidRPr="005F055E">
        <w:rPr>
          <w:szCs w:val="20"/>
          <w:lang w:eastAsia="nl-NL"/>
        </w:rPr>
        <w:t>opt</w:t>
      </w:r>
      <w:proofErr w:type="spellEnd"/>
      <w:r w:rsidRPr="005F055E">
        <w:rPr>
          <w:szCs w:val="20"/>
          <w:lang w:eastAsia="nl-NL"/>
        </w:rPr>
        <w:t xml:space="preserve">-out-recht wettelijk in te regelen. Om te voorkomen dat er twee wetstrajecten met hetzelfde doel gelijktijdig worden ontwikkeld, en mogelijk door elkaar heen gaan lopen, wordt alle aandacht gericht op de realisatie van de EHDS. Er is daarom voor gekozen om de beleidsontwikkeling van de </w:t>
      </w:r>
      <w:proofErr w:type="spellStart"/>
      <w:r w:rsidRPr="005F055E">
        <w:rPr>
          <w:szCs w:val="20"/>
          <w:lang w:eastAsia="nl-NL"/>
        </w:rPr>
        <w:t>Wogaz</w:t>
      </w:r>
      <w:proofErr w:type="spellEnd"/>
      <w:r w:rsidRPr="005F055E">
        <w:rPr>
          <w:szCs w:val="20"/>
          <w:lang w:eastAsia="nl-NL"/>
        </w:rPr>
        <w:t xml:space="preserve"> te stoppen, en de doelstellingen van dat wetsvoorstel mee te laten lopen met de EHDS-implementatiewetgeving. Dit is al eerder aangekondigd in de Kamerbrief van 10 juli 2025.</w:t>
      </w:r>
      <w:r w:rsidRPr="005F055E">
        <w:rPr>
          <w:szCs w:val="20"/>
          <w:vertAlign w:val="superscript"/>
          <w:lang w:eastAsia="nl-NL"/>
        </w:rPr>
        <w:footnoteReference w:id="126"/>
      </w:r>
    </w:p>
    <w:p w:rsidRPr="00D544B0" w:rsidR="00212E67" w:rsidP="00180EEB" w:rsidRDefault="00B90292" w14:paraId="66E4BCCE" w14:textId="2FAE30C6">
      <w:pPr>
        <w:suppressAutoHyphens/>
        <w:spacing w:line="240" w:lineRule="atLeast"/>
        <w:rPr>
          <w:szCs w:val="20"/>
          <w:lang w:eastAsia="nl-NL"/>
        </w:rPr>
      </w:pPr>
      <w:r w:rsidRPr="005F055E">
        <w:rPr>
          <w:szCs w:val="20"/>
          <w:lang w:eastAsia="nl-NL"/>
        </w:rPr>
        <w:t xml:space="preserve">De EHDS-bepalingen die relevant zijn voor de </w:t>
      </w:r>
      <w:proofErr w:type="spellStart"/>
      <w:r w:rsidRPr="005F055E">
        <w:rPr>
          <w:szCs w:val="20"/>
          <w:lang w:eastAsia="nl-NL"/>
        </w:rPr>
        <w:t>opt</w:t>
      </w:r>
      <w:proofErr w:type="spellEnd"/>
      <w:r w:rsidRPr="005F055E">
        <w:rPr>
          <w:szCs w:val="20"/>
          <w:lang w:eastAsia="nl-NL"/>
        </w:rPr>
        <w:t xml:space="preserve">-out worden gefaseerd van toepassing. De </w:t>
      </w:r>
      <w:proofErr w:type="spellStart"/>
      <w:r w:rsidRPr="005F055E">
        <w:rPr>
          <w:szCs w:val="20"/>
          <w:lang w:eastAsia="nl-NL"/>
        </w:rPr>
        <w:t>opt</w:t>
      </w:r>
      <w:proofErr w:type="spellEnd"/>
      <w:r w:rsidRPr="005F055E">
        <w:rPr>
          <w:szCs w:val="20"/>
          <w:lang w:eastAsia="nl-NL"/>
        </w:rPr>
        <w:t xml:space="preserve">-out als EHDS-beperkingsrecht moet vanaf maart 2029 wettelijk zijn geregeld. De </w:t>
      </w:r>
      <w:proofErr w:type="spellStart"/>
      <w:r w:rsidRPr="005F055E">
        <w:rPr>
          <w:szCs w:val="20"/>
          <w:lang w:eastAsia="nl-NL"/>
        </w:rPr>
        <w:t>opt</w:t>
      </w:r>
      <w:proofErr w:type="spellEnd"/>
      <w:r w:rsidRPr="005F055E">
        <w:rPr>
          <w:szCs w:val="20"/>
          <w:lang w:eastAsia="nl-NL"/>
        </w:rPr>
        <w:t xml:space="preserve">-out voor de acute zorg zal samen met de Nederlandse EHDS-implementatiewetgeving worden uitgewerkt en tot stand komen. Dat betekent dat er wordt gestuurd om de </w:t>
      </w:r>
      <w:proofErr w:type="spellStart"/>
      <w:r w:rsidRPr="005F055E">
        <w:rPr>
          <w:szCs w:val="20"/>
          <w:lang w:eastAsia="nl-NL"/>
        </w:rPr>
        <w:t>opt</w:t>
      </w:r>
      <w:proofErr w:type="spellEnd"/>
      <w:r w:rsidRPr="005F055E">
        <w:rPr>
          <w:szCs w:val="20"/>
          <w:lang w:eastAsia="nl-NL"/>
        </w:rPr>
        <w:t>-out voor gegevensuitwisseling in de acute zorg in maart 2029 mogelijk te maken.</w:t>
      </w:r>
      <w:r w:rsidRPr="005F055E" w:rsidR="00D73F76">
        <w:rPr>
          <w:szCs w:val="20"/>
          <w:lang w:eastAsia="nl-NL"/>
        </w:rPr>
        <w:t xml:space="preserve"> </w:t>
      </w:r>
    </w:p>
    <w:p w:rsidRPr="005F055E" w:rsidR="008C3510" w:rsidP="00180EEB" w:rsidRDefault="008C3510" w14:paraId="52AB76A0" w14:textId="77777777">
      <w:pPr>
        <w:suppressAutoHyphens/>
      </w:pPr>
    </w:p>
    <w:p w:rsidRPr="005F055E" w:rsidR="00212E67" w:rsidP="00180EEB" w:rsidRDefault="003E7003" w14:paraId="678D868C" w14:textId="77777777">
      <w:pPr>
        <w:suppressAutoHyphens/>
      </w:pPr>
      <w:r w:rsidRPr="005F055E">
        <w:t>Vraag 327</w:t>
      </w:r>
      <w:r w:rsidRPr="005F055E">
        <w:tab/>
      </w:r>
    </w:p>
    <w:p w:rsidRPr="005F055E" w:rsidR="00212E67" w:rsidP="00180EEB" w:rsidRDefault="003E7003" w14:paraId="42A7BFA9" w14:textId="77777777">
      <w:pPr>
        <w:suppressAutoHyphens/>
      </w:pPr>
      <w:r w:rsidRPr="005F055E">
        <w:t>Hoe wordt gewerkt aan een veilige publieke infrastructuur?</w:t>
      </w:r>
      <w:r w:rsidRPr="005F055E">
        <w:tab/>
      </w:r>
    </w:p>
    <w:p w:rsidRPr="005F055E" w:rsidR="003E7003" w:rsidP="00180EEB" w:rsidRDefault="003E7003" w14:paraId="57D6F6ED" w14:textId="3B6F94AF">
      <w:pPr>
        <w:suppressAutoHyphens/>
      </w:pPr>
      <w:r w:rsidRPr="005F055E">
        <w:t>Antwoord</w:t>
      </w:r>
    </w:p>
    <w:p w:rsidRPr="008C3510" w:rsidR="00870809" w:rsidP="00180EEB" w:rsidRDefault="00870809" w14:paraId="3266E3AA" w14:textId="77777777">
      <w:pPr>
        <w:suppressAutoHyphens/>
      </w:pPr>
      <w:bookmarkStart w:name="_Hlk211430729" w:id="53"/>
      <w:r w:rsidRPr="008C3510">
        <w:t xml:space="preserve">In het project “Veilig Netwerk”, binnen het programma Landelijk Dekkend Netwerk, werkt VWS aan een veilige landelijke infrastructuur voor het uitwisselen en beschikbaar stellen van gezondheidsgegevens door zorgverleners. De organisaties die gezondheidsgegevens uitwisselen dienen te voldoen aan de norm voor informatiebeveiliging in de zorg, de NEN 7512. De praktijk wijst nu uit dat hoewel partijen aan NEN 7512 voldoen, er toch vaak geen technische verbinding kan worden gelegd om veilig gegevens uit te wisselen. Dit wordt veroorzaakt doordat sectoren en regio’s op een verschillende manier invulling geven aan de veiligheidseisen van de norm. Hierdoor kan er geen veilige verbinding tot stand kan komen. </w:t>
      </w:r>
    </w:p>
    <w:p w:rsidRPr="008C3510" w:rsidR="00870809" w:rsidP="00180EEB" w:rsidRDefault="00870809" w14:paraId="3038C8F3" w14:textId="77777777">
      <w:pPr>
        <w:suppressAutoHyphens/>
      </w:pPr>
      <w:r w:rsidRPr="008C3510">
        <w:t xml:space="preserve">Het project Veilig Netwerk doorbreekt dit door samen met de vertegenwoordigers van zorgaanbieders en de softwareleveranciers tot </w:t>
      </w:r>
      <w:proofErr w:type="spellStart"/>
      <w:r w:rsidRPr="008C3510">
        <w:t>zorgbrede</w:t>
      </w:r>
      <w:proofErr w:type="spellEnd"/>
      <w:r w:rsidRPr="008C3510">
        <w:t xml:space="preserve"> afspraken te komen voor de manier van veilig gegevens uitwisselen. In 2026 zijn deze afspraken gereed waarna gestart wordt met het doorvoeren van de noodzakelijke aanpassingen om te komen tot een veilige landelijke infrastructuur.</w:t>
      </w:r>
    </w:p>
    <w:bookmarkEnd w:id="53"/>
    <w:p w:rsidRPr="005F055E" w:rsidR="00212E67" w:rsidP="00180EEB" w:rsidRDefault="003E7003" w14:paraId="069D40B7" w14:textId="77777777">
      <w:pPr>
        <w:suppressAutoHyphens/>
      </w:pPr>
      <w:r w:rsidRPr="005F055E">
        <w:t>Vraag 328</w:t>
      </w:r>
      <w:r w:rsidRPr="005F055E">
        <w:tab/>
      </w:r>
    </w:p>
    <w:p w:rsidRPr="005F055E" w:rsidR="00212E67" w:rsidP="00180EEB" w:rsidRDefault="003E7003" w14:paraId="7472A10F" w14:textId="77777777">
      <w:pPr>
        <w:suppressAutoHyphens/>
      </w:pPr>
      <w:r w:rsidRPr="005F055E">
        <w:t>Hoe worden de miljoenen voor AI in de zorg in 2026 besteed aan het halveren van administratietijd, en welke concrete projecten worden opgeschaald?</w:t>
      </w:r>
      <w:r w:rsidRPr="005F055E">
        <w:tab/>
      </w:r>
    </w:p>
    <w:p w:rsidRPr="005F055E" w:rsidR="003E7003" w:rsidP="00180EEB" w:rsidRDefault="003E7003" w14:paraId="6CCBB5DD" w14:textId="6C99AD37">
      <w:pPr>
        <w:suppressAutoHyphens/>
      </w:pPr>
      <w:r w:rsidRPr="005F055E">
        <w:t>Antwoord</w:t>
      </w:r>
    </w:p>
    <w:p w:rsidRPr="008C3510" w:rsidR="00212E67" w:rsidP="00180EEB" w:rsidRDefault="00870809" w14:paraId="291622DB" w14:textId="2D1D1FB5">
      <w:pPr>
        <w:suppressAutoHyphens/>
      </w:pPr>
      <w:r w:rsidRPr="008C3510">
        <w:t>Er zijn in 2026 geen miljoenen gereserveerd voor het halveren van administratietijd met AI in de zorg. Zoals in de Kamerbrief over inzet op realisatie van AI in de zorg (Kamerstukken II 2025/26, 27529, nr. 350) is vermeld, is het opschalen van AI onderdeel van de AZWA-afspraken en ligt dit voor een groot gedeelte bij keuzes van zorgaanbieders zelf vanuit hun reguliere bedrijfsvoering. Over de precieze wijze van opschaling vindt de komende periode nog afstemming plaats met de AZWA-partijen. Zorgaanbieders en zorgverzekeraars investeren ook zelf in AI-toepassingen in de zorg. </w:t>
      </w:r>
      <w:r w:rsidRPr="008C3510">
        <w:rPr>
          <w:rFonts w:ascii="Arial" w:hAnsi="Arial" w:cs="Arial"/>
        </w:rPr>
        <w:t>​</w:t>
      </w:r>
      <w:r w:rsidRPr="008C3510">
        <w:t>Daarnaast zijn er afspraken over doorbraakmiddelen gemaakt.</w:t>
      </w:r>
      <w:r w:rsidRPr="008C3510">
        <w:rPr>
          <w:rFonts w:cs="Verdana"/>
        </w:rPr>
        <w:t> </w:t>
      </w:r>
      <w:r w:rsidRPr="008C3510">
        <w:t xml:space="preserve">Voor impactvolle transformaties, aanvullend op de bestaande transformatiemiddelen uit het IZA, is er voor de jaren 2027 en 2028 </w:t>
      </w:r>
      <w:r w:rsidRPr="008C3510">
        <w:rPr>
          <w:rFonts w:cs="Verdana"/>
        </w:rPr>
        <w:t>€</w:t>
      </w:r>
      <w:r w:rsidRPr="008C3510">
        <w:t xml:space="preserve"> 400 miljoen per jaar beschikbaar. Deze middelen worden ingezet voor arbeidsbesparende maatregelen zoals de inzet van AI, medische technologie en hulpmiddelen.</w:t>
      </w:r>
      <w:r w:rsidRPr="008C3510">
        <w:rPr>
          <w:rFonts w:ascii="Arial" w:hAnsi="Arial" w:cs="Arial"/>
        </w:rPr>
        <w:t>​</w:t>
      </w:r>
    </w:p>
    <w:p w:rsidRPr="005F055E" w:rsidR="00212E67" w:rsidP="00180EEB" w:rsidRDefault="00212E67" w14:paraId="365F9075" w14:textId="77777777">
      <w:pPr>
        <w:suppressAutoHyphens/>
      </w:pPr>
    </w:p>
    <w:p w:rsidRPr="005F055E" w:rsidR="00212E67" w:rsidP="00180EEB" w:rsidRDefault="003E7003" w14:paraId="23220D02" w14:textId="77777777">
      <w:pPr>
        <w:suppressAutoHyphens/>
      </w:pPr>
      <w:r w:rsidRPr="005F055E">
        <w:t>Vraag 329</w:t>
      </w:r>
      <w:r w:rsidRPr="005F055E">
        <w:tab/>
      </w:r>
    </w:p>
    <w:p w:rsidRPr="005F055E" w:rsidR="00212E67" w:rsidP="00180EEB" w:rsidRDefault="003E7003" w14:paraId="4D2DA301" w14:textId="77777777">
      <w:pPr>
        <w:suppressAutoHyphens/>
      </w:pPr>
      <w:r w:rsidRPr="005F055E">
        <w:t>Zijn er, in het kader van de Wet elektronische gegevensuitwisseling in de zorg (</w:t>
      </w:r>
      <w:proofErr w:type="spellStart"/>
      <w:r w:rsidRPr="005F055E">
        <w:t>Wegiz</w:t>
      </w:r>
      <w:proofErr w:type="spellEnd"/>
      <w:r w:rsidRPr="005F055E">
        <w:t>), middelen opgenomen om de eenheid van taal te bevorderen?</w:t>
      </w:r>
      <w:r w:rsidRPr="005F055E">
        <w:tab/>
      </w:r>
    </w:p>
    <w:p w:rsidRPr="005F055E" w:rsidR="003E7003" w:rsidP="00180EEB" w:rsidRDefault="003E7003" w14:paraId="5E0CE255" w14:textId="6C59D42D">
      <w:pPr>
        <w:suppressAutoHyphens/>
      </w:pPr>
      <w:r w:rsidRPr="005F055E">
        <w:t>Antwoord</w:t>
      </w:r>
    </w:p>
    <w:p w:rsidRPr="008C3510" w:rsidR="00870809" w:rsidP="00180EEB" w:rsidRDefault="00870809" w14:paraId="76841E5C" w14:textId="1B7729D4">
      <w:pPr>
        <w:suppressAutoHyphens/>
      </w:pPr>
      <w:r w:rsidRPr="008C3510">
        <w:t xml:space="preserve">Vanuit de Coalitieakkoord 2021-2025 zijn middelen voor het standaardiseren van de gegevensuitwisseling beschikbaar gesteld. Deze middelen worden ook ingezet om de eenheid van taal te bevorderen in het kader van de </w:t>
      </w:r>
      <w:proofErr w:type="spellStart"/>
      <w:r w:rsidRPr="008C3510">
        <w:t>Wegiz</w:t>
      </w:r>
      <w:proofErr w:type="spellEnd"/>
      <w:r w:rsidRPr="008C3510">
        <w:t>. In 2025 is voor € 0,9 miljoen euro aan bijdrage aan het agentschap RIVM verstrekt en voor € 1,0 miljoen euro aan opdrachten voor ICTU. Voor de periode na 2025 is VWS voornemens om middelen aan te vragen in het kader van de Voorjaarsnota 2026 (VJN 26) om verdere stappen te zetten op dit terrein. De omvang van deze middelen is nog niet definitief vastgesteld.</w:t>
      </w:r>
    </w:p>
    <w:p w:rsidRPr="005F055E" w:rsidR="00212E67" w:rsidP="00180EEB" w:rsidRDefault="00212E67" w14:paraId="7C33109C" w14:textId="77777777">
      <w:pPr>
        <w:suppressAutoHyphens/>
      </w:pPr>
    </w:p>
    <w:p w:rsidRPr="005F055E" w:rsidR="00212E67" w:rsidP="00180EEB" w:rsidRDefault="003E7003" w14:paraId="00E97D07" w14:textId="77777777">
      <w:pPr>
        <w:suppressAutoHyphens/>
      </w:pPr>
      <w:r w:rsidRPr="005F055E">
        <w:t>Vraag 330</w:t>
      </w:r>
      <w:r w:rsidRPr="005F055E">
        <w:tab/>
      </w:r>
    </w:p>
    <w:p w:rsidRPr="005F055E" w:rsidR="00212E67" w:rsidP="00180EEB" w:rsidRDefault="003E7003" w14:paraId="5503182B" w14:textId="77777777">
      <w:pPr>
        <w:suppressAutoHyphens/>
      </w:pPr>
      <w:r w:rsidRPr="005F055E">
        <w:t>Is er onder de toegankelijkheid en beschikbaar houden van medische hulpmiddelen speciale aandacht voor de toegankelijkheid voor kinderen?</w:t>
      </w:r>
      <w:r w:rsidRPr="005F055E">
        <w:tab/>
      </w:r>
    </w:p>
    <w:p w:rsidRPr="005F055E" w:rsidR="003E7003" w:rsidP="00180EEB" w:rsidRDefault="003E7003" w14:paraId="2F53CB3E" w14:textId="186E280C">
      <w:pPr>
        <w:suppressAutoHyphens/>
      </w:pPr>
      <w:r w:rsidRPr="005F055E">
        <w:t>Antwoord</w:t>
      </w:r>
    </w:p>
    <w:p w:rsidRPr="005F055E" w:rsidR="00212E67" w:rsidP="00180EEB" w:rsidRDefault="00575A49" w14:paraId="5DD0D6C5" w14:textId="57E5B9C5">
      <w:pPr>
        <w:suppressAutoHyphens/>
        <w:spacing w:line="240" w:lineRule="atLeast"/>
      </w:pPr>
      <w:r w:rsidRPr="005F055E">
        <w:rPr>
          <w:szCs w:val="18"/>
          <w:lang w:eastAsia="nl-NL"/>
        </w:rPr>
        <w:t xml:space="preserve">Ja. Ik vind het belangrijk dat medische hulpmiddelen toegankelijk en beschikbaar zijn voor iedereen die deze nodig heeft, waaronder kinderen. Kinderen en neonaten hebben soms specifieke medische hulpmiddelen nodig. Doordat veel van deze hulpmiddelen bedoeld zijn voor een kleine patiëntenpopulatie, kunnen de marges voor fabrikanten soms smal zijn. Mede hierdoor zien zij in sommige gevallen af van certificering van hun producten onder de Europese wet- en regelgeving (de </w:t>
      </w:r>
      <w:proofErr w:type="spellStart"/>
      <w:r w:rsidRPr="005F055E">
        <w:rPr>
          <w:szCs w:val="18"/>
          <w:lang w:eastAsia="nl-NL"/>
        </w:rPr>
        <w:t>Medical</w:t>
      </w:r>
      <w:proofErr w:type="spellEnd"/>
      <w:r w:rsidRPr="005F055E">
        <w:rPr>
          <w:szCs w:val="18"/>
          <w:lang w:eastAsia="nl-NL"/>
        </w:rPr>
        <w:t xml:space="preserve"> Device </w:t>
      </w:r>
      <w:proofErr w:type="spellStart"/>
      <w:r w:rsidRPr="005F055E">
        <w:rPr>
          <w:szCs w:val="18"/>
          <w:lang w:eastAsia="nl-NL"/>
        </w:rPr>
        <w:t>Regulation</w:t>
      </w:r>
      <w:proofErr w:type="spellEnd"/>
      <w:r w:rsidRPr="005F055E">
        <w:rPr>
          <w:szCs w:val="18"/>
          <w:lang w:eastAsia="nl-NL"/>
        </w:rPr>
        <w:t xml:space="preserve"> (MDR) en In-Vitro </w:t>
      </w:r>
      <w:proofErr w:type="spellStart"/>
      <w:r w:rsidRPr="005F055E">
        <w:rPr>
          <w:szCs w:val="18"/>
          <w:lang w:eastAsia="nl-NL"/>
        </w:rPr>
        <w:t>Diagnostics</w:t>
      </w:r>
      <w:proofErr w:type="spellEnd"/>
      <w:r w:rsidRPr="005F055E">
        <w:rPr>
          <w:szCs w:val="18"/>
          <w:lang w:eastAsia="nl-NL"/>
        </w:rPr>
        <w:t xml:space="preserve"> </w:t>
      </w:r>
      <w:proofErr w:type="spellStart"/>
      <w:r w:rsidRPr="005F055E">
        <w:rPr>
          <w:szCs w:val="18"/>
          <w:lang w:eastAsia="nl-NL"/>
        </w:rPr>
        <w:t>Regulation</w:t>
      </w:r>
      <w:proofErr w:type="spellEnd"/>
      <w:r w:rsidRPr="005F055E">
        <w:rPr>
          <w:szCs w:val="18"/>
          <w:lang w:eastAsia="nl-NL"/>
        </w:rPr>
        <w:t xml:space="preserve"> (IVDR) en brengen zij hun product niet op de Europese markt, met beschikbaarheidsproblemen als gevolg. Ik bekijk daarom samen met andere Europese lidstaten naar mogelijkheden om deze zogenoemde ‘</w:t>
      </w:r>
      <w:proofErr w:type="spellStart"/>
      <w:r w:rsidRPr="005F055E">
        <w:rPr>
          <w:szCs w:val="18"/>
          <w:lang w:eastAsia="nl-NL"/>
        </w:rPr>
        <w:t>orphan</w:t>
      </w:r>
      <w:proofErr w:type="spellEnd"/>
      <w:r w:rsidRPr="005F055E">
        <w:rPr>
          <w:szCs w:val="18"/>
          <w:lang w:eastAsia="nl-NL"/>
        </w:rPr>
        <w:t xml:space="preserve"> </w:t>
      </w:r>
      <w:proofErr w:type="spellStart"/>
      <w:r w:rsidRPr="005F055E">
        <w:rPr>
          <w:szCs w:val="18"/>
          <w:lang w:eastAsia="nl-NL"/>
        </w:rPr>
        <w:t>devices</w:t>
      </w:r>
      <w:proofErr w:type="spellEnd"/>
      <w:r w:rsidRPr="005F055E">
        <w:rPr>
          <w:szCs w:val="18"/>
          <w:lang w:eastAsia="nl-NL"/>
        </w:rPr>
        <w:t xml:space="preserve">’ toegankelijk en beschikbaar te houden. Zo heeft de Europese Commissie recent een nieuw initiatiefprogramma opgezet om de ontwikkeling en beoordeling van </w:t>
      </w:r>
      <w:proofErr w:type="spellStart"/>
      <w:r w:rsidRPr="005F055E">
        <w:rPr>
          <w:szCs w:val="18"/>
          <w:lang w:eastAsia="nl-NL"/>
        </w:rPr>
        <w:t>orphan</w:t>
      </w:r>
      <w:proofErr w:type="spellEnd"/>
      <w:r w:rsidRPr="005F055E">
        <w:rPr>
          <w:szCs w:val="18"/>
          <w:lang w:eastAsia="nl-NL"/>
        </w:rPr>
        <w:t xml:space="preserve"> </w:t>
      </w:r>
      <w:proofErr w:type="spellStart"/>
      <w:r w:rsidRPr="005F055E">
        <w:rPr>
          <w:szCs w:val="18"/>
          <w:lang w:eastAsia="nl-NL"/>
        </w:rPr>
        <w:t>devices</w:t>
      </w:r>
      <w:proofErr w:type="spellEnd"/>
      <w:r w:rsidRPr="005F055E">
        <w:rPr>
          <w:szCs w:val="18"/>
          <w:lang w:eastAsia="nl-NL"/>
        </w:rPr>
        <w:t xml:space="preserve"> te ondersteunen.</w:t>
      </w:r>
    </w:p>
    <w:p w:rsidRPr="005F055E" w:rsidR="00306ADC" w:rsidP="00180EEB" w:rsidRDefault="00306ADC" w14:paraId="75FF3665" w14:textId="77777777">
      <w:pPr>
        <w:suppressAutoHyphens/>
      </w:pPr>
    </w:p>
    <w:p w:rsidRPr="005F055E" w:rsidR="00212E67" w:rsidP="00180EEB" w:rsidRDefault="003E7003" w14:paraId="45EFA0AD" w14:textId="77777777">
      <w:pPr>
        <w:suppressAutoHyphens/>
      </w:pPr>
      <w:r w:rsidRPr="005F055E">
        <w:t>Vraag 331</w:t>
      </w:r>
      <w:r w:rsidRPr="005F055E">
        <w:tab/>
      </w:r>
    </w:p>
    <w:p w:rsidRPr="005F055E" w:rsidR="00212E67" w:rsidP="00180EEB" w:rsidRDefault="003E7003" w14:paraId="6B39475E" w14:textId="77777777">
      <w:pPr>
        <w:suppressAutoHyphens/>
      </w:pPr>
      <w:r w:rsidRPr="005F055E">
        <w:t>Bent u ervan op de hoogte dat in een rijk land als Nederland hulpmiddelen zoals brillen voor kinderen vaak alleen beschikbaar zijn met hulp of ondersteuning van goede doelen?</w:t>
      </w:r>
      <w:r w:rsidRPr="005F055E">
        <w:tab/>
      </w:r>
    </w:p>
    <w:p w:rsidR="00D544B0" w:rsidP="00180EEB" w:rsidRDefault="00D544B0" w14:paraId="1E5868BD" w14:textId="77777777">
      <w:pPr>
        <w:suppressAutoHyphens/>
      </w:pPr>
    </w:p>
    <w:p w:rsidRPr="005F055E" w:rsidR="003E7003" w:rsidP="00180EEB" w:rsidRDefault="003E7003" w14:paraId="3CA8E6BC" w14:textId="4891D9AC">
      <w:pPr>
        <w:suppressAutoHyphens/>
      </w:pPr>
      <w:r w:rsidRPr="005F055E">
        <w:t>Antwoord</w:t>
      </w:r>
    </w:p>
    <w:p w:rsidRPr="005F055E" w:rsidR="00EE5450" w:rsidP="00180EEB" w:rsidRDefault="00EE5450" w14:paraId="55182628" w14:textId="7FCD7F47">
      <w:pPr>
        <w:suppressAutoHyphens/>
        <w:spacing w:line="240" w:lineRule="atLeast"/>
        <w:rPr>
          <w:szCs w:val="18"/>
          <w:lang w:eastAsia="nl-NL"/>
        </w:rPr>
      </w:pPr>
      <w:r w:rsidRPr="005F055E">
        <w:rPr>
          <w:szCs w:val="18"/>
          <w:lang w:eastAsia="nl-NL"/>
        </w:rPr>
        <w:t>Ik vind het belangrijk dat alle kinderen in Nederland, ongeacht de financiële situatie van hun ouders, over een bril beschikken als dat noodzakelijk is. Goed zicht is namelijk essentieel voor de ontwikkeling van kinderen.</w:t>
      </w:r>
    </w:p>
    <w:p w:rsidRPr="005F055E" w:rsidR="00EE5450" w:rsidP="00180EEB" w:rsidRDefault="00EE5450" w14:paraId="3A43E4FA" w14:textId="4395C7B7">
      <w:pPr>
        <w:suppressAutoHyphens/>
        <w:spacing w:line="240" w:lineRule="atLeast"/>
        <w:rPr>
          <w:szCs w:val="18"/>
          <w:lang w:eastAsia="nl-NL"/>
        </w:rPr>
      </w:pPr>
      <w:r w:rsidRPr="005F055E">
        <w:rPr>
          <w:szCs w:val="18"/>
          <w:lang w:eastAsia="nl-NL"/>
        </w:rPr>
        <w:t>Eind 2024 heeft uw Kamer een amendement</w:t>
      </w:r>
      <w:r w:rsidRPr="005F055E">
        <w:rPr>
          <w:szCs w:val="18"/>
          <w:vertAlign w:val="superscript"/>
          <w:lang w:eastAsia="nl-NL"/>
        </w:rPr>
        <w:footnoteReference w:id="127"/>
      </w:r>
      <w:r w:rsidRPr="005F055E">
        <w:rPr>
          <w:szCs w:val="18"/>
          <w:lang w:eastAsia="nl-NL"/>
        </w:rPr>
        <w:t xml:space="preserve"> aangenomen over de verstrekking van brillen aan kinderen die deze niet vergoed krijgen uit het basispakket voor het jaar 2025. Het amendement is gericht op een tegemoetkoming aan ouders of verzorgers die de kosten van een bril voor hun kind(eren) niet kunnen dragen. Momenteel voer ik dit amendement uit, door het beschikbaar stellen van een subsidieregeling aan twee instellingen, namelijk het Nationaal Fonds Kinderhulp en het Jeugdeducatiefonds. Via deze instellingen kan een tegemoetkoming worden verstrekt voor de kosten van een bril voor kinderen.</w:t>
      </w:r>
    </w:p>
    <w:p w:rsidRPr="005F055E" w:rsidR="00212E67" w:rsidP="00180EEB" w:rsidRDefault="00EE5450" w14:paraId="52808172" w14:textId="2314A0FF">
      <w:pPr>
        <w:suppressAutoHyphens/>
      </w:pPr>
      <w:r w:rsidRPr="005F055E">
        <w:rPr>
          <w:szCs w:val="18"/>
          <w:lang w:eastAsia="nl-NL"/>
        </w:rPr>
        <w:t xml:space="preserve">Tegelijkertijd ben ik in gesprek met veldpartijen, onderzoeksinstituten en het Zorginstituut om te bezien of de huidige aanspraak op kinderbrillen herzien moet worden. Het Zorginstituut verwacht hier eind 2026 een advies over uit te kunnen brengen. Ik heb daarom besloten om de subsidieregeling te verlengen voor 2026. Op die manier wordt ook voor het komende jaar de toegang voor kinderen die een bril nodig hebben verbeterd. Ik geef zo ook uitwerking aan de motie van de leden Dijk en </w:t>
      </w:r>
      <w:proofErr w:type="spellStart"/>
      <w:r w:rsidRPr="005F055E">
        <w:rPr>
          <w:szCs w:val="18"/>
          <w:lang w:eastAsia="nl-NL"/>
        </w:rPr>
        <w:t>Bushoff</w:t>
      </w:r>
      <w:proofErr w:type="spellEnd"/>
      <w:r w:rsidRPr="005F055E">
        <w:rPr>
          <w:szCs w:val="18"/>
          <w:lang w:eastAsia="nl-NL"/>
        </w:rPr>
        <w:t xml:space="preserve"> </w:t>
      </w:r>
      <w:r w:rsidRPr="005F055E">
        <w:rPr>
          <w:szCs w:val="18"/>
          <w:vertAlign w:val="superscript"/>
          <w:lang w:eastAsia="nl-NL"/>
        </w:rPr>
        <w:footnoteReference w:id="128"/>
      </w:r>
      <w:r w:rsidRPr="005F055E">
        <w:rPr>
          <w:szCs w:val="18"/>
          <w:lang w:eastAsia="nl-NL"/>
        </w:rPr>
        <w:t xml:space="preserve"> die verzoekt om met een oplossing te komen om de toegankelijkheid voor brillen voor kinderen te verbeteren, zolang het advies van het Zorginstituut nog niet gereed is.</w:t>
      </w:r>
    </w:p>
    <w:p w:rsidRPr="005F055E" w:rsidR="00306ADC" w:rsidP="00180EEB" w:rsidRDefault="00306ADC" w14:paraId="78D8C3C9" w14:textId="77777777">
      <w:pPr>
        <w:suppressAutoHyphens/>
      </w:pPr>
    </w:p>
    <w:p w:rsidRPr="005F055E" w:rsidR="00212E67" w:rsidP="00180EEB" w:rsidRDefault="003E7003" w14:paraId="4D1999B2" w14:textId="77777777">
      <w:pPr>
        <w:suppressAutoHyphens/>
      </w:pPr>
      <w:r w:rsidRPr="005F055E">
        <w:t>Vraag 332</w:t>
      </w:r>
      <w:r w:rsidRPr="005F055E">
        <w:tab/>
      </w:r>
    </w:p>
    <w:p w:rsidRPr="005F055E" w:rsidR="00212E67" w:rsidP="00180EEB" w:rsidRDefault="003E7003" w14:paraId="6E9B9C72" w14:textId="77777777">
      <w:pPr>
        <w:suppressAutoHyphens/>
      </w:pPr>
      <w:r w:rsidRPr="005F055E">
        <w:t>Wanneer wordt de onafhankelijke evaluatie van het preferentiebeleid naar verwachting opgeleverd?</w:t>
      </w:r>
      <w:r w:rsidRPr="005F055E">
        <w:tab/>
      </w:r>
    </w:p>
    <w:p w:rsidRPr="005F055E" w:rsidR="003E7003" w:rsidP="00180EEB" w:rsidRDefault="003E7003" w14:paraId="36A892A3" w14:textId="6A2A2A09">
      <w:pPr>
        <w:suppressAutoHyphens/>
      </w:pPr>
      <w:r w:rsidRPr="005F055E">
        <w:t>Antwoord</w:t>
      </w:r>
    </w:p>
    <w:p w:rsidRPr="005F055E" w:rsidR="00EE5450" w:rsidP="00180EEB" w:rsidRDefault="00EE5450" w14:paraId="409AF2A4" w14:textId="77777777">
      <w:pPr>
        <w:suppressAutoHyphens/>
        <w:spacing w:line="240" w:lineRule="atLeast"/>
        <w:rPr>
          <w:szCs w:val="18"/>
          <w:lang w:eastAsia="nl-NL"/>
        </w:rPr>
      </w:pPr>
      <w:r w:rsidRPr="005F055E">
        <w:rPr>
          <w:szCs w:val="18"/>
          <w:lang w:eastAsia="nl-NL"/>
        </w:rPr>
        <w:t xml:space="preserve">Momenteel worden de voorbereidingen getroffen voor de onafhankelijke evaluatie. Bij de planning van de evaluatie wordt rekening gehouden met het verzoek van uw de Kamer om haar 1 oktober 2026 over de evaluatie te informeren. Begin 2026 ontvangt uw Kamer een voortgangsbrief over de beschikbaarheid van geneesmiddelen. In deze brief wordt u nader geïnformeerd over planning en voortgang van de evaluatie. </w:t>
      </w:r>
    </w:p>
    <w:p w:rsidRPr="005F055E" w:rsidR="00212E67" w:rsidP="00180EEB" w:rsidRDefault="00212E67" w14:paraId="50FD452B" w14:textId="77777777">
      <w:pPr>
        <w:suppressAutoHyphens/>
      </w:pPr>
    </w:p>
    <w:p w:rsidRPr="005F055E" w:rsidR="00212E67" w:rsidP="00180EEB" w:rsidRDefault="003E7003" w14:paraId="5FE32070" w14:textId="77777777">
      <w:pPr>
        <w:suppressAutoHyphens/>
      </w:pPr>
      <w:r w:rsidRPr="005F055E">
        <w:t>Vraag 333</w:t>
      </w:r>
      <w:r w:rsidRPr="005F055E">
        <w:tab/>
      </w:r>
    </w:p>
    <w:p w:rsidRPr="005F055E" w:rsidR="00212E67" w:rsidP="00180EEB" w:rsidRDefault="003E7003" w14:paraId="34F30F0D" w14:textId="77777777">
      <w:pPr>
        <w:suppressAutoHyphens/>
      </w:pPr>
      <w:r w:rsidRPr="005F055E">
        <w:t>Hoe wordt de effectiviteit van de werkagenda VN-verdrag beoordeeld door mensen met een beperking en hun belangenbehartigers?</w:t>
      </w:r>
      <w:r w:rsidRPr="005F055E">
        <w:tab/>
      </w:r>
    </w:p>
    <w:p w:rsidRPr="005F055E" w:rsidR="003E7003" w:rsidP="00180EEB" w:rsidRDefault="003E7003" w14:paraId="7C0E56F8" w14:textId="2760503D">
      <w:pPr>
        <w:suppressAutoHyphens/>
      </w:pPr>
      <w:r w:rsidRPr="005F055E">
        <w:t>Antwoord</w:t>
      </w:r>
    </w:p>
    <w:p w:rsidRPr="005F055E" w:rsidR="00212E67" w:rsidP="00180EEB" w:rsidRDefault="00EE5450" w14:paraId="53DA5558" w14:textId="697115B9">
      <w:pPr>
        <w:suppressAutoHyphens/>
        <w:spacing w:line="240" w:lineRule="atLeast"/>
        <w:rPr>
          <w:szCs w:val="18"/>
          <w:lang w:eastAsia="nl-NL"/>
        </w:rPr>
      </w:pPr>
      <w:r w:rsidRPr="005F055E">
        <w:rPr>
          <w:szCs w:val="18"/>
          <w:lang w:eastAsia="nl-NL"/>
        </w:rPr>
        <w:t xml:space="preserve">Na het lanceren van de werkagenda VN-verdrag Handicap hebben verschillende vertegenwoordigende organisaties en belangenbehartigers gereageerd op de inhoud ervan. De belangenorganisaties zijn blij dat de werkagenda gepubliceerd is en dat het kabinet stappen gaat zetten om het VN-verdrag Handicap verder te implementeren. Tegelijkertijd zijn belangenorganisaties terughoudend over het ambitieniveau van de maatregelen in de werkagenda. Zij twijfelen of dit voldoende is om de doelen in de nationale strategie te bereiken en roepen op tot uitbreiding van de werkagenda met meer ambities. </w:t>
      </w:r>
    </w:p>
    <w:p w:rsidR="00212E67" w:rsidP="00180EEB" w:rsidRDefault="00212E67" w14:paraId="423363BC" w14:textId="77777777">
      <w:pPr>
        <w:suppressAutoHyphens/>
      </w:pPr>
    </w:p>
    <w:p w:rsidRPr="005F055E" w:rsidR="00194494" w:rsidP="00180EEB" w:rsidRDefault="003E7003" w14:paraId="36105733" w14:textId="0CCD6163">
      <w:pPr>
        <w:suppressAutoHyphens/>
      </w:pPr>
      <w:r w:rsidRPr="005F055E">
        <w:t>Vraag 334</w:t>
      </w:r>
    </w:p>
    <w:p w:rsidRPr="005F055E" w:rsidR="00194494" w:rsidP="00180EEB" w:rsidRDefault="003E7003" w14:paraId="5D9CDC82" w14:textId="77777777">
      <w:pPr>
        <w:suppressAutoHyphens/>
      </w:pPr>
      <w:r w:rsidRPr="005F055E">
        <w:t>Is er enig signaal of de verhoging van de tarieven van de VG7 kostendekkend zijn?</w:t>
      </w:r>
    </w:p>
    <w:p w:rsidRPr="005F055E" w:rsidR="003E7003" w:rsidP="00180EEB" w:rsidRDefault="003E7003" w14:paraId="4D2B6D8A" w14:textId="68A35911">
      <w:pPr>
        <w:suppressAutoHyphens/>
      </w:pPr>
      <w:r w:rsidRPr="005F055E">
        <w:t>Antwoord</w:t>
      </w:r>
    </w:p>
    <w:p w:rsidRPr="005F055E" w:rsidR="00CF1801" w:rsidP="00180EEB" w:rsidRDefault="00EE5450" w14:paraId="2D79A180" w14:textId="325B582A">
      <w:pPr>
        <w:suppressAutoHyphens/>
        <w:spacing w:line="240" w:lineRule="atLeast"/>
        <w:rPr>
          <w:szCs w:val="18"/>
          <w:lang w:eastAsia="nl-NL"/>
        </w:rPr>
      </w:pPr>
      <w:r w:rsidRPr="005F055E">
        <w:rPr>
          <w:szCs w:val="18"/>
          <w:lang w:eastAsia="nl-NL"/>
        </w:rPr>
        <w:t xml:space="preserve">De </w:t>
      </w:r>
      <w:proofErr w:type="spellStart"/>
      <w:r w:rsidRPr="005F055E">
        <w:rPr>
          <w:szCs w:val="18"/>
          <w:lang w:eastAsia="nl-NL"/>
        </w:rPr>
        <w:t>NZa</w:t>
      </w:r>
      <w:proofErr w:type="spellEnd"/>
      <w:r w:rsidRPr="005F055E">
        <w:rPr>
          <w:szCs w:val="18"/>
          <w:lang w:eastAsia="nl-NL"/>
        </w:rPr>
        <w:t xml:space="preserve"> heeft als taak om redelijkerwijs kostendekkende tarieven vast te stellen. Op basis van recente kostenonderzoeken zijn de tarieven voor de gehandicaptenzorg voor 2026 door de </w:t>
      </w:r>
      <w:proofErr w:type="spellStart"/>
      <w:r w:rsidRPr="005F055E">
        <w:rPr>
          <w:szCs w:val="18"/>
          <w:lang w:eastAsia="nl-NL"/>
        </w:rPr>
        <w:t>NZa</w:t>
      </w:r>
      <w:proofErr w:type="spellEnd"/>
      <w:r w:rsidRPr="005F055E">
        <w:rPr>
          <w:szCs w:val="18"/>
          <w:lang w:eastAsia="nl-NL"/>
        </w:rPr>
        <w:t xml:space="preserve"> geactualiseerd, na een voorlopige actualisatie van de tarieven voor 2025. Ik ga er daarmee vanuit dat deze redelijkerwijs kostendekkend zijn.</w:t>
      </w:r>
    </w:p>
    <w:p w:rsidRPr="005F055E" w:rsidR="00CF1801" w:rsidP="00180EEB" w:rsidRDefault="00CF1801" w14:paraId="51C88023" w14:textId="77777777">
      <w:pPr>
        <w:suppressAutoHyphens/>
      </w:pPr>
    </w:p>
    <w:p w:rsidRPr="005F055E" w:rsidR="00194494" w:rsidP="00180EEB" w:rsidRDefault="003E7003" w14:paraId="32E40D51" w14:textId="1BEFCF82">
      <w:pPr>
        <w:suppressAutoHyphens/>
      </w:pPr>
      <w:r w:rsidRPr="005F055E">
        <w:t>Vraag 335</w:t>
      </w:r>
    </w:p>
    <w:p w:rsidRPr="005F055E" w:rsidR="00194494" w:rsidP="00180EEB" w:rsidRDefault="003E7003" w14:paraId="2C12DAE3" w14:textId="77777777">
      <w:pPr>
        <w:suppressAutoHyphens/>
      </w:pPr>
      <w:r w:rsidRPr="005F055E">
        <w:t>Wat doet u en het kabinet, naast de Wet integere bedrijfsvoering zorg- en jeugdhulpaanbieders (</w:t>
      </w:r>
      <w:proofErr w:type="spellStart"/>
      <w:r w:rsidRPr="005F055E">
        <w:t>Wibz</w:t>
      </w:r>
      <w:proofErr w:type="spellEnd"/>
      <w:r w:rsidRPr="005F055E">
        <w:t xml:space="preserve">), aan het weren van niet-integere aanbieders (met name private </w:t>
      </w:r>
      <w:proofErr w:type="spellStart"/>
      <w:r w:rsidRPr="005F055E">
        <w:t>equity</w:t>
      </w:r>
      <w:proofErr w:type="spellEnd"/>
      <w:r w:rsidRPr="005F055E">
        <w:t xml:space="preserve"> partijen) uit de zorg?</w:t>
      </w:r>
      <w:r w:rsidRPr="005F055E">
        <w:tab/>
      </w:r>
    </w:p>
    <w:p w:rsidRPr="005F055E" w:rsidR="003E7003" w:rsidP="00180EEB" w:rsidRDefault="003E7003" w14:paraId="1616344E" w14:textId="71DFA6E7">
      <w:pPr>
        <w:suppressAutoHyphens/>
      </w:pPr>
      <w:r w:rsidRPr="005F055E">
        <w:t>Antwoord</w:t>
      </w:r>
    </w:p>
    <w:p w:rsidRPr="005F055E" w:rsidR="00EE5450" w:rsidP="00180EEB" w:rsidRDefault="00EE5450" w14:paraId="55FFBDA2" w14:textId="25252D1E">
      <w:pPr>
        <w:suppressAutoHyphens/>
        <w:spacing w:line="240" w:lineRule="atLeast"/>
        <w:rPr>
          <w:szCs w:val="20"/>
          <w:lang w:eastAsia="nl-NL"/>
        </w:rPr>
      </w:pPr>
      <w:r w:rsidRPr="005F055E">
        <w:rPr>
          <w:szCs w:val="20"/>
          <w:lang w:eastAsia="nl-NL"/>
        </w:rPr>
        <w:t xml:space="preserve">Er lopen naast het genoemde wetsvoorstel meerdere trajecten bij het ministerie van VWS om niet-integere zorgaanbieders te weren. Er wordt onder andere gewerkt aan een wetsvoorstel </w:t>
      </w:r>
      <w:proofErr w:type="spellStart"/>
      <w:r w:rsidRPr="005F055E">
        <w:rPr>
          <w:szCs w:val="20"/>
          <w:lang w:eastAsia="nl-NL"/>
        </w:rPr>
        <w:t>Zorgspecifieke</w:t>
      </w:r>
      <w:proofErr w:type="spellEnd"/>
      <w:r w:rsidRPr="005F055E">
        <w:rPr>
          <w:szCs w:val="20"/>
          <w:lang w:eastAsia="nl-NL"/>
        </w:rPr>
        <w:t xml:space="preserve"> fusietoets (</w:t>
      </w:r>
      <w:proofErr w:type="spellStart"/>
      <w:r w:rsidRPr="005F055E">
        <w:rPr>
          <w:szCs w:val="20"/>
          <w:lang w:eastAsia="nl-NL"/>
        </w:rPr>
        <w:t>Zft</w:t>
      </w:r>
      <w:proofErr w:type="spellEnd"/>
      <w:r w:rsidRPr="005F055E">
        <w:rPr>
          <w:szCs w:val="20"/>
          <w:lang w:eastAsia="nl-NL"/>
        </w:rPr>
        <w:t>) om fusies en overnames in de zorg meer inhoudelijk te toetsen. Het ministerie van VWS wil de bevoegdheden van Nederlandse Zorgautoriteit (</w:t>
      </w:r>
      <w:proofErr w:type="spellStart"/>
      <w:r w:rsidRPr="005F055E">
        <w:rPr>
          <w:szCs w:val="20"/>
          <w:lang w:eastAsia="nl-NL"/>
        </w:rPr>
        <w:t>NZa</w:t>
      </w:r>
      <w:proofErr w:type="spellEnd"/>
      <w:r w:rsidRPr="005F055E">
        <w:rPr>
          <w:szCs w:val="20"/>
          <w:lang w:eastAsia="nl-NL"/>
        </w:rPr>
        <w:t xml:space="preserve">) uitbreiden om evident onwenselijke fusies op grond van kwaliteits-, continuïteits- of rechtmatigheidsoverwegingen tegen te kunnen houden. </w:t>
      </w:r>
    </w:p>
    <w:p w:rsidR="00180EEB" w:rsidP="00180EEB" w:rsidRDefault="00EE5450" w14:paraId="3C376985" w14:textId="77777777">
      <w:pPr>
        <w:suppressAutoHyphens/>
        <w:spacing w:line="240" w:lineRule="atLeast"/>
        <w:rPr>
          <w:szCs w:val="20"/>
          <w:lang w:eastAsia="nl-NL"/>
        </w:rPr>
      </w:pPr>
      <w:r w:rsidRPr="005F055E">
        <w:rPr>
          <w:szCs w:val="20"/>
          <w:lang w:eastAsia="nl-NL"/>
        </w:rPr>
        <w:t xml:space="preserve">Daarnaast zijn in het Aanvullend Zorg- en Welzijnsakkoord (AZWA) afspraken gemaakt om fraude in de zorg te voorkomen, op te sporen, te stoppen en te bestraffen. De maatregelen hebben betrekking op de gehele keten, van tijdig signaleren en delen van vermoedens van misstanden tot een betere screening van potentiële malafide aanbieders tot extra capaciteit voor bestuursrechtelijke en strafrechtelijke handhaving. Een deel van die maatregelen is erop gericht om mensen die eerder in de zorg hebben gefraudeerd uit de zorg te weren, zoals het beter benutten van de mogelijkheden die de Wet Bevordering integriteitsbeoordelingen door het </w:t>
      </w:r>
    </w:p>
    <w:p w:rsidRPr="005F055E" w:rsidR="00EE5450" w:rsidP="00180EEB" w:rsidRDefault="00EE5450" w14:paraId="4F1AC51F" w14:textId="4CB44E94">
      <w:pPr>
        <w:suppressAutoHyphens/>
        <w:spacing w:line="240" w:lineRule="atLeast"/>
        <w:rPr>
          <w:szCs w:val="20"/>
          <w:lang w:eastAsia="nl-NL"/>
        </w:rPr>
      </w:pPr>
      <w:r w:rsidRPr="005F055E">
        <w:rPr>
          <w:szCs w:val="20"/>
          <w:lang w:eastAsia="nl-NL"/>
        </w:rPr>
        <w:t xml:space="preserve">openbaar bestuur (Wet </w:t>
      </w:r>
      <w:proofErr w:type="spellStart"/>
      <w:r w:rsidRPr="005F055E">
        <w:rPr>
          <w:szCs w:val="20"/>
          <w:lang w:eastAsia="nl-NL"/>
        </w:rPr>
        <w:t>Bibob</w:t>
      </w:r>
      <w:proofErr w:type="spellEnd"/>
      <w:r w:rsidRPr="005F055E">
        <w:rPr>
          <w:szCs w:val="20"/>
          <w:lang w:eastAsia="nl-NL"/>
        </w:rPr>
        <w:t xml:space="preserve">) biedt en het verkennen van mogelijke aanvullende voorwaarden aan de vergunningverlening. Samen met betrokken partijen worden de maatregelen verder uitgewerkt. </w:t>
      </w:r>
    </w:p>
    <w:p w:rsidR="00EE5450" w:rsidP="00180EEB" w:rsidRDefault="00EE5450" w14:paraId="36F5F4A1" w14:textId="77777777">
      <w:pPr>
        <w:suppressAutoHyphens/>
      </w:pPr>
    </w:p>
    <w:p w:rsidRPr="005F055E" w:rsidR="00194494" w:rsidP="00180EEB" w:rsidRDefault="003E7003" w14:paraId="1BE3913C" w14:textId="2A3337C5">
      <w:pPr>
        <w:suppressAutoHyphens/>
      </w:pPr>
      <w:r w:rsidRPr="005F055E">
        <w:t>Vraag 336</w:t>
      </w:r>
      <w:r w:rsidRPr="005F055E">
        <w:tab/>
      </w:r>
    </w:p>
    <w:p w:rsidRPr="005F055E" w:rsidR="00194494" w:rsidP="00180EEB" w:rsidRDefault="003E7003" w14:paraId="42F25E57" w14:textId="77777777">
      <w:pPr>
        <w:suppressAutoHyphens/>
      </w:pPr>
      <w:r w:rsidRPr="005F055E">
        <w:t xml:space="preserve">Hoeveel huisartsenpraktijken zijn er tot nu toe in 2025 overgenomen door private </w:t>
      </w:r>
      <w:proofErr w:type="spellStart"/>
      <w:r w:rsidRPr="005F055E">
        <w:t>equity</w:t>
      </w:r>
      <w:proofErr w:type="spellEnd"/>
      <w:r w:rsidRPr="005F055E">
        <w:t xml:space="preserve"> of commerciële partijen?</w:t>
      </w:r>
      <w:r w:rsidRPr="005F055E">
        <w:tab/>
      </w:r>
    </w:p>
    <w:p w:rsidRPr="005F055E" w:rsidR="003E7003" w:rsidP="00180EEB" w:rsidRDefault="003E7003" w14:paraId="6CE160C3" w14:textId="04476B77">
      <w:pPr>
        <w:suppressAutoHyphens/>
      </w:pPr>
      <w:r w:rsidRPr="005F055E">
        <w:t>Antwoord</w:t>
      </w:r>
    </w:p>
    <w:p w:rsidRPr="005F055E" w:rsidR="00EE5450" w:rsidP="00180EEB" w:rsidRDefault="00EE5450" w14:paraId="7EF7BC97" w14:textId="4F416396">
      <w:pPr>
        <w:suppressAutoHyphens/>
        <w:spacing w:line="240" w:lineRule="atLeast"/>
        <w:rPr>
          <w:color w:val="000000"/>
          <w:sz w:val="22"/>
          <w:szCs w:val="20"/>
          <w:lang w:eastAsia="nl-NL"/>
        </w:rPr>
      </w:pPr>
      <w:r w:rsidRPr="005F055E">
        <w:rPr>
          <w:color w:val="000000"/>
          <w:szCs w:val="20"/>
          <w:lang w:eastAsia="nl-NL"/>
        </w:rPr>
        <w:t>De Nederlandse Zorgautoriteit (</w:t>
      </w:r>
      <w:proofErr w:type="spellStart"/>
      <w:r w:rsidRPr="005F055E">
        <w:rPr>
          <w:color w:val="000000"/>
          <w:szCs w:val="20"/>
          <w:lang w:eastAsia="nl-NL"/>
        </w:rPr>
        <w:t>NZa</w:t>
      </w:r>
      <w:proofErr w:type="spellEnd"/>
      <w:r w:rsidRPr="005F055E">
        <w:rPr>
          <w:color w:val="000000"/>
          <w:szCs w:val="20"/>
          <w:lang w:eastAsia="nl-NL"/>
        </w:rPr>
        <w:t xml:space="preserve">) heeft zicht op concentraties (fusie of overname) van zorgaanbieders waar vijftig of meer personen direct zorg leveren. De cijfers van 2025 zijn op dit moment nog niet vastgesteld, daarom worden hieronder de cijfers van 2024 weergegeven. De </w:t>
      </w:r>
      <w:proofErr w:type="spellStart"/>
      <w:r w:rsidRPr="005F055E">
        <w:rPr>
          <w:color w:val="000000"/>
          <w:szCs w:val="20"/>
          <w:lang w:eastAsia="nl-NL"/>
        </w:rPr>
        <w:t>NZa</w:t>
      </w:r>
      <w:proofErr w:type="spellEnd"/>
      <w:r w:rsidRPr="005F055E">
        <w:rPr>
          <w:color w:val="000000"/>
          <w:szCs w:val="20"/>
          <w:lang w:eastAsia="nl-NL"/>
        </w:rPr>
        <w:t xml:space="preserve"> maakt in haar monitoring onderscheid tussen concentraties waar een private </w:t>
      </w:r>
      <w:proofErr w:type="spellStart"/>
      <w:r w:rsidRPr="005F055E">
        <w:rPr>
          <w:color w:val="000000"/>
          <w:szCs w:val="20"/>
          <w:lang w:eastAsia="nl-NL"/>
        </w:rPr>
        <w:t>equity</w:t>
      </w:r>
      <w:proofErr w:type="spellEnd"/>
      <w:r w:rsidRPr="005F055E">
        <w:rPr>
          <w:color w:val="000000"/>
          <w:szCs w:val="20"/>
          <w:lang w:eastAsia="nl-NL"/>
        </w:rPr>
        <w:t xml:space="preserve"> partij of een buitenlandse partij betrokken is. Er wordt geen onderscheid gemaakt naar het aantal commerciële partijen, mede omdat een commerciële partij geen vastomlijnde definitie heeft.</w:t>
      </w:r>
    </w:p>
    <w:p w:rsidRPr="005F055E" w:rsidR="00EE5450" w:rsidP="00180EEB" w:rsidRDefault="00EE5450" w14:paraId="1D5471AE" w14:textId="1A964BA2">
      <w:pPr>
        <w:suppressAutoHyphens/>
        <w:spacing w:line="240" w:lineRule="atLeast"/>
        <w:rPr>
          <w:color w:val="000000"/>
          <w:szCs w:val="20"/>
          <w:lang w:eastAsia="nl-NL"/>
        </w:rPr>
      </w:pPr>
      <w:r w:rsidRPr="005F055E">
        <w:rPr>
          <w:color w:val="000000"/>
          <w:szCs w:val="20"/>
          <w:lang w:eastAsia="nl-NL"/>
        </w:rPr>
        <w:t xml:space="preserve">In 2024 zijn er 7 concentraties gemeld binnen de huisartsenzorg. Bij geen van de concentraties was private </w:t>
      </w:r>
      <w:proofErr w:type="spellStart"/>
      <w:r w:rsidRPr="005F055E">
        <w:rPr>
          <w:color w:val="000000"/>
          <w:szCs w:val="20"/>
          <w:lang w:eastAsia="nl-NL"/>
        </w:rPr>
        <w:t>equity</w:t>
      </w:r>
      <w:proofErr w:type="spellEnd"/>
      <w:r w:rsidRPr="005F055E">
        <w:rPr>
          <w:color w:val="000000"/>
          <w:szCs w:val="20"/>
          <w:lang w:eastAsia="nl-NL"/>
        </w:rPr>
        <w:t xml:space="preserve"> of een buitenlandse partij betrokken. </w:t>
      </w:r>
    </w:p>
    <w:p w:rsidRPr="005F055E" w:rsidR="00194494" w:rsidP="00180EEB" w:rsidRDefault="00EE5450" w14:paraId="37157F25" w14:textId="755203B1">
      <w:pPr>
        <w:suppressAutoHyphens/>
        <w:spacing w:line="240" w:lineRule="atLeast"/>
        <w:rPr>
          <w:szCs w:val="20"/>
          <w14:ligatures w14:val="standardContextual"/>
        </w:rPr>
      </w:pPr>
      <w:r w:rsidRPr="005F055E">
        <w:rPr>
          <w:color w:val="000000"/>
          <w:szCs w:val="20"/>
          <w:lang w:eastAsia="nl-NL"/>
        </w:rPr>
        <w:t>Er is geen zicht op de hoeveelheid concentraties van zorgaanbieders waarbij minder dan vijftig personen direct zorg verlenen.</w:t>
      </w:r>
    </w:p>
    <w:p w:rsidR="00D544B0" w:rsidP="00180EEB" w:rsidRDefault="00D544B0" w14:paraId="544DB346" w14:textId="77777777">
      <w:pPr>
        <w:suppressAutoHyphens/>
      </w:pPr>
    </w:p>
    <w:p w:rsidRPr="005F055E" w:rsidR="00194494" w:rsidP="00180EEB" w:rsidRDefault="003E7003" w14:paraId="5FDA80CA" w14:textId="39B79EA3">
      <w:pPr>
        <w:suppressAutoHyphens/>
      </w:pPr>
      <w:r w:rsidRPr="005F055E">
        <w:t>Vraag 337</w:t>
      </w:r>
    </w:p>
    <w:p w:rsidRPr="005F055E" w:rsidR="00194494" w:rsidP="00180EEB" w:rsidRDefault="003E7003" w14:paraId="74091822" w14:textId="77777777">
      <w:pPr>
        <w:suppressAutoHyphens/>
      </w:pPr>
      <w:r w:rsidRPr="005F055E">
        <w:t xml:space="preserve">Hoeveel tandartspraktijken zijn er tot nu toe in 2025 overgenomen door private </w:t>
      </w:r>
      <w:proofErr w:type="spellStart"/>
      <w:r w:rsidRPr="005F055E">
        <w:t>equity</w:t>
      </w:r>
      <w:proofErr w:type="spellEnd"/>
      <w:r w:rsidRPr="005F055E">
        <w:t xml:space="preserve"> of commerciële partijen?</w:t>
      </w:r>
      <w:r w:rsidRPr="005F055E">
        <w:tab/>
      </w:r>
    </w:p>
    <w:p w:rsidRPr="005F055E" w:rsidR="003E7003" w:rsidP="00180EEB" w:rsidRDefault="003E7003" w14:paraId="1D49FD2C" w14:textId="5C8BA36B">
      <w:pPr>
        <w:suppressAutoHyphens/>
      </w:pPr>
      <w:r w:rsidRPr="005F055E">
        <w:t>Antwoord</w:t>
      </w:r>
    </w:p>
    <w:p w:rsidRPr="005F055E" w:rsidR="00EE5450" w:rsidP="00180EEB" w:rsidRDefault="00EE5450" w14:paraId="25AA677D" w14:textId="38CC3592">
      <w:pPr>
        <w:suppressAutoHyphens/>
        <w:spacing w:line="240" w:lineRule="atLeast"/>
        <w:rPr>
          <w:color w:val="000000"/>
          <w:szCs w:val="20"/>
          <w:lang w:eastAsia="nl-NL"/>
        </w:rPr>
      </w:pPr>
      <w:r w:rsidRPr="005F055E">
        <w:rPr>
          <w:color w:val="000000"/>
          <w:szCs w:val="20"/>
          <w:lang w:eastAsia="nl-NL"/>
        </w:rPr>
        <w:t>De Nederlandse Zorgautoriteit (</w:t>
      </w:r>
      <w:proofErr w:type="spellStart"/>
      <w:r w:rsidRPr="005F055E">
        <w:rPr>
          <w:color w:val="000000"/>
          <w:szCs w:val="20"/>
          <w:lang w:eastAsia="nl-NL"/>
        </w:rPr>
        <w:t>NZa</w:t>
      </w:r>
      <w:proofErr w:type="spellEnd"/>
      <w:r w:rsidRPr="005F055E">
        <w:rPr>
          <w:color w:val="000000"/>
          <w:szCs w:val="20"/>
          <w:lang w:eastAsia="nl-NL"/>
        </w:rPr>
        <w:t xml:space="preserve">) heeft zicht op concentraties (fusie of overname) van zorgaanbieders waar vijftig of meer personen direct zorg leveren. De cijfers van 2025 zijn op dit moment nog niet vastgesteld door de </w:t>
      </w:r>
      <w:proofErr w:type="spellStart"/>
      <w:r w:rsidRPr="005F055E">
        <w:rPr>
          <w:color w:val="000000"/>
          <w:szCs w:val="20"/>
          <w:lang w:eastAsia="nl-NL"/>
        </w:rPr>
        <w:t>NZa</w:t>
      </w:r>
      <w:proofErr w:type="spellEnd"/>
      <w:r w:rsidRPr="005F055E">
        <w:rPr>
          <w:color w:val="000000"/>
          <w:szCs w:val="20"/>
          <w:lang w:eastAsia="nl-NL"/>
        </w:rPr>
        <w:t xml:space="preserve">, daarom worden hieronder de cijfers van 2024 weergegeven. De </w:t>
      </w:r>
      <w:proofErr w:type="spellStart"/>
      <w:r w:rsidRPr="005F055E">
        <w:rPr>
          <w:color w:val="000000"/>
          <w:szCs w:val="20"/>
          <w:lang w:eastAsia="nl-NL"/>
        </w:rPr>
        <w:t>NZa</w:t>
      </w:r>
      <w:proofErr w:type="spellEnd"/>
      <w:r w:rsidRPr="005F055E">
        <w:rPr>
          <w:color w:val="000000"/>
          <w:szCs w:val="20"/>
          <w:lang w:eastAsia="nl-NL"/>
        </w:rPr>
        <w:t xml:space="preserve"> maakt in haar monitoring onderscheid tussen concentraties waar een private </w:t>
      </w:r>
      <w:proofErr w:type="spellStart"/>
      <w:r w:rsidRPr="005F055E">
        <w:rPr>
          <w:color w:val="000000"/>
          <w:szCs w:val="20"/>
          <w:lang w:eastAsia="nl-NL"/>
        </w:rPr>
        <w:t>equity</w:t>
      </w:r>
      <w:proofErr w:type="spellEnd"/>
      <w:r w:rsidRPr="005F055E">
        <w:rPr>
          <w:color w:val="000000"/>
          <w:szCs w:val="20"/>
          <w:lang w:eastAsia="nl-NL"/>
        </w:rPr>
        <w:t xml:space="preserve"> partij of een buitenlandse partij betrokken is. Er wordt geen onderscheid gemaakt naar het aantal commerciële partijen, mede omdat een commerciële partij geen vastomlijnde definitie heeft.</w:t>
      </w:r>
    </w:p>
    <w:p w:rsidRPr="005F055E" w:rsidR="00EE5450" w:rsidP="00180EEB" w:rsidRDefault="00EE5450" w14:paraId="5D7280B7" w14:textId="0D300134">
      <w:pPr>
        <w:suppressAutoHyphens/>
        <w:spacing w:line="240" w:lineRule="atLeast"/>
        <w:rPr>
          <w:color w:val="000000"/>
          <w:szCs w:val="20"/>
          <w:lang w:eastAsia="nl-NL"/>
        </w:rPr>
      </w:pPr>
      <w:r w:rsidRPr="005F055E">
        <w:rPr>
          <w:szCs w:val="20"/>
          <w:lang w:eastAsia="nl-NL"/>
        </w:rPr>
        <w:t xml:space="preserve">In 2024 was bij 40 van de 61 concentratie-aanvragen in de mondzorg private </w:t>
      </w:r>
      <w:proofErr w:type="spellStart"/>
      <w:r w:rsidRPr="005F055E">
        <w:rPr>
          <w:szCs w:val="20"/>
          <w:lang w:eastAsia="nl-NL"/>
        </w:rPr>
        <w:t>equity</w:t>
      </w:r>
      <w:proofErr w:type="spellEnd"/>
      <w:r w:rsidRPr="005F055E">
        <w:rPr>
          <w:szCs w:val="20"/>
          <w:lang w:eastAsia="nl-NL"/>
        </w:rPr>
        <w:t xml:space="preserve"> betrokken. </w:t>
      </w:r>
      <w:r w:rsidRPr="005F055E">
        <w:rPr>
          <w:color w:val="000000"/>
          <w:szCs w:val="20"/>
          <w:lang w:eastAsia="nl-NL"/>
        </w:rPr>
        <w:t xml:space="preserve">Uit deze cijfers valt niet te concluderen of er een toename is in het aandeel private </w:t>
      </w:r>
      <w:proofErr w:type="spellStart"/>
      <w:r w:rsidRPr="005F055E">
        <w:rPr>
          <w:color w:val="000000"/>
          <w:szCs w:val="20"/>
          <w:lang w:eastAsia="nl-NL"/>
        </w:rPr>
        <w:t>equity</w:t>
      </w:r>
      <w:proofErr w:type="spellEnd"/>
      <w:r w:rsidRPr="005F055E">
        <w:rPr>
          <w:color w:val="000000"/>
          <w:szCs w:val="20"/>
          <w:lang w:eastAsia="nl-NL"/>
        </w:rPr>
        <w:t xml:space="preserve"> in zorg, omdat er ook concentraties tussen kunnen zitten waarbij een al door private </w:t>
      </w:r>
      <w:proofErr w:type="spellStart"/>
      <w:r w:rsidRPr="005F055E">
        <w:rPr>
          <w:color w:val="000000"/>
          <w:szCs w:val="20"/>
          <w:lang w:eastAsia="nl-NL"/>
        </w:rPr>
        <w:t>equity</w:t>
      </w:r>
      <w:proofErr w:type="spellEnd"/>
      <w:r w:rsidRPr="005F055E">
        <w:rPr>
          <w:color w:val="000000"/>
          <w:szCs w:val="20"/>
          <w:lang w:eastAsia="nl-NL"/>
        </w:rPr>
        <w:t xml:space="preserve"> gefinancierde zorgaanbieder werd overgenomen door een andere private </w:t>
      </w:r>
      <w:proofErr w:type="spellStart"/>
      <w:r w:rsidRPr="005F055E">
        <w:rPr>
          <w:color w:val="000000"/>
          <w:szCs w:val="20"/>
          <w:lang w:eastAsia="nl-NL"/>
        </w:rPr>
        <w:t>equity</w:t>
      </w:r>
      <w:proofErr w:type="spellEnd"/>
      <w:r w:rsidRPr="005F055E">
        <w:rPr>
          <w:color w:val="000000"/>
          <w:szCs w:val="20"/>
          <w:lang w:eastAsia="nl-NL"/>
        </w:rPr>
        <w:t xml:space="preserve"> partij. </w:t>
      </w:r>
    </w:p>
    <w:p w:rsidRPr="005F055E" w:rsidR="00EE5450" w:rsidP="00180EEB" w:rsidRDefault="00EE5450" w14:paraId="0CC0E33F" w14:textId="77777777">
      <w:pPr>
        <w:suppressAutoHyphens/>
        <w:spacing w:line="240" w:lineRule="atLeast"/>
        <w:rPr>
          <w:szCs w:val="20"/>
          <w14:ligatures w14:val="standardContextual"/>
        </w:rPr>
      </w:pPr>
      <w:r w:rsidRPr="005F055E">
        <w:rPr>
          <w:color w:val="000000"/>
          <w:szCs w:val="20"/>
          <w:lang w:eastAsia="nl-NL"/>
        </w:rPr>
        <w:t>Er is geen zicht op de hoeveelheid concentraties van zorgaanbieders waarbij minder dan vijftig personen direct zorg verlenen.</w:t>
      </w:r>
    </w:p>
    <w:p w:rsidRPr="005F055E" w:rsidR="002B7541" w:rsidP="00180EEB" w:rsidRDefault="002B7541" w14:paraId="3E31A1A5" w14:textId="77777777">
      <w:pPr>
        <w:suppressAutoHyphens/>
      </w:pPr>
    </w:p>
    <w:p w:rsidRPr="005F055E" w:rsidR="00194494" w:rsidP="00180EEB" w:rsidRDefault="003E7003" w14:paraId="4A538D78" w14:textId="77777777">
      <w:pPr>
        <w:suppressAutoHyphens/>
      </w:pPr>
      <w:r w:rsidRPr="005F055E">
        <w:t>Vraag 338</w:t>
      </w:r>
    </w:p>
    <w:p w:rsidRPr="005F055E" w:rsidR="00194494" w:rsidP="00180EEB" w:rsidRDefault="003E7003" w14:paraId="4773608E" w14:textId="77777777">
      <w:pPr>
        <w:suppressAutoHyphens/>
      </w:pPr>
      <w:r w:rsidRPr="005F055E">
        <w:t>Kan een overzicht gegeven worden welke middelen concreet beschikbaar worden gesteld voor de uitvoering van de samenhangende preventiestrategie?</w:t>
      </w:r>
      <w:r w:rsidRPr="005F055E">
        <w:tab/>
      </w:r>
    </w:p>
    <w:p w:rsidRPr="005F055E" w:rsidR="003E7003" w:rsidP="00180EEB" w:rsidRDefault="003E7003" w14:paraId="3A823CDA" w14:textId="026713E8">
      <w:pPr>
        <w:suppressAutoHyphens/>
      </w:pPr>
      <w:r w:rsidRPr="005F055E">
        <w:t>Antwoord</w:t>
      </w:r>
    </w:p>
    <w:p w:rsidRPr="005F055E" w:rsidR="00306ADC" w:rsidP="00180EEB" w:rsidRDefault="00306ADC" w14:paraId="65F6CC01" w14:textId="77777777">
      <w:pPr>
        <w:suppressAutoHyphens/>
        <w:rPr>
          <w:szCs w:val="18"/>
        </w:rPr>
      </w:pPr>
      <w:r w:rsidRPr="005F055E">
        <w:rPr>
          <w:szCs w:val="18"/>
        </w:rPr>
        <w:t xml:space="preserve">Er zijn geen middelen expliciet beschikbaar gesteld voor de uitvoering van de Samenhangende preventiestrategie (hierna: preventiestrategie). De middelen voor elk van de elf preventiethema’s, beschreven in de preventiestrategie, staan reeds op de begroting van VWS. Met deze middelen wordt onder andere uitvoering gegeven aan de opgenomen acties en maatregelen. </w:t>
      </w:r>
    </w:p>
    <w:p w:rsidRPr="005F055E" w:rsidR="008C3510" w:rsidP="00180EEB" w:rsidRDefault="008C3510" w14:paraId="01A9C678" w14:textId="77777777">
      <w:pPr>
        <w:suppressAutoHyphens/>
      </w:pPr>
    </w:p>
    <w:p w:rsidRPr="005F055E" w:rsidR="00194494" w:rsidP="00180EEB" w:rsidRDefault="003E7003" w14:paraId="6FB73192" w14:textId="61F5A28D">
      <w:pPr>
        <w:suppressAutoHyphens/>
      </w:pPr>
      <w:r w:rsidRPr="005F055E">
        <w:t>Vraag 339</w:t>
      </w:r>
      <w:r w:rsidRPr="005F055E">
        <w:tab/>
      </w:r>
    </w:p>
    <w:p w:rsidRPr="005F055E" w:rsidR="00194494" w:rsidP="00180EEB" w:rsidRDefault="003E7003" w14:paraId="20F99D13" w14:textId="5DAD8699">
      <w:pPr>
        <w:suppressAutoHyphens/>
      </w:pPr>
      <w:r w:rsidRPr="005F055E">
        <w:t xml:space="preserve">Hoe is de tariefbijstelling van €152 miljoen (per 2026) voor gehandicaptenzorg en de langdurige </w:t>
      </w:r>
      <w:r w:rsidR="00D55762">
        <w:t>GGZ</w:t>
      </w:r>
      <w:r w:rsidRPr="005F055E">
        <w:t xml:space="preserve"> uitgesplitst en waar zijn aanvullende reserveringen voor hogere tarieven of huisvesting in 2026 opgenomen?</w:t>
      </w:r>
      <w:r w:rsidRPr="005F055E">
        <w:tab/>
      </w:r>
    </w:p>
    <w:p w:rsidRPr="005F055E" w:rsidR="003E7003" w:rsidP="00180EEB" w:rsidRDefault="003E7003" w14:paraId="3165560E" w14:textId="24BA7A7C">
      <w:pPr>
        <w:suppressAutoHyphens/>
      </w:pPr>
      <w:r w:rsidRPr="005F055E">
        <w:t>Antwoord</w:t>
      </w:r>
    </w:p>
    <w:p w:rsidRPr="005F055E" w:rsidR="00EE5450" w:rsidP="00180EEB" w:rsidRDefault="00EE5450" w14:paraId="08733B68" w14:textId="5CEEDB41">
      <w:pPr>
        <w:suppressAutoHyphens/>
        <w:spacing w:line="240" w:lineRule="atLeast"/>
        <w:rPr>
          <w:szCs w:val="18"/>
          <w:lang w:eastAsia="nl-NL"/>
        </w:rPr>
      </w:pPr>
      <w:r w:rsidRPr="005F055E">
        <w:rPr>
          <w:szCs w:val="20"/>
          <w:lang w:eastAsia="nl-NL"/>
        </w:rPr>
        <w:t xml:space="preserve">De structurele tariefbijstelling per 2026 van € 152 miljoen valt uiteen in € 112 miljoen voor prestaties binnen de gehandicaptenzorg en € 40 miljoen voor de </w:t>
      </w:r>
      <w:r w:rsidRPr="005F055E">
        <w:rPr>
          <w:szCs w:val="18"/>
          <w:lang w:eastAsia="nl-NL"/>
        </w:rPr>
        <w:t xml:space="preserve">langdurige </w:t>
      </w:r>
      <w:r w:rsidR="00D55762">
        <w:rPr>
          <w:szCs w:val="18"/>
          <w:lang w:eastAsia="nl-NL"/>
        </w:rPr>
        <w:t>GGZ</w:t>
      </w:r>
      <w:r w:rsidRPr="005F055E">
        <w:rPr>
          <w:szCs w:val="18"/>
          <w:lang w:eastAsia="nl-NL"/>
        </w:rPr>
        <w:t xml:space="preserve">. Deze hangen samen met het kostenonderzoek dat de </w:t>
      </w:r>
      <w:proofErr w:type="spellStart"/>
      <w:r w:rsidRPr="005F055E">
        <w:rPr>
          <w:szCs w:val="18"/>
          <w:lang w:eastAsia="nl-NL"/>
        </w:rPr>
        <w:t>NZa</w:t>
      </w:r>
      <w:proofErr w:type="spellEnd"/>
      <w:r w:rsidRPr="005F055E">
        <w:rPr>
          <w:szCs w:val="18"/>
          <w:lang w:eastAsia="nl-NL"/>
        </w:rPr>
        <w:t xml:space="preserve"> heeft uitgevoerd voor de zorg gerelateerde uitgaven en de daarmee samenhangende wijzigingen van de maximumbeleidsregelwaarde voor kostendekkende tarieven van de zorgzwaartepakketten.</w:t>
      </w:r>
      <w:r w:rsidRPr="005F055E" w:rsidR="00D73F76">
        <w:rPr>
          <w:szCs w:val="18"/>
          <w:lang w:eastAsia="nl-NL"/>
        </w:rPr>
        <w:t xml:space="preserve"> </w:t>
      </w:r>
      <w:r w:rsidRPr="005F055E">
        <w:rPr>
          <w:szCs w:val="18"/>
          <w:lang w:eastAsia="nl-NL"/>
        </w:rPr>
        <w:t xml:space="preserve"> </w:t>
      </w:r>
    </w:p>
    <w:p w:rsidRPr="005F055E" w:rsidR="00194494" w:rsidP="00180EEB" w:rsidRDefault="00EE5450" w14:paraId="0E37DE5F" w14:textId="59CC038F">
      <w:pPr>
        <w:suppressAutoHyphens/>
        <w:spacing w:line="240" w:lineRule="atLeast"/>
        <w:rPr>
          <w:szCs w:val="18"/>
          <w:lang w:eastAsia="nl-NL"/>
        </w:rPr>
      </w:pPr>
      <w:r w:rsidRPr="005F055E">
        <w:rPr>
          <w:szCs w:val="18"/>
          <w:lang w:eastAsia="nl-NL"/>
        </w:rPr>
        <w:t xml:space="preserve">De middelen voor de tariefsverhoging van de normatieve huisvestingscomponent ad € 400 miljoen structureel vanaf 2026 zijn verwerkt in de geraamde </w:t>
      </w:r>
      <w:proofErr w:type="spellStart"/>
      <w:r w:rsidRPr="005F055E">
        <w:rPr>
          <w:szCs w:val="18"/>
          <w:lang w:eastAsia="nl-NL"/>
        </w:rPr>
        <w:t>Wlz</w:t>
      </w:r>
      <w:proofErr w:type="spellEnd"/>
      <w:r w:rsidRPr="005F055E">
        <w:rPr>
          <w:szCs w:val="18"/>
          <w:lang w:eastAsia="nl-NL"/>
        </w:rPr>
        <w:t xml:space="preserve">-uitgaven voor de ouderenzorg (€ 231 miljoen), gehandicaptenzorg (€ 140 miljoen) en de langdurige </w:t>
      </w:r>
      <w:r w:rsidR="00D55762">
        <w:rPr>
          <w:szCs w:val="18"/>
          <w:lang w:eastAsia="nl-NL"/>
        </w:rPr>
        <w:t>GGZ</w:t>
      </w:r>
      <w:r w:rsidRPr="005F055E">
        <w:rPr>
          <w:szCs w:val="18"/>
          <w:lang w:eastAsia="nl-NL"/>
        </w:rPr>
        <w:t xml:space="preserve"> (€ 29 miljoen).</w:t>
      </w:r>
    </w:p>
    <w:p w:rsidRPr="005F055E" w:rsidR="00306ADC" w:rsidP="00180EEB" w:rsidRDefault="00306ADC" w14:paraId="77CC7679" w14:textId="77777777">
      <w:pPr>
        <w:suppressAutoHyphens/>
      </w:pPr>
    </w:p>
    <w:p w:rsidRPr="005F055E" w:rsidR="00194494" w:rsidP="00180EEB" w:rsidRDefault="003E7003" w14:paraId="7E63FAA3" w14:textId="77777777">
      <w:pPr>
        <w:suppressAutoHyphens/>
      </w:pPr>
      <w:r w:rsidRPr="005F055E">
        <w:t>Vraag 340</w:t>
      </w:r>
      <w:r w:rsidRPr="005F055E">
        <w:tab/>
      </w:r>
    </w:p>
    <w:p w:rsidRPr="005F055E" w:rsidR="00194494" w:rsidP="00180EEB" w:rsidRDefault="003E7003" w14:paraId="1A1F8496" w14:textId="77777777">
      <w:pPr>
        <w:suppressAutoHyphens/>
      </w:pPr>
      <w:r w:rsidRPr="005F055E">
        <w:t>Waarom wacht u met een bredere uitrol van de wijkgerichte vaccinatieaanpak, terwijl de eerste signalen uit de G4-pilot succesvol zijn?</w:t>
      </w:r>
    </w:p>
    <w:p w:rsidR="00D544B0" w:rsidP="00180EEB" w:rsidRDefault="00D544B0" w14:paraId="03DB17CC" w14:textId="77777777">
      <w:pPr>
        <w:suppressAutoHyphens/>
      </w:pPr>
    </w:p>
    <w:p w:rsidRPr="005F055E" w:rsidR="003E7003" w:rsidP="00180EEB" w:rsidRDefault="003E7003" w14:paraId="17A32F48" w14:textId="43E35906">
      <w:pPr>
        <w:suppressAutoHyphens/>
      </w:pPr>
      <w:r w:rsidRPr="005F055E">
        <w:t>Antwoord</w:t>
      </w:r>
    </w:p>
    <w:p w:rsidRPr="005F055E" w:rsidR="00EE5450" w:rsidP="00180EEB" w:rsidRDefault="00EE5450" w14:paraId="4C2C17C5" w14:textId="1AF94A8B">
      <w:pPr>
        <w:suppressAutoHyphens/>
        <w:spacing w:line="240" w:lineRule="atLeast"/>
      </w:pPr>
      <w:r w:rsidRPr="005F055E">
        <w:rPr>
          <w:szCs w:val="18"/>
          <w:lang w:eastAsia="nl-NL"/>
        </w:rPr>
        <w:t>De wijkgerichte aanpak laat eerste, veelbelovende resultaten zien</w:t>
      </w:r>
      <w:r w:rsidR="005A24E4">
        <w:rPr>
          <w:szCs w:val="18"/>
          <w:lang w:eastAsia="nl-NL"/>
        </w:rPr>
        <w:t xml:space="preserve"> op een deel van de doelen</w:t>
      </w:r>
      <w:r w:rsidRPr="005F055E">
        <w:rPr>
          <w:szCs w:val="18"/>
          <w:lang w:eastAsia="nl-NL"/>
        </w:rPr>
        <w:t>. Maar op dit moment is nog niet goed in kaart gebracht hoe de opbrengsten zich verhouden tot de kosten. Het is van belang hier inzicht in te krijgen. Op basis daarvan kan worden bepaald of en hoe de aanpak op een doelmatige wijze kan worden voortgezet en verbreed.</w:t>
      </w:r>
    </w:p>
    <w:p w:rsidRPr="005F055E" w:rsidR="00306ADC" w:rsidP="00180EEB" w:rsidRDefault="00306ADC" w14:paraId="1F34EC2B" w14:textId="77777777">
      <w:pPr>
        <w:suppressAutoHyphens/>
      </w:pPr>
    </w:p>
    <w:p w:rsidRPr="005F055E" w:rsidR="00194494" w:rsidP="00180EEB" w:rsidRDefault="003E7003" w14:paraId="5AF70781" w14:textId="77777777">
      <w:pPr>
        <w:suppressAutoHyphens/>
      </w:pPr>
      <w:r w:rsidRPr="005F055E">
        <w:t>Vraag 341</w:t>
      </w:r>
      <w:r w:rsidRPr="005F055E">
        <w:tab/>
      </w:r>
    </w:p>
    <w:p w:rsidRPr="005F055E" w:rsidR="00194494" w:rsidP="00180EEB" w:rsidRDefault="003E7003" w14:paraId="43642DB3" w14:textId="77777777">
      <w:pPr>
        <w:suppressAutoHyphens/>
      </w:pPr>
      <w:r w:rsidRPr="005F055E">
        <w:t>Ziet u mogelijkheden om, in afwachting van de evaluatie van de G4-pilot, in 2026 al stappen te zetten om de wijkgerichte vaccinatieaanpak voort te zetten of uit te breiden?</w:t>
      </w:r>
      <w:r w:rsidRPr="005F055E">
        <w:tab/>
      </w:r>
    </w:p>
    <w:p w:rsidRPr="005F055E" w:rsidR="003E7003" w:rsidP="00180EEB" w:rsidRDefault="003E7003" w14:paraId="6A59889D" w14:textId="51E7C457">
      <w:pPr>
        <w:suppressAutoHyphens/>
      </w:pPr>
      <w:r w:rsidRPr="005F055E">
        <w:t>Antwoord</w:t>
      </w:r>
    </w:p>
    <w:p w:rsidRPr="005F055E" w:rsidR="00EE5450" w:rsidP="00180EEB" w:rsidRDefault="00EE5450" w14:paraId="3FA07053" w14:textId="3109A730">
      <w:pPr>
        <w:suppressAutoHyphens/>
        <w:spacing w:line="240" w:lineRule="atLeast"/>
      </w:pPr>
      <w:r w:rsidRPr="005F055E">
        <w:rPr>
          <w:szCs w:val="18"/>
          <w:lang w:eastAsia="nl-NL"/>
        </w:rPr>
        <w:t>De pilot begin 2026 word</w:t>
      </w:r>
      <w:r w:rsidR="005A24E4">
        <w:rPr>
          <w:szCs w:val="18"/>
          <w:lang w:eastAsia="nl-NL"/>
        </w:rPr>
        <w:t>t</w:t>
      </w:r>
      <w:r w:rsidRPr="005F055E">
        <w:rPr>
          <w:szCs w:val="18"/>
          <w:lang w:eastAsia="nl-NL"/>
        </w:rPr>
        <w:t xml:space="preserve"> geëvalueerd. Geleerde lessen uit de pilot worden landelijk gedeeld. Daarnaast lopen de acties</w:t>
      </w:r>
      <w:r w:rsidRPr="005F055E">
        <w:rPr>
          <w:szCs w:val="18"/>
          <w:vertAlign w:val="superscript"/>
          <w:lang w:eastAsia="nl-NL"/>
        </w:rPr>
        <w:footnoteReference w:id="129"/>
      </w:r>
      <w:r w:rsidRPr="005F055E">
        <w:rPr>
          <w:szCs w:val="18"/>
          <w:lang w:eastAsia="nl-NL"/>
        </w:rPr>
        <w:t>, die zijn ingezet om landelijk bij te dragen aan het fijnmaziger vaccineren, door in 2026.</w:t>
      </w:r>
    </w:p>
    <w:p w:rsidRPr="005F055E" w:rsidR="00194494" w:rsidP="00180EEB" w:rsidRDefault="00194494" w14:paraId="4C78F8E8" w14:textId="77777777">
      <w:pPr>
        <w:suppressAutoHyphens/>
      </w:pPr>
    </w:p>
    <w:p w:rsidRPr="005F055E" w:rsidR="00194494" w:rsidP="00180EEB" w:rsidRDefault="003E7003" w14:paraId="7259ED19" w14:textId="77777777">
      <w:pPr>
        <w:suppressAutoHyphens/>
      </w:pPr>
      <w:r w:rsidRPr="005F055E">
        <w:t>Vraag 342</w:t>
      </w:r>
      <w:r w:rsidRPr="005F055E">
        <w:tab/>
      </w:r>
    </w:p>
    <w:p w:rsidRPr="005F055E" w:rsidR="00194494" w:rsidP="00180EEB" w:rsidRDefault="003E7003" w14:paraId="6B8B80BB" w14:textId="77777777">
      <w:pPr>
        <w:suppressAutoHyphens/>
      </w:pPr>
      <w:r w:rsidRPr="005F055E">
        <w:t>Hoeveel middelen zijn er in 2026 gereserveerd voor post-covidexpertisecentra?</w:t>
      </w:r>
      <w:r w:rsidRPr="005F055E">
        <w:tab/>
      </w:r>
    </w:p>
    <w:p w:rsidRPr="005F055E" w:rsidR="003E7003" w:rsidP="00180EEB" w:rsidRDefault="003E7003" w14:paraId="07DAD65D" w14:textId="7EE9D489">
      <w:pPr>
        <w:suppressAutoHyphens/>
      </w:pPr>
      <w:r w:rsidRPr="005F055E">
        <w:t>Antwoord</w:t>
      </w:r>
    </w:p>
    <w:p w:rsidRPr="005F055E" w:rsidR="00306ADC" w:rsidP="00180EEB" w:rsidRDefault="00306ADC" w14:paraId="20112D92" w14:textId="77777777">
      <w:pPr>
        <w:suppressAutoHyphens/>
        <w:rPr>
          <w:szCs w:val="18"/>
        </w:rPr>
      </w:pPr>
      <w:r w:rsidRPr="005F055E">
        <w:rPr>
          <w:szCs w:val="18"/>
        </w:rPr>
        <w:t xml:space="preserve">Vanuit het amendement </w:t>
      </w:r>
      <w:proofErr w:type="spellStart"/>
      <w:r w:rsidRPr="005F055E">
        <w:rPr>
          <w:szCs w:val="18"/>
        </w:rPr>
        <w:t>Bushoff</w:t>
      </w:r>
      <w:proofErr w:type="spellEnd"/>
      <w:r w:rsidRPr="005F055E">
        <w:rPr>
          <w:szCs w:val="18"/>
        </w:rPr>
        <w:t xml:space="preserve"> c.s.</w:t>
      </w:r>
      <w:r w:rsidRPr="005F055E">
        <w:rPr>
          <w:rStyle w:val="Voetnootmarkering"/>
          <w:szCs w:val="18"/>
        </w:rPr>
        <w:footnoteReference w:id="130"/>
      </w:r>
      <w:r w:rsidRPr="005F055E">
        <w:rPr>
          <w:szCs w:val="18"/>
        </w:rPr>
        <w:t xml:space="preserve"> is eerder €27 miljoen gereserveerd: €12 miljoen voor 2025 en €15 miljoen voor 2026. </w:t>
      </w:r>
    </w:p>
    <w:p w:rsidRPr="005F055E" w:rsidR="008C3510" w:rsidP="00180EEB" w:rsidRDefault="008C3510" w14:paraId="6E98701B" w14:textId="77777777">
      <w:pPr>
        <w:suppressAutoHyphens/>
      </w:pPr>
    </w:p>
    <w:p w:rsidR="00180EEB" w:rsidP="00180EEB" w:rsidRDefault="00180EEB" w14:paraId="58C93F30" w14:textId="77777777">
      <w:pPr>
        <w:suppressAutoHyphens/>
      </w:pPr>
    </w:p>
    <w:p w:rsidRPr="005F055E" w:rsidR="00194494" w:rsidP="00180EEB" w:rsidRDefault="003E7003" w14:paraId="75874CB9" w14:textId="34D7E06B">
      <w:pPr>
        <w:suppressAutoHyphens/>
      </w:pPr>
      <w:r w:rsidRPr="005F055E">
        <w:t>Vraag 343</w:t>
      </w:r>
      <w:r w:rsidRPr="005F055E">
        <w:tab/>
      </w:r>
    </w:p>
    <w:p w:rsidRPr="005F055E" w:rsidR="00194494" w:rsidP="00180EEB" w:rsidRDefault="003E7003" w14:paraId="50A97A30" w14:textId="77777777">
      <w:pPr>
        <w:suppressAutoHyphens/>
      </w:pPr>
      <w:r w:rsidRPr="005F055E">
        <w:t>Betekent een nalevingscijfer van de alcoholleeftijd van 32,7 procent dat meer dan twee op de drie verkooppunten wel alcohol verkoopt aan minderjarigen?</w:t>
      </w:r>
    </w:p>
    <w:p w:rsidRPr="005F055E" w:rsidR="003E7003" w:rsidP="00180EEB" w:rsidRDefault="003E7003" w14:paraId="715E73C4" w14:textId="636C669D">
      <w:pPr>
        <w:suppressAutoHyphens/>
      </w:pPr>
      <w:r w:rsidRPr="005F055E">
        <w:t>Antwoord</w:t>
      </w:r>
    </w:p>
    <w:p w:rsidRPr="005F055E" w:rsidR="00194494" w:rsidP="00180EEB" w:rsidRDefault="00EE5450" w14:paraId="6660703D" w14:textId="20FC56E9">
      <w:pPr>
        <w:suppressAutoHyphens/>
        <w:spacing w:line="240" w:lineRule="atLeast"/>
        <w:rPr>
          <w:szCs w:val="18"/>
          <w:lang w:eastAsia="nl-NL"/>
        </w:rPr>
      </w:pPr>
      <w:r w:rsidRPr="005F055E">
        <w:rPr>
          <w:szCs w:val="18"/>
          <w:lang w:eastAsia="nl-NL"/>
        </w:rPr>
        <w:t xml:space="preserve">Een nalevingcijfer van 32,7 procent betekent dat het minderjarigen in ruim twee op de drie pogingen lukt om alcohol te kopen. Meer informatie over het nalevingsonderzoek, de achtergrond hiervan en onze beleidsreactie op de nalevingscijfers, kunt u terugvinden op </w:t>
      </w:r>
      <w:hyperlink w:history="1" r:id="rId28">
        <w:r w:rsidRPr="005F055E">
          <w:rPr>
            <w:color w:val="0563C1" w:themeColor="hyperlink"/>
            <w:szCs w:val="18"/>
            <w:u w:val="single"/>
            <w:lang w:eastAsia="nl-NL"/>
          </w:rPr>
          <w:t>Landelijk onderzoek naleving leeftijdsgrens alcohol- en tabaksverkoop 2024 | Rapport | Rijksoverheid.nl</w:t>
        </w:r>
      </w:hyperlink>
    </w:p>
    <w:p w:rsidRPr="005F055E" w:rsidR="00306ADC" w:rsidP="00180EEB" w:rsidRDefault="00306ADC" w14:paraId="3C66AC6D" w14:textId="77777777">
      <w:pPr>
        <w:suppressAutoHyphens/>
      </w:pPr>
    </w:p>
    <w:p w:rsidRPr="005F055E" w:rsidR="00194494" w:rsidP="00180EEB" w:rsidRDefault="003E7003" w14:paraId="5B22FC4A" w14:textId="77777777">
      <w:pPr>
        <w:suppressAutoHyphens/>
      </w:pPr>
      <w:r w:rsidRPr="005F055E">
        <w:t>Vraag 344</w:t>
      </w:r>
      <w:r w:rsidRPr="005F055E">
        <w:tab/>
      </w:r>
    </w:p>
    <w:p w:rsidRPr="005F055E" w:rsidR="00194494" w:rsidP="00180EEB" w:rsidRDefault="003E7003" w14:paraId="574C652B" w14:textId="77777777">
      <w:pPr>
        <w:suppressAutoHyphens/>
      </w:pPr>
      <w:r w:rsidRPr="005F055E">
        <w:t>Welke impactvolle maatregelen worden doorontwikkeld op de beleidsagenda ten behoeve van gezondheidsachterstanden?</w:t>
      </w:r>
    </w:p>
    <w:p w:rsidRPr="005F055E" w:rsidR="003E7003" w:rsidP="00180EEB" w:rsidRDefault="003E7003" w14:paraId="4F8C1911" w14:textId="6A123371">
      <w:pPr>
        <w:suppressAutoHyphens/>
      </w:pPr>
      <w:r w:rsidRPr="005F055E">
        <w:t>Antwoord</w:t>
      </w:r>
    </w:p>
    <w:p w:rsidRPr="005F055E" w:rsidR="00194494" w:rsidP="00180EEB" w:rsidRDefault="00855C28" w14:paraId="1CF413D7" w14:textId="0B9EF812">
      <w:pPr>
        <w:suppressAutoHyphens/>
        <w:spacing w:line="240" w:lineRule="atLeast"/>
        <w:rPr>
          <w:szCs w:val="18"/>
          <w:lang w:eastAsia="nl-NL"/>
        </w:rPr>
      </w:pPr>
      <w:r w:rsidRPr="005F055E">
        <w:rPr>
          <w:szCs w:val="18"/>
          <w:lang w:eastAsia="nl-NL"/>
        </w:rPr>
        <w:t xml:space="preserve">Op dit moment wordt de beleidsagenda Gezondheid in alle Beleidsdomeinen samen met verschillende departementen en partijen verder uitgewerkt. Eind dit jaar wordt uw Kamer hierover geïnformeerd. </w:t>
      </w:r>
    </w:p>
    <w:p w:rsidR="00306ADC" w:rsidP="00180EEB" w:rsidRDefault="00306ADC" w14:paraId="5130DB35" w14:textId="77777777">
      <w:pPr>
        <w:suppressAutoHyphens/>
      </w:pPr>
    </w:p>
    <w:p w:rsidRPr="005F055E" w:rsidR="00194494" w:rsidP="00180EEB" w:rsidRDefault="003E7003" w14:paraId="42B530A2" w14:textId="77777777">
      <w:pPr>
        <w:suppressAutoHyphens/>
      </w:pPr>
      <w:r w:rsidRPr="005F055E">
        <w:t>Vraag 345</w:t>
      </w:r>
      <w:r w:rsidRPr="005F055E">
        <w:tab/>
      </w:r>
    </w:p>
    <w:p w:rsidRPr="005F055E" w:rsidR="00194494" w:rsidP="00180EEB" w:rsidRDefault="003E7003" w14:paraId="4B3DED45" w14:textId="77777777">
      <w:pPr>
        <w:suppressAutoHyphens/>
      </w:pPr>
      <w:r w:rsidRPr="005F055E">
        <w:t>Hoeveel laagdrempelige steunpunten zoals zelfregie- en herstelorganisaties zijn er in het land? Hoeveel zijn er de afgelopen vijf jaar bijgekomen? Is er sprake van een landelijk dekkend netwerk?</w:t>
      </w:r>
    </w:p>
    <w:p w:rsidRPr="005F055E" w:rsidR="003E7003" w:rsidP="00180EEB" w:rsidRDefault="003E7003" w14:paraId="4CAA8C8C" w14:textId="6FA94160">
      <w:pPr>
        <w:suppressAutoHyphens/>
      </w:pPr>
      <w:r w:rsidRPr="005F055E">
        <w:t>Antwoord</w:t>
      </w:r>
    </w:p>
    <w:p w:rsidRPr="005F055E" w:rsidR="00306ADC" w:rsidP="00180EEB" w:rsidRDefault="00306ADC" w14:paraId="42B82E48" w14:textId="500A4F53">
      <w:pPr>
        <w:suppressAutoHyphens/>
      </w:pPr>
      <w:r w:rsidRPr="005F055E">
        <w:t>Toenmalig staatssecretaris Langdurige en Maatschappelijke Zorg heeft uw Kamer in het najaar van 2024 geïnformeerd over een eerste verkennend onderzoek naar de ontwikkeling van laagdrempelige steunpunten. Uit dat onderzoek kwam naar voren dat er in oktober 2024 278 laagdrempelige steunpunten waren.</w:t>
      </w:r>
      <w:r w:rsidRPr="005F055E">
        <w:rPr>
          <w:rStyle w:val="Voetnootmarkering"/>
        </w:rPr>
        <w:footnoteReference w:id="131"/>
      </w:r>
      <w:r w:rsidRPr="005F055E">
        <w:t xml:space="preserve"> Dit zijn de cijfers die op dit moment beschikbaar zijn; een verdere duiding over de afgelopen vijf jaar is dan ook niet te geven.</w:t>
      </w:r>
      <w:r w:rsidRPr="005F055E" w:rsidR="00D73F76">
        <w:t xml:space="preserve"> </w:t>
      </w:r>
    </w:p>
    <w:p w:rsidRPr="005F055E" w:rsidR="00306ADC" w:rsidP="00180EEB" w:rsidRDefault="00306ADC" w14:paraId="2411975D" w14:textId="31F07EA5">
      <w:pPr>
        <w:suppressAutoHyphens/>
      </w:pPr>
      <w:r w:rsidRPr="005F055E">
        <w:t xml:space="preserve">Nieuwe cijfers over de ontwikkeling van de laagdrempelige steunpunten worden begin 2026 verwacht. Hierover zal de Tweede Kamer in het eerste kwartaal van 2026 geïnformeerd worden. Op basis van de nieuwe cijfers zal de landelijke IZA werkgroep meer duiding geven aan de landelijke dekkingsgraad. Deze monitoring maakt onderdeel uit van het landelijk ondersteuningsprogramma dat begin dit jaar is gestart en dat de beweging naar een landelijk dekkend netwerk verder kracht bij zet. </w:t>
      </w:r>
    </w:p>
    <w:p w:rsidRPr="00D544B0" w:rsidR="008C3510" w:rsidP="00180EEB" w:rsidRDefault="00306ADC" w14:paraId="14B332F7" w14:textId="57CBC22C">
      <w:pPr>
        <w:suppressAutoHyphens/>
        <w:rPr>
          <w:szCs w:val="18"/>
        </w:rPr>
      </w:pPr>
      <w:r w:rsidRPr="005F055E">
        <w:t>Daarnaast zijn laagdrempelige steunpunten één van de basisfunctionaliteiten in het Aanvullend Zorg- en Welzijnsakkoord (AZWA). Daarmee is afgesproken dat deze functionaliteit in elke regio of gemeente ingevuld en beschikbaar moet zijn voor inwoners ten behoeve van een landelijk dekkend aanbod.</w:t>
      </w:r>
    </w:p>
    <w:p w:rsidR="008C3510" w:rsidP="00180EEB" w:rsidRDefault="008C3510" w14:paraId="382C9CF4" w14:textId="77777777">
      <w:pPr>
        <w:suppressAutoHyphens/>
      </w:pPr>
    </w:p>
    <w:p w:rsidRPr="005F055E" w:rsidR="00194494" w:rsidP="00180EEB" w:rsidRDefault="003E7003" w14:paraId="33251E02" w14:textId="39B6E2EE">
      <w:pPr>
        <w:suppressAutoHyphens/>
      </w:pPr>
      <w:r w:rsidRPr="005F055E">
        <w:t>Vraag 346</w:t>
      </w:r>
    </w:p>
    <w:p w:rsidRPr="005F055E" w:rsidR="00194494" w:rsidP="00180EEB" w:rsidRDefault="003E7003" w14:paraId="512047A5" w14:textId="77777777">
      <w:pPr>
        <w:suppressAutoHyphens/>
      </w:pPr>
      <w:r w:rsidRPr="005F055E">
        <w:t>Loopt het financiële kader voor het uitvoeren van de Hervormingsagenda Jeugd nog in de pas met de voorspelde uitgaven en besparingen bij het tekenen van de Hervormingsagenda? Zo niet, bij welke maatregelen wordt meer of minder uitgegeven en bij welke maatregelen wordt de besparing niet gehaald en bij welke wel?</w:t>
      </w:r>
      <w:r w:rsidRPr="005F055E">
        <w:tab/>
      </w:r>
    </w:p>
    <w:p w:rsidRPr="005F055E" w:rsidR="003E7003" w:rsidP="00180EEB" w:rsidRDefault="003E7003" w14:paraId="45DEBBDD" w14:textId="31FCFA6F">
      <w:pPr>
        <w:suppressAutoHyphens/>
      </w:pPr>
      <w:r w:rsidRPr="005F055E">
        <w:t>Antwoord</w:t>
      </w:r>
    </w:p>
    <w:p w:rsidRPr="005F055E" w:rsidR="00306ADC" w:rsidP="00180EEB" w:rsidRDefault="00306ADC" w14:paraId="13612616" w14:textId="77777777">
      <w:pPr>
        <w:suppressAutoHyphens/>
        <w:rPr>
          <w:szCs w:val="18"/>
        </w:rPr>
      </w:pPr>
      <w:r w:rsidRPr="005F055E">
        <w:rPr>
          <w:szCs w:val="18"/>
        </w:rPr>
        <w:t>De (financiële) effecten van maatregelen kunnen niet per individuele maatregel in beeld worden gebracht. Ook niet op gemeentelijk niveau. Redenen hiervoor zijn:</w:t>
      </w:r>
    </w:p>
    <w:p w:rsidRPr="005F055E" w:rsidR="00306ADC" w:rsidP="00180EEB" w:rsidRDefault="00306ADC" w14:paraId="10FED15E" w14:textId="77777777">
      <w:pPr>
        <w:suppressAutoHyphens/>
        <w:rPr>
          <w:szCs w:val="18"/>
        </w:rPr>
      </w:pPr>
      <w:r w:rsidRPr="005F055E">
        <w:rPr>
          <w:szCs w:val="18"/>
        </w:rPr>
        <w:t>1. verschillende maatregelen bijdragen aan eenzelfde effect</w:t>
      </w:r>
    </w:p>
    <w:p w:rsidRPr="005F055E" w:rsidR="00306ADC" w:rsidP="00180EEB" w:rsidRDefault="00306ADC" w14:paraId="1AB2BF8B" w14:textId="77777777">
      <w:pPr>
        <w:suppressAutoHyphens/>
        <w:rPr>
          <w:szCs w:val="18"/>
        </w:rPr>
      </w:pPr>
      <w:r w:rsidRPr="005F055E">
        <w:rPr>
          <w:szCs w:val="18"/>
        </w:rPr>
        <w:t xml:space="preserve">2. er interferentie tussen effecten bestaat; en </w:t>
      </w:r>
    </w:p>
    <w:p w:rsidRPr="005F055E" w:rsidR="00306ADC" w:rsidP="00180EEB" w:rsidRDefault="00306ADC" w14:paraId="6115497C" w14:textId="0571AECE">
      <w:pPr>
        <w:suppressAutoHyphens/>
        <w:rPr>
          <w:szCs w:val="18"/>
        </w:rPr>
      </w:pPr>
      <w:r w:rsidRPr="005F055E">
        <w:rPr>
          <w:szCs w:val="18"/>
        </w:rPr>
        <w:t xml:space="preserve">3. er buiten de uitvoering van de maatregelen ook (autonome) effecten in de sector op kunnen treden. Bijvoorbeeld het effect van de mentale gezondheid van jongeren op de vraag naar Jeugdzorg. </w:t>
      </w:r>
    </w:p>
    <w:p w:rsidRPr="005F055E" w:rsidR="00306ADC" w:rsidP="00180EEB" w:rsidRDefault="00306ADC" w14:paraId="0C79E43D" w14:textId="259B5B06">
      <w:pPr>
        <w:suppressAutoHyphens/>
        <w:rPr>
          <w:szCs w:val="18"/>
        </w:rPr>
      </w:pPr>
      <w:r w:rsidRPr="005F055E">
        <w:rPr>
          <w:szCs w:val="18"/>
        </w:rPr>
        <w:t>Dat betekent dat het effect van de uitvoering van de Hervormingsagenda op de uitgavenontwikkeling enkel overkoepelend bezien kan worden, zonder dat daarin uitspraken gedaan kunnen worden over causaliteit.</w:t>
      </w:r>
      <w:r w:rsidRPr="005F055E" w:rsidR="00D73F76">
        <w:rPr>
          <w:szCs w:val="18"/>
        </w:rPr>
        <w:t xml:space="preserve">      </w:t>
      </w:r>
    </w:p>
    <w:p w:rsidRPr="005F055E" w:rsidR="00306ADC" w:rsidP="00180EEB" w:rsidRDefault="00306ADC" w14:paraId="136E3041" w14:textId="269035E8">
      <w:pPr>
        <w:suppressAutoHyphens/>
        <w:rPr>
          <w:szCs w:val="18"/>
        </w:rPr>
      </w:pPr>
      <w:r w:rsidRPr="005F055E">
        <w:rPr>
          <w:szCs w:val="18"/>
        </w:rPr>
        <w:t>De totale uitgavenontwikkeling is daarmee een belangrijke parameter, specifiek ook voor de financiële doelstelling van de Hervormingsagenda. Met het uitgavenonderzoek naar de uitgaven in 2023 en 2024</w:t>
      </w:r>
      <w:r w:rsidRPr="005F055E">
        <w:rPr>
          <w:rStyle w:val="Voetnootmarkering"/>
          <w:szCs w:val="18"/>
        </w:rPr>
        <w:footnoteReference w:id="132"/>
      </w:r>
      <w:r w:rsidRPr="005F055E">
        <w:rPr>
          <w:szCs w:val="18"/>
        </w:rPr>
        <w:t xml:space="preserve"> is geconstateerd dat het Meerjarig Financieel Kader uit de Hervormingsagenda en de totale uitgaven van gemeenten aan Jeugdzorg niet in lijn zijn met elkaar. De tekorten die hierin naar voren komen, respectievelijk €628 miljoen in 2023 en €828 miljoen in 2024, zijn dit jaar op basis van het advies van de Deskundigencommissie bij de augustusbesluitvorming betrokken. Eerder is met de voorjaarsnota het financiële kader bezien aan de hand van het advies van de Deskundigencommissie Jeugd. Op basis hiervan is besloten aanvullende middelen beschikbaar te stellen, aanvullende beheersmaatregelen te nemen en de uitvoering van de Hervormingsagenda te intensiveren</w:t>
      </w:r>
      <w:r w:rsidRPr="005F055E">
        <w:rPr>
          <w:rStyle w:val="Voetnootmarkering"/>
          <w:szCs w:val="18"/>
        </w:rPr>
        <w:footnoteReference w:id="133"/>
      </w:r>
      <w:r w:rsidRPr="005F055E">
        <w:rPr>
          <w:szCs w:val="18"/>
        </w:rPr>
        <w:t xml:space="preserve">. Dit leidt ertoe dat de financiële kaders van de Hervormingsagenda dit jaar zijn geactualiseerd, onder andere leidende tot een verzachting van het </w:t>
      </w:r>
      <w:proofErr w:type="spellStart"/>
      <w:r w:rsidRPr="005F055E">
        <w:rPr>
          <w:szCs w:val="18"/>
        </w:rPr>
        <w:t>ingroeipad</w:t>
      </w:r>
      <w:proofErr w:type="spellEnd"/>
      <w:r w:rsidRPr="005F055E">
        <w:rPr>
          <w:szCs w:val="18"/>
        </w:rPr>
        <w:t xml:space="preserve"> van de besparingsopgave.</w:t>
      </w:r>
      <w:r w:rsidRPr="005F055E" w:rsidR="00D73F76">
        <w:rPr>
          <w:szCs w:val="18"/>
        </w:rPr>
        <w:t xml:space="preserve">     </w:t>
      </w:r>
    </w:p>
    <w:p w:rsidRPr="005F055E" w:rsidR="00306ADC" w:rsidP="00180EEB" w:rsidRDefault="00306ADC" w14:paraId="335570FE" w14:textId="30CAFA89">
      <w:pPr>
        <w:suppressAutoHyphens/>
        <w:rPr>
          <w:szCs w:val="18"/>
        </w:rPr>
      </w:pPr>
      <w:r w:rsidRPr="005F055E">
        <w:rPr>
          <w:szCs w:val="18"/>
        </w:rPr>
        <w:t>Naast de ontwikkeling van de uitgaven wordt gekeken naar inhoudelijke ontwikkelingen. Naar aanleiding van het advies van de commissie Van Ark wordt de monitoring hiervan opnieuw bezien. Dit loopt mee in de gesprekken met gemeenten, aanbieders, professionals en cliënten over de intensivering van de Hervormingsagenda en zal in de routekaart die is aangekondigd worden vastgelegd.</w:t>
      </w:r>
    </w:p>
    <w:p w:rsidRPr="005F055E" w:rsidR="00194494" w:rsidP="00180EEB" w:rsidRDefault="00194494" w14:paraId="0B4EF15E" w14:textId="77777777">
      <w:pPr>
        <w:suppressAutoHyphens/>
      </w:pPr>
    </w:p>
    <w:p w:rsidRPr="005F055E" w:rsidR="00194494" w:rsidP="00180EEB" w:rsidRDefault="003E7003" w14:paraId="61766D06" w14:textId="77777777">
      <w:pPr>
        <w:suppressAutoHyphens/>
      </w:pPr>
      <w:r w:rsidRPr="005F055E">
        <w:t>Vraag 347</w:t>
      </w:r>
    </w:p>
    <w:p w:rsidRPr="005F055E" w:rsidR="00194494" w:rsidP="00180EEB" w:rsidRDefault="003E7003" w14:paraId="4661C88B" w14:textId="77777777">
      <w:pPr>
        <w:suppressAutoHyphens/>
      </w:pPr>
      <w:r w:rsidRPr="005F055E">
        <w:t>Hoe groot is het arbeidsmarkttekort in de jeugdzorg momenteel?</w:t>
      </w:r>
      <w:r w:rsidRPr="005F055E">
        <w:tab/>
      </w:r>
    </w:p>
    <w:p w:rsidRPr="005F055E" w:rsidR="003E7003" w:rsidP="00180EEB" w:rsidRDefault="003E7003" w14:paraId="0CD9E16F" w14:textId="17417CEA">
      <w:pPr>
        <w:suppressAutoHyphens/>
      </w:pPr>
      <w:r w:rsidRPr="005F055E">
        <w:t>Antwoord</w:t>
      </w:r>
    </w:p>
    <w:p w:rsidRPr="00D544B0" w:rsidR="008C3510" w:rsidP="00180EEB" w:rsidRDefault="00306ADC" w14:paraId="214361EC" w14:textId="3EE4EB86">
      <w:pPr>
        <w:suppressAutoHyphens/>
        <w:rPr>
          <w:szCs w:val="18"/>
        </w:rPr>
      </w:pPr>
      <w:r w:rsidRPr="005F055E">
        <w:rPr>
          <w:szCs w:val="18"/>
        </w:rPr>
        <w:t>Er zijn geen cijfers beschikbaar over de actuele tekorten per branche. Wel zijn er cijfers beschikbaar op basis van de laatste prognose van najaar 2024. Het verwachte tekort in 2025 in de jeugdzorg bedraagt 1.300 werknemers.</w:t>
      </w:r>
    </w:p>
    <w:p w:rsidR="008C3510" w:rsidP="00180EEB" w:rsidRDefault="008C3510" w14:paraId="5B588AFC" w14:textId="77777777">
      <w:pPr>
        <w:suppressAutoHyphens/>
      </w:pPr>
    </w:p>
    <w:p w:rsidRPr="005F055E" w:rsidR="00194494" w:rsidP="00180EEB" w:rsidRDefault="003E7003" w14:paraId="10F553B9" w14:textId="311059FA">
      <w:pPr>
        <w:suppressAutoHyphens/>
      </w:pPr>
      <w:r w:rsidRPr="005F055E">
        <w:t>Vraag 348</w:t>
      </w:r>
    </w:p>
    <w:p w:rsidRPr="005F055E" w:rsidR="00194494" w:rsidP="00180EEB" w:rsidRDefault="003E7003" w14:paraId="221C5BD7" w14:textId="77777777">
      <w:pPr>
        <w:suppressAutoHyphens/>
      </w:pPr>
      <w:r w:rsidRPr="005F055E">
        <w:t>Wat houdt de taakopdracht bij de gemeente in om te komen tot een suïcidepreventiebeleid?</w:t>
      </w:r>
    </w:p>
    <w:p w:rsidRPr="005F055E" w:rsidR="003E7003" w:rsidP="00180EEB" w:rsidRDefault="003E7003" w14:paraId="1DAA1221" w14:textId="54CEF1BA">
      <w:pPr>
        <w:suppressAutoHyphens/>
      </w:pPr>
      <w:r w:rsidRPr="005F055E">
        <w:t>Antwoord</w:t>
      </w:r>
    </w:p>
    <w:p w:rsidRPr="005F055E" w:rsidR="00194494" w:rsidP="00180EEB" w:rsidRDefault="007E044A" w14:paraId="4604A70B" w14:textId="6C9F92B1">
      <w:pPr>
        <w:suppressAutoHyphens/>
        <w:spacing w:line="240" w:lineRule="atLeast"/>
        <w:rPr>
          <w:szCs w:val="18"/>
          <w:lang w:eastAsia="nl-NL"/>
        </w:rPr>
      </w:pPr>
      <w:r w:rsidRPr="005F055E">
        <w:rPr>
          <w:szCs w:val="18"/>
          <w:lang w:eastAsia="nl-NL"/>
        </w:rPr>
        <w:t xml:space="preserve">Het landelijke integrale suïcidepreventiebeleid wordt elke vier jaar vastgesteld met de landelijke nota gezondheidsbeleid. Daaruit vloeit de taakopdracht voor gemeenten voort. De gemeentelijke nota moet daarmee dus ook doelstellingen, acties en gewenste resultaten bevatten van het gemeentelijke beleid inzake suïcidepreventie. De wet publieke gezondheid, waar suïcidepreventie per 1 januari 2026 onderdeel van uit gaat maken, schrijft niet voor hoe het gemeentelijk beleid eruit moet zien. Door middel van onder meer het landelijke suïcidepreventiebeleid en de landelijke agenda suïcidepreventie worden gemeenten voorzien van informatie en kennis over hoe dit lokale beleid kan worden vormgegeven en hoe zij dit naar hun eigen context kunnen vertalen. </w:t>
      </w:r>
    </w:p>
    <w:p w:rsidRPr="005F055E" w:rsidR="00306ADC" w:rsidP="00180EEB" w:rsidRDefault="00306ADC" w14:paraId="5F69B461" w14:textId="77777777">
      <w:pPr>
        <w:suppressAutoHyphens/>
      </w:pPr>
    </w:p>
    <w:p w:rsidRPr="005F055E" w:rsidR="00194494" w:rsidP="00180EEB" w:rsidRDefault="003E7003" w14:paraId="1BDAFF75" w14:textId="77777777">
      <w:pPr>
        <w:suppressAutoHyphens/>
      </w:pPr>
      <w:r w:rsidRPr="005F055E">
        <w:t>Vraag 349</w:t>
      </w:r>
    </w:p>
    <w:p w:rsidRPr="005F055E" w:rsidR="00194494" w:rsidP="00180EEB" w:rsidRDefault="003E7003" w14:paraId="40FF8B07" w14:textId="77777777">
      <w:pPr>
        <w:suppressAutoHyphens/>
      </w:pPr>
      <w:r w:rsidRPr="005F055E">
        <w:t>Hoeveel stevige lokale teams jeugdzorg zijn er nu over het hele land? Hoeveel zijn er opgericht sinds het tekenen van de Hervormingsagenda Jeugd?</w:t>
      </w:r>
      <w:r w:rsidRPr="005F055E">
        <w:tab/>
      </w:r>
    </w:p>
    <w:p w:rsidRPr="005F055E" w:rsidR="003E7003" w:rsidP="00180EEB" w:rsidRDefault="003E7003" w14:paraId="20863550" w14:textId="3B86E4AD">
      <w:pPr>
        <w:suppressAutoHyphens/>
      </w:pPr>
      <w:r w:rsidRPr="005F055E">
        <w:t>Antwoord</w:t>
      </w:r>
    </w:p>
    <w:p w:rsidRPr="005F055E" w:rsidR="00306ADC" w:rsidP="00180EEB" w:rsidRDefault="00306ADC" w14:paraId="19CCAC84" w14:textId="6FABAF37">
      <w:pPr>
        <w:pStyle w:val="Lijstopsomteken"/>
        <w:numPr>
          <w:ilvl w:val="0"/>
          <w:numId w:val="0"/>
        </w:numPr>
        <w:suppressAutoHyphens/>
        <w:rPr>
          <w:noProof w:val="0"/>
          <w:szCs w:val="20"/>
        </w:rPr>
      </w:pPr>
      <w:r w:rsidRPr="005F055E">
        <w:rPr>
          <w:noProof w:val="0"/>
          <w:szCs w:val="20"/>
        </w:rPr>
        <w:t>Sinds de decentralisaties in 2015 heeft de meerderheid van de gemeenten</w:t>
      </w:r>
      <w:r w:rsidR="005A24E4">
        <w:rPr>
          <w:noProof w:val="0"/>
          <w:szCs w:val="20"/>
        </w:rPr>
        <w:t xml:space="preserve"> een vorm van</w:t>
      </w:r>
      <w:r w:rsidRPr="005F055E">
        <w:rPr>
          <w:noProof w:val="0"/>
          <w:szCs w:val="20"/>
        </w:rPr>
        <w:t xml:space="preserve"> lokale teams. </w:t>
      </w:r>
    </w:p>
    <w:p w:rsidRPr="005F055E" w:rsidR="00306ADC" w:rsidP="00180EEB" w:rsidRDefault="00306ADC" w14:paraId="5C030F08" w14:textId="77777777">
      <w:pPr>
        <w:pStyle w:val="Lijstopsomteken"/>
        <w:numPr>
          <w:ilvl w:val="0"/>
          <w:numId w:val="0"/>
        </w:numPr>
        <w:suppressAutoHyphens/>
        <w:rPr>
          <w:noProof w:val="0"/>
          <w:szCs w:val="20"/>
        </w:rPr>
      </w:pPr>
    </w:p>
    <w:p w:rsidRPr="005F055E" w:rsidR="00306ADC" w:rsidP="00180EEB" w:rsidRDefault="00306ADC" w14:paraId="7C647FE4" w14:textId="77777777">
      <w:pPr>
        <w:pStyle w:val="Lijstopsomteken"/>
        <w:numPr>
          <w:ilvl w:val="0"/>
          <w:numId w:val="0"/>
        </w:numPr>
        <w:suppressAutoHyphens/>
        <w:rPr>
          <w:noProof w:val="0"/>
          <w:szCs w:val="20"/>
        </w:rPr>
      </w:pPr>
      <w:r w:rsidRPr="005F055E">
        <w:rPr>
          <w:noProof w:val="0"/>
          <w:szCs w:val="20"/>
        </w:rPr>
        <w:t>We hebben geen zicht op hoeveel gemeenten stevige lokale teams hebben sinds het ondertekenen van de Hervormingsagenda Jeugd. Inmiddels heeft het Ondersteuningsteam voor de Jeugd (OZJ) 108 gemeenten geholpen om stevige lokale teams te ontwikkelen.</w:t>
      </w:r>
      <w:r w:rsidRPr="005F055E">
        <w:rPr>
          <w:sz w:val="12"/>
          <w:szCs w:val="12"/>
        </w:rPr>
        <w:footnoteReference w:id="134"/>
      </w:r>
      <w:r w:rsidRPr="005F055E">
        <w:rPr>
          <w:noProof w:val="0"/>
          <w:sz w:val="12"/>
          <w:szCs w:val="12"/>
        </w:rPr>
        <w:t xml:space="preserve"> </w:t>
      </w:r>
    </w:p>
    <w:p w:rsidRPr="005F055E" w:rsidR="00306ADC" w:rsidP="00180EEB" w:rsidRDefault="00306ADC" w14:paraId="368B53CD" w14:textId="77777777">
      <w:pPr>
        <w:pStyle w:val="Lijstopsomteken"/>
        <w:numPr>
          <w:ilvl w:val="0"/>
          <w:numId w:val="0"/>
        </w:numPr>
        <w:suppressAutoHyphens/>
        <w:rPr>
          <w:noProof w:val="0"/>
          <w:szCs w:val="20"/>
        </w:rPr>
      </w:pPr>
    </w:p>
    <w:p w:rsidRPr="005F055E" w:rsidR="00306ADC" w:rsidP="00180EEB" w:rsidRDefault="00306ADC" w14:paraId="0CF692BD" w14:textId="045649D5">
      <w:pPr>
        <w:pStyle w:val="Lijstopsomteken"/>
        <w:numPr>
          <w:ilvl w:val="0"/>
          <w:numId w:val="0"/>
        </w:numPr>
        <w:suppressAutoHyphens/>
        <w:rPr>
          <w:noProof w:val="0"/>
          <w:szCs w:val="20"/>
        </w:rPr>
      </w:pPr>
      <w:r w:rsidRPr="005F055E">
        <w:rPr>
          <w:noProof w:val="0"/>
          <w:szCs w:val="20"/>
        </w:rPr>
        <w:t>In de Meta-analyse startfoto’s Hervormingsagenda Jeugd (gepubliceerd door de VNG in april 2024), heeft 52% van de gemeenten aangegeven voldoende stevige lokale teams te hebben, dan wel dat het merendeel van de lokale teams voldoende stevig is in lijn met het Richtinggevend kader “toegang, lokale teams en integrale dienstverlening”</w:t>
      </w:r>
      <w:r w:rsidRPr="005F055E">
        <w:rPr>
          <w:noProof w:val="0"/>
          <w:sz w:val="12"/>
          <w:szCs w:val="12"/>
        </w:rPr>
        <w:t>.</w:t>
      </w:r>
      <w:r w:rsidRPr="005F055E">
        <w:rPr>
          <w:noProof w:val="0"/>
          <w:sz w:val="12"/>
          <w:szCs w:val="12"/>
        </w:rPr>
        <w:footnoteReference w:id="135"/>
      </w:r>
      <w:r w:rsidRPr="005F055E">
        <w:rPr>
          <w:noProof w:val="0"/>
          <w:szCs w:val="20"/>
        </w:rPr>
        <w:t xml:space="preserve"> 15% van de gemeenten geeft aan dat de helft van de lokale teams voldoende stevig is. En 33% van de gemeenten geeft aan dat (het merendeel van) de lokale teams nog onvoldoende stevig is.</w:t>
      </w:r>
    </w:p>
    <w:p w:rsidRPr="005F055E" w:rsidR="00194494" w:rsidP="00180EEB" w:rsidRDefault="00194494" w14:paraId="658C7DE9" w14:textId="77777777">
      <w:pPr>
        <w:suppressAutoHyphens/>
      </w:pPr>
    </w:p>
    <w:p w:rsidRPr="005F055E" w:rsidR="00194494" w:rsidP="00180EEB" w:rsidRDefault="003E7003" w14:paraId="77BACA7E" w14:textId="77777777">
      <w:pPr>
        <w:suppressAutoHyphens/>
      </w:pPr>
      <w:r w:rsidRPr="005F055E">
        <w:t>Vraag 350</w:t>
      </w:r>
    </w:p>
    <w:p w:rsidRPr="005F055E" w:rsidR="00194494" w:rsidP="00180EEB" w:rsidRDefault="003E7003" w14:paraId="4FD800EA" w14:textId="77777777">
      <w:pPr>
        <w:suppressAutoHyphens/>
      </w:pPr>
      <w:r w:rsidRPr="005F055E">
        <w:t xml:space="preserve">Op welke concrete wijze wordt er bijgedragen aan het verbeteren van de risico taxatie en veiligheidsbeoordeling instrumenten voor huiselijk geweld en </w:t>
      </w:r>
      <w:proofErr w:type="spellStart"/>
      <w:r w:rsidRPr="005F055E">
        <w:t>femicide</w:t>
      </w:r>
      <w:proofErr w:type="spellEnd"/>
      <w:r w:rsidRPr="005F055E">
        <w:t>?</w:t>
      </w:r>
      <w:r w:rsidRPr="005F055E">
        <w:tab/>
      </w:r>
    </w:p>
    <w:p w:rsidRPr="005F055E" w:rsidR="003E7003" w:rsidP="00180EEB" w:rsidRDefault="003E7003" w14:paraId="57B7EFD0" w14:textId="53F74327">
      <w:pPr>
        <w:suppressAutoHyphens/>
      </w:pPr>
      <w:r w:rsidRPr="005F055E">
        <w:t>Antwoord</w:t>
      </w:r>
    </w:p>
    <w:p w:rsidRPr="005F055E" w:rsidR="00765997" w:rsidP="00180EEB" w:rsidRDefault="00765997" w14:paraId="0A20668B" w14:textId="77777777">
      <w:pPr>
        <w:suppressAutoHyphens/>
        <w:rPr>
          <w:szCs w:val="18"/>
        </w:rPr>
      </w:pPr>
      <w:r w:rsidRPr="005F055E">
        <w:rPr>
          <w:szCs w:val="18"/>
        </w:rPr>
        <w:t xml:space="preserve">Op dit moment loopt er in opdracht van het ministerie van VWS en </w:t>
      </w:r>
      <w:proofErr w:type="spellStart"/>
      <w:r w:rsidRPr="005F055E">
        <w:rPr>
          <w:szCs w:val="18"/>
        </w:rPr>
        <w:t>JenV</w:t>
      </w:r>
      <w:proofErr w:type="spellEnd"/>
      <w:r w:rsidRPr="005F055E">
        <w:rPr>
          <w:szCs w:val="18"/>
        </w:rPr>
        <w:t xml:space="preserve"> een onderzoek wat wordt uitgevoerd door Regioplan, gericht op het herijken van de risico taxatie en veiligheidsbeoordelingsinstrumenten. De uitkomsten van dit onderzoek worden eind 2025 verwacht. </w:t>
      </w:r>
    </w:p>
    <w:p w:rsidRPr="005F055E" w:rsidR="00765997" w:rsidP="00180EEB" w:rsidRDefault="00765997" w14:paraId="180A9B25" w14:textId="77777777">
      <w:pPr>
        <w:suppressAutoHyphens/>
        <w:rPr>
          <w:szCs w:val="18"/>
        </w:rPr>
      </w:pPr>
      <w:r w:rsidRPr="005F055E">
        <w:rPr>
          <w:szCs w:val="18"/>
        </w:rPr>
        <w:t>De uitkomsten zullen gaan over:</w:t>
      </w:r>
    </w:p>
    <w:p w:rsidRPr="005F055E" w:rsidR="00765997" w:rsidP="00180EEB" w:rsidRDefault="00765997" w14:paraId="69EE9A34" w14:textId="77777777">
      <w:pPr>
        <w:pStyle w:val="Lijstalinea"/>
        <w:numPr>
          <w:ilvl w:val="0"/>
          <w:numId w:val="21"/>
        </w:numPr>
        <w:suppressAutoHyphens/>
        <w:spacing w:after="0" w:line="240" w:lineRule="atLeast"/>
        <w:rPr>
          <w:szCs w:val="18"/>
        </w:rPr>
      </w:pPr>
      <w:r w:rsidRPr="005F055E">
        <w:rPr>
          <w:szCs w:val="18"/>
        </w:rPr>
        <w:t>Welke instrumenten nu gebruikt worden.</w:t>
      </w:r>
    </w:p>
    <w:p w:rsidRPr="005F055E" w:rsidR="00765997" w:rsidP="00180EEB" w:rsidRDefault="00765997" w14:paraId="019EACD6" w14:textId="77777777">
      <w:pPr>
        <w:pStyle w:val="Lijstalinea"/>
        <w:numPr>
          <w:ilvl w:val="0"/>
          <w:numId w:val="21"/>
        </w:numPr>
        <w:suppressAutoHyphens/>
        <w:spacing w:after="0" w:line="240" w:lineRule="atLeast"/>
        <w:rPr>
          <w:szCs w:val="18"/>
        </w:rPr>
      </w:pPr>
      <w:r w:rsidRPr="005F055E">
        <w:rPr>
          <w:szCs w:val="18"/>
        </w:rPr>
        <w:t>Hoe die instrumenten gebruikt worden.</w:t>
      </w:r>
    </w:p>
    <w:p w:rsidRPr="005F055E" w:rsidR="00765997" w:rsidP="00180EEB" w:rsidRDefault="00765997" w14:paraId="3F594F74" w14:textId="77777777">
      <w:pPr>
        <w:pStyle w:val="Lijstalinea"/>
        <w:numPr>
          <w:ilvl w:val="0"/>
          <w:numId w:val="21"/>
        </w:numPr>
        <w:suppressAutoHyphens/>
        <w:spacing w:after="0" w:line="240" w:lineRule="atLeast"/>
        <w:rPr>
          <w:szCs w:val="18"/>
        </w:rPr>
      </w:pPr>
      <w:r w:rsidRPr="005F055E">
        <w:rPr>
          <w:szCs w:val="18"/>
        </w:rPr>
        <w:t>Of dit toereikend zou moeten zijn of dat er iets anders/andere instrumenten nodig zijn.</w:t>
      </w:r>
    </w:p>
    <w:p w:rsidRPr="005F055E" w:rsidR="00765997" w:rsidP="00180EEB" w:rsidRDefault="00765997" w14:paraId="6049FA71" w14:textId="77777777">
      <w:pPr>
        <w:pStyle w:val="Lijstalinea"/>
        <w:numPr>
          <w:ilvl w:val="0"/>
          <w:numId w:val="21"/>
        </w:numPr>
        <w:suppressAutoHyphens/>
        <w:spacing w:after="0" w:line="240" w:lineRule="atLeast"/>
        <w:rPr>
          <w:szCs w:val="18"/>
        </w:rPr>
      </w:pPr>
      <w:r w:rsidRPr="005F055E">
        <w:rPr>
          <w:szCs w:val="18"/>
        </w:rPr>
        <w:t>Welke samenwerkingsafspraken nodig zijn om de risicotaxatie en veiligheidsbeoordeling te verbeteren.</w:t>
      </w:r>
    </w:p>
    <w:p w:rsidRPr="005F055E" w:rsidR="00765997" w:rsidP="00180EEB" w:rsidRDefault="00765997" w14:paraId="1119BC89" w14:textId="77777777">
      <w:pPr>
        <w:pStyle w:val="Lijstalinea"/>
        <w:numPr>
          <w:ilvl w:val="0"/>
          <w:numId w:val="21"/>
        </w:numPr>
        <w:suppressAutoHyphens/>
        <w:spacing w:after="0" w:line="240" w:lineRule="atLeast"/>
        <w:rPr>
          <w:szCs w:val="18"/>
        </w:rPr>
      </w:pPr>
      <w:r w:rsidRPr="005F055E">
        <w:rPr>
          <w:szCs w:val="18"/>
        </w:rPr>
        <w:t>Andere aanbevelingen die uit het onderzoek naar voren komen.</w:t>
      </w:r>
    </w:p>
    <w:p w:rsidRPr="005F055E" w:rsidR="00765997" w:rsidP="00180EEB" w:rsidRDefault="00765997" w14:paraId="17E536CD" w14:textId="40CB8D6E">
      <w:pPr>
        <w:suppressAutoHyphens/>
        <w:rPr>
          <w:szCs w:val="18"/>
        </w:rPr>
      </w:pPr>
      <w:r w:rsidRPr="005F055E">
        <w:rPr>
          <w:szCs w:val="18"/>
        </w:rPr>
        <w:t>Aan de hand van de uitkomsten wordt met de relevante uitvoeringsorganisaties en de betrokken ministeries een plan gemaakt om de benodigde doorontwikkeling uit te voeren.</w:t>
      </w:r>
    </w:p>
    <w:p w:rsidRPr="005F055E" w:rsidR="00765997" w:rsidP="00180EEB" w:rsidRDefault="00765997" w14:paraId="53A8B479" w14:textId="77777777">
      <w:pPr>
        <w:suppressAutoHyphens/>
      </w:pPr>
    </w:p>
    <w:p w:rsidR="00180EEB" w:rsidP="00180EEB" w:rsidRDefault="00180EEB" w14:paraId="20B374F1" w14:textId="77777777">
      <w:pPr>
        <w:suppressAutoHyphens/>
      </w:pPr>
    </w:p>
    <w:p w:rsidR="00180EEB" w:rsidP="00180EEB" w:rsidRDefault="00180EEB" w14:paraId="756D24C2" w14:textId="77777777">
      <w:pPr>
        <w:suppressAutoHyphens/>
      </w:pPr>
    </w:p>
    <w:p w:rsidRPr="005F055E" w:rsidR="00194494" w:rsidP="00180EEB" w:rsidRDefault="003E7003" w14:paraId="053189F7" w14:textId="1F9A16E5">
      <w:pPr>
        <w:suppressAutoHyphens/>
      </w:pPr>
      <w:r w:rsidRPr="005F055E">
        <w:t>Vraag 351</w:t>
      </w:r>
    </w:p>
    <w:p w:rsidRPr="005F055E" w:rsidR="00194494" w:rsidP="00180EEB" w:rsidRDefault="003E7003" w14:paraId="39D394E0" w14:textId="77777777">
      <w:pPr>
        <w:suppressAutoHyphens/>
      </w:pPr>
      <w:r w:rsidRPr="005F055E">
        <w:t>Hoe groot is het huidige tekort aan opvangplekken voor slachtoffers van huiselijk geweld? Hoeveel geld zou er nodig zijn om te voldoen aan in ieder geval de eisen die voortvloeien uit het Verdrag van Istanbul?</w:t>
      </w:r>
      <w:r w:rsidRPr="005F055E">
        <w:tab/>
      </w:r>
    </w:p>
    <w:p w:rsidRPr="005F055E" w:rsidR="003E7003" w:rsidP="00180EEB" w:rsidRDefault="003E7003" w14:paraId="4677EFC7" w14:textId="588678C2">
      <w:pPr>
        <w:suppressAutoHyphens/>
      </w:pPr>
      <w:r w:rsidRPr="005F055E">
        <w:t>Antwoord</w:t>
      </w:r>
    </w:p>
    <w:p w:rsidRPr="005F055E" w:rsidR="00194494" w:rsidP="00180EEB" w:rsidRDefault="00EE5450" w14:paraId="65CFA74E" w14:textId="3F903D90">
      <w:pPr>
        <w:suppressAutoHyphens/>
        <w:rPr>
          <w:szCs w:val="18"/>
          <w:lang w:eastAsia="nl-NL"/>
        </w:rPr>
      </w:pPr>
      <w:r w:rsidRPr="005F055E">
        <w:rPr>
          <w:szCs w:val="18"/>
          <w:lang w:eastAsia="nl-NL"/>
        </w:rPr>
        <w:t xml:space="preserve">Branchevereniging </w:t>
      </w:r>
      <w:proofErr w:type="spellStart"/>
      <w:r w:rsidRPr="005F055E">
        <w:rPr>
          <w:szCs w:val="18"/>
          <w:lang w:eastAsia="nl-NL"/>
        </w:rPr>
        <w:t>Valente</w:t>
      </w:r>
      <w:proofErr w:type="spellEnd"/>
      <w:r w:rsidRPr="005F055E">
        <w:rPr>
          <w:szCs w:val="18"/>
          <w:lang w:eastAsia="nl-NL"/>
        </w:rPr>
        <w:t xml:space="preserve"> heeft in het kader van het huidige capaciteitstekort een berekening gemaakt waarbij geldt dat voor de realisatie van 153 extra opvangplaatsen (30 crisisplekken en 123 vervolgplekken) structureel € 12 miljoen nodig is. Gemiddeld genomen is daarmee € 78.431,- benodigd voor de financiering van één opvangplaats in de vrouwenopvang. De verantwoordelijkheid voor het organiseren en financieren van de vrouwenopvang is een gemeentelijke verantwoordelijkheid op grond van de Wmo2015. Er kunnen regionale verschillen bestaan in kostprijzen die gelden voor de vrouwenopvang en er bestaat geen landelijk inzicht in deze kostprijzen. In het Verdrag van Istanbul is de aanbeveling opgenomen de norm van 1 opvangplaats per 10.000 inwoners te hanteren. Daarbij wordt gesteld dat het daadwerkelijk aantal opvangplaatsen moet worden afgestemd op de nationale context van de lidstaat; de norm is daarmee geen verplichting. Voor de Nederlandse context is met de Vereniging Nederlandse Gemeenten (VNG) en branchevereniging </w:t>
      </w:r>
      <w:proofErr w:type="spellStart"/>
      <w:r w:rsidRPr="005F055E">
        <w:rPr>
          <w:szCs w:val="18"/>
          <w:lang w:eastAsia="nl-NL"/>
        </w:rPr>
        <w:t>Valente</w:t>
      </w:r>
      <w:proofErr w:type="spellEnd"/>
      <w:r w:rsidRPr="005F055E">
        <w:rPr>
          <w:szCs w:val="18"/>
          <w:lang w:eastAsia="nl-NL"/>
        </w:rPr>
        <w:t xml:space="preserve"> besproken dat 1.800 opvangplaatsen niet passend is in verhouding tot het aantal slachtoffers met een opvangbehoefte; het is echter lastig te bepalen welk aantal wel passend is voor de Nederlandse context. </w:t>
      </w:r>
      <w:bookmarkStart w:name="_Hlk211268374" w:id="54"/>
      <w:r w:rsidRPr="005F055E">
        <w:rPr>
          <w:szCs w:val="18"/>
          <w:lang w:eastAsia="nl-NL"/>
        </w:rPr>
        <w:t>Hierover vinden continu gesprekken plaats.</w:t>
      </w:r>
      <w:bookmarkEnd w:id="54"/>
    </w:p>
    <w:p w:rsidRPr="005F055E" w:rsidR="00D544B0" w:rsidP="00180EEB" w:rsidRDefault="00D544B0" w14:paraId="0F61CF70" w14:textId="77777777">
      <w:pPr>
        <w:suppressAutoHyphens/>
      </w:pPr>
    </w:p>
    <w:p w:rsidRPr="005F055E" w:rsidR="00194494" w:rsidP="00180EEB" w:rsidRDefault="003E7003" w14:paraId="3BAEB251" w14:textId="77777777">
      <w:pPr>
        <w:suppressAutoHyphens/>
      </w:pPr>
      <w:r w:rsidRPr="005F055E">
        <w:t>Vraag 352</w:t>
      </w:r>
    </w:p>
    <w:p w:rsidRPr="005F055E" w:rsidR="00194494" w:rsidP="00180EEB" w:rsidRDefault="003E7003" w14:paraId="09571E95" w14:textId="77777777">
      <w:pPr>
        <w:suppressAutoHyphens/>
      </w:pPr>
      <w:r w:rsidRPr="005F055E">
        <w:t>Welke concrete maatregelen worden er in 2026 genomen om de samenwerking tussen partners in zorg en veiligheid te verbeteren bij het signaleren en handelen bij signalen van huiselijk geweld en kindermishandeling?</w:t>
      </w:r>
    </w:p>
    <w:p w:rsidRPr="005F055E" w:rsidR="003E7003" w:rsidP="00180EEB" w:rsidRDefault="003E7003" w14:paraId="023690BF" w14:textId="4C2A2EED">
      <w:pPr>
        <w:suppressAutoHyphens/>
      </w:pPr>
      <w:r w:rsidRPr="005F055E">
        <w:t>Antwoord</w:t>
      </w:r>
    </w:p>
    <w:p w:rsidRPr="005F055E" w:rsidR="00765997" w:rsidP="00180EEB" w:rsidRDefault="00765997" w14:paraId="5B1FC9EC" w14:textId="77777777">
      <w:pPr>
        <w:suppressAutoHyphens/>
        <w:rPr>
          <w:rFonts w:cs="Calibri"/>
          <w:szCs w:val="18"/>
        </w:rPr>
      </w:pPr>
      <w:r w:rsidRPr="005F055E">
        <w:rPr>
          <w:rFonts w:cs="Calibri"/>
          <w:szCs w:val="18"/>
        </w:rPr>
        <w:t xml:space="preserve">De aanpak huiselijk geweld en kindermishandeling omvat een brede inzet waarbij partijen uit zorg en veiligheid betrokken zijn. </w:t>
      </w:r>
    </w:p>
    <w:p w:rsidRPr="005F055E" w:rsidR="00765997" w:rsidP="00180EEB" w:rsidRDefault="00765997" w14:paraId="6D92548C" w14:textId="77777777">
      <w:pPr>
        <w:pStyle w:val="Lijstalinea"/>
        <w:numPr>
          <w:ilvl w:val="0"/>
          <w:numId w:val="23"/>
        </w:numPr>
        <w:suppressAutoHyphens/>
        <w:spacing w:after="0" w:line="240" w:lineRule="atLeast"/>
        <w:ind w:left="426"/>
        <w:rPr>
          <w:rFonts w:cs="Calibri"/>
          <w:szCs w:val="18"/>
        </w:rPr>
      </w:pPr>
      <w:r w:rsidRPr="005F055E">
        <w:rPr>
          <w:rFonts w:cs="Calibri"/>
          <w:szCs w:val="18"/>
        </w:rPr>
        <w:t>Er wordt verder gewerkt aan de aanpak Veiligheid Voorop: dit is een samenwerking tussen Veilig Thuis, politie, OM, reclassering en Raad voor de Kinderbescherming om samen te werken bij signalen van huiselijk geweld en kindermishandeling, met acties zoals het samen op pad gaan bij acute meldingen, het uitwisselen van informatie voor een beter beeld van de situatie, een gezamenlijk plan om de directe onveiligheid te stoppen en duurzame veiligheid te bewerkstelligen en betere afdoening.</w:t>
      </w:r>
    </w:p>
    <w:p w:rsidRPr="005F055E" w:rsidR="00765997" w:rsidP="00180EEB" w:rsidRDefault="00765997" w14:paraId="21C27BB1" w14:textId="77777777">
      <w:pPr>
        <w:pStyle w:val="Lijstalinea"/>
        <w:numPr>
          <w:ilvl w:val="0"/>
          <w:numId w:val="23"/>
        </w:numPr>
        <w:suppressAutoHyphens/>
        <w:spacing w:after="0" w:line="240" w:lineRule="atLeast"/>
        <w:ind w:left="426"/>
        <w:rPr>
          <w:rFonts w:cs="Calibri"/>
          <w:szCs w:val="18"/>
        </w:rPr>
      </w:pPr>
      <w:r w:rsidRPr="005F055E">
        <w:rPr>
          <w:rFonts w:cs="Calibri"/>
          <w:szCs w:val="18"/>
        </w:rPr>
        <w:t xml:space="preserve">Vanuit het plan van aanpak ‘Stop </w:t>
      </w:r>
      <w:proofErr w:type="spellStart"/>
      <w:r w:rsidRPr="005F055E">
        <w:rPr>
          <w:rFonts w:cs="Calibri"/>
          <w:szCs w:val="18"/>
        </w:rPr>
        <w:t>femicide</w:t>
      </w:r>
      <w:proofErr w:type="spellEnd"/>
      <w:r w:rsidRPr="005F055E">
        <w:rPr>
          <w:rFonts w:cs="Calibri"/>
          <w:szCs w:val="18"/>
        </w:rPr>
        <w:t>’ worden ook in 2026 een aantal acties voortgezet:</w:t>
      </w:r>
    </w:p>
    <w:p w:rsidRPr="005F055E" w:rsidR="00765997" w:rsidP="00180EEB" w:rsidRDefault="00765997" w14:paraId="3D100074" w14:textId="77777777">
      <w:pPr>
        <w:pStyle w:val="Lijstalinea"/>
        <w:numPr>
          <w:ilvl w:val="0"/>
          <w:numId w:val="22"/>
        </w:numPr>
        <w:suppressAutoHyphens/>
        <w:rPr>
          <w:rFonts w:cs="Calibri"/>
          <w:szCs w:val="18"/>
        </w:rPr>
      </w:pPr>
      <w:r w:rsidRPr="005F055E">
        <w:rPr>
          <w:rFonts w:cs="Calibri"/>
          <w:szCs w:val="18"/>
        </w:rPr>
        <w:t>Een vervolg van de herijking van de risicotaxatie en veiligheidsbeoordelingsinstrumenten. Hierin werken zorg en veiligheidspartners samen om tot een goede invoering van taxatie instrumenten te komen.</w:t>
      </w:r>
    </w:p>
    <w:p w:rsidRPr="005F055E" w:rsidR="00765997" w:rsidP="00180EEB" w:rsidRDefault="00765997" w14:paraId="29EE4319" w14:textId="77777777">
      <w:pPr>
        <w:pStyle w:val="Lijstalinea"/>
        <w:numPr>
          <w:ilvl w:val="0"/>
          <w:numId w:val="22"/>
        </w:numPr>
        <w:suppressAutoHyphens/>
        <w:rPr>
          <w:rFonts w:cs="Calibri"/>
          <w:szCs w:val="18"/>
        </w:rPr>
      </w:pPr>
      <w:r w:rsidRPr="005F055E">
        <w:rPr>
          <w:rFonts w:cs="Calibri"/>
          <w:szCs w:val="18"/>
        </w:rPr>
        <w:t>Het ontwikkelen van een strategie voor gezamenlijke deskundigheidsbevordering (en uitvoering gaan geven aan die strategie), met naast aandacht voor de inhoudelijke kennis over huiselijk geweld en kindermishandeling, ook aandacht voor kennis en kunde over elkaars werk en de versterking van samenwerking.</w:t>
      </w:r>
    </w:p>
    <w:p w:rsidRPr="005F055E" w:rsidR="00765997" w:rsidP="00180EEB" w:rsidRDefault="00765997" w14:paraId="3490F192" w14:textId="77777777">
      <w:pPr>
        <w:pStyle w:val="Lijstalinea"/>
        <w:numPr>
          <w:ilvl w:val="0"/>
          <w:numId w:val="22"/>
        </w:numPr>
        <w:suppressAutoHyphens/>
        <w:rPr>
          <w:rFonts w:cs="Calibri"/>
          <w:szCs w:val="18"/>
        </w:rPr>
      </w:pPr>
      <w:r w:rsidRPr="005F055E">
        <w:rPr>
          <w:rFonts w:cs="Calibri"/>
          <w:szCs w:val="18"/>
        </w:rPr>
        <w:t>Beter en systematisch evalueren van casuïstiek waarmee het leerrendement wordt vergroot.</w:t>
      </w:r>
    </w:p>
    <w:p w:rsidRPr="005F055E" w:rsidR="00765997" w:rsidP="00180EEB" w:rsidRDefault="00765997" w14:paraId="37903F90" w14:textId="77777777">
      <w:pPr>
        <w:pStyle w:val="Lijstalinea"/>
        <w:numPr>
          <w:ilvl w:val="0"/>
          <w:numId w:val="22"/>
        </w:numPr>
        <w:suppressAutoHyphens/>
        <w:rPr>
          <w:rFonts w:cs="Calibri"/>
          <w:szCs w:val="18"/>
        </w:rPr>
      </w:pPr>
      <w:r w:rsidRPr="005F055E">
        <w:rPr>
          <w:rFonts w:cs="Calibri"/>
          <w:szCs w:val="18"/>
        </w:rPr>
        <w:t xml:space="preserve">Doorontwikkeling van instrumenten als het tijdelijk huisverbod, </w:t>
      </w:r>
      <w:proofErr w:type="spellStart"/>
      <w:r w:rsidRPr="005F055E">
        <w:rPr>
          <w:rFonts w:cs="Calibri"/>
          <w:szCs w:val="18"/>
        </w:rPr>
        <w:t>slachtofferdevice</w:t>
      </w:r>
      <w:proofErr w:type="spellEnd"/>
      <w:r w:rsidRPr="005F055E">
        <w:rPr>
          <w:rFonts w:cs="Calibri"/>
          <w:szCs w:val="18"/>
        </w:rPr>
        <w:t xml:space="preserve"> en </w:t>
      </w:r>
      <w:proofErr w:type="spellStart"/>
      <w:r w:rsidRPr="005F055E">
        <w:rPr>
          <w:rFonts w:cs="Calibri"/>
          <w:szCs w:val="18"/>
        </w:rPr>
        <w:t>plegerinterventies</w:t>
      </w:r>
      <w:proofErr w:type="spellEnd"/>
      <w:r w:rsidRPr="005F055E">
        <w:rPr>
          <w:rFonts w:cs="Calibri"/>
          <w:szCs w:val="18"/>
        </w:rPr>
        <w:t xml:space="preserve"> waarin de samenwerking tussen zorg en veiligheidspartners cruciaal is.</w:t>
      </w:r>
    </w:p>
    <w:p w:rsidR="00765997" w:rsidP="00180EEB" w:rsidRDefault="00765997" w14:paraId="33E342C4" w14:textId="52AE8227">
      <w:pPr>
        <w:pStyle w:val="Lijstalinea"/>
        <w:numPr>
          <w:ilvl w:val="0"/>
          <w:numId w:val="24"/>
        </w:numPr>
        <w:suppressAutoHyphens/>
        <w:ind w:left="426"/>
        <w:rPr>
          <w:rFonts w:cs="Calibri"/>
          <w:szCs w:val="18"/>
        </w:rPr>
      </w:pPr>
      <w:r w:rsidRPr="005F055E">
        <w:rPr>
          <w:rFonts w:cs="Calibri"/>
          <w:szCs w:val="18"/>
        </w:rPr>
        <w:t>De Meldcode huiselijk geweld en kindermishandeling vervult een belangrijke rol. Om via de meldcode beter te signaleren en te handelen, wordt verder ingezet op bewustwording, deskundigheidsbevordering van professionals en versterking van de adviesfunctie.</w:t>
      </w:r>
      <w:r w:rsidRPr="005F055E" w:rsidR="00D73F76">
        <w:rPr>
          <w:rFonts w:cs="Calibri"/>
          <w:szCs w:val="18"/>
        </w:rPr>
        <w:t xml:space="preserve"> </w:t>
      </w:r>
    </w:p>
    <w:p w:rsidRPr="00180EEB" w:rsidR="00180EEB" w:rsidP="00180EEB" w:rsidRDefault="00180EEB" w14:paraId="571F1876" w14:textId="77777777">
      <w:pPr>
        <w:suppressAutoHyphens/>
        <w:rPr>
          <w:rFonts w:cs="Calibri"/>
          <w:szCs w:val="18"/>
        </w:rPr>
      </w:pPr>
    </w:p>
    <w:p w:rsidRPr="005F055E" w:rsidR="00765997" w:rsidP="00180EEB" w:rsidRDefault="00765997" w14:paraId="30852FAC" w14:textId="77777777">
      <w:pPr>
        <w:pStyle w:val="Lijstalinea"/>
        <w:numPr>
          <w:ilvl w:val="0"/>
          <w:numId w:val="24"/>
        </w:numPr>
        <w:suppressAutoHyphens/>
        <w:ind w:left="426"/>
        <w:rPr>
          <w:rFonts w:cs="Calibri"/>
          <w:szCs w:val="18"/>
        </w:rPr>
      </w:pPr>
      <w:r w:rsidRPr="005F055E">
        <w:rPr>
          <w:rFonts w:cs="Calibri"/>
          <w:szCs w:val="18"/>
        </w:rPr>
        <w:t xml:space="preserve">De 31 regionale Zorg- en Veiligheidshuizen in Nederland, verzorgen trainingen en kennis- en reflectiesessies voor gemeenten en netwerkpartners uit het zorg en strafrechtdomein vanuit hun rol als kennisknooppunt binnen hun regio, ook op het gebied van huiselijk geweld en kindermishandeling. </w:t>
      </w:r>
    </w:p>
    <w:p w:rsidRPr="005F055E" w:rsidR="00765997" w:rsidP="00180EEB" w:rsidRDefault="00765997" w14:paraId="0082A47E" w14:textId="78896024">
      <w:pPr>
        <w:suppressAutoHyphens/>
        <w:rPr>
          <w:szCs w:val="18"/>
        </w:rPr>
      </w:pPr>
      <w:r w:rsidRPr="005F055E">
        <w:rPr>
          <w:rFonts w:cs="Calibri"/>
          <w:szCs w:val="18"/>
        </w:rPr>
        <w:t>Op stelselniveau zijn er verschillende trajecten</w:t>
      </w:r>
      <w:r w:rsidRPr="005F055E" w:rsidR="00D73F76">
        <w:rPr>
          <w:rFonts w:cs="Calibri"/>
          <w:szCs w:val="18"/>
        </w:rPr>
        <w:t xml:space="preserve"> </w:t>
      </w:r>
      <w:r w:rsidRPr="005F055E">
        <w:rPr>
          <w:rFonts w:cs="Calibri"/>
          <w:szCs w:val="18"/>
        </w:rPr>
        <w:t>die bij moeten dragen aan een betere samenwerking bij signalering en handelen waar het gaat om huiselijk geweld en kindermishandeling. Waaronder het vormgeven van coördinatie, monitoring en evaluatie op de brede aanpak van huiselijk geweld en kindermishandeling. Vanuit het Toekomstscenario wordt ingezet op een beter stelsel van kind- en gezinsbescherming.</w:t>
      </w:r>
    </w:p>
    <w:p w:rsidRPr="005F055E" w:rsidR="00194494" w:rsidP="00180EEB" w:rsidRDefault="00194494" w14:paraId="300A20C9" w14:textId="77777777">
      <w:pPr>
        <w:suppressAutoHyphens/>
      </w:pPr>
    </w:p>
    <w:p w:rsidRPr="005F055E" w:rsidR="00194494" w:rsidP="00180EEB" w:rsidRDefault="003E7003" w14:paraId="6CAB7BE7" w14:textId="77777777">
      <w:pPr>
        <w:suppressAutoHyphens/>
      </w:pPr>
      <w:r w:rsidRPr="005F055E">
        <w:t>Vraag 353</w:t>
      </w:r>
      <w:r w:rsidRPr="005F055E">
        <w:tab/>
      </w:r>
    </w:p>
    <w:p w:rsidRPr="005F055E" w:rsidR="00194494" w:rsidP="00180EEB" w:rsidRDefault="003E7003" w14:paraId="0E91826B" w14:textId="77777777">
      <w:pPr>
        <w:suppressAutoHyphens/>
      </w:pPr>
      <w:r w:rsidRPr="005F055E">
        <w:t>Worden er nog aanvullende financiële middelen beschikbaar gesteld voor het verbeteren van de deskundigheid voor professionals voor alle vormen van huiselijk geweld en kindermishandeling?</w:t>
      </w:r>
    </w:p>
    <w:p w:rsidRPr="005F055E" w:rsidR="003E7003" w:rsidP="00180EEB" w:rsidRDefault="003E7003" w14:paraId="025B8EA3" w14:textId="3A05E0E5">
      <w:pPr>
        <w:suppressAutoHyphens/>
      </w:pPr>
      <w:r w:rsidRPr="005F055E">
        <w:t>Antwoord</w:t>
      </w:r>
    </w:p>
    <w:p w:rsidRPr="005F055E" w:rsidR="007E044A" w:rsidP="00180EEB" w:rsidRDefault="007E044A" w14:paraId="23BEBD74" w14:textId="61BB21C9">
      <w:pPr>
        <w:suppressAutoHyphens/>
        <w:spacing w:line="240" w:lineRule="atLeast"/>
        <w:rPr>
          <w:szCs w:val="20"/>
          <w:lang w:eastAsia="nl-NL"/>
        </w:rPr>
      </w:pPr>
      <w:r w:rsidRPr="005F055E">
        <w:rPr>
          <w:szCs w:val="20"/>
          <w:lang w:eastAsia="nl-NL"/>
        </w:rPr>
        <w:t xml:space="preserve">Medio september startte een traject in opdracht van de ministeries van VWS en </w:t>
      </w:r>
      <w:proofErr w:type="spellStart"/>
      <w:r w:rsidRPr="005F055E">
        <w:rPr>
          <w:szCs w:val="20"/>
          <w:lang w:eastAsia="nl-NL"/>
        </w:rPr>
        <w:t>JenV</w:t>
      </w:r>
      <w:proofErr w:type="spellEnd"/>
      <w:r w:rsidRPr="005F055E">
        <w:rPr>
          <w:szCs w:val="20"/>
          <w:lang w:eastAsia="nl-NL"/>
        </w:rPr>
        <w:t xml:space="preserve"> om de deskundigheid van professionals die werken bij zorg- en straforganisaties (zoals Veilig Thuis, Centrum Seksueel Geweld, Vrouwenopvang, politie, Openbaar Ministerie, Reclassering, Raad voor de Kinderbescherming en Jeugdbescherming) voor het voorkomen van geweld </w:t>
      </w:r>
      <w:r w:rsidR="005A24E4">
        <w:rPr>
          <w:szCs w:val="20"/>
          <w:lang w:eastAsia="nl-NL"/>
        </w:rPr>
        <w:t xml:space="preserve">tegen vrouwen </w:t>
      </w:r>
      <w:r w:rsidRPr="005F055E">
        <w:rPr>
          <w:szCs w:val="20"/>
          <w:lang w:eastAsia="nl-NL"/>
        </w:rPr>
        <w:t xml:space="preserve">verder te versterken. Het is van groot belang dat professionals werkzaam bij deze organisaties over de juiste kennis en vaardigheden beschikken om signalen van geweld </w:t>
      </w:r>
      <w:r w:rsidR="005A24E4">
        <w:rPr>
          <w:szCs w:val="20"/>
          <w:lang w:eastAsia="nl-NL"/>
        </w:rPr>
        <w:t xml:space="preserve">tegen vrouwen </w:t>
      </w:r>
      <w:r w:rsidRPr="005F055E">
        <w:rPr>
          <w:szCs w:val="20"/>
          <w:lang w:eastAsia="nl-NL"/>
        </w:rPr>
        <w:t>(alle vormen van huiselijk geweld en kindermishandeling) te herkennen en hierop adequaat te handelen. Niet alleen als individuele professionals maar ook als goedwerkend netwerk, waarin ieder zijn eigen rol en taak vervult en een aansluitend geheel bestaat. Hierbij is nadrukkelijk ook aandacht voor het signaleren, herkennen en handelen bij slachtoffers met een verhoogde kwetsbaarheid doordat zij te maken hebben met één of meerdere vormen van ongelijkheid en uitsluiting (intersectionaliteit)</w:t>
      </w:r>
      <w:r w:rsidR="005A24E4">
        <w:rPr>
          <w:szCs w:val="20"/>
          <w:lang w:eastAsia="nl-NL"/>
        </w:rPr>
        <w:t>, z</w:t>
      </w:r>
      <w:r w:rsidRPr="005F055E">
        <w:rPr>
          <w:szCs w:val="20"/>
          <w:lang w:eastAsia="nl-NL"/>
        </w:rPr>
        <w:t>oals mensen met een (verstandelijke) beperking. De eerder genoemde zorg- en straforganisaties zetten nu ook al in op deskundigheidsbevordering en werken hierbij samen. Er ligt daarmee een basis om op voort te bouwen. Deze organisaties hebben de ambitie om deskundigheidsbevordering structureel naar een hoger niveau te tillen.</w:t>
      </w:r>
    </w:p>
    <w:p w:rsidRPr="005F055E" w:rsidR="00765997" w:rsidP="00180EEB" w:rsidRDefault="00765997" w14:paraId="78B26324" w14:textId="77777777">
      <w:pPr>
        <w:suppressAutoHyphens/>
      </w:pPr>
    </w:p>
    <w:p w:rsidRPr="005F055E" w:rsidR="00194494" w:rsidP="00180EEB" w:rsidRDefault="003E7003" w14:paraId="4FF32B96" w14:textId="77777777">
      <w:pPr>
        <w:suppressAutoHyphens/>
      </w:pPr>
      <w:r w:rsidRPr="005F055E">
        <w:t>Vraag 354</w:t>
      </w:r>
    </w:p>
    <w:p w:rsidRPr="005F055E" w:rsidR="00194494" w:rsidP="00180EEB" w:rsidRDefault="003E7003" w14:paraId="1A4050F4" w14:textId="77777777">
      <w:pPr>
        <w:suppressAutoHyphens/>
      </w:pPr>
      <w:r w:rsidRPr="005F055E">
        <w:t>In hoeverre is de additioneel beschikbaar gestelde €12 miljoen structureel toereikend in het realiseren van voldoende opvangplekken voor vrouwen?</w:t>
      </w:r>
      <w:r w:rsidRPr="005F055E">
        <w:tab/>
      </w:r>
    </w:p>
    <w:p w:rsidRPr="005F055E" w:rsidR="003E7003" w:rsidP="00180EEB" w:rsidRDefault="003E7003" w14:paraId="0D7BACE1" w14:textId="3EDC0889">
      <w:pPr>
        <w:suppressAutoHyphens/>
      </w:pPr>
      <w:r w:rsidRPr="005F055E">
        <w:t>Antwoord</w:t>
      </w:r>
    </w:p>
    <w:p w:rsidRPr="005F055E" w:rsidR="00EE5450" w:rsidP="00180EEB" w:rsidRDefault="00EE5450" w14:paraId="4624F393" w14:textId="77777777">
      <w:pPr>
        <w:suppressAutoHyphens/>
        <w:spacing w:line="240" w:lineRule="atLeast"/>
        <w:rPr>
          <w:szCs w:val="18"/>
          <w:lang w:eastAsia="nl-NL"/>
        </w:rPr>
      </w:pPr>
      <w:r w:rsidRPr="005F055E">
        <w:rPr>
          <w:szCs w:val="18"/>
          <w:lang w:eastAsia="nl-NL"/>
        </w:rPr>
        <w:t xml:space="preserve">Branchevereniging </w:t>
      </w:r>
      <w:proofErr w:type="spellStart"/>
      <w:r w:rsidRPr="005F055E">
        <w:rPr>
          <w:szCs w:val="18"/>
          <w:lang w:eastAsia="nl-NL"/>
        </w:rPr>
        <w:t>Valente</w:t>
      </w:r>
      <w:proofErr w:type="spellEnd"/>
      <w:r w:rsidRPr="005F055E">
        <w:rPr>
          <w:szCs w:val="18"/>
          <w:lang w:eastAsia="nl-NL"/>
        </w:rPr>
        <w:t xml:space="preserve"> stelt dat voor het wegnemen van het huidige capaciteitstekort (in ieder geval) 153 extra opvangplaatsen nodig zijn. Voor het realiseren van 153 opvangplekken is volgens </w:t>
      </w:r>
      <w:proofErr w:type="spellStart"/>
      <w:r w:rsidRPr="005F055E">
        <w:rPr>
          <w:szCs w:val="18"/>
          <w:lang w:eastAsia="nl-NL"/>
        </w:rPr>
        <w:t>Valente</w:t>
      </w:r>
      <w:proofErr w:type="spellEnd"/>
      <w:r w:rsidRPr="005F055E">
        <w:rPr>
          <w:szCs w:val="18"/>
          <w:lang w:eastAsia="nl-NL"/>
        </w:rPr>
        <w:t xml:space="preserve"> € 12 miljoen nodig. Tevens kan worden ingezet op aanpalende maatregelen, zoals het bevorderen van de doorstroom. Op dit moment bestaat er geen inzicht in het benodigd totaalaantal opvangplaatsen in de Nederlandse context. De ontwikkeling van de druk op de capaciteit en zaken als wachtlijsten of het aantal hotelplaatsingen zullen worden gemonitord om hier beter zicht op te krijgen.</w:t>
      </w:r>
    </w:p>
    <w:p w:rsidRPr="005F055E" w:rsidR="008C3510" w:rsidP="00180EEB" w:rsidRDefault="008C3510" w14:paraId="0851ED2F" w14:textId="77777777">
      <w:pPr>
        <w:suppressAutoHyphens/>
      </w:pPr>
    </w:p>
    <w:p w:rsidRPr="005F055E" w:rsidR="00194494" w:rsidP="00180EEB" w:rsidRDefault="003E7003" w14:paraId="3C1C4742" w14:textId="77777777">
      <w:pPr>
        <w:suppressAutoHyphens/>
      </w:pPr>
      <w:r w:rsidRPr="005F055E">
        <w:t>Vraag 355</w:t>
      </w:r>
    </w:p>
    <w:p w:rsidRPr="005F055E" w:rsidR="00194494" w:rsidP="00180EEB" w:rsidRDefault="003E7003" w14:paraId="7D60A7B8" w14:textId="77777777">
      <w:pPr>
        <w:suppressAutoHyphens/>
      </w:pPr>
      <w:r w:rsidRPr="005F055E">
        <w:t>Wordt er ook ingezet en geïnvesteerd in kennisvermeerdering over het signaleren, herkennen en handelen bij huiselijk geweld waarbij het slachtoffer een (verstandelijke) beperking heeft?</w:t>
      </w:r>
    </w:p>
    <w:p w:rsidR="00180EEB" w:rsidP="00180EEB" w:rsidRDefault="00180EEB" w14:paraId="68B218F8" w14:textId="77777777">
      <w:pPr>
        <w:suppressAutoHyphens/>
      </w:pPr>
    </w:p>
    <w:p w:rsidR="00180EEB" w:rsidP="00180EEB" w:rsidRDefault="00180EEB" w14:paraId="00DBEBAE" w14:textId="77777777">
      <w:pPr>
        <w:suppressAutoHyphens/>
      </w:pPr>
    </w:p>
    <w:p w:rsidRPr="005F055E" w:rsidR="003E7003" w:rsidP="00180EEB" w:rsidRDefault="003E7003" w14:paraId="5CA3FDE9" w14:textId="1374BF4F">
      <w:pPr>
        <w:suppressAutoHyphens/>
      </w:pPr>
      <w:r w:rsidRPr="005F055E">
        <w:t>Antwoord</w:t>
      </w:r>
    </w:p>
    <w:p w:rsidRPr="005F055E" w:rsidR="007E044A" w:rsidP="00180EEB" w:rsidRDefault="007E044A" w14:paraId="04EC83FB" w14:textId="77777777">
      <w:pPr>
        <w:suppressAutoHyphens/>
        <w:spacing w:line="240" w:lineRule="atLeast"/>
        <w:rPr>
          <w:szCs w:val="20"/>
          <w:lang w:eastAsia="nl-NL"/>
        </w:rPr>
      </w:pPr>
      <w:r w:rsidRPr="005F055E">
        <w:rPr>
          <w:szCs w:val="20"/>
          <w:lang w:eastAsia="nl-NL"/>
        </w:rPr>
        <w:t xml:space="preserve">Medio september startte een traject in opdracht van de ministeries van VWS en </w:t>
      </w:r>
      <w:proofErr w:type="spellStart"/>
      <w:r w:rsidRPr="005F055E">
        <w:rPr>
          <w:szCs w:val="20"/>
          <w:lang w:eastAsia="nl-NL"/>
        </w:rPr>
        <w:t>JenV</w:t>
      </w:r>
      <w:proofErr w:type="spellEnd"/>
      <w:r w:rsidRPr="005F055E">
        <w:rPr>
          <w:szCs w:val="20"/>
          <w:lang w:eastAsia="nl-NL"/>
        </w:rPr>
        <w:t xml:space="preserve"> om de deskundigheid van professionals die werken bij zorg- en straforganisaties (zoals Veilig Thuis, Centrum Seksueel Geweld, Vrouwenopvang, politie, Openbaar Ministerie, Reclassering, Raad voor de Kinderbescherming en Jeugdbescherming) in het voorkomen van </w:t>
      </w:r>
      <w:proofErr w:type="spellStart"/>
      <w:r w:rsidRPr="005F055E">
        <w:rPr>
          <w:szCs w:val="20"/>
          <w:lang w:eastAsia="nl-NL"/>
        </w:rPr>
        <w:t>gendergerelateerd</w:t>
      </w:r>
      <w:proofErr w:type="spellEnd"/>
      <w:r w:rsidRPr="005F055E">
        <w:rPr>
          <w:szCs w:val="20"/>
          <w:lang w:eastAsia="nl-NL"/>
        </w:rPr>
        <w:t xml:space="preserve"> geweld verder te versterken. Het is van groot belang dat professionals werkzaam bij deze organisaties over de juiste kennis en vaardigheden beschikken om signalen van </w:t>
      </w:r>
      <w:proofErr w:type="spellStart"/>
      <w:r w:rsidRPr="005F055E">
        <w:rPr>
          <w:szCs w:val="20"/>
          <w:lang w:eastAsia="nl-NL"/>
        </w:rPr>
        <w:t>gendergerelateerd</w:t>
      </w:r>
      <w:proofErr w:type="spellEnd"/>
      <w:r w:rsidRPr="005F055E">
        <w:rPr>
          <w:szCs w:val="20"/>
          <w:lang w:eastAsia="nl-NL"/>
        </w:rPr>
        <w:t xml:space="preserve"> geweld (waaronder alle vormen van huiselijk geweld en kindermishandeling) te herkennen en hierop adequaat te handelen. Niet alleen als individuele professionals maar ook als goedwerkend netwerk, waarin ieder zijn eigen rol en taak vervult en een aansluitend geheel bestaat. Hierbij is nadrukkelijk ook aandacht voor het signaleren, herkennen en handelen bij slachtoffers met een verhoogde kwetsbaarheid doordat zij te maken hebben met één of meerdere vormen van ongelijkheid en uitsluiting (intersectionaliteit). Zoals mensen met een (verstandelijke) beperking. De eerder genoemde zorg- en straforganisaties zetten nu ook al in op deskundigheidsbevordering en werken hierbij samen. Er ligt daarmee een basis om op voort te bouwen. Deze organisaties hebben de ambitie om deskundigheidsbevordering structureel naar een hoger niveau te tillen.</w:t>
      </w:r>
    </w:p>
    <w:p w:rsidRPr="005F055E" w:rsidR="007E044A" w:rsidP="00180EEB" w:rsidRDefault="007E044A" w14:paraId="06186223" w14:textId="77777777">
      <w:pPr>
        <w:suppressAutoHyphens/>
      </w:pPr>
    </w:p>
    <w:p w:rsidRPr="005F055E" w:rsidR="00194494" w:rsidP="00180EEB" w:rsidRDefault="003E7003" w14:paraId="22A23F52" w14:textId="77777777">
      <w:pPr>
        <w:suppressAutoHyphens/>
      </w:pPr>
      <w:r w:rsidRPr="005F055E">
        <w:t>Vraag 356</w:t>
      </w:r>
    </w:p>
    <w:p w:rsidRPr="005F055E" w:rsidR="00194494" w:rsidP="00180EEB" w:rsidRDefault="003E7003" w14:paraId="2673C1C9" w14:textId="77777777">
      <w:pPr>
        <w:suppressAutoHyphens/>
      </w:pPr>
      <w:r w:rsidRPr="005F055E">
        <w:t>Wat valt concreet onder de 'basisnoodzorg' waarvoor in 2026 €250 miljoen is gereserveerd? Zijn er ook middelen gereserveerd voor de jaren daarna?</w:t>
      </w:r>
      <w:r w:rsidRPr="005F055E">
        <w:tab/>
      </w:r>
    </w:p>
    <w:p w:rsidRPr="005F055E" w:rsidR="003E7003" w:rsidP="00180EEB" w:rsidRDefault="003E7003" w14:paraId="1A50C57B" w14:textId="4563F326">
      <w:pPr>
        <w:suppressAutoHyphens/>
      </w:pPr>
      <w:r w:rsidRPr="005F055E">
        <w:t>Antwoord</w:t>
      </w:r>
    </w:p>
    <w:p w:rsidRPr="005F055E" w:rsidR="00194494" w:rsidP="00180EEB" w:rsidRDefault="00765997" w14:paraId="7F80B006" w14:textId="5BFD9BFC">
      <w:pPr>
        <w:suppressAutoHyphens/>
      </w:pPr>
      <w:bookmarkStart w:name="_Hlk211421651" w:id="55"/>
      <w:r w:rsidRPr="005F055E">
        <w:t xml:space="preserve">In 2026 is er voor basisnoodzorg een bedrag van €252 miljoen gereserveerd. Omdat deze middelen hun oorsprong kennen uit de envelop pandemische paraatheid, worden de middelen hoofdzakelijk voor deze vorm van basisnoodzorg ingezet. Daarbinnen zijn onder andere de categorieën publieke gezondheid, curatieve zorg, langdurige zorg, leveringszekerheid en productie, infectieziektebestrijding, de Nationale Zorgreserve, (wetgeving rondom) opleidingen en certificering van zorgpersoneel, ICT, en zorg in Caribisch Nederland te onderscheiden. Conform HLA worden de middelen voor pandemische paraatheid afgebouwd. Dat betekent dat de hoeveelheid gereserveerde middelen voor deze categorieën afneemt. In 2027 is er een bedrag van 150 miljoen gereserveerd, voor dezelfde categorieën. De hoeveelheid gereserveerde middelen voor deze categorieën neemt af naar € 150 miljoen in 2027; en € 117 miljoen in 2028. Ten slotte is in 2029 € 3 miljoen voor de curatieve zorg gereserveerd. </w:t>
      </w:r>
      <w:bookmarkEnd w:id="55"/>
    </w:p>
    <w:p w:rsidRPr="005F055E" w:rsidR="00765997" w:rsidP="00180EEB" w:rsidRDefault="00765997" w14:paraId="3C7465BA" w14:textId="77777777">
      <w:pPr>
        <w:suppressAutoHyphens/>
      </w:pPr>
    </w:p>
    <w:p w:rsidRPr="005F055E" w:rsidR="00194494" w:rsidP="00180EEB" w:rsidRDefault="003E7003" w14:paraId="748F35AD" w14:textId="77777777">
      <w:pPr>
        <w:suppressAutoHyphens/>
      </w:pPr>
      <w:r w:rsidRPr="005F055E">
        <w:t>Vraag 357</w:t>
      </w:r>
    </w:p>
    <w:p w:rsidRPr="005F055E" w:rsidR="00194494" w:rsidP="00180EEB" w:rsidRDefault="003E7003" w14:paraId="29F834EC" w14:textId="77777777">
      <w:pPr>
        <w:suppressAutoHyphens/>
      </w:pPr>
      <w:r w:rsidRPr="005F055E">
        <w:t>Kan worden toegelicht hoe het bedrag van €250 miljoen in 2026 voor de basisnoodzorg zich precies verhoudt tot de vijf genoemde thema’s: medische voorraden, zorgcapaciteit, IT/data/faciliteiten, bevoegdheden bij crises en civiel-militaire samenwerking? Kan een uitsplitsing gegeven worden van de beschikbare middelen per thema?</w:t>
      </w:r>
    </w:p>
    <w:p w:rsidRPr="005F055E" w:rsidR="003E7003" w:rsidP="00180EEB" w:rsidRDefault="003E7003" w14:paraId="27B4CE49" w14:textId="0976B486">
      <w:pPr>
        <w:suppressAutoHyphens/>
      </w:pPr>
      <w:r w:rsidRPr="005F055E">
        <w:t>Antwoord</w:t>
      </w:r>
    </w:p>
    <w:p w:rsidRPr="005F055E" w:rsidR="00FF3DFA" w:rsidP="00180EEB" w:rsidRDefault="00FF3DFA" w14:paraId="55D89F16" w14:textId="77777777">
      <w:pPr>
        <w:suppressAutoHyphens/>
        <w:rPr>
          <w:szCs w:val="18"/>
        </w:rPr>
      </w:pPr>
      <w:r w:rsidRPr="005F055E">
        <w:rPr>
          <w:szCs w:val="18"/>
        </w:rPr>
        <w:t>Het is niet mogelijk om een exacte verdeling te maken van de activiteiten binnen de vijf genoemde thema’s, omdat veel uitgaven betrekking hebben op meerdere thema’s en er daardoor sprake is van overlap. In onderstaande uitsplitsing zijn de uitgaven daarom gekoppeld aan het thema waarop ze het meest van toepassing zijn.</w:t>
      </w:r>
    </w:p>
    <w:p w:rsidRPr="005F055E" w:rsidR="00FF3DFA" w:rsidP="00180EEB" w:rsidRDefault="00FF3DFA" w14:paraId="725C0022" w14:textId="77777777">
      <w:pPr>
        <w:suppressAutoHyphens/>
        <w:rPr>
          <w:szCs w:val="18"/>
        </w:rPr>
      </w:pPr>
    </w:p>
    <w:p w:rsidRPr="005F055E" w:rsidR="00FF3DFA" w:rsidP="00180EEB" w:rsidRDefault="00FF3DFA" w14:paraId="4E7DFCD4" w14:textId="77777777">
      <w:pPr>
        <w:suppressAutoHyphens/>
        <w:rPr>
          <w:szCs w:val="18"/>
        </w:rPr>
      </w:pPr>
      <w:r w:rsidRPr="005F055E">
        <w:rPr>
          <w:szCs w:val="18"/>
        </w:rPr>
        <w:t>Het versterken van de zorgcapaciteit en de gewondenzorg zijn grotendeels gerelateerd aan de uitgaven aan de curatieve zorg, maar ook binnen de domeinen van de publieke gezondheid, langdurige zorg en investeringen in Caribisch Nederland:</w:t>
      </w:r>
    </w:p>
    <w:p w:rsidRPr="005F055E" w:rsidR="00FF3DFA" w:rsidP="00180EEB" w:rsidRDefault="00FF3DFA" w14:paraId="5259412F" w14:textId="77777777">
      <w:pPr>
        <w:pStyle w:val="Lijstalinea"/>
        <w:numPr>
          <w:ilvl w:val="0"/>
          <w:numId w:val="25"/>
        </w:numPr>
        <w:suppressAutoHyphens/>
        <w:rPr>
          <w:rFonts w:cs="Calibri"/>
          <w:szCs w:val="18"/>
        </w:rPr>
      </w:pPr>
      <w:r w:rsidRPr="005F055E">
        <w:rPr>
          <w:rFonts w:cs="Calibri"/>
          <w:szCs w:val="18"/>
        </w:rPr>
        <w:t>LFI;</w:t>
      </w:r>
    </w:p>
    <w:p w:rsidRPr="005F055E" w:rsidR="00FF3DFA" w:rsidP="00180EEB" w:rsidRDefault="00FF3DFA" w14:paraId="45267EB1" w14:textId="77777777">
      <w:pPr>
        <w:pStyle w:val="Lijstalinea"/>
        <w:numPr>
          <w:ilvl w:val="0"/>
          <w:numId w:val="25"/>
        </w:numPr>
        <w:suppressAutoHyphens/>
        <w:rPr>
          <w:rFonts w:cs="Calibri"/>
          <w:szCs w:val="18"/>
        </w:rPr>
      </w:pPr>
      <w:r w:rsidRPr="005F055E">
        <w:rPr>
          <w:rFonts w:cs="Calibri"/>
          <w:szCs w:val="18"/>
        </w:rPr>
        <w:t xml:space="preserve">Versterking </w:t>
      </w:r>
      <w:proofErr w:type="spellStart"/>
      <w:r w:rsidRPr="005F055E">
        <w:rPr>
          <w:rFonts w:cs="Calibri"/>
          <w:szCs w:val="18"/>
        </w:rPr>
        <w:t>GGD’en</w:t>
      </w:r>
      <w:proofErr w:type="spellEnd"/>
      <w:r w:rsidRPr="005F055E">
        <w:rPr>
          <w:rFonts w:cs="Calibri"/>
          <w:szCs w:val="18"/>
        </w:rPr>
        <w:t>;</w:t>
      </w:r>
    </w:p>
    <w:p w:rsidRPr="005F055E" w:rsidR="00FF3DFA" w:rsidP="00180EEB" w:rsidRDefault="00FF3DFA" w14:paraId="70D7253D" w14:textId="77777777">
      <w:pPr>
        <w:pStyle w:val="Lijstalinea"/>
        <w:numPr>
          <w:ilvl w:val="0"/>
          <w:numId w:val="25"/>
        </w:numPr>
        <w:suppressAutoHyphens/>
        <w:rPr>
          <w:rFonts w:cs="Calibri"/>
          <w:szCs w:val="18"/>
        </w:rPr>
      </w:pPr>
      <w:r w:rsidRPr="005F055E">
        <w:rPr>
          <w:rFonts w:cs="Calibri"/>
          <w:szCs w:val="18"/>
        </w:rPr>
        <w:t>Versterking RIVM IZB keten;</w:t>
      </w:r>
    </w:p>
    <w:p w:rsidRPr="005F055E" w:rsidR="00FF3DFA" w:rsidP="00180EEB" w:rsidRDefault="00FF3DFA" w14:paraId="08BC864E" w14:textId="77777777">
      <w:pPr>
        <w:pStyle w:val="Lijstalinea"/>
        <w:numPr>
          <w:ilvl w:val="0"/>
          <w:numId w:val="25"/>
        </w:numPr>
        <w:suppressAutoHyphens/>
        <w:rPr>
          <w:rFonts w:cs="Calibri"/>
          <w:szCs w:val="18"/>
        </w:rPr>
      </w:pPr>
      <w:r w:rsidRPr="005F055E">
        <w:rPr>
          <w:rFonts w:cs="Calibri"/>
          <w:szCs w:val="18"/>
        </w:rPr>
        <w:t>Landelijke ziekenhuis coördinatie;</w:t>
      </w:r>
    </w:p>
    <w:p w:rsidRPr="005F055E" w:rsidR="00FF3DFA" w:rsidP="00180EEB" w:rsidRDefault="00FF3DFA" w14:paraId="43791C9A" w14:textId="77777777">
      <w:pPr>
        <w:pStyle w:val="Lijstalinea"/>
        <w:numPr>
          <w:ilvl w:val="0"/>
          <w:numId w:val="25"/>
        </w:numPr>
        <w:suppressAutoHyphens/>
        <w:rPr>
          <w:rFonts w:cs="Calibri"/>
          <w:szCs w:val="18"/>
        </w:rPr>
      </w:pPr>
      <w:r w:rsidRPr="005F055E">
        <w:rPr>
          <w:rFonts w:cs="Calibri"/>
          <w:szCs w:val="18"/>
        </w:rPr>
        <w:t>ROAZ en LCPS;</w:t>
      </w:r>
    </w:p>
    <w:p w:rsidRPr="005F055E" w:rsidR="00FF3DFA" w:rsidP="00180EEB" w:rsidRDefault="00FF3DFA" w14:paraId="184B179D" w14:textId="77777777">
      <w:pPr>
        <w:pStyle w:val="Lijstalinea"/>
        <w:numPr>
          <w:ilvl w:val="0"/>
          <w:numId w:val="25"/>
        </w:numPr>
        <w:suppressAutoHyphens/>
        <w:spacing w:after="0" w:line="240" w:lineRule="atLeast"/>
        <w:rPr>
          <w:szCs w:val="18"/>
        </w:rPr>
      </w:pPr>
      <w:r w:rsidRPr="005F055E">
        <w:rPr>
          <w:szCs w:val="18"/>
        </w:rPr>
        <w:t>Versterking GGD Caribisch Nederland;</w:t>
      </w:r>
    </w:p>
    <w:p w:rsidRPr="005F055E" w:rsidR="00FF3DFA" w:rsidP="00180EEB" w:rsidRDefault="00FF3DFA" w14:paraId="13D5A972" w14:textId="77777777">
      <w:pPr>
        <w:pStyle w:val="Lijstalinea"/>
        <w:numPr>
          <w:ilvl w:val="0"/>
          <w:numId w:val="25"/>
        </w:numPr>
        <w:suppressAutoHyphens/>
        <w:spacing w:after="0" w:line="240" w:lineRule="atLeast"/>
        <w:rPr>
          <w:szCs w:val="18"/>
        </w:rPr>
      </w:pPr>
      <w:r w:rsidRPr="005F055E">
        <w:rPr>
          <w:szCs w:val="18"/>
        </w:rPr>
        <w:t>Caribische Hub;</w:t>
      </w:r>
    </w:p>
    <w:p w:rsidRPr="005F055E" w:rsidR="00FF3DFA" w:rsidP="00180EEB" w:rsidRDefault="00FF3DFA" w14:paraId="06D231DD" w14:textId="77777777">
      <w:pPr>
        <w:pStyle w:val="Lijstalinea"/>
        <w:numPr>
          <w:ilvl w:val="0"/>
          <w:numId w:val="25"/>
        </w:numPr>
        <w:tabs>
          <w:tab w:val="left" w:pos="2220"/>
        </w:tabs>
        <w:suppressAutoHyphens/>
        <w:spacing w:after="0" w:line="240" w:lineRule="atLeast"/>
        <w:rPr>
          <w:szCs w:val="18"/>
        </w:rPr>
      </w:pPr>
      <w:r w:rsidRPr="005F055E">
        <w:rPr>
          <w:szCs w:val="18"/>
        </w:rPr>
        <w:t xml:space="preserve">NZR en Module Basis Acute Zorg; </w:t>
      </w:r>
    </w:p>
    <w:p w:rsidRPr="005F055E" w:rsidR="00FF3DFA" w:rsidP="00180EEB" w:rsidRDefault="00FF3DFA" w14:paraId="48CFAEA5" w14:textId="77777777">
      <w:pPr>
        <w:pStyle w:val="Lijstalinea"/>
        <w:numPr>
          <w:ilvl w:val="0"/>
          <w:numId w:val="25"/>
        </w:numPr>
        <w:tabs>
          <w:tab w:val="left" w:pos="2220"/>
        </w:tabs>
        <w:suppressAutoHyphens/>
        <w:spacing w:after="0" w:line="240" w:lineRule="atLeast"/>
        <w:rPr>
          <w:szCs w:val="18"/>
        </w:rPr>
      </w:pPr>
      <w:r w:rsidRPr="005F055E">
        <w:rPr>
          <w:szCs w:val="18"/>
        </w:rPr>
        <w:t>Opleiden artsen IZB;</w:t>
      </w:r>
    </w:p>
    <w:p w:rsidRPr="005F055E" w:rsidR="00FF3DFA" w:rsidP="00180EEB" w:rsidRDefault="00FF3DFA" w14:paraId="626BD518" w14:textId="77777777">
      <w:pPr>
        <w:pStyle w:val="Lijstalinea"/>
        <w:numPr>
          <w:ilvl w:val="0"/>
          <w:numId w:val="25"/>
        </w:numPr>
        <w:suppressAutoHyphens/>
        <w:rPr>
          <w:rFonts w:cs="Calibri"/>
          <w:szCs w:val="18"/>
        </w:rPr>
      </w:pPr>
      <w:r w:rsidRPr="005F055E">
        <w:rPr>
          <w:rFonts w:cs="Calibri"/>
          <w:szCs w:val="18"/>
        </w:rPr>
        <w:t>Zoönose;</w:t>
      </w:r>
    </w:p>
    <w:p w:rsidRPr="005F055E" w:rsidR="00FF3DFA" w:rsidP="00180EEB" w:rsidRDefault="00FF3DFA" w14:paraId="5DDADBCC" w14:textId="77777777">
      <w:pPr>
        <w:pStyle w:val="Lijstalinea"/>
        <w:numPr>
          <w:ilvl w:val="0"/>
          <w:numId w:val="25"/>
        </w:numPr>
        <w:suppressAutoHyphens/>
        <w:rPr>
          <w:rFonts w:cs="Calibri"/>
          <w:szCs w:val="18"/>
        </w:rPr>
      </w:pPr>
      <w:r w:rsidRPr="005F055E">
        <w:rPr>
          <w:rFonts w:cs="Calibri"/>
          <w:szCs w:val="18"/>
        </w:rPr>
        <w:t>Kennis en innovatie;</w:t>
      </w:r>
    </w:p>
    <w:p w:rsidRPr="005F055E" w:rsidR="00FF3DFA" w:rsidP="00180EEB" w:rsidRDefault="00FF3DFA" w14:paraId="302F1866" w14:textId="77777777">
      <w:pPr>
        <w:pStyle w:val="Lijstalinea"/>
        <w:numPr>
          <w:ilvl w:val="0"/>
          <w:numId w:val="25"/>
        </w:numPr>
        <w:suppressAutoHyphens/>
        <w:rPr>
          <w:rFonts w:cs="Calibri"/>
          <w:szCs w:val="18"/>
          <w:u w:val="single"/>
        </w:rPr>
      </w:pPr>
      <w:r w:rsidRPr="005F055E">
        <w:rPr>
          <w:rFonts w:cs="Calibri"/>
          <w:szCs w:val="18"/>
        </w:rPr>
        <w:t>Rioolwatersurveillance;</w:t>
      </w:r>
      <w:r w:rsidRPr="005F055E">
        <w:rPr>
          <w:rFonts w:cs="Calibri"/>
          <w:szCs w:val="18"/>
          <w:u w:val="single"/>
        </w:rPr>
        <w:t xml:space="preserve"> </w:t>
      </w:r>
    </w:p>
    <w:p w:rsidRPr="005F055E" w:rsidR="00FF3DFA" w:rsidP="00180EEB" w:rsidRDefault="00FF3DFA" w14:paraId="19C7BB20" w14:textId="77777777">
      <w:pPr>
        <w:pStyle w:val="Lijstalinea"/>
        <w:numPr>
          <w:ilvl w:val="0"/>
          <w:numId w:val="25"/>
        </w:numPr>
        <w:suppressAutoHyphens/>
        <w:rPr>
          <w:rFonts w:cs="Calibri"/>
          <w:szCs w:val="18"/>
        </w:rPr>
      </w:pPr>
      <w:r w:rsidRPr="005F055E">
        <w:rPr>
          <w:rFonts w:cs="Calibri"/>
          <w:szCs w:val="18"/>
        </w:rPr>
        <w:t xml:space="preserve">Infectiepreventie bij </w:t>
      </w:r>
      <w:proofErr w:type="spellStart"/>
      <w:r w:rsidRPr="005F055E">
        <w:rPr>
          <w:rFonts w:cs="Calibri"/>
          <w:szCs w:val="18"/>
        </w:rPr>
        <w:t>Wlz</w:t>
      </w:r>
      <w:proofErr w:type="spellEnd"/>
      <w:r w:rsidRPr="005F055E">
        <w:rPr>
          <w:rFonts w:cs="Calibri"/>
          <w:szCs w:val="18"/>
        </w:rPr>
        <w:t xml:space="preserve"> aanbieders;</w:t>
      </w:r>
    </w:p>
    <w:p w:rsidRPr="005F055E" w:rsidR="00FF3DFA" w:rsidP="00180EEB" w:rsidRDefault="00FF3DFA" w14:paraId="1E628BB3" w14:textId="77777777">
      <w:pPr>
        <w:pStyle w:val="Lijstalinea"/>
        <w:numPr>
          <w:ilvl w:val="0"/>
          <w:numId w:val="25"/>
        </w:numPr>
        <w:suppressAutoHyphens/>
        <w:rPr>
          <w:rFonts w:cs="Calibri"/>
          <w:szCs w:val="18"/>
        </w:rPr>
      </w:pPr>
      <w:r w:rsidRPr="005F055E">
        <w:rPr>
          <w:rFonts w:cs="Calibri"/>
          <w:szCs w:val="18"/>
        </w:rPr>
        <w:t>Monitoring en surveillance in de ouderen- en gehandicaptenzorg.</w:t>
      </w:r>
    </w:p>
    <w:p w:rsidRPr="005F055E" w:rsidR="00FF3DFA" w:rsidP="00180EEB" w:rsidRDefault="00FF3DFA" w14:paraId="45961A09" w14:textId="77777777">
      <w:pPr>
        <w:suppressAutoHyphens/>
        <w:rPr>
          <w:szCs w:val="18"/>
        </w:rPr>
      </w:pPr>
      <w:r w:rsidRPr="005F055E">
        <w:rPr>
          <w:szCs w:val="18"/>
        </w:rPr>
        <w:t xml:space="preserve">Investeringen in medische voorraden betreffen met name uitgaven voor leveringszekerheid, weerbaarheidsvoorraden en onderzoek naar weerbaarheid. </w:t>
      </w:r>
    </w:p>
    <w:p w:rsidRPr="005F055E" w:rsidR="00FF3DFA" w:rsidP="00180EEB" w:rsidRDefault="00FF3DFA" w14:paraId="2A71941A" w14:textId="77777777">
      <w:pPr>
        <w:pStyle w:val="Lijstalinea"/>
        <w:numPr>
          <w:ilvl w:val="0"/>
          <w:numId w:val="25"/>
        </w:numPr>
        <w:suppressAutoHyphens/>
        <w:rPr>
          <w:rFonts w:cs="Calibri"/>
          <w:szCs w:val="18"/>
        </w:rPr>
      </w:pPr>
      <w:r w:rsidRPr="005F055E">
        <w:rPr>
          <w:rFonts w:cs="Calibri"/>
          <w:szCs w:val="18"/>
        </w:rPr>
        <w:t xml:space="preserve">Geneesmiddelen, vaccins en medische hulpmiddelen. </w:t>
      </w:r>
    </w:p>
    <w:p w:rsidRPr="005F055E" w:rsidR="00FF3DFA" w:rsidP="00180EEB" w:rsidRDefault="00FF3DFA" w14:paraId="624B7233" w14:textId="77777777">
      <w:pPr>
        <w:suppressAutoHyphens/>
        <w:rPr>
          <w:szCs w:val="18"/>
        </w:rPr>
      </w:pPr>
      <w:r w:rsidRPr="005F055E">
        <w:rPr>
          <w:szCs w:val="18"/>
        </w:rPr>
        <w:t xml:space="preserve">IT/data/faciliteiten betreft onder andere het versterken van cybersecurity en ICT-systemen. Ook worden middelen die bedoeld zijn voor het instellen van een Caribische Hub onder meer ingezet voor IT/data/faciliteiten. </w:t>
      </w:r>
    </w:p>
    <w:p w:rsidRPr="005F055E" w:rsidR="00FF3DFA" w:rsidP="00180EEB" w:rsidRDefault="00FF3DFA" w14:paraId="0368F6AF" w14:textId="77777777">
      <w:pPr>
        <w:pStyle w:val="Lijstalinea"/>
        <w:numPr>
          <w:ilvl w:val="0"/>
          <w:numId w:val="25"/>
        </w:numPr>
        <w:suppressAutoHyphens/>
        <w:rPr>
          <w:rFonts w:cs="Calibri"/>
          <w:szCs w:val="18"/>
        </w:rPr>
      </w:pPr>
      <w:r w:rsidRPr="005F055E">
        <w:rPr>
          <w:rFonts w:cs="Calibri"/>
          <w:szCs w:val="18"/>
        </w:rPr>
        <w:t>Versterking IV/ICT;</w:t>
      </w:r>
    </w:p>
    <w:p w:rsidRPr="005F055E" w:rsidR="00FF3DFA" w:rsidP="00180EEB" w:rsidRDefault="00FF3DFA" w14:paraId="6CCC371E" w14:textId="77777777">
      <w:pPr>
        <w:pStyle w:val="Lijstalinea"/>
        <w:numPr>
          <w:ilvl w:val="0"/>
          <w:numId w:val="25"/>
        </w:numPr>
        <w:suppressAutoHyphens/>
        <w:spacing w:after="0" w:line="240" w:lineRule="atLeast"/>
        <w:rPr>
          <w:szCs w:val="18"/>
        </w:rPr>
      </w:pPr>
      <w:r w:rsidRPr="005F055E">
        <w:rPr>
          <w:szCs w:val="18"/>
        </w:rPr>
        <w:t xml:space="preserve">Caribische Hub. </w:t>
      </w:r>
    </w:p>
    <w:p w:rsidRPr="005F055E" w:rsidR="00FF3DFA" w:rsidP="00180EEB" w:rsidRDefault="00FF3DFA" w14:paraId="716B65CB" w14:textId="77777777">
      <w:pPr>
        <w:pStyle w:val="Lijstalinea"/>
        <w:suppressAutoHyphens/>
        <w:rPr>
          <w:szCs w:val="18"/>
        </w:rPr>
      </w:pPr>
    </w:p>
    <w:p w:rsidRPr="005F055E" w:rsidR="00FF3DFA" w:rsidP="00180EEB" w:rsidRDefault="00FF3DFA" w14:paraId="402D0C2A" w14:textId="77777777">
      <w:pPr>
        <w:suppressAutoHyphens/>
        <w:rPr>
          <w:szCs w:val="18"/>
        </w:rPr>
      </w:pPr>
      <w:r w:rsidRPr="005F055E">
        <w:rPr>
          <w:szCs w:val="18"/>
        </w:rPr>
        <w:t>Bevoegdheden bij crises is uit te splitsen in bevoegdheden tijdens crises en internationale samenwerking.</w:t>
      </w:r>
    </w:p>
    <w:p w:rsidRPr="005F055E" w:rsidR="00FF3DFA" w:rsidP="00180EEB" w:rsidRDefault="00FF3DFA" w14:paraId="1B3884FF" w14:textId="77777777">
      <w:pPr>
        <w:pStyle w:val="Lijstalinea"/>
        <w:numPr>
          <w:ilvl w:val="0"/>
          <w:numId w:val="25"/>
        </w:numPr>
        <w:suppressAutoHyphens/>
        <w:rPr>
          <w:rFonts w:cs="Calibri"/>
          <w:szCs w:val="18"/>
        </w:rPr>
      </w:pPr>
      <w:r w:rsidRPr="005F055E">
        <w:rPr>
          <w:rFonts w:cs="Calibri"/>
          <w:szCs w:val="18"/>
        </w:rPr>
        <w:t>Personeel en programma weerbare zorg;</w:t>
      </w:r>
    </w:p>
    <w:p w:rsidRPr="005F055E" w:rsidR="00FF3DFA" w:rsidP="00180EEB" w:rsidRDefault="00FF3DFA" w14:paraId="6252E707" w14:textId="77777777">
      <w:pPr>
        <w:pStyle w:val="Lijstalinea"/>
        <w:numPr>
          <w:ilvl w:val="0"/>
          <w:numId w:val="25"/>
        </w:numPr>
        <w:suppressAutoHyphens/>
        <w:rPr>
          <w:rFonts w:cs="Calibri"/>
          <w:szCs w:val="18"/>
        </w:rPr>
      </w:pPr>
      <w:r w:rsidRPr="005F055E">
        <w:rPr>
          <w:rFonts w:cs="Calibri"/>
          <w:szCs w:val="18"/>
        </w:rPr>
        <w:t>Internationale samenwerking.</w:t>
      </w:r>
    </w:p>
    <w:p w:rsidRPr="005F055E" w:rsidR="00765997" w:rsidP="00180EEB" w:rsidRDefault="00765997" w14:paraId="5389752A" w14:textId="77777777">
      <w:pPr>
        <w:suppressAutoHyphens/>
      </w:pPr>
    </w:p>
    <w:p w:rsidRPr="005F055E" w:rsidR="00194494" w:rsidP="00180EEB" w:rsidRDefault="003E7003" w14:paraId="3A76CA17" w14:textId="77777777">
      <w:pPr>
        <w:suppressAutoHyphens/>
      </w:pPr>
      <w:r w:rsidRPr="005F055E">
        <w:t>Vraag 358</w:t>
      </w:r>
    </w:p>
    <w:p w:rsidRPr="005F055E" w:rsidR="00194494" w:rsidP="00180EEB" w:rsidRDefault="003E7003" w14:paraId="0CBD5001" w14:textId="77777777">
      <w:pPr>
        <w:suppressAutoHyphens/>
      </w:pPr>
      <w:r w:rsidRPr="005F055E">
        <w:t>Kan worden toegelicht of de €250 miljoen voor basisnoodzorg in 2026 additionele middelen betreft, of dat dit grotendeels komt uit herverdeling? Als sprake is van herverdeling van middelen: uit welke bestaande programma’s of posten wordt de €250 miljoen voor basisnoodzorg dan gefinancierd?</w:t>
      </w:r>
    </w:p>
    <w:p w:rsidRPr="005F055E" w:rsidR="003E7003" w:rsidP="00180EEB" w:rsidRDefault="003E7003" w14:paraId="5E5A8EC0" w14:textId="2B162CB1">
      <w:pPr>
        <w:suppressAutoHyphens/>
      </w:pPr>
      <w:r w:rsidRPr="005F055E">
        <w:t>Antwoord</w:t>
      </w:r>
    </w:p>
    <w:p w:rsidRPr="005F055E" w:rsidR="00765997" w:rsidP="00180EEB" w:rsidRDefault="00765997" w14:paraId="61779813" w14:textId="77777777">
      <w:pPr>
        <w:suppressAutoHyphens/>
      </w:pPr>
      <w:r w:rsidRPr="005F055E">
        <w:t xml:space="preserve">De €250 miljoen voor basisnoodzorg in 2026 betreffen geen additionele middelen. Deze middelen komen voort uit de in het coalitieakkoord Rutte IV beschikbaar gestelde middelen voor Pandemische Paraatheid. </w:t>
      </w:r>
    </w:p>
    <w:p w:rsidRPr="005F055E" w:rsidR="00194494" w:rsidP="00180EEB" w:rsidRDefault="00194494" w14:paraId="4DD576DA" w14:textId="77777777">
      <w:pPr>
        <w:suppressAutoHyphens/>
      </w:pPr>
    </w:p>
    <w:p w:rsidRPr="005F055E" w:rsidR="00194494" w:rsidP="00180EEB" w:rsidRDefault="003E7003" w14:paraId="2C165B7E" w14:textId="77777777">
      <w:pPr>
        <w:suppressAutoHyphens/>
      </w:pPr>
      <w:r w:rsidRPr="005F055E">
        <w:t>Vraag 359</w:t>
      </w:r>
    </w:p>
    <w:p w:rsidRPr="005F055E" w:rsidR="00194494" w:rsidP="00180EEB" w:rsidRDefault="003E7003" w14:paraId="309AABF8" w14:textId="77777777">
      <w:pPr>
        <w:suppressAutoHyphens/>
      </w:pPr>
      <w:r w:rsidRPr="005F055E">
        <w:t>Hoe wordt geborgd dat de afbouw van de middelen voor pandemische paraatheid tot nul in 2029 geen afbreuk doet aan de continuïteit en beschikbaarheid van zorg tijdens een toekomstige pandemie?</w:t>
      </w:r>
    </w:p>
    <w:p w:rsidRPr="005F055E" w:rsidR="003E7003" w:rsidP="00180EEB" w:rsidRDefault="003E7003" w14:paraId="5323397C" w14:textId="457E7001">
      <w:pPr>
        <w:suppressAutoHyphens/>
      </w:pPr>
      <w:r w:rsidRPr="005F055E">
        <w:t>Antwoord</w:t>
      </w:r>
    </w:p>
    <w:p w:rsidRPr="005F055E" w:rsidR="00C279FC" w:rsidP="00180EEB" w:rsidRDefault="00C279FC" w14:paraId="3B6208AC" w14:textId="7034D651">
      <w:pPr>
        <w:suppressAutoHyphens/>
      </w:pPr>
      <w:r w:rsidRPr="005F055E">
        <w:t>Om continuïteit en beschikbaarheid van zorg tijdens een toekomstige pandemie of andere grootschalige gezondheidszorg</w:t>
      </w:r>
      <w:r w:rsidR="00E33183">
        <w:t>crisis</w:t>
      </w:r>
      <w:r w:rsidRPr="005F055E">
        <w:t xml:space="preserve"> te versterken, waren na COVID-19 maatregelen in gang gezet op het gebied van de publieke gezondheidszorg, leveringszekerheid en flexibele en opschaalbare zorg. </w:t>
      </w:r>
      <w:r w:rsidR="00E33183">
        <w:t>M</w:t>
      </w:r>
      <w:r w:rsidRPr="005F055E" w:rsidR="00C750EA">
        <w:t>ede vanwege de samenloop met andere bezuinigingen, zoals de subsidietaakstelling</w:t>
      </w:r>
      <w:r w:rsidR="00E33183">
        <w:t xml:space="preserve"> op het Centrum infectieziektebestrijding van het RIVM</w:t>
      </w:r>
      <w:r w:rsidRPr="00C71A81" w:rsidR="00E33183">
        <w:t xml:space="preserve">, </w:t>
      </w:r>
      <w:r w:rsidR="00E33183">
        <w:t>vallen de financiën voor bestrijding van een pandemie en andere grootschalige gezondheidszorgcrisis</w:t>
      </w:r>
      <w:r w:rsidRPr="005F055E" w:rsidR="00C750EA">
        <w:t xml:space="preserve">, terug tot onder het niveau van vóór de COVID-19 pandemie. </w:t>
      </w:r>
      <w:r w:rsidRPr="00C71A81" w:rsidR="00E33183">
        <w:t xml:space="preserve">Het afbouwen van </w:t>
      </w:r>
      <w:r w:rsidR="00E33183">
        <w:t xml:space="preserve">de </w:t>
      </w:r>
      <w:r w:rsidRPr="00C71A81" w:rsidR="00E33183">
        <w:t xml:space="preserve">investeringen leidt </w:t>
      </w:r>
      <w:r w:rsidR="00E33183">
        <w:t xml:space="preserve">bovendien tot </w:t>
      </w:r>
      <w:r w:rsidRPr="00C71A81" w:rsidR="00E33183">
        <w:t xml:space="preserve">vertrek van ervaren mensen </w:t>
      </w:r>
      <w:r w:rsidR="00E33183">
        <w:t xml:space="preserve">en </w:t>
      </w:r>
      <w:r w:rsidRPr="00C71A81" w:rsidR="00E33183">
        <w:t>naar verwachting tot mindere betrokkenheid</w:t>
      </w:r>
      <w:r w:rsidR="00E33183">
        <w:t>,</w:t>
      </w:r>
      <w:r w:rsidRPr="00C71A81" w:rsidR="00E33183">
        <w:t xml:space="preserve"> waardoor de basis voor samenwerking wanneer dit nodig is in een crisis</w:t>
      </w:r>
      <w:r w:rsidR="00E33183">
        <w:t>,</w:t>
      </w:r>
      <w:r w:rsidRPr="00C71A81" w:rsidR="00E33183">
        <w:t xml:space="preserve"> onder druk staat.</w:t>
      </w:r>
      <w:r w:rsidR="00E33183">
        <w:t xml:space="preserve"> Dit overziend </w:t>
      </w:r>
      <w:r w:rsidRPr="005F055E" w:rsidR="00C750EA">
        <w:t>zijn</w:t>
      </w:r>
      <w:r w:rsidR="00E33183">
        <w:t xml:space="preserve"> we</w:t>
      </w:r>
      <w:r w:rsidRPr="005F055E" w:rsidR="00C750EA">
        <w:t xml:space="preserve"> dan</w:t>
      </w:r>
      <w:r w:rsidR="00E33183">
        <w:t xml:space="preserve"> dus</w:t>
      </w:r>
      <w:r w:rsidRPr="005F055E" w:rsidR="00C750EA">
        <w:t xml:space="preserve"> slechter voorbereid op grootschalige gezondheidscrisis en hebben</w:t>
      </w:r>
      <w:r w:rsidR="00E33183">
        <w:t xml:space="preserve"> we</w:t>
      </w:r>
      <w:r w:rsidRPr="005F055E" w:rsidR="00C750EA">
        <w:t xml:space="preserve"> de lessen van de COVID-19 pandemie niet opgevolgd. Ik kan daarom niet borgen dat de afbouw van middelen voor pandemische paraatheid geen afbreuk doet aan de continuïteit en beschikbaarheid van zorg tijdens een toekomstige pandemie.</w:t>
      </w:r>
    </w:p>
    <w:p w:rsidR="008C3510" w:rsidP="00180EEB" w:rsidRDefault="008C3510" w14:paraId="35529EF7" w14:textId="77777777">
      <w:pPr>
        <w:suppressAutoHyphens/>
      </w:pPr>
    </w:p>
    <w:p w:rsidRPr="005F055E" w:rsidR="00194494" w:rsidP="00180EEB" w:rsidRDefault="003E7003" w14:paraId="09CC7DB5" w14:textId="4A04CDA9">
      <w:pPr>
        <w:suppressAutoHyphens/>
      </w:pPr>
      <w:r w:rsidRPr="005F055E">
        <w:t>Vraag 360</w:t>
      </w:r>
    </w:p>
    <w:p w:rsidRPr="005F055E" w:rsidR="00194494" w:rsidP="00180EEB" w:rsidRDefault="003E7003" w14:paraId="5E5DE18A" w14:textId="77777777">
      <w:pPr>
        <w:suppressAutoHyphens/>
      </w:pPr>
      <w:r w:rsidRPr="005F055E">
        <w:t>Hoe wordt geborgd dat de afbouw van de middelen voor pandemische paraatheid geen afbreuk doet aan de continuïteit en beschikbaarheid van zorg tijdens een toekomstige pandemie?</w:t>
      </w:r>
    </w:p>
    <w:p w:rsidRPr="005F055E" w:rsidR="003E7003" w:rsidP="00180EEB" w:rsidRDefault="003E7003" w14:paraId="09612CCE" w14:textId="4EC7B454">
      <w:pPr>
        <w:suppressAutoHyphens/>
      </w:pPr>
      <w:r w:rsidRPr="005F055E">
        <w:t>Antwoord</w:t>
      </w:r>
    </w:p>
    <w:p w:rsidRPr="005F055E" w:rsidR="00C279FC" w:rsidP="00180EEB" w:rsidRDefault="00C279FC" w14:paraId="657BE0FF" w14:textId="77777777">
      <w:pPr>
        <w:suppressAutoHyphens/>
      </w:pPr>
      <w:r w:rsidRPr="005F055E">
        <w:t xml:space="preserve">Om continuïteit en beschikbaarheid van zorg tijdens een toekomstige pandemie of andere grootschalige gezondheidszorg te versterken, waren na COVID-19 maatregelen in gang gezet op het gebied van de publieke gezondheidszorg, leveringszekerheid en flexibele en opschaalbare zorg. Worden deze maatregelen weer afgebouwd dan betekent dat dat we ons moeten gaan inzetten om met minder middelen toch zo goed mogelijk voorbereid te zijn op crises. Daarom zoek ik nog naar alternatieve structurele middelen. </w:t>
      </w:r>
    </w:p>
    <w:p w:rsidRPr="005F055E" w:rsidR="00EE5450" w:rsidP="00180EEB" w:rsidRDefault="00EE5450" w14:paraId="1ACE65FA" w14:textId="77777777">
      <w:pPr>
        <w:suppressAutoHyphens/>
        <w:rPr>
          <w:szCs w:val="20"/>
          <w:lang w:eastAsia="nl-NL"/>
        </w:rPr>
      </w:pPr>
    </w:p>
    <w:p w:rsidRPr="005F055E" w:rsidR="00194494" w:rsidP="00180EEB" w:rsidRDefault="003E7003" w14:paraId="595460C8" w14:textId="77777777">
      <w:pPr>
        <w:suppressAutoHyphens/>
      </w:pPr>
      <w:r w:rsidRPr="005F055E">
        <w:t>Vraag 361</w:t>
      </w:r>
    </w:p>
    <w:p w:rsidRPr="005F055E" w:rsidR="00194494" w:rsidP="00180EEB" w:rsidRDefault="003E7003" w14:paraId="67719056" w14:textId="77777777">
      <w:pPr>
        <w:suppressAutoHyphens/>
      </w:pPr>
      <w:r w:rsidRPr="005F055E">
        <w:t>Hoe staat het ervoor met ouderenzorg in Caribisch Nederland?</w:t>
      </w:r>
      <w:r w:rsidRPr="005F055E">
        <w:tab/>
      </w:r>
    </w:p>
    <w:p w:rsidRPr="005F055E" w:rsidR="003E7003" w:rsidP="00180EEB" w:rsidRDefault="003E7003" w14:paraId="70009DBF" w14:textId="1511D052">
      <w:pPr>
        <w:suppressAutoHyphens/>
      </w:pPr>
      <w:r w:rsidRPr="005F055E">
        <w:t>Antwoord</w:t>
      </w:r>
    </w:p>
    <w:p w:rsidRPr="005F055E" w:rsidR="00765997" w:rsidP="00180EEB" w:rsidRDefault="00765997" w14:paraId="151A390A" w14:textId="77777777">
      <w:pPr>
        <w:pStyle w:val="Geenafstand"/>
        <w:suppressAutoHyphens/>
      </w:pPr>
      <w:r w:rsidRPr="005F055E">
        <w:t xml:space="preserve">Het aantal ouderen op de BES-eilanden is in het afgelopen decennium sterk gegroeid. </w:t>
      </w:r>
    </w:p>
    <w:p w:rsidRPr="005F055E" w:rsidR="00765997" w:rsidP="00180EEB" w:rsidRDefault="00765997" w14:paraId="2A0B0256" w14:textId="77777777">
      <w:pPr>
        <w:pStyle w:val="Geenafstand"/>
        <w:suppressAutoHyphens/>
      </w:pPr>
      <w:r w:rsidRPr="005F055E">
        <w:t xml:space="preserve">Op de BES-eilanden zijn er verpleeghuisvoorzieningen beschikbaar. Daarnaast wordt er maatschappelijke ondersteuning aangeboden in de vorm van huishoudelijke hulp, maaltijdservice, vervoer op maat, dagbesteding, respijtzorg en woningaanpassingen in het kader van het besluit maatschappelijke ondersteuning BES. Verder is de samenwerking tussen de zorgorganisaties op de eilanden de afgelopen periode ook geïntensiveerd. Zo heeft Bonaire in 2023 een samenwerkingsverband, genaamd Cockpitgroep Ketenalliantie Ouderenzorg (CKO), opgezet tussen de diverse zorgorganisaties om de gezamenlijke uitvoering van het beleid </w:t>
      </w:r>
      <w:r w:rsidRPr="005F055E">
        <w:rPr>
          <w:i/>
          <w:iCs/>
        </w:rPr>
        <w:t>Vitaal ouder worden</w:t>
      </w:r>
      <w:r w:rsidRPr="005F055E">
        <w:t xml:space="preserve"> in de zorgketen te realiseren</w:t>
      </w:r>
      <w:r w:rsidRPr="005F055E">
        <w:rPr>
          <w:rStyle w:val="Voetnootmarkering"/>
        </w:rPr>
        <w:footnoteReference w:id="136"/>
      </w:r>
      <w:r w:rsidRPr="005F055E">
        <w:t xml:space="preserve">. Sint Eustatius heeft een gelijksoortig samenwerkingsband. </w:t>
      </w:r>
    </w:p>
    <w:p w:rsidRPr="005F055E" w:rsidR="00765997" w:rsidP="00180EEB" w:rsidRDefault="00765997" w14:paraId="03655E95" w14:textId="77777777">
      <w:pPr>
        <w:pStyle w:val="Geenafstand"/>
        <w:suppressAutoHyphens/>
      </w:pPr>
    </w:p>
    <w:p w:rsidRPr="005F055E" w:rsidR="00765997" w:rsidP="00180EEB" w:rsidRDefault="00765997" w14:paraId="62EA3C97" w14:textId="77777777">
      <w:pPr>
        <w:pStyle w:val="Geenafstand"/>
        <w:suppressAutoHyphens/>
      </w:pPr>
      <w:r w:rsidRPr="005F055E">
        <w:t xml:space="preserve">Onder de groep ouderen neemt de complexiteit van de zorg en de incidentie van dementie toe. De volgende ontwikkelingen rondom de ouderenzorg die relevant zijn voor de toenemende vergrijzing en dementie op de BES-eilanden zijn hierbij relevant. Ten eerste zijn beleids- en praktijkgerichte projecten opgezet. Een belangrijke wijziging betreft het aanpassen van de </w:t>
      </w:r>
      <w:r w:rsidRPr="005F055E">
        <w:rPr>
          <w:i/>
          <w:iCs/>
        </w:rPr>
        <w:t>Regeling aanspraken zorgverzekering BES</w:t>
      </w:r>
      <w:r w:rsidRPr="005F055E">
        <w:t xml:space="preserve"> (</w:t>
      </w:r>
      <w:proofErr w:type="spellStart"/>
      <w:r w:rsidRPr="005F055E">
        <w:t>RazBES</w:t>
      </w:r>
      <w:proofErr w:type="spellEnd"/>
      <w:r w:rsidRPr="005F055E">
        <w:t>) door onder andere geriatrische revalidatiezorg per januari 2025 op te nemen in de vergoedingslijst</w:t>
      </w:r>
      <w:r w:rsidRPr="005F055E">
        <w:rPr>
          <w:rStyle w:val="Voetnootmarkering"/>
        </w:rPr>
        <w:footnoteReference w:id="137"/>
      </w:r>
      <w:r w:rsidRPr="005F055E">
        <w:t>. Op de BES-eilanden worden er verschillende activiteiten uitgevoerd voor de dementiezorg</w:t>
      </w:r>
      <w:r w:rsidRPr="005F055E">
        <w:rPr>
          <w:rStyle w:val="Voetnootmarkering"/>
        </w:rPr>
        <w:footnoteReference w:id="138"/>
      </w:r>
      <w:r w:rsidRPr="005F055E">
        <w:t>. Goede initiatieven zijn het beleidsplan Dementie en de Dementiemonitor op Bonaire</w:t>
      </w:r>
      <w:r w:rsidRPr="005F055E">
        <w:rPr>
          <w:rStyle w:val="Voetnootmarkering"/>
        </w:rPr>
        <w:footnoteReference w:id="139"/>
      </w:r>
      <w:r w:rsidRPr="005F055E">
        <w:rPr>
          <w:vertAlign w:val="superscript"/>
        </w:rPr>
        <w:t>,</w:t>
      </w:r>
      <w:r w:rsidRPr="005F055E">
        <w:rPr>
          <w:rStyle w:val="Voetnootmarkering"/>
        </w:rPr>
        <w:footnoteReference w:id="140"/>
      </w:r>
      <w:r w:rsidRPr="005F055E">
        <w:t xml:space="preserve">. </w:t>
      </w:r>
    </w:p>
    <w:p w:rsidRPr="005F055E" w:rsidR="00765997" w:rsidP="00180EEB" w:rsidRDefault="00765997" w14:paraId="4F234B1D" w14:textId="77777777">
      <w:pPr>
        <w:pStyle w:val="Geenafstand"/>
        <w:suppressAutoHyphens/>
      </w:pPr>
    </w:p>
    <w:p w:rsidRPr="005F055E" w:rsidR="00765997" w:rsidP="00180EEB" w:rsidRDefault="00765997" w14:paraId="180584B5" w14:textId="77777777">
      <w:pPr>
        <w:pStyle w:val="Geenafstand"/>
        <w:suppressAutoHyphens/>
        <w:rPr>
          <w:szCs w:val="18"/>
        </w:rPr>
      </w:pPr>
      <w:r w:rsidRPr="005F055E">
        <w:t xml:space="preserve">Om te kunnen anticiperen op de veranderingen in de ouderenzorg vraagt de komende periode een aantal punten om aandacht, namelijk: de structurele personeelscapaciteit, de deskundigheidsbevordering van het zorgpersoneel, het beschikbare en kwalitatieve infrastructuur voor zowel de kleinschalige als grootschalige woonvoorzieningen, de palliatieve zorg en de samenwerking voor integrale zorg binnen en tussen eilanden. Daarnaast is de infrastructuur voor palliatieve zorg en hospicezorg op de BES-eilanden tot op heden beperkt. </w:t>
      </w:r>
    </w:p>
    <w:p w:rsidRPr="005F055E" w:rsidR="00765997" w:rsidP="00180EEB" w:rsidRDefault="00765997" w14:paraId="03E60CEB" w14:textId="77777777">
      <w:pPr>
        <w:suppressAutoHyphens/>
        <w:rPr>
          <w:highlight w:val="yellow"/>
        </w:rPr>
      </w:pPr>
    </w:p>
    <w:p w:rsidRPr="005F055E" w:rsidR="00194494" w:rsidP="00180EEB" w:rsidRDefault="003E7003" w14:paraId="65D2641F" w14:textId="5B87CD91">
      <w:pPr>
        <w:suppressAutoHyphens/>
      </w:pPr>
      <w:r w:rsidRPr="005F055E">
        <w:t>Vraag 362</w:t>
      </w:r>
    </w:p>
    <w:p w:rsidRPr="005F055E" w:rsidR="00194494" w:rsidP="00180EEB" w:rsidRDefault="003E7003" w14:paraId="6C5E51B3" w14:textId="77777777">
      <w:pPr>
        <w:suppressAutoHyphens/>
      </w:pPr>
      <w:r w:rsidRPr="005F055E">
        <w:t>Zijn er additionele financiële middelen beschikbaar voor investeringen in de ouderenzorg in Caribisch Nederland?</w:t>
      </w:r>
      <w:r w:rsidRPr="005F055E">
        <w:tab/>
      </w:r>
    </w:p>
    <w:p w:rsidRPr="005F055E" w:rsidR="003E7003" w:rsidP="00180EEB" w:rsidRDefault="003E7003" w14:paraId="62B08A17" w14:textId="5357DA4B">
      <w:pPr>
        <w:suppressAutoHyphens/>
      </w:pPr>
      <w:r w:rsidRPr="005F055E">
        <w:t>Antwoord</w:t>
      </w:r>
    </w:p>
    <w:p w:rsidRPr="005F055E" w:rsidR="00765997" w:rsidP="00180EEB" w:rsidRDefault="00765997" w14:paraId="52313AB2" w14:textId="77777777">
      <w:pPr>
        <w:pStyle w:val="Geenafstand"/>
        <w:suppressAutoHyphens/>
      </w:pPr>
      <w:r w:rsidRPr="005F055E">
        <w:t xml:space="preserve">Bij september suppletoire begroting 2024 zijn additionele financiële middelen beschikbaar gesteld voor investeringen in de ouderenzorg in Caribisch Nederland, namelijk: </w:t>
      </w:r>
    </w:p>
    <w:p w:rsidRPr="005F055E" w:rsidR="00765997" w:rsidP="00180EEB" w:rsidRDefault="00765997" w14:paraId="45A59582" w14:textId="77777777">
      <w:pPr>
        <w:pStyle w:val="Geenafstand"/>
        <w:suppressAutoHyphens/>
      </w:pPr>
    </w:p>
    <w:tbl>
      <w:tblPr>
        <w:tblStyle w:val="Tabelraster"/>
        <w:tblW w:w="0" w:type="auto"/>
        <w:tblLook w:val="04A0" w:firstRow="1" w:lastRow="0" w:firstColumn="1" w:lastColumn="0" w:noHBand="0" w:noVBand="1"/>
      </w:tblPr>
      <w:tblGrid>
        <w:gridCol w:w="1291"/>
        <w:gridCol w:w="1287"/>
        <w:gridCol w:w="1287"/>
        <w:gridCol w:w="1288"/>
        <w:gridCol w:w="1288"/>
        <w:gridCol w:w="1288"/>
        <w:gridCol w:w="1288"/>
      </w:tblGrid>
      <w:tr w:rsidRPr="005F055E" w:rsidR="00765997" w:rsidTr="008C3510" w14:paraId="7FE12A4E" w14:textId="77777777">
        <w:tc>
          <w:tcPr>
            <w:tcW w:w="1291" w:type="dxa"/>
          </w:tcPr>
          <w:p w:rsidRPr="008C3510" w:rsidR="00765997" w:rsidP="00180EEB" w:rsidRDefault="00765997" w14:paraId="7C6563B4" w14:textId="77777777">
            <w:pPr>
              <w:pStyle w:val="Geenafstand"/>
              <w:suppressAutoHyphens/>
              <w:rPr>
                <w:rFonts w:ascii="Verdana" w:hAnsi="Verdana"/>
                <w:sz w:val="20"/>
                <w:szCs w:val="20"/>
              </w:rPr>
            </w:pPr>
            <w:r w:rsidRPr="008C3510">
              <w:rPr>
                <w:rFonts w:ascii="Verdana" w:hAnsi="Verdana" w:eastAsia="Times New Roman" w:cs="Times New Roman"/>
                <w:b/>
                <w:bCs/>
                <w:color w:val="000000"/>
                <w:sz w:val="20"/>
                <w:szCs w:val="20"/>
                <w:lang w:eastAsia="nl-NL"/>
              </w:rPr>
              <w:t>Jaar</w:t>
            </w:r>
          </w:p>
        </w:tc>
        <w:tc>
          <w:tcPr>
            <w:tcW w:w="1287" w:type="dxa"/>
          </w:tcPr>
          <w:p w:rsidRPr="008C3510" w:rsidR="00765997" w:rsidP="00180EEB" w:rsidRDefault="00765997" w14:paraId="58AEFB88" w14:textId="77777777">
            <w:pPr>
              <w:pStyle w:val="Geenafstand"/>
              <w:suppressAutoHyphens/>
              <w:rPr>
                <w:rFonts w:ascii="Verdana" w:hAnsi="Verdana"/>
                <w:sz w:val="20"/>
                <w:szCs w:val="20"/>
              </w:rPr>
            </w:pPr>
            <w:r w:rsidRPr="008C3510">
              <w:rPr>
                <w:rFonts w:ascii="Verdana" w:hAnsi="Verdana" w:eastAsia="Times New Roman" w:cs="Times New Roman"/>
                <w:b/>
                <w:bCs/>
                <w:color w:val="000000"/>
                <w:sz w:val="20"/>
                <w:szCs w:val="20"/>
                <w:lang w:eastAsia="nl-NL"/>
              </w:rPr>
              <w:t>2024</w:t>
            </w:r>
          </w:p>
        </w:tc>
        <w:tc>
          <w:tcPr>
            <w:tcW w:w="1287" w:type="dxa"/>
          </w:tcPr>
          <w:p w:rsidRPr="008C3510" w:rsidR="00765997" w:rsidP="00180EEB" w:rsidRDefault="00765997" w14:paraId="4BF47615" w14:textId="77777777">
            <w:pPr>
              <w:pStyle w:val="Geenafstand"/>
              <w:suppressAutoHyphens/>
              <w:rPr>
                <w:rFonts w:ascii="Verdana" w:hAnsi="Verdana"/>
                <w:sz w:val="20"/>
                <w:szCs w:val="20"/>
              </w:rPr>
            </w:pPr>
            <w:r w:rsidRPr="008C3510">
              <w:rPr>
                <w:rFonts w:ascii="Verdana" w:hAnsi="Verdana" w:eastAsia="Times New Roman" w:cs="Times New Roman"/>
                <w:b/>
                <w:bCs/>
                <w:color w:val="000000"/>
                <w:sz w:val="20"/>
                <w:szCs w:val="20"/>
                <w:lang w:eastAsia="nl-NL"/>
              </w:rPr>
              <w:t>2025</w:t>
            </w:r>
          </w:p>
        </w:tc>
        <w:tc>
          <w:tcPr>
            <w:tcW w:w="1288" w:type="dxa"/>
          </w:tcPr>
          <w:p w:rsidRPr="008C3510" w:rsidR="00765997" w:rsidP="00180EEB" w:rsidRDefault="00765997" w14:paraId="7C62F01F" w14:textId="77777777">
            <w:pPr>
              <w:pStyle w:val="Geenafstand"/>
              <w:suppressAutoHyphens/>
              <w:rPr>
                <w:rFonts w:ascii="Verdana" w:hAnsi="Verdana"/>
                <w:sz w:val="20"/>
                <w:szCs w:val="20"/>
              </w:rPr>
            </w:pPr>
            <w:r w:rsidRPr="008C3510">
              <w:rPr>
                <w:rFonts w:ascii="Verdana" w:hAnsi="Verdana" w:eastAsia="Times New Roman" w:cs="Times New Roman"/>
                <w:b/>
                <w:bCs/>
                <w:color w:val="000000"/>
                <w:sz w:val="20"/>
                <w:szCs w:val="20"/>
                <w:lang w:eastAsia="nl-NL"/>
              </w:rPr>
              <w:t>2026</w:t>
            </w:r>
          </w:p>
        </w:tc>
        <w:tc>
          <w:tcPr>
            <w:tcW w:w="1288" w:type="dxa"/>
          </w:tcPr>
          <w:p w:rsidRPr="008C3510" w:rsidR="00765997" w:rsidP="00180EEB" w:rsidRDefault="00765997" w14:paraId="7AA2D60F" w14:textId="77777777">
            <w:pPr>
              <w:pStyle w:val="Geenafstand"/>
              <w:suppressAutoHyphens/>
              <w:rPr>
                <w:rFonts w:ascii="Verdana" w:hAnsi="Verdana"/>
                <w:sz w:val="20"/>
                <w:szCs w:val="20"/>
              </w:rPr>
            </w:pPr>
            <w:r w:rsidRPr="008C3510">
              <w:rPr>
                <w:rFonts w:ascii="Verdana" w:hAnsi="Verdana" w:eastAsia="Times New Roman" w:cs="Times New Roman"/>
                <w:b/>
                <w:bCs/>
                <w:color w:val="000000"/>
                <w:sz w:val="20"/>
                <w:szCs w:val="20"/>
                <w:lang w:eastAsia="nl-NL"/>
              </w:rPr>
              <w:t>2027</w:t>
            </w:r>
          </w:p>
        </w:tc>
        <w:tc>
          <w:tcPr>
            <w:tcW w:w="1288" w:type="dxa"/>
          </w:tcPr>
          <w:p w:rsidRPr="008C3510" w:rsidR="00765997" w:rsidP="00180EEB" w:rsidRDefault="00765997" w14:paraId="53FB06F1" w14:textId="77777777">
            <w:pPr>
              <w:pStyle w:val="Geenafstand"/>
              <w:suppressAutoHyphens/>
              <w:rPr>
                <w:rFonts w:ascii="Verdana" w:hAnsi="Verdana"/>
                <w:sz w:val="20"/>
                <w:szCs w:val="20"/>
              </w:rPr>
            </w:pPr>
            <w:r w:rsidRPr="008C3510">
              <w:rPr>
                <w:rFonts w:ascii="Verdana" w:hAnsi="Verdana" w:eastAsia="Times New Roman" w:cs="Times New Roman"/>
                <w:b/>
                <w:bCs/>
                <w:color w:val="000000"/>
                <w:sz w:val="20"/>
                <w:szCs w:val="20"/>
                <w:lang w:eastAsia="nl-NL"/>
              </w:rPr>
              <w:t>2028</w:t>
            </w:r>
          </w:p>
        </w:tc>
        <w:tc>
          <w:tcPr>
            <w:tcW w:w="1288" w:type="dxa"/>
          </w:tcPr>
          <w:p w:rsidRPr="008C3510" w:rsidR="00765997" w:rsidP="00180EEB" w:rsidRDefault="00765997" w14:paraId="60463160" w14:textId="77777777">
            <w:pPr>
              <w:pStyle w:val="Geenafstand"/>
              <w:suppressAutoHyphens/>
              <w:rPr>
                <w:rFonts w:ascii="Verdana" w:hAnsi="Verdana"/>
                <w:sz w:val="20"/>
                <w:szCs w:val="20"/>
              </w:rPr>
            </w:pPr>
            <w:r w:rsidRPr="008C3510">
              <w:rPr>
                <w:rFonts w:ascii="Verdana" w:hAnsi="Verdana" w:eastAsia="Times New Roman" w:cs="Times New Roman"/>
                <w:b/>
                <w:bCs/>
                <w:color w:val="000000"/>
                <w:sz w:val="20"/>
                <w:szCs w:val="20"/>
                <w:lang w:eastAsia="nl-NL"/>
              </w:rPr>
              <w:t>2029</w:t>
            </w:r>
          </w:p>
        </w:tc>
      </w:tr>
      <w:tr w:rsidRPr="005F055E" w:rsidR="00765997" w:rsidTr="008C3510" w14:paraId="5BFF2F85" w14:textId="77777777">
        <w:tc>
          <w:tcPr>
            <w:tcW w:w="1291" w:type="dxa"/>
          </w:tcPr>
          <w:p w:rsidRPr="008C3510" w:rsidR="00765997" w:rsidP="00180EEB" w:rsidRDefault="00765997" w14:paraId="7C20EAE4" w14:textId="77777777">
            <w:pPr>
              <w:pStyle w:val="Geenafstand"/>
              <w:suppressAutoHyphens/>
              <w:rPr>
                <w:rFonts w:ascii="Verdana" w:hAnsi="Verdana"/>
                <w:sz w:val="20"/>
                <w:szCs w:val="20"/>
              </w:rPr>
            </w:pPr>
            <w:r w:rsidRPr="008C3510">
              <w:rPr>
                <w:rFonts w:ascii="Verdana" w:hAnsi="Verdana" w:eastAsia="Times New Roman" w:cs="Times New Roman"/>
                <w:color w:val="000000"/>
                <w:sz w:val="20"/>
                <w:szCs w:val="20"/>
                <w:lang w:eastAsia="nl-NL"/>
              </w:rPr>
              <w:t>Middelen x €1.000</w:t>
            </w:r>
          </w:p>
        </w:tc>
        <w:tc>
          <w:tcPr>
            <w:tcW w:w="1287" w:type="dxa"/>
          </w:tcPr>
          <w:p w:rsidRPr="008C3510" w:rsidR="00765997" w:rsidP="00180EEB" w:rsidRDefault="00765997" w14:paraId="15E03713" w14:textId="77777777">
            <w:pPr>
              <w:pStyle w:val="Geenafstand"/>
              <w:suppressAutoHyphens/>
              <w:rPr>
                <w:rFonts w:ascii="Verdana" w:hAnsi="Verdana"/>
                <w:sz w:val="20"/>
                <w:szCs w:val="20"/>
              </w:rPr>
            </w:pPr>
            <w:r w:rsidRPr="008C3510">
              <w:rPr>
                <w:rFonts w:ascii="Verdana" w:hAnsi="Verdana" w:eastAsia="Times New Roman" w:cs="Times New Roman"/>
                <w:color w:val="000000"/>
                <w:sz w:val="20"/>
                <w:szCs w:val="20"/>
                <w:lang w:eastAsia="nl-NL"/>
              </w:rPr>
              <w:t>1.222</w:t>
            </w:r>
          </w:p>
        </w:tc>
        <w:tc>
          <w:tcPr>
            <w:tcW w:w="1287" w:type="dxa"/>
          </w:tcPr>
          <w:p w:rsidRPr="008C3510" w:rsidR="00765997" w:rsidP="00180EEB" w:rsidRDefault="00765997" w14:paraId="55AD8C53" w14:textId="77777777">
            <w:pPr>
              <w:pStyle w:val="Geenafstand"/>
              <w:suppressAutoHyphens/>
              <w:rPr>
                <w:rFonts w:ascii="Verdana" w:hAnsi="Verdana"/>
                <w:sz w:val="20"/>
                <w:szCs w:val="20"/>
              </w:rPr>
            </w:pPr>
            <w:r w:rsidRPr="008C3510">
              <w:rPr>
                <w:rFonts w:ascii="Verdana" w:hAnsi="Verdana" w:eastAsia="Times New Roman" w:cs="Times New Roman"/>
                <w:color w:val="000000"/>
                <w:sz w:val="20"/>
                <w:szCs w:val="20"/>
                <w:lang w:eastAsia="nl-NL"/>
              </w:rPr>
              <w:t>7.571</w:t>
            </w:r>
          </w:p>
        </w:tc>
        <w:tc>
          <w:tcPr>
            <w:tcW w:w="1288" w:type="dxa"/>
          </w:tcPr>
          <w:p w:rsidRPr="008C3510" w:rsidR="00765997" w:rsidP="00180EEB" w:rsidRDefault="00765997" w14:paraId="7DED1D5F" w14:textId="77777777">
            <w:pPr>
              <w:pStyle w:val="Geenafstand"/>
              <w:suppressAutoHyphens/>
              <w:rPr>
                <w:rFonts w:ascii="Verdana" w:hAnsi="Verdana"/>
                <w:sz w:val="20"/>
                <w:szCs w:val="20"/>
              </w:rPr>
            </w:pPr>
            <w:r w:rsidRPr="008C3510">
              <w:rPr>
                <w:rFonts w:ascii="Verdana" w:hAnsi="Verdana" w:eastAsia="Times New Roman" w:cs="Times New Roman"/>
                <w:color w:val="000000"/>
                <w:sz w:val="20"/>
                <w:szCs w:val="20"/>
                <w:lang w:eastAsia="nl-NL"/>
              </w:rPr>
              <w:t>6.187</w:t>
            </w:r>
          </w:p>
        </w:tc>
        <w:tc>
          <w:tcPr>
            <w:tcW w:w="1288" w:type="dxa"/>
          </w:tcPr>
          <w:p w:rsidRPr="008C3510" w:rsidR="00765997" w:rsidP="00180EEB" w:rsidRDefault="00765997" w14:paraId="0C8CC1D2" w14:textId="77777777">
            <w:pPr>
              <w:pStyle w:val="Geenafstand"/>
              <w:suppressAutoHyphens/>
              <w:rPr>
                <w:rFonts w:ascii="Verdana" w:hAnsi="Verdana"/>
                <w:sz w:val="20"/>
                <w:szCs w:val="20"/>
              </w:rPr>
            </w:pPr>
            <w:r w:rsidRPr="008C3510">
              <w:rPr>
                <w:rFonts w:ascii="Verdana" w:hAnsi="Verdana" w:eastAsia="Times New Roman" w:cs="Times New Roman"/>
                <w:color w:val="000000"/>
                <w:sz w:val="20"/>
                <w:szCs w:val="20"/>
                <w:lang w:eastAsia="nl-NL"/>
              </w:rPr>
              <w:t>4.289</w:t>
            </w:r>
          </w:p>
        </w:tc>
        <w:tc>
          <w:tcPr>
            <w:tcW w:w="1288" w:type="dxa"/>
          </w:tcPr>
          <w:p w:rsidRPr="008C3510" w:rsidR="00765997" w:rsidP="00180EEB" w:rsidRDefault="00765997" w14:paraId="0EF455F5" w14:textId="77777777">
            <w:pPr>
              <w:pStyle w:val="Geenafstand"/>
              <w:suppressAutoHyphens/>
              <w:rPr>
                <w:rFonts w:ascii="Verdana" w:hAnsi="Verdana"/>
                <w:sz w:val="20"/>
                <w:szCs w:val="20"/>
              </w:rPr>
            </w:pPr>
            <w:r w:rsidRPr="008C3510">
              <w:rPr>
                <w:rFonts w:ascii="Verdana" w:hAnsi="Verdana" w:eastAsia="Times New Roman" w:cs="Times New Roman"/>
                <w:color w:val="000000"/>
                <w:sz w:val="20"/>
                <w:szCs w:val="20"/>
                <w:lang w:eastAsia="nl-NL"/>
              </w:rPr>
              <w:t>4.525</w:t>
            </w:r>
          </w:p>
        </w:tc>
        <w:tc>
          <w:tcPr>
            <w:tcW w:w="1288" w:type="dxa"/>
          </w:tcPr>
          <w:p w:rsidRPr="008C3510" w:rsidR="00765997" w:rsidP="00180EEB" w:rsidRDefault="00765997" w14:paraId="4E92421D" w14:textId="77777777">
            <w:pPr>
              <w:pStyle w:val="Geenafstand"/>
              <w:suppressAutoHyphens/>
              <w:rPr>
                <w:rFonts w:ascii="Verdana" w:hAnsi="Verdana"/>
                <w:sz w:val="20"/>
                <w:szCs w:val="20"/>
              </w:rPr>
            </w:pPr>
            <w:r w:rsidRPr="008C3510">
              <w:rPr>
                <w:rFonts w:ascii="Verdana" w:hAnsi="Verdana" w:eastAsia="Times New Roman" w:cs="Times New Roman"/>
                <w:color w:val="000000"/>
                <w:sz w:val="20"/>
                <w:szCs w:val="20"/>
                <w:lang w:eastAsia="nl-NL"/>
              </w:rPr>
              <w:t>4.818</w:t>
            </w:r>
          </w:p>
        </w:tc>
      </w:tr>
    </w:tbl>
    <w:p w:rsidRPr="005F055E" w:rsidR="00765997" w:rsidP="00180EEB" w:rsidRDefault="00765997" w14:paraId="67CEEB1D" w14:textId="77777777">
      <w:pPr>
        <w:pStyle w:val="Geenafstand"/>
        <w:suppressAutoHyphens/>
      </w:pPr>
    </w:p>
    <w:p w:rsidRPr="005F055E" w:rsidR="00765997" w:rsidP="00180EEB" w:rsidRDefault="00765997" w14:paraId="081EA3A9" w14:textId="77777777">
      <w:pPr>
        <w:pStyle w:val="Geenafstand"/>
        <w:suppressAutoHyphens/>
        <w:rPr>
          <w:szCs w:val="18"/>
        </w:rPr>
      </w:pPr>
      <w:r w:rsidRPr="005F055E">
        <w:t xml:space="preserve">De middelen zijn bedoeld voor het terugdringen van achterstanden bij de dagbesteding, de maaltijdservice, de thuiszorg en de maatschappelijke ondersteuning voor de ouderen. </w:t>
      </w:r>
    </w:p>
    <w:p w:rsidRPr="005F055E" w:rsidR="00194494" w:rsidP="00180EEB" w:rsidRDefault="00194494" w14:paraId="06DCBEA7" w14:textId="77777777">
      <w:pPr>
        <w:suppressAutoHyphens/>
      </w:pPr>
    </w:p>
    <w:p w:rsidRPr="005F055E" w:rsidR="00194494" w:rsidP="00180EEB" w:rsidRDefault="003E7003" w14:paraId="28C88EB5" w14:textId="17140F09">
      <w:pPr>
        <w:suppressAutoHyphens/>
      </w:pPr>
      <w:r w:rsidRPr="005F055E">
        <w:t>Vraag 363</w:t>
      </w:r>
    </w:p>
    <w:p w:rsidRPr="005F055E" w:rsidR="00194494" w:rsidP="00180EEB" w:rsidRDefault="003E7003" w14:paraId="6ADD8912" w14:textId="77777777">
      <w:pPr>
        <w:suppressAutoHyphens/>
      </w:pPr>
      <w:r w:rsidRPr="005F055E">
        <w:t>Op welke concrete wijze wordt er gewerkt aan de opbouw van maatschappelijke ondersteuning en de aanpak van huiselijk geweld en kindermishandeling?</w:t>
      </w:r>
    </w:p>
    <w:p w:rsidRPr="005F055E" w:rsidR="003E7003" w:rsidP="00180EEB" w:rsidRDefault="003E7003" w14:paraId="29AE8F2A" w14:textId="6E4BBEA4">
      <w:pPr>
        <w:suppressAutoHyphens/>
      </w:pPr>
      <w:r w:rsidRPr="005F055E">
        <w:t>Antwoord</w:t>
      </w:r>
    </w:p>
    <w:p w:rsidRPr="005F055E" w:rsidR="00765997" w:rsidP="00180EEB" w:rsidRDefault="00765997" w14:paraId="0AAD9C85" w14:textId="77777777">
      <w:pPr>
        <w:suppressAutoHyphens/>
        <w:rPr>
          <w:szCs w:val="18"/>
        </w:rPr>
      </w:pPr>
      <w:r w:rsidRPr="005F055E">
        <w:rPr>
          <w:szCs w:val="18"/>
        </w:rPr>
        <w:t xml:space="preserve">De staatssecretaris van Langdurige en Maatschappelijke Zorg is samen met de VNG opdrachtgever van het ‘houdbaarheidsonderzoek </w:t>
      </w:r>
      <w:proofErr w:type="spellStart"/>
      <w:r w:rsidRPr="005F055E">
        <w:rPr>
          <w:szCs w:val="18"/>
        </w:rPr>
        <w:t>Wmo</w:t>
      </w:r>
      <w:proofErr w:type="spellEnd"/>
      <w:r w:rsidRPr="005F055E">
        <w:rPr>
          <w:szCs w:val="18"/>
        </w:rPr>
        <w:t xml:space="preserve">’. Middels het houdbaarheidsonderzoek wordt gewerkt aan de houdbaarheid en daarmee ook de toekomst van de </w:t>
      </w:r>
      <w:proofErr w:type="spellStart"/>
      <w:r w:rsidRPr="005F055E">
        <w:rPr>
          <w:szCs w:val="18"/>
        </w:rPr>
        <w:t>Wmo</w:t>
      </w:r>
      <w:proofErr w:type="spellEnd"/>
      <w:r w:rsidRPr="005F055E">
        <w:rPr>
          <w:szCs w:val="18"/>
        </w:rPr>
        <w:t xml:space="preserve">. Dit onderzoek gaat onder andere over de verantwoordelijkheidsverdeling tussen Rijk en gemeenten en de balans in taken en middelen. De aanpak van huiselijk geweld wordt uitgevoerd als onderdeel van de </w:t>
      </w:r>
      <w:proofErr w:type="spellStart"/>
      <w:r w:rsidRPr="005F055E">
        <w:rPr>
          <w:szCs w:val="18"/>
        </w:rPr>
        <w:t>Wmo</w:t>
      </w:r>
      <w:proofErr w:type="spellEnd"/>
      <w:r w:rsidRPr="005F055E">
        <w:rPr>
          <w:szCs w:val="18"/>
        </w:rPr>
        <w:t>. In het kader van de aanpak huiselijk geweld, wordt daarnaast gewerkt aan de implementatie van de Europese richtlijn ter bestrijding van geweld tegen vrouwen en huiselijk geweld.</w:t>
      </w:r>
    </w:p>
    <w:p w:rsidRPr="005F055E" w:rsidR="00194494" w:rsidP="00180EEB" w:rsidRDefault="00194494" w14:paraId="6D3CB55C" w14:textId="77777777">
      <w:pPr>
        <w:suppressAutoHyphens/>
      </w:pPr>
    </w:p>
    <w:p w:rsidRPr="005F055E" w:rsidR="00194494" w:rsidP="00180EEB" w:rsidRDefault="003E7003" w14:paraId="499FFAF8" w14:textId="77777777">
      <w:pPr>
        <w:suppressAutoHyphens/>
      </w:pPr>
      <w:r w:rsidRPr="005F055E">
        <w:t>Vraag 364</w:t>
      </w:r>
    </w:p>
    <w:p w:rsidRPr="005F055E" w:rsidR="00194494" w:rsidP="00180EEB" w:rsidRDefault="003E7003" w14:paraId="58E9C445" w14:textId="77777777">
      <w:pPr>
        <w:suppressAutoHyphens/>
      </w:pPr>
      <w:r w:rsidRPr="005F055E">
        <w:t xml:space="preserve">Wat is de omvang van de </w:t>
      </w:r>
      <w:proofErr w:type="spellStart"/>
      <w:r w:rsidRPr="005F055E">
        <w:t>femicide</w:t>
      </w:r>
      <w:proofErr w:type="spellEnd"/>
      <w:r w:rsidRPr="005F055E">
        <w:t xml:space="preserve">-problematiek in Caribisch Nederland en hoe kan Caribisch Nederland meegenomen worden in een aanpak van </w:t>
      </w:r>
      <w:proofErr w:type="spellStart"/>
      <w:r w:rsidRPr="005F055E">
        <w:t>femicide</w:t>
      </w:r>
      <w:proofErr w:type="spellEnd"/>
      <w:r w:rsidRPr="005F055E">
        <w:t>?</w:t>
      </w:r>
      <w:r w:rsidRPr="005F055E">
        <w:tab/>
      </w:r>
    </w:p>
    <w:p w:rsidRPr="005F055E" w:rsidR="003E7003" w:rsidP="00180EEB" w:rsidRDefault="003E7003" w14:paraId="28B70CEF" w14:textId="196BD57C">
      <w:pPr>
        <w:suppressAutoHyphens/>
      </w:pPr>
      <w:r w:rsidRPr="005F055E">
        <w:t>Antwoord</w:t>
      </w:r>
    </w:p>
    <w:p w:rsidRPr="005F055E" w:rsidR="00765997" w:rsidP="00180EEB" w:rsidRDefault="00765997" w14:paraId="2A7D1619" w14:textId="77777777">
      <w:pPr>
        <w:suppressAutoHyphens/>
        <w:rPr>
          <w:szCs w:val="18"/>
        </w:rPr>
      </w:pPr>
      <w:r w:rsidRPr="005F055E">
        <w:rPr>
          <w:szCs w:val="18"/>
        </w:rPr>
        <w:t xml:space="preserve">In zowel 2023 als 2024 is er in Caribisch Nederland in beide afzonderlijke jaren één persoon omgebracht. In beide gevallen betrof het een mannelijk slachtoffer en in beide gevallen vond dit plaats op Bonaire. </w:t>
      </w:r>
    </w:p>
    <w:p w:rsidRPr="005F055E" w:rsidR="00765997" w:rsidP="00180EEB" w:rsidRDefault="00765997" w14:paraId="1BC58E88" w14:textId="310250A5">
      <w:pPr>
        <w:suppressAutoHyphens/>
        <w:rPr>
          <w:i/>
          <w:iCs/>
          <w:szCs w:val="18"/>
        </w:rPr>
      </w:pPr>
      <w:r w:rsidRPr="005F055E">
        <w:rPr>
          <w:szCs w:val="18"/>
        </w:rPr>
        <w:t xml:space="preserve">Hoewel in deze recente jaren geen sprake is geweest van </w:t>
      </w:r>
      <w:proofErr w:type="spellStart"/>
      <w:r w:rsidRPr="005F055E">
        <w:rPr>
          <w:szCs w:val="18"/>
        </w:rPr>
        <w:t>femicide</w:t>
      </w:r>
      <w:proofErr w:type="spellEnd"/>
      <w:r w:rsidRPr="005F055E">
        <w:rPr>
          <w:szCs w:val="18"/>
        </w:rPr>
        <w:t xml:space="preserve"> in Caribisch Nederland,</w:t>
      </w:r>
      <w:r w:rsidR="005A24E4">
        <w:rPr>
          <w:szCs w:val="18"/>
        </w:rPr>
        <w:t xml:space="preserve"> zijn </w:t>
      </w:r>
      <w:r w:rsidRPr="005F055E">
        <w:rPr>
          <w:szCs w:val="18"/>
        </w:rPr>
        <w:t xml:space="preserve"> geweld tegen vrouwen, huiselijk geweld, en kindermishandeling ook in Caribisch Nederland een probleem. Om dit beter te voorkomen en te bestrijden wordt momenteel door de ministeries van VWS, </w:t>
      </w:r>
      <w:proofErr w:type="spellStart"/>
      <w:r w:rsidRPr="005F055E">
        <w:rPr>
          <w:szCs w:val="18"/>
        </w:rPr>
        <w:t>JenV</w:t>
      </w:r>
      <w:proofErr w:type="spellEnd"/>
      <w:r w:rsidRPr="005F055E">
        <w:rPr>
          <w:szCs w:val="18"/>
        </w:rPr>
        <w:t xml:space="preserve">, OCW, SZW en BZK samen met de openbare lichamen van Bonaire, Sint Eustatius en Saba gewerkt aan een gezamenlijke Toekomstvisie voor de aanpak van geweld tegen vrouwen, huiselijk geweld en kindermishandeling in Caribisch Nederland. </w:t>
      </w:r>
    </w:p>
    <w:p w:rsidRPr="005F055E" w:rsidR="00765997" w:rsidP="00180EEB" w:rsidRDefault="00765997" w14:paraId="04F9BBE5" w14:textId="6A420FCF">
      <w:pPr>
        <w:suppressAutoHyphens/>
        <w:rPr>
          <w:szCs w:val="18"/>
        </w:rPr>
      </w:pPr>
      <w:r w:rsidRPr="005F055E">
        <w:rPr>
          <w:szCs w:val="18"/>
        </w:rPr>
        <w:t xml:space="preserve">Deze Toekomstvisie bevat strategische doelen, waarin de vier pijlers van de aanpak van </w:t>
      </w:r>
      <w:proofErr w:type="spellStart"/>
      <w:r w:rsidRPr="005F055E">
        <w:rPr>
          <w:szCs w:val="18"/>
        </w:rPr>
        <w:t>femicide</w:t>
      </w:r>
      <w:proofErr w:type="spellEnd"/>
      <w:r w:rsidRPr="005F055E">
        <w:rPr>
          <w:szCs w:val="18"/>
        </w:rPr>
        <w:t xml:space="preserve"> – primaire preventie, zicht op (dreigend) geweld, interventies en hulpverlening, en inzicht in probleem en aanpak – zijn verwerkt. De strategische doelen die opgesteld worden in de Toekomstvisie, </w:t>
      </w:r>
      <w:r w:rsidR="005A24E4">
        <w:rPr>
          <w:szCs w:val="18"/>
        </w:rPr>
        <w:t xml:space="preserve">word </w:t>
      </w:r>
      <w:r w:rsidRPr="005F055E">
        <w:rPr>
          <w:szCs w:val="18"/>
        </w:rPr>
        <w:t>vertaald naar concrete acties die in het nieuwe gezamenlijke bestuursakkoord komen te staan ter voorbereiding op de bekrachtiging van het Verdrag van Istanbul voor Caribisch Nederland.</w:t>
      </w:r>
    </w:p>
    <w:p w:rsidRPr="005F055E" w:rsidR="00765997" w:rsidP="00180EEB" w:rsidRDefault="00765997" w14:paraId="7BA9F46A" w14:textId="77777777">
      <w:pPr>
        <w:suppressAutoHyphens/>
        <w:rPr>
          <w:szCs w:val="18"/>
        </w:rPr>
      </w:pPr>
      <w:r w:rsidRPr="005F055E">
        <w:rPr>
          <w:szCs w:val="18"/>
        </w:rPr>
        <w:t xml:space="preserve">Daarnaast worden relevante onderdelen uit het Nederlandse plan van aanpak </w:t>
      </w:r>
      <w:r w:rsidRPr="005F055E">
        <w:rPr>
          <w:i/>
          <w:iCs/>
          <w:szCs w:val="18"/>
        </w:rPr>
        <w:t xml:space="preserve">‘Stop </w:t>
      </w:r>
      <w:proofErr w:type="spellStart"/>
      <w:r w:rsidRPr="005F055E">
        <w:rPr>
          <w:i/>
          <w:iCs/>
          <w:szCs w:val="18"/>
        </w:rPr>
        <w:t>femicide</w:t>
      </w:r>
      <w:proofErr w:type="spellEnd"/>
      <w:r w:rsidRPr="005F055E">
        <w:rPr>
          <w:i/>
          <w:iCs/>
          <w:szCs w:val="18"/>
        </w:rPr>
        <w:t xml:space="preserve">!’ </w:t>
      </w:r>
      <w:r w:rsidRPr="005F055E">
        <w:rPr>
          <w:szCs w:val="18"/>
        </w:rPr>
        <w:t>uitgewerkt</w:t>
      </w:r>
      <w:r w:rsidRPr="005F055E">
        <w:rPr>
          <w:i/>
          <w:iCs/>
          <w:szCs w:val="18"/>
        </w:rPr>
        <w:t xml:space="preserve"> </w:t>
      </w:r>
      <w:r w:rsidRPr="005F055E">
        <w:rPr>
          <w:szCs w:val="18"/>
        </w:rPr>
        <w:t xml:space="preserve">naar de behoeften en lokale context van Caribisch Nederland. Dit betreft onder meer de verbetering van veiligheids- en risicobeoordelingen, en de voorbereiding van een wetsvoorstel voor aparte strafbaarstelling van psychisch geweld, waarbij ook de toepassing in Caribisch Nederland wordt betrokken. </w:t>
      </w:r>
    </w:p>
    <w:p w:rsidRPr="005F055E" w:rsidR="00765997" w:rsidP="00180EEB" w:rsidRDefault="00765997" w14:paraId="42127780" w14:textId="03657928">
      <w:pPr>
        <w:suppressAutoHyphens/>
        <w:rPr>
          <w:szCs w:val="18"/>
        </w:rPr>
      </w:pPr>
      <w:r w:rsidRPr="005F055E">
        <w:rPr>
          <w:szCs w:val="18"/>
        </w:rPr>
        <w:t>Dit najaar ontvangt de Kamer een brief met een toelichting op de voortgang van de aanpak van huiselijk geweld, geweld tegen vrouwen en kindermishandeling in Caribisch Nederland. In deze brief wordt ook de stand van zaken rondom de bekrachtiging van het Verdrag van Istanbul uiteengezet.</w:t>
      </w:r>
    </w:p>
    <w:p w:rsidRPr="005F055E" w:rsidR="00CF1801" w:rsidP="00180EEB" w:rsidRDefault="00CF1801" w14:paraId="2F6EF840" w14:textId="77777777">
      <w:pPr>
        <w:suppressAutoHyphens/>
      </w:pPr>
    </w:p>
    <w:p w:rsidRPr="005F055E" w:rsidR="00194494" w:rsidP="00180EEB" w:rsidRDefault="003E7003" w14:paraId="7BDB9BA8" w14:textId="7A15BFE0">
      <w:pPr>
        <w:suppressAutoHyphens/>
      </w:pPr>
      <w:r w:rsidRPr="005F055E">
        <w:t>Vraag 365</w:t>
      </w:r>
    </w:p>
    <w:p w:rsidRPr="005F055E" w:rsidR="00194494" w:rsidP="00180EEB" w:rsidRDefault="003E7003" w14:paraId="11733149" w14:textId="77777777">
      <w:pPr>
        <w:suppressAutoHyphens/>
      </w:pPr>
      <w:r w:rsidRPr="005F055E">
        <w:t>Is de verwachting dat er geen extra uitgaven nodig zijn voor de instandhouding liquiditeitspositie NRG Pallas na 2025?</w:t>
      </w:r>
    </w:p>
    <w:p w:rsidRPr="005F055E" w:rsidR="003E7003" w:rsidP="00180EEB" w:rsidRDefault="003E7003" w14:paraId="1177FC07" w14:textId="264A74E5">
      <w:pPr>
        <w:suppressAutoHyphens/>
      </w:pPr>
      <w:r w:rsidRPr="005F055E">
        <w:t>Antwoord</w:t>
      </w:r>
    </w:p>
    <w:p w:rsidRPr="005F055E" w:rsidR="00765997" w:rsidP="00180EEB" w:rsidRDefault="00765997" w14:paraId="10B9DE78" w14:textId="77777777">
      <w:pPr>
        <w:suppressAutoHyphens/>
        <w:rPr>
          <w:szCs w:val="18"/>
        </w:rPr>
      </w:pPr>
      <w:r w:rsidRPr="005F055E">
        <w:rPr>
          <w:szCs w:val="18"/>
        </w:rPr>
        <w:t xml:space="preserve">Door uitdagende marktontwikkelingen staat de liquiditeitspositie van NRG PALLAS ook in 2026 en verdere jaren onder druk. Daarnaast is er een reële kans op ongeplande stilstand van de HFR (Hoge Flux Reactor), gezien de ouderdom daarvan. Mocht dat zich voordoen, dan zal dat eveneens een negatief effect hebben op de liquiditeitspositie van NRG PALLAS. De Kamer is hierover eerder geïnformeerd bij het kabinetsbesluit van september 2022 om middelen te reserveren voor het PALLAS-nieuwbouwprogramma (zie bijlage bij Kamerstuk 33626, nr. 16). </w:t>
      </w:r>
    </w:p>
    <w:p w:rsidRPr="005F055E" w:rsidR="00765997" w:rsidP="00180EEB" w:rsidRDefault="00765997" w14:paraId="45984F86" w14:textId="77777777">
      <w:pPr>
        <w:suppressAutoHyphens/>
        <w:rPr>
          <w:szCs w:val="18"/>
        </w:rPr>
      </w:pPr>
      <w:r w:rsidRPr="005F055E">
        <w:rPr>
          <w:szCs w:val="18"/>
        </w:rPr>
        <w:t>Het is mede hierdoor niet op voorhand te zeggen dat er geen extra uitgaven nodig zullen zijn voor de instandhouding van de liquiditeitspositie van NRG PALLAS na 2025.</w:t>
      </w:r>
    </w:p>
    <w:p w:rsidRPr="005F055E" w:rsidR="00765997" w:rsidP="00180EEB" w:rsidRDefault="00765997" w14:paraId="1B3D5EDF" w14:textId="77777777">
      <w:pPr>
        <w:suppressAutoHyphens/>
      </w:pPr>
    </w:p>
    <w:p w:rsidRPr="005F055E" w:rsidR="00194494" w:rsidP="00180EEB" w:rsidRDefault="003E7003" w14:paraId="2C003D8E" w14:textId="77777777">
      <w:pPr>
        <w:suppressAutoHyphens/>
      </w:pPr>
      <w:r w:rsidRPr="005F055E">
        <w:t>Vraag 366</w:t>
      </w:r>
    </w:p>
    <w:p w:rsidRPr="005F055E" w:rsidR="00194494" w:rsidP="00180EEB" w:rsidRDefault="003E7003" w14:paraId="5BF5DAB7" w14:textId="77777777">
      <w:pPr>
        <w:suppressAutoHyphens/>
      </w:pPr>
      <w:r w:rsidRPr="005F055E">
        <w:t>Kan de 'dekking OCW begroting' nader worden toegelicht?</w:t>
      </w:r>
    </w:p>
    <w:p w:rsidR="00D544B0" w:rsidP="00180EEB" w:rsidRDefault="00D544B0" w14:paraId="3D72D32D" w14:textId="77777777">
      <w:pPr>
        <w:suppressAutoHyphens/>
      </w:pPr>
    </w:p>
    <w:p w:rsidRPr="005F055E" w:rsidR="003E7003" w:rsidP="00180EEB" w:rsidRDefault="00D544B0" w14:paraId="430C4BCB" w14:textId="413C8F35">
      <w:pPr>
        <w:suppressAutoHyphens/>
      </w:pPr>
      <w:r>
        <w:t>A</w:t>
      </w:r>
      <w:r w:rsidRPr="005F055E" w:rsidR="003E7003">
        <w:t>ntwoord</w:t>
      </w:r>
    </w:p>
    <w:p w:rsidRPr="005F055E" w:rsidR="007E044A" w:rsidP="00180EEB" w:rsidRDefault="007E044A" w14:paraId="60FC1FE0" w14:textId="5661A573">
      <w:pPr>
        <w:suppressAutoHyphens/>
        <w:spacing w:line="240" w:lineRule="atLeast"/>
        <w:rPr>
          <w:szCs w:val="18"/>
          <w:lang w:eastAsia="nl-NL"/>
        </w:rPr>
      </w:pPr>
      <w:r w:rsidRPr="005F055E">
        <w:rPr>
          <w:szCs w:val="18"/>
          <w:lang w:eastAsia="nl-NL"/>
        </w:rPr>
        <w:t>In het amendement Bontenbal c.s. (12 december 2024) wordt een deel van de onderwijsbezuinigingen teruggedraaid. Dit wordt ten dele gedekt door een aanvullende apparaatstaakstelling bij VWS van € 15,1 miljoen structureel. In het amendement is opgenomen dat een bredere, niet-beleidsinhoudelijke invulling van de aanvullende apparaatstaakstelling door de regering mogelijk is, zoals het beperken van de reguliere prijsindexatie. VWS heeft daarop besloten de aanvullende apparaatstaakstelling te dekken vanuit de reguliere loon- en prijsindexatie.</w:t>
      </w:r>
    </w:p>
    <w:p w:rsidRPr="005F055E" w:rsidR="00765997" w:rsidP="00180EEB" w:rsidRDefault="00765997" w14:paraId="28A9ACE9" w14:textId="77777777">
      <w:pPr>
        <w:suppressAutoHyphens/>
      </w:pPr>
    </w:p>
    <w:p w:rsidRPr="005F055E" w:rsidR="00194494" w:rsidP="00180EEB" w:rsidRDefault="003E7003" w14:paraId="2C4FD0A4" w14:textId="77777777">
      <w:pPr>
        <w:suppressAutoHyphens/>
      </w:pPr>
      <w:r w:rsidRPr="005F055E">
        <w:t>Vraag 367</w:t>
      </w:r>
    </w:p>
    <w:p w:rsidRPr="005F055E" w:rsidR="00194494" w:rsidP="00180EEB" w:rsidRDefault="003E7003" w14:paraId="6B6E96F1" w14:textId="77777777">
      <w:pPr>
        <w:suppressAutoHyphens/>
      </w:pPr>
      <w:r w:rsidRPr="005F055E">
        <w:t xml:space="preserve">Kan er nader toegelicht worden waarom een </w:t>
      </w:r>
      <w:proofErr w:type="spellStart"/>
      <w:r w:rsidRPr="005F055E">
        <w:t>Backpay</w:t>
      </w:r>
      <w:proofErr w:type="spellEnd"/>
      <w:r w:rsidRPr="005F055E">
        <w:t>-regeling in 2025 uitvoeringstechnisch niet mogelijk was?</w:t>
      </w:r>
      <w:r w:rsidRPr="005F055E">
        <w:tab/>
      </w:r>
    </w:p>
    <w:p w:rsidRPr="005F055E" w:rsidR="003E7003" w:rsidP="00180EEB" w:rsidRDefault="003E7003" w14:paraId="49C48DE0" w14:textId="0D03F22E">
      <w:pPr>
        <w:suppressAutoHyphens/>
      </w:pPr>
      <w:r w:rsidRPr="005F055E">
        <w:t>Antwoord</w:t>
      </w:r>
    </w:p>
    <w:p w:rsidRPr="005F055E" w:rsidR="00EE5450" w:rsidP="00180EEB" w:rsidRDefault="00EE5450" w14:paraId="52271584" w14:textId="10FD43A8">
      <w:pPr>
        <w:suppressAutoHyphens/>
        <w:spacing w:line="240" w:lineRule="atLeast"/>
        <w:rPr>
          <w:szCs w:val="18"/>
          <w:lang w:eastAsia="nl-NL"/>
        </w:rPr>
      </w:pPr>
      <w:r w:rsidRPr="005F055E">
        <w:rPr>
          <w:szCs w:val="18"/>
          <w:lang w:eastAsia="nl-NL"/>
        </w:rPr>
        <w:t xml:space="preserve">De </w:t>
      </w:r>
      <w:r w:rsidR="00AC5F77">
        <w:rPr>
          <w:szCs w:val="18"/>
          <w:lang w:eastAsia="nl-NL"/>
        </w:rPr>
        <w:t xml:space="preserve">staatssecretaris Jeugd, Preventie en Sport </w:t>
      </w:r>
      <w:r w:rsidRPr="005F055E">
        <w:rPr>
          <w:szCs w:val="18"/>
          <w:lang w:eastAsia="nl-NL"/>
        </w:rPr>
        <w:t xml:space="preserve">is zich bewust dat snelheid vereist is bij de totstandkoming van de </w:t>
      </w:r>
      <w:proofErr w:type="spellStart"/>
      <w:r w:rsidRPr="005F055E">
        <w:rPr>
          <w:szCs w:val="18"/>
          <w:lang w:eastAsia="nl-NL"/>
        </w:rPr>
        <w:t>Backpay</w:t>
      </w:r>
      <w:proofErr w:type="spellEnd"/>
      <w:r w:rsidRPr="005F055E">
        <w:rPr>
          <w:szCs w:val="18"/>
          <w:lang w:eastAsia="nl-NL"/>
        </w:rPr>
        <w:t xml:space="preserve">-regeling voor weduwen. Het gaat immers om mensen die op zeer hoge leeftijd zijn. Tegelijkertijd is het belangrijk dat de regeling zorgvuldig wordt gemaakt, zodat deze goed uitvoerbaar is. Het opstellen van de regelgeving, consulteren van Indische organisaties, verrichten van een uitvoeringstoets, uitvoeren van de internetconsultatie, inventariseren van de fiscale gevolgen van een regeling, zorgdragen voor een goed werkend ICT systeem en oprichten van een team dat de regeling kan uitvoeren (inclusief de werving van gekwalificeerd personeel), kost tijd. Om deze redenen bleek het niet haalbaar om al in 2025 te starten met de uitvoering een </w:t>
      </w:r>
      <w:proofErr w:type="spellStart"/>
      <w:r w:rsidRPr="005F055E" w:rsidR="001B3826">
        <w:rPr>
          <w:szCs w:val="18"/>
          <w:lang w:eastAsia="nl-NL"/>
        </w:rPr>
        <w:t>Backpay</w:t>
      </w:r>
      <w:proofErr w:type="spellEnd"/>
      <w:r w:rsidRPr="005F055E">
        <w:rPr>
          <w:szCs w:val="18"/>
          <w:lang w:eastAsia="nl-NL"/>
        </w:rPr>
        <w:t>-regeling voor weduwen.</w:t>
      </w:r>
    </w:p>
    <w:p w:rsidRPr="005F055E" w:rsidR="00EE5450" w:rsidP="00180EEB" w:rsidRDefault="00EE5450" w14:paraId="55CE8F04" w14:textId="77777777">
      <w:pPr>
        <w:suppressAutoHyphens/>
      </w:pPr>
    </w:p>
    <w:p w:rsidRPr="005F055E" w:rsidR="00194494" w:rsidP="00180EEB" w:rsidRDefault="003E7003" w14:paraId="00D870BC" w14:textId="77777777">
      <w:pPr>
        <w:suppressAutoHyphens/>
      </w:pPr>
      <w:r w:rsidRPr="005F055E">
        <w:t>Vraag 368</w:t>
      </w:r>
    </w:p>
    <w:p w:rsidRPr="005F055E" w:rsidR="00194494" w:rsidP="00180EEB" w:rsidRDefault="003E7003" w14:paraId="26AC9645" w14:textId="77777777">
      <w:pPr>
        <w:suppressAutoHyphens/>
      </w:pPr>
      <w:r w:rsidRPr="005F055E">
        <w:t xml:space="preserve">Hoe wordt gewaarborgd dat de </w:t>
      </w:r>
      <w:proofErr w:type="spellStart"/>
      <w:r w:rsidRPr="005F055E">
        <w:t>Backpay</w:t>
      </w:r>
      <w:proofErr w:type="spellEnd"/>
      <w:r w:rsidRPr="005F055E">
        <w:t>-regeling doorgang kan vinden bij toekomstige kabinetten?</w:t>
      </w:r>
    </w:p>
    <w:p w:rsidRPr="005F055E" w:rsidR="003E7003" w:rsidP="00180EEB" w:rsidRDefault="003E7003" w14:paraId="1483B021" w14:textId="0C8A09F4">
      <w:pPr>
        <w:suppressAutoHyphens/>
      </w:pPr>
      <w:r w:rsidRPr="005F055E">
        <w:t>Antwoord</w:t>
      </w:r>
    </w:p>
    <w:p w:rsidRPr="005F055E" w:rsidR="00EE5450" w:rsidP="00180EEB" w:rsidRDefault="00EE5450" w14:paraId="0ED5D659" w14:textId="5F192FA3">
      <w:pPr>
        <w:suppressAutoHyphens/>
        <w:spacing w:line="240" w:lineRule="atLeast"/>
        <w:rPr>
          <w:szCs w:val="18"/>
          <w:lang w:eastAsia="nl-NL"/>
        </w:rPr>
      </w:pPr>
      <w:r w:rsidRPr="005F055E">
        <w:rPr>
          <w:szCs w:val="18"/>
          <w:lang w:eastAsia="nl-NL"/>
        </w:rPr>
        <w:t xml:space="preserve">Het kabinet heeft besloten om €50 miljoen euro te reserveren voor een </w:t>
      </w:r>
      <w:proofErr w:type="spellStart"/>
      <w:r w:rsidR="005F055E">
        <w:rPr>
          <w:szCs w:val="18"/>
          <w:lang w:eastAsia="nl-NL"/>
        </w:rPr>
        <w:t>B</w:t>
      </w:r>
      <w:r w:rsidRPr="005F055E">
        <w:rPr>
          <w:szCs w:val="18"/>
          <w:lang w:eastAsia="nl-NL"/>
        </w:rPr>
        <w:t>ackpay</w:t>
      </w:r>
      <w:proofErr w:type="spellEnd"/>
      <w:r w:rsidRPr="005F055E">
        <w:rPr>
          <w:szCs w:val="18"/>
          <w:lang w:eastAsia="nl-NL"/>
        </w:rPr>
        <w:t>-regeling voor weduwen. Momenteel wordt gewerkt aan het vormgeven van de regeling. Naar verwachting zal eind dit jaar gestart kunnen worden met de uitvoeringstoets. Nadat de uitvoeringstoets heeft plaatsgevonden krijgen organisaties en burgers via de internetconsultatie zes weken de tijd om commentaar te geven op de concept</w:t>
      </w:r>
      <w:r w:rsidR="00BF5C87">
        <w:rPr>
          <w:szCs w:val="18"/>
          <w:lang w:eastAsia="nl-NL"/>
        </w:rPr>
        <w:t>-</w:t>
      </w:r>
      <w:r w:rsidRPr="005F055E">
        <w:rPr>
          <w:szCs w:val="18"/>
          <w:lang w:eastAsia="nl-NL"/>
        </w:rPr>
        <w:t>regeling. Het is waarschijnlijk aan een nieuw kabinet, in afstemming met de nieuw gekozen Tweede Kamer, om vervolgens een besluit te nemen over de vormgeving van de definitieve regeling en de invoering daarvan.</w:t>
      </w:r>
    </w:p>
    <w:p w:rsidRPr="005F055E" w:rsidR="00EE5450" w:rsidP="00180EEB" w:rsidRDefault="00EE5450" w14:paraId="0318DC80" w14:textId="77777777">
      <w:pPr>
        <w:suppressAutoHyphens/>
        <w:spacing w:line="240" w:lineRule="atLeast"/>
      </w:pPr>
    </w:p>
    <w:p w:rsidRPr="005F055E" w:rsidR="00194494" w:rsidP="00180EEB" w:rsidRDefault="003E7003" w14:paraId="096B00CF" w14:textId="77777777">
      <w:pPr>
        <w:suppressAutoHyphens/>
      </w:pPr>
      <w:r w:rsidRPr="005F055E">
        <w:t>Vraag 369</w:t>
      </w:r>
    </w:p>
    <w:p w:rsidRPr="005F055E" w:rsidR="00194494" w:rsidP="00180EEB" w:rsidRDefault="003E7003" w14:paraId="59F7268E" w14:textId="77777777">
      <w:pPr>
        <w:suppressAutoHyphens/>
      </w:pPr>
      <w:r w:rsidRPr="005F055E">
        <w:t>Hoe groot is het arbeidsmarkttekort in de ouderenzorg momenteel?</w:t>
      </w:r>
      <w:r w:rsidRPr="005F055E">
        <w:tab/>
      </w:r>
    </w:p>
    <w:p w:rsidRPr="005F055E" w:rsidR="003E7003" w:rsidP="00180EEB" w:rsidRDefault="003E7003" w14:paraId="1B08AF18" w14:textId="690AAF62">
      <w:pPr>
        <w:suppressAutoHyphens/>
      </w:pPr>
      <w:r w:rsidRPr="005F055E">
        <w:t>Antwoord</w:t>
      </w:r>
    </w:p>
    <w:p w:rsidRPr="005F055E" w:rsidR="00194494" w:rsidP="00180EEB" w:rsidRDefault="00765997" w14:paraId="7D4A25D5" w14:textId="712187C4">
      <w:pPr>
        <w:suppressAutoHyphens/>
        <w:rPr>
          <w:szCs w:val="18"/>
        </w:rPr>
      </w:pPr>
      <w:r w:rsidRPr="005F055E">
        <w:rPr>
          <w:szCs w:val="18"/>
        </w:rPr>
        <w:t>Er zijn geen cijfers beschikbaar over de actuele tekorten per branche. Wel zijn er cijfers beschikbaar op basis van de laatste prognose van najaar 2024. Het verwachte tekort in 2025 in de ouderenzorg bedraagt 22.400 werknemers.</w:t>
      </w:r>
    </w:p>
    <w:p w:rsidRPr="005F055E" w:rsidR="00765997" w:rsidP="00180EEB" w:rsidRDefault="00765997" w14:paraId="52D9F33B" w14:textId="77777777">
      <w:pPr>
        <w:suppressAutoHyphens/>
      </w:pPr>
    </w:p>
    <w:p w:rsidRPr="005F055E" w:rsidR="00194494" w:rsidP="00180EEB" w:rsidRDefault="003E7003" w14:paraId="53C26DDB" w14:textId="77777777">
      <w:pPr>
        <w:suppressAutoHyphens/>
      </w:pPr>
      <w:r w:rsidRPr="005F055E">
        <w:t>Vraag 370</w:t>
      </w:r>
    </w:p>
    <w:p w:rsidRPr="005F055E" w:rsidR="00194494" w:rsidP="00180EEB" w:rsidRDefault="003E7003" w14:paraId="745A0590" w14:textId="77777777">
      <w:pPr>
        <w:suppressAutoHyphens/>
      </w:pPr>
      <w:r w:rsidRPr="005F055E">
        <w:t>Hoe groot is het arbeidsmarkttekort in de gehandicaptenzorg momenteel?</w:t>
      </w:r>
    </w:p>
    <w:p w:rsidR="00D544B0" w:rsidP="00180EEB" w:rsidRDefault="00D544B0" w14:paraId="27A007BA" w14:textId="77777777">
      <w:pPr>
        <w:suppressAutoHyphens/>
      </w:pPr>
    </w:p>
    <w:p w:rsidRPr="005F055E" w:rsidR="003E7003" w:rsidP="00180EEB" w:rsidRDefault="003E7003" w14:paraId="3731DBAC" w14:textId="4B4EC31D">
      <w:pPr>
        <w:suppressAutoHyphens/>
      </w:pPr>
      <w:r w:rsidRPr="005F055E">
        <w:t>Antwoord</w:t>
      </w:r>
    </w:p>
    <w:p w:rsidRPr="005F055E" w:rsidR="00194494" w:rsidP="00180EEB" w:rsidRDefault="00765997" w14:paraId="243DE852" w14:textId="2E625A86">
      <w:pPr>
        <w:suppressAutoHyphens/>
        <w:rPr>
          <w:szCs w:val="18"/>
        </w:rPr>
      </w:pPr>
      <w:r w:rsidRPr="005F055E">
        <w:rPr>
          <w:szCs w:val="18"/>
        </w:rPr>
        <w:t>Er zijn geen cijfers beschikbaar over de actuele tekorten per branche. Wel zijn er cijfers beschikbaar op basis van de laatste prognose van najaar 2024. Het verwachte tekort in 2025 in de gehandicaptenzorg bedraagt 9.700 werknemers.</w:t>
      </w:r>
    </w:p>
    <w:p w:rsidRPr="005F055E" w:rsidR="00765997" w:rsidP="00180EEB" w:rsidRDefault="00765997" w14:paraId="4440C6CD" w14:textId="77777777">
      <w:pPr>
        <w:suppressAutoHyphens/>
      </w:pPr>
    </w:p>
    <w:p w:rsidRPr="005F055E" w:rsidR="00194494" w:rsidP="00180EEB" w:rsidRDefault="003E7003" w14:paraId="215BE7F5" w14:textId="77777777">
      <w:pPr>
        <w:suppressAutoHyphens/>
      </w:pPr>
      <w:r w:rsidRPr="005F055E">
        <w:t>Vraag 371</w:t>
      </w:r>
    </w:p>
    <w:p w:rsidRPr="005F055E" w:rsidR="00194494" w:rsidP="00180EEB" w:rsidRDefault="003E7003" w14:paraId="7D564D2C" w14:textId="77777777">
      <w:pPr>
        <w:suppressAutoHyphens/>
      </w:pPr>
      <w:r w:rsidRPr="005F055E">
        <w:t>Hoe wordt het structurele bedrag voor vrouwenopvang in 2026 verdeeld over gemeenten, en hoe wordt de doorstroom verbeterd?</w:t>
      </w:r>
    </w:p>
    <w:p w:rsidRPr="005F055E" w:rsidR="003E7003" w:rsidP="00180EEB" w:rsidRDefault="003E7003" w14:paraId="0EC538EB" w14:textId="380044A5">
      <w:pPr>
        <w:suppressAutoHyphens/>
      </w:pPr>
      <w:r w:rsidRPr="005F055E">
        <w:t>Antwoord</w:t>
      </w:r>
    </w:p>
    <w:p w:rsidRPr="005F055E" w:rsidR="00EE5450" w:rsidP="00180EEB" w:rsidRDefault="00EE5450" w14:paraId="1DCA653F" w14:textId="77777777">
      <w:pPr>
        <w:suppressAutoHyphens/>
        <w:spacing w:line="240" w:lineRule="atLeast"/>
        <w:rPr>
          <w:szCs w:val="18"/>
          <w:lang w:eastAsia="nl-NL"/>
        </w:rPr>
      </w:pPr>
      <w:r w:rsidRPr="005F055E">
        <w:rPr>
          <w:szCs w:val="18"/>
          <w:lang w:eastAsia="nl-NL"/>
        </w:rPr>
        <w:t>De aanvullende financiële middelen van structureel € 12 miljoen zijn toegevoegd aan de decentralisatie-uitkering vrouwenopvang (DUVO). Over de nadere afspraken en verdeling van deze middelen vindt nog afstemming plaats tussen Rijk en gemeenten. De verwachting is dat de daadwerkelijke verdeling wordt opgenomen in de decembercirculaire 2025. Welke inzet gemeenten plegen voor de verbetering van de doorstroom uit de vrouwenopvang kan verschillen. Vanuit het gedecentraliseerde stelsel bestaat beleidsvrijheid voor gemeenten voor de invulling van dergelijke inzet.</w:t>
      </w:r>
    </w:p>
    <w:p w:rsidRPr="005F055E" w:rsidR="002B7541" w:rsidP="00180EEB" w:rsidRDefault="002B7541" w14:paraId="02F40F96" w14:textId="77777777">
      <w:pPr>
        <w:suppressAutoHyphens/>
      </w:pPr>
    </w:p>
    <w:p w:rsidR="00180EEB" w:rsidP="00180EEB" w:rsidRDefault="00180EEB" w14:paraId="656DFA1B" w14:textId="77777777">
      <w:pPr>
        <w:suppressAutoHyphens/>
      </w:pPr>
    </w:p>
    <w:p w:rsidRPr="005F055E" w:rsidR="00194494" w:rsidP="00180EEB" w:rsidRDefault="003E7003" w14:paraId="26880498" w14:textId="314955D1">
      <w:pPr>
        <w:suppressAutoHyphens/>
      </w:pPr>
      <w:r w:rsidRPr="005F055E">
        <w:t>Vraag 372</w:t>
      </w:r>
    </w:p>
    <w:p w:rsidRPr="005F055E" w:rsidR="00194494" w:rsidP="00180EEB" w:rsidRDefault="003E7003" w14:paraId="654D2429" w14:textId="77777777">
      <w:pPr>
        <w:suppressAutoHyphens/>
      </w:pPr>
      <w:r w:rsidRPr="005F055E">
        <w:t>Is VWS voldoende betrokken bij de overheveling van de AI-middelen naar de EZ-begroting? Hoe wordt gemonitord of dit zal bijdragen aan de AZWA-doelstellingen om met inzet van AI administratieve lasten in de zorg te verlichten? Is duidelijk welk aandeel hiervan voor welke delen van de zorg wordt ingezet?</w:t>
      </w:r>
      <w:r w:rsidRPr="005F055E">
        <w:tab/>
      </w:r>
    </w:p>
    <w:p w:rsidRPr="005F055E" w:rsidR="003E7003" w:rsidP="00180EEB" w:rsidRDefault="003E7003" w14:paraId="3F254445" w14:textId="4B24FEBB">
      <w:pPr>
        <w:suppressAutoHyphens/>
      </w:pPr>
      <w:r w:rsidRPr="005F055E">
        <w:t>Antwoord</w:t>
      </w:r>
    </w:p>
    <w:p w:rsidRPr="005F055E" w:rsidR="00B90292" w:rsidP="00180EEB" w:rsidRDefault="00B90292" w14:paraId="24838CED" w14:textId="77777777">
      <w:pPr>
        <w:tabs>
          <w:tab w:val="left" w:pos="2220"/>
        </w:tabs>
        <w:suppressAutoHyphens/>
        <w:spacing w:line="240" w:lineRule="atLeast"/>
        <w:rPr>
          <w:szCs w:val="18"/>
          <w:lang w:eastAsia="nl-NL"/>
        </w:rPr>
      </w:pPr>
      <w:r w:rsidRPr="005F055E">
        <w:rPr>
          <w:szCs w:val="18"/>
          <w:lang w:eastAsia="nl-NL"/>
        </w:rPr>
        <w:t xml:space="preserve">Ja, de financiële bijdrage van VWS is vastgelegd en wordt onderdeel van de bijdrage van Rijk en regio aan de investering in een AI-fabriek in Groningen. De afstemming daarover tussen EZ en VWS loopt goed. De precieze </w:t>
      </w:r>
      <w:proofErr w:type="spellStart"/>
      <w:r w:rsidRPr="005F055E">
        <w:rPr>
          <w:szCs w:val="18"/>
          <w:lang w:eastAsia="nl-NL"/>
        </w:rPr>
        <w:t>governance</w:t>
      </w:r>
      <w:proofErr w:type="spellEnd"/>
      <w:r w:rsidRPr="005F055E">
        <w:rPr>
          <w:szCs w:val="18"/>
          <w:lang w:eastAsia="nl-NL"/>
        </w:rPr>
        <w:t xml:space="preserve"> van de AI-fabriek wordt de komende periode nog uitgewerkt. Ook de monitoring van de bijdrage van de inzet van AI aan de AZWA-doelstellingen wordt op dit moment nog ingericht. Er kan nu dus niet gespecifieerd worden wat de bijdrage van de AI-fabriek aan de AZWA-doelstellingen gaat zijn.</w:t>
      </w:r>
    </w:p>
    <w:p w:rsidRPr="005F055E" w:rsidR="00B90292" w:rsidP="00180EEB" w:rsidRDefault="00B90292" w14:paraId="43E0DCCD" w14:textId="77777777">
      <w:pPr>
        <w:suppressAutoHyphens/>
      </w:pPr>
    </w:p>
    <w:p w:rsidRPr="005F055E" w:rsidR="00194494" w:rsidP="00180EEB" w:rsidRDefault="003E7003" w14:paraId="28324B23" w14:textId="77777777">
      <w:pPr>
        <w:suppressAutoHyphens/>
      </w:pPr>
      <w:r w:rsidRPr="005F055E">
        <w:t>Vraag 373</w:t>
      </w:r>
    </w:p>
    <w:p w:rsidRPr="005F055E" w:rsidR="00194494" w:rsidP="00180EEB" w:rsidRDefault="003E7003" w14:paraId="4590FAB9" w14:textId="77777777">
      <w:pPr>
        <w:suppressAutoHyphens/>
      </w:pPr>
      <w:r w:rsidRPr="005F055E">
        <w:t>Waar wordt de €1 miljoen aan besteed voor de Staatscommissie Zorgstelsel?</w:t>
      </w:r>
      <w:r w:rsidRPr="005F055E">
        <w:tab/>
      </w:r>
    </w:p>
    <w:p w:rsidRPr="005F055E" w:rsidR="003E7003" w:rsidP="00180EEB" w:rsidRDefault="003E7003" w14:paraId="13B8EE0D" w14:textId="2C7953CF">
      <w:pPr>
        <w:suppressAutoHyphens/>
      </w:pPr>
      <w:r w:rsidRPr="005F055E">
        <w:t>Antwoord</w:t>
      </w:r>
    </w:p>
    <w:p w:rsidRPr="005F055E" w:rsidR="00EE5450" w:rsidP="00180EEB" w:rsidRDefault="00EE5450" w14:paraId="510C0B42" w14:textId="30631682">
      <w:pPr>
        <w:suppressAutoHyphens/>
        <w:spacing w:line="240" w:lineRule="atLeast"/>
        <w:rPr>
          <w:szCs w:val="20"/>
          <w:lang w:eastAsia="nl-NL"/>
        </w:rPr>
      </w:pPr>
      <w:r w:rsidRPr="005F055E">
        <w:rPr>
          <w:szCs w:val="20"/>
          <w:lang w:eastAsia="nl-NL"/>
        </w:rPr>
        <w:t>Op 24 oktober 2024 is tijdens de Begrotingsbehandeling VWS 2025 de motie Krul c.s. ingediend en aangenomen over het treffen van voorbereidingen voor een staatscommissie voor advisering over een toekomstbestendige en weerbare inrichting van het Nederlandse zorgstelsel.</w:t>
      </w:r>
      <w:r w:rsidRPr="005F055E">
        <w:rPr>
          <w:szCs w:val="20"/>
          <w:vertAlign w:val="superscript"/>
          <w:lang w:eastAsia="nl-NL"/>
        </w:rPr>
        <w:footnoteReference w:id="141"/>
      </w:r>
      <w:r w:rsidRPr="005F055E">
        <w:rPr>
          <w:szCs w:val="20"/>
          <w:lang w:eastAsia="nl-NL"/>
        </w:rPr>
        <w:t xml:space="preserve"> </w:t>
      </w:r>
    </w:p>
    <w:p w:rsidRPr="005F055E" w:rsidR="00EE5450" w:rsidP="00180EEB" w:rsidRDefault="00EE5450" w14:paraId="5618CEF2" w14:textId="77777777">
      <w:pPr>
        <w:suppressAutoHyphens/>
        <w:spacing w:line="240" w:lineRule="atLeast"/>
        <w:rPr>
          <w:szCs w:val="18"/>
          <w:lang w:eastAsia="nl-NL"/>
        </w:rPr>
      </w:pPr>
      <w:r w:rsidRPr="005F055E">
        <w:rPr>
          <w:szCs w:val="18"/>
          <w:lang w:eastAsia="nl-NL"/>
        </w:rPr>
        <w:t>Ervaringen met andere staatscommissies in het recente verleden laten zien dat de gemiddelde looptijd 1,5 tot 2 jaar is en dat de kosten ongeveer € 1 miljoen per jaar bedragen. Het grootste deel van deze kosten betreft personele kosten voor de leden van zowel de staatscommissie als het secretariaat dat de staatscommissie ondersteunt gedurende de looptijd. Daarnaast is rekening gehouden met huisvestingskosten, eventuele kosten voor extern onderzoek en kosten voor drukwerk.</w:t>
      </w:r>
    </w:p>
    <w:p w:rsidRPr="005F055E" w:rsidR="00765997" w:rsidP="00180EEB" w:rsidRDefault="00765997" w14:paraId="304F6344" w14:textId="77777777">
      <w:pPr>
        <w:suppressAutoHyphens/>
      </w:pPr>
    </w:p>
    <w:p w:rsidRPr="005F055E" w:rsidR="00194494" w:rsidP="00180EEB" w:rsidRDefault="003E7003" w14:paraId="35886D64" w14:textId="77777777">
      <w:pPr>
        <w:suppressAutoHyphens/>
      </w:pPr>
      <w:r w:rsidRPr="005F055E">
        <w:t>Vraag 374</w:t>
      </w:r>
    </w:p>
    <w:p w:rsidRPr="005F055E" w:rsidR="00194494" w:rsidP="00180EEB" w:rsidRDefault="003E7003" w14:paraId="2873C2D7" w14:textId="77777777">
      <w:pPr>
        <w:suppressAutoHyphens/>
      </w:pPr>
      <w:r w:rsidRPr="005F055E">
        <w:t xml:space="preserve">Is er in 2026 een €225 miljoen mutatie opgenomen voor “uitstel vervanging abonnementstarief </w:t>
      </w:r>
      <w:proofErr w:type="spellStart"/>
      <w:r w:rsidRPr="005F055E">
        <w:t>Wmo</w:t>
      </w:r>
      <w:proofErr w:type="spellEnd"/>
      <w:r w:rsidRPr="005F055E">
        <w:t>” en welke beleids- en inkomenseffecten zijn hiermee verondersteld?</w:t>
      </w:r>
      <w:r w:rsidRPr="005F055E">
        <w:tab/>
      </w:r>
    </w:p>
    <w:p w:rsidRPr="005F055E" w:rsidR="003E7003" w:rsidP="00180EEB" w:rsidRDefault="003E7003" w14:paraId="38911A2D" w14:textId="4DD967E6">
      <w:pPr>
        <w:suppressAutoHyphens/>
      </w:pPr>
      <w:r w:rsidRPr="005F055E">
        <w:t>Antwoord</w:t>
      </w:r>
    </w:p>
    <w:p w:rsidRPr="005F055E" w:rsidR="007E044A" w:rsidP="00180EEB" w:rsidRDefault="007E044A" w14:paraId="15081979" w14:textId="58C96926">
      <w:pPr>
        <w:suppressAutoHyphens/>
        <w:spacing w:line="240" w:lineRule="atLeast"/>
        <w:rPr>
          <w:szCs w:val="18"/>
          <w:lang w:eastAsia="nl-NL"/>
        </w:rPr>
      </w:pPr>
      <w:r w:rsidRPr="005F055E">
        <w:rPr>
          <w:szCs w:val="18"/>
          <w:lang w:eastAsia="nl-NL"/>
        </w:rPr>
        <w:t xml:space="preserve">Bij Voorjaarsnota 2023 is besloten met ingang van 2026 structureel € 225 miljoen uit te nemen uit het Gemeentefonds in verband met de vervanging van het abonnementstarief </w:t>
      </w:r>
      <w:proofErr w:type="spellStart"/>
      <w:r w:rsidRPr="005F055E">
        <w:rPr>
          <w:szCs w:val="18"/>
          <w:lang w:eastAsia="nl-NL"/>
        </w:rPr>
        <w:t>Wmo</w:t>
      </w:r>
      <w:proofErr w:type="spellEnd"/>
      <w:r w:rsidRPr="005F055E">
        <w:rPr>
          <w:szCs w:val="18"/>
          <w:lang w:eastAsia="nl-NL"/>
        </w:rPr>
        <w:t xml:space="preserve"> 2015 door een inkomens- en vermogensafhankelijke eigen bijdrage (</w:t>
      </w:r>
      <w:proofErr w:type="spellStart"/>
      <w:r w:rsidRPr="005F055E">
        <w:rPr>
          <w:szCs w:val="18"/>
          <w:lang w:eastAsia="nl-NL"/>
        </w:rPr>
        <w:t>ivb</w:t>
      </w:r>
      <w:proofErr w:type="spellEnd"/>
      <w:r w:rsidRPr="005F055E">
        <w:rPr>
          <w:szCs w:val="18"/>
          <w:lang w:eastAsia="nl-NL"/>
        </w:rPr>
        <w:t>).</w:t>
      </w:r>
      <w:r w:rsidRPr="005F055E">
        <w:rPr>
          <w:rFonts w:eastAsia="Verdana"/>
          <w:szCs w:val="18"/>
          <w:vertAlign w:val="superscript"/>
          <w:lang w:eastAsia="nl-NL"/>
        </w:rPr>
        <w:footnoteReference w:id="142"/>
      </w:r>
      <w:r w:rsidRPr="005F055E">
        <w:rPr>
          <w:szCs w:val="18"/>
          <w:lang w:eastAsia="nl-NL"/>
        </w:rPr>
        <w:t xml:space="preserve"> Bij brief van 20 december 2024</w:t>
      </w:r>
      <w:r w:rsidRPr="005F055E">
        <w:rPr>
          <w:b/>
          <w:bCs/>
          <w:szCs w:val="18"/>
          <w:lang w:eastAsia="nl-NL"/>
        </w:rPr>
        <w:t xml:space="preserve"> </w:t>
      </w:r>
      <w:r w:rsidRPr="005F055E">
        <w:rPr>
          <w:szCs w:val="18"/>
          <w:lang w:eastAsia="nl-NL"/>
        </w:rPr>
        <w:t xml:space="preserve">heeft de toenmalig staatssecretaris Langdurige en Maatschappelijke Zorg echter aan uw Kamer laten weten dat de hierbij behorende planning, die gericht was op invoering van de </w:t>
      </w:r>
      <w:proofErr w:type="spellStart"/>
      <w:r w:rsidRPr="005F055E">
        <w:rPr>
          <w:szCs w:val="18"/>
          <w:lang w:eastAsia="nl-NL"/>
        </w:rPr>
        <w:t>ivb</w:t>
      </w:r>
      <w:proofErr w:type="spellEnd"/>
      <w:r w:rsidRPr="005F055E">
        <w:rPr>
          <w:szCs w:val="18"/>
          <w:lang w:eastAsia="nl-NL"/>
        </w:rPr>
        <w:t xml:space="preserve"> per 1 januari 2026, niet meer realistisch was. Daarbij werd de beoogde implementatiedatum verschoven naar 1 januari 2027.</w:t>
      </w:r>
      <w:r w:rsidRPr="005F055E">
        <w:rPr>
          <w:rFonts w:eastAsia="Verdana"/>
          <w:szCs w:val="18"/>
          <w:vertAlign w:val="superscript"/>
          <w:lang w:eastAsia="nl-NL"/>
        </w:rPr>
        <w:footnoteReference w:id="143"/>
      </w:r>
      <w:r w:rsidRPr="005F055E">
        <w:rPr>
          <w:szCs w:val="18"/>
          <w:lang w:eastAsia="nl-NL"/>
        </w:rPr>
        <w:t xml:space="preserve"> Aansluitend hierbij is bij Voorjaarsnota 2025 de bovengenoemde </w:t>
      </w:r>
      <w:proofErr w:type="spellStart"/>
      <w:r w:rsidRPr="005F055E">
        <w:rPr>
          <w:szCs w:val="18"/>
          <w:lang w:eastAsia="nl-NL"/>
        </w:rPr>
        <w:t>uitname</w:t>
      </w:r>
      <w:proofErr w:type="spellEnd"/>
      <w:r w:rsidRPr="005F055E">
        <w:rPr>
          <w:szCs w:val="18"/>
          <w:lang w:eastAsia="nl-NL"/>
        </w:rPr>
        <w:t xml:space="preserve"> van € 225 miljoen uit het Gemeentefonds voor specifiek het jaar 2026 teruggedraaid,</w:t>
      </w:r>
      <w:r w:rsidRPr="005F055E">
        <w:rPr>
          <w:rFonts w:eastAsia="Verdana"/>
          <w:szCs w:val="18"/>
          <w:vertAlign w:val="superscript"/>
          <w:lang w:eastAsia="nl-NL"/>
        </w:rPr>
        <w:footnoteReference w:id="144"/>
      </w:r>
      <w:r w:rsidRPr="005F055E">
        <w:rPr>
          <w:szCs w:val="18"/>
          <w:lang w:eastAsia="nl-NL"/>
        </w:rPr>
        <w:t xml:space="preserve"> deze middelen zijn overgeheveld van de VWS-begroting naar het Gemeentefonds.</w:t>
      </w:r>
    </w:p>
    <w:p w:rsidRPr="005F055E" w:rsidR="00194494" w:rsidP="00180EEB" w:rsidRDefault="007E044A" w14:paraId="1ECC9BC6" w14:textId="6EDEC04E">
      <w:pPr>
        <w:suppressAutoHyphens/>
        <w:spacing w:line="240" w:lineRule="atLeast"/>
        <w:rPr>
          <w:szCs w:val="18"/>
          <w:lang w:eastAsia="nl-NL"/>
        </w:rPr>
      </w:pPr>
      <w:r w:rsidRPr="005F055E">
        <w:rPr>
          <w:szCs w:val="18"/>
          <w:lang w:eastAsia="nl-NL"/>
        </w:rPr>
        <w:t xml:space="preserve">Het verschuiven van de implementatiedatum van de </w:t>
      </w:r>
      <w:proofErr w:type="spellStart"/>
      <w:r w:rsidRPr="005F055E">
        <w:rPr>
          <w:szCs w:val="18"/>
          <w:lang w:eastAsia="nl-NL"/>
        </w:rPr>
        <w:t>ivb</w:t>
      </w:r>
      <w:proofErr w:type="spellEnd"/>
      <w:r w:rsidRPr="005F055E">
        <w:rPr>
          <w:szCs w:val="18"/>
          <w:lang w:eastAsia="nl-NL"/>
        </w:rPr>
        <w:t xml:space="preserve"> heeft tot gevolg dat de beleids- en inkomenseffecten van de </w:t>
      </w:r>
      <w:proofErr w:type="spellStart"/>
      <w:r w:rsidRPr="005F055E">
        <w:rPr>
          <w:szCs w:val="18"/>
          <w:lang w:eastAsia="nl-NL"/>
        </w:rPr>
        <w:t>ivb</w:t>
      </w:r>
      <w:proofErr w:type="spellEnd"/>
      <w:r w:rsidRPr="005F055E">
        <w:rPr>
          <w:szCs w:val="18"/>
          <w:lang w:eastAsia="nl-NL"/>
        </w:rPr>
        <w:t xml:space="preserve"> in de tijd zullen mee schuiven. Voor een uiteenzetting van de beleids- en inkomenseffecten van de </w:t>
      </w:r>
      <w:proofErr w:type="spellStart"/>
      <w:r w:rsidRPr="005F055E">
        <w:rPr>
          <w:szCs w:val="18"/>
          <w:lang w:eastAsia="nl-NL"/>
        </w:rPr>
        <w:t>ivb</w:t>
      </w:r>
      <w:proofErr w:type="spellEnd"/>
      <w:r w:rsidRPr="005F055E">
        <w:rPr>
          <w:szCs w:val="18"/>
          <w:lang w:eastAsia="nl-NL"/>
        </w:rPr>
        <w:t xml:space="preserve">, verwijs ik u naar de memorie van toelichting en de nota naar aanleiding van het verslag bij het voorstel van Wet vervanging abonnementstarief </w:t>
      </w:r>
      <w:proofErr w:type="spellStart"/>
      <w:r w:rsidRPr="005F055E">
        <w:rPr>
          <w:szCs w:val="18"/>
          <w:lang w:eastAsia="nl-NL"/>
        </w:rPr>
        <w:t>Wmo</w:t>
      </w:r>
      <w:proofErr w:type="spellEnd"/>
      <w:r w:rsidRPr="005F055E">
        <w:rPr>
          <w:szCs w:val="18"/>
          <w:lang w:eastAsia="nl-NL"/>
        </w:rPr>
        <w:t xml:space="preserve"> 2015.</w:t>
      </w:r>
      <w:r w:rsidRPr="005F055E">
        <w:rPr>
          <w:szCs w:val="18"/>
          <w:vertAlign w:val="superscript"/>
          <w:lang w:eastAsia="nl-NL"/>
        </w:rPr>
        <w:footnoteReference w:id="145"/>
      </w:r>
    </w:p>
    <w:p w:rsidRPr="005F055E" w:rsidR="007E044A" w:rsidP="00180EEB" w:rsidRDefault="007E044A" w14:paraId="492C9FD5" w14:textId="77777777">
      <w:pPr>
        <w:suppressAutoHyphens/>
      </w:pPr>
    </w:p>
    <w:p w:rsidRPr="005F055E" w:rsidR="00194494" w:rsidP="00180EEB" w:rsidRDefault="003E7003" w14:paraId="41226E5A" w14:textId="77777777">
      <w:pPr>
        <w:suppressAutoHyphens/>
      </w:pPr>
      <w:r w:rsidRPr="005F055E">
        <w:t>Vraag 375</w:t>
      </w:r>
    </w:p>
    <w:p w:rsidRPr="005F055E" w:rsidR="00194494" w:rsidP="00180EEB" w:rsidRDefault="003E7003" w14:paraId="3781ED77" w14:textId="77777777">
      <w:pPr>
        <w:suppressAutoHyphens/>
      </w:pPr>
      <w:r w:rsidRPr="005F055E">
        <w:t>Is er in 2026 €40 miljoen gereserveerd voor het “COVID-19-vaccinatieprogramma” en hoe is dit bedrag opgebouwd (bijvoorbeeld doelgroepen, inkoop/uitvoering, apparaatsdeel)? Waarom neemt het bedrag voor de vaccinatiecampagne toe als de groep mensen die in aanmerking komen voor een COVID-19-vaccinatie afneemt?</w:t>
      </w:r>
    </w:p>
    <w:p w:rsidRPr="005F055E" w:rsidR="003E7003" w:rsidP="00180EEB" w:rsidRDefault="003E7003" w14:paraId="31A605B1" w14:textId="7FF6BB71">
      <w:pPr>
        <w:suppressAutoHyphens/>
      </w:pPr>
      <w:r w:rsidRPr="005F055E">
        <w:t>Antwoord</w:t>
      </w:r>
    </w:p>
    <w:p w:rsidRPr="005F055E" w:rsidR="00194494" w:rsidP="00180EEB" w:rsidRDefault="00BC1DC3" w14:paraId="553CC274" w14:textId="689A8CC5">
      <w:pPr>
        <w:suppressAutoHyphens/>
      </w:pPr>
      <w:r w:rsidRPr="005F055E">
        <w:t xml:space="preserve">Wellicht wordt met deze vraag de € 140 miljoen bedoeld voor het COVID-19 vaccinatieprogramma die in tabel 1 op pagina 27 is opgenomen. De bedragen in tabel 1 (pagina 227) betreffen de mutaties ten opzichte van de eerdere begrotingsstukken. De € 140 miljoen is in de tabel opgenomen omdat deze middelen in de voorjaarsbesluitvorming beschikbaar zijn gesteld. Het bedrag voor de uitvoering daalt van € 155 miljoen in 2025 naar 135 miljoen in 2026. Dit bedrag is bestemd voor de uitvoering door </w:t>
      </w:r>
      <w:proofErr w:type="spellStart"/>
      <w:r w:rsidRPr="005F055E">
        <w:t>GGD’en</w:t>
      </w:r>
      <w:proofErr w:type="spellEnd"/>
      <w:r w:rsidRPr="005F055E">
        <w:t>, de landelijke coördinatie van de campagne en de IV bij GGD GHOR Nederland en voor het COVID-19 vaccinatieprogramma bij het RIVM.</w:t>
      </w:r>
    </w:p>
    <w:p w:rsidRPr="005F055E" w:rsidR="00BC1DC3" w:rsidP="00180EEB" w:rsidRDefault="00BC1DC3" w14:paraId="76C1233D" w14:textId="77777777">
      <w:pPr>
        <w:suppressAutoHyphens/>
        <w:rPr>
          <w:highlight w:val="yellow"/>
        </w:rPr>
      </w:pPr>
    </w:p>
    <w:p w:rsidRPr="005F055E" w:rsidR="00194494" w:rsidP="00180EEB" w:rsidRDefault="003E7003" w14:paraId="27552FED" w14:textId="0C175915">
      <w:pPr>
        <w:suppressAutoHyphens/>
      </w:pPr>
      <w:r w:rsidRPr="005F055E">
        <w:t>Vraag 376</w:t>
      </w:r>
    </w:p>
    <w:p w:rsidRPr="005F055E" w:rsidR="00194494" w:rsidP="00180EEB" w:rsidRDefault="003E7003" w14:paraId="63E75FFF" w14:textId="77777777">
      <w:pPr>
        <w:suppressAutoHyphens/>
      </w:pPr>
      <w:r w:rsidRPr="005F055E">
        <w:t>Kan worden uitgesplitst welk deel van de AZWA-middelen voor opleidingsbeleid buiten het ziekenhuis (structureel 185 euro) voor welke onderdelen van de zorg buiten het ziekenhuis beschikbaar zijn?</w:t>
      </w:r>
    </w:p>
    <w:p w:rsidRPr="005F055E" w:rsidR="003E7003" w:rsidP="00180EEB" w:rsidRDefault="003E7003" w14:paraId="49352CDE" w14:textId="0047F750">
      <w:pPr>
        <w:suppressAutoHyphens/>
      </w:pPr>
      <w:r w:rsidRPr="005F055E">
        <w:t>Antwoord</w:t>
      </w:r>
    </w:p>
    <w:p w:rsidRPr="005F055E" w:rsidR="00F16CF0" w:rsidP="00180EEB" w:rsidRDefault="00F16CF0" w14:paraId="648E0B62" w14:textId="25098125">
      <w:pPr>
        <w:suppressAutoHyphens/>
        <w:rPr>
          <w:szCs w:val="18"/>
        </w:rPr>
      </w:pPr>
      <w:r w:rsidRPr="005F055E">
        <w:rPr>
          <w:szCs w:val="18"/>
        </w:rPr>
        <w:t>In AZWA is afgesproken om te investeren in opleiding en scholing voor buiten het ziekenhuis, omdat daar de grootste veranderingen en tekorten worden verwacht. Er is hiervoor per 2026 € 53 miljoen beschikbaar, oplopend naar € 185 miljoen in 2029 structureel. Deze middelen zullen worden besteed aan het verstevigen van de instroom, het verstevigen van het aanbod aan vervolgopleidingen, bij- en nascholing van professionals en loopbaaninstrumenten. De komende tijd zal ik met de AZWA partijen kijken naar hoe deze middelen het beste besteed kunnen worden. De bestuurlijke overleggen daarvoor zijn in september gestart. Daarbij zal gekeken worden naar een goede verdeling tussen de beroepsgroepen in de eerste lijn als ook uit de andere sectoren die betrokken zijn bij AZWA, zoals sociaal werk, geestelijke gezondheidszorg en de preventieve gezondheidszorg.</w:t>
      </w:r>
    </w:p>
    <w:p w:rsidRPr="005F055E" w:rsidR="00194494" w:rsidP="00180EEB" w:rsidRDefault="00194494" w14:paraId="38873973" w14:textId="77777777">
      <w:pPr>
        <w:suppressAutoHyphens/>
      </w:pPr>
    </w:p>
    <w:p w:rsidRPr="005F055E" w:rsidR="00194494" w:rsidP="00180EEB" w:rsidRDefault="003E7003" w14:paraId="5B17C31A" w14:textId="77777777">
      <w:pPr>
        <w:suppressAutoHyphens/>
      </w:pPr>
      <w:r w:rsidRPr="005F055E">
        <w:t>Vraag 377</w:t>
      </w:r>
    </w:p>
    <w:p w:rsidRPr="005F055E" w:rsidR="00194494" w:rsidP="00180EEB" w:rsidRDefault="003E7003" w14:paraId="45F9B701" w14:textId="4EC5BE1B">
      <w:pPr>
        <w:suppressAutoHyphens/>
      </w:pPr>
      <w:r w:rsidRPr="005F055E">
        <w:t xml:space="preserve">Hoe groot is het arbeidsmarkttekort in de </w:t>
      </w:r>
      <w:r w:rsidR="00D55762">
        <w:t>GGZ</w:t>
      </w:r>
      <w:r w:rsidRPr="005F055E">
        <w:t xml:space="preserve"> momenteel?</w:t>
      </w:r>
    </w:p>
    <w:p w:rsidRPr="005F055E" w:rsidR="003E7003" w:rsidP="00180EEB" w:rsidRDefault="003E7003" w14:paraId="18072B20" w14:textId="7A5FBD9A">
      <w:pPr>
        <w:suppressAutoHyphens/>
      </w:pPr>
      <w:r w:rsidRPr="005F055E">
        <w:t>Antwoord</w:t>
      </w:r>
    </w:p>
    <w:p w:rsidRPr="005F055E" w:rsidR="00F16CF0" w:rsidP="00180EEB" w:rsidRDefault="00F16CF0" w14:paraId="4604A7E4" w14:textId="60AC7496">
      <w:pPr>
        <w:suppressAutoHyphens/>
        <w:rPr>
          <w:szCs w:val="18"/>
        </w:rPr>
      </w:pPr>
      <w:r w:rsidRPr="005F055E">
        <w:rPr>
          <w:szCs w:val="18"/>
        </w:rPr>
        <w:t xml:space="preserve">Er zijn geen cijfers beschikbaar over de actuele tekorten per branche. Wel zijn er cijfers beschikbaar op basis van de laatste prognose van najaar 2024. Het verwachte tekort in 2025 in de </w:t>
      </w:r>
      <w:r w:rsidR="00D55762">
        <w:rPr>
          <w:szCs w:val="18"/>
        </w:rPr>
        <w:t>GGZ</w:t>
      </w:r>
      <w:r w:rsidRPr="005F055E">
        <w:rPr>
          <w:szCs w:val="18"/>
        </w:rPr>
        <w:t xml:space="preserve"> bedraagt 8.600 werknemers.</w:t>
      </w:r>
    </w:p>
    <w:p w:rsidRPr="005F055E" w:rsidR="00CF1801" w:rsidP="00180EEB" w:rsidRDefault="00CF1801" w14:paraId="786A1DB7" w14:textId="77777777">
      <w:pPr>
        <w:suppressAutoHyphens/>
      </w:pPr>
    </w:p>
    <w:p w:rsidR="00180EEB" w:rsidP="00180EEB" w:rsidRDefault="00180EEB" w14:paraId="506847FD" w14:textId="77777777">
      <w:pPr>
        <w:suppressAutoHyphens/>
      </w:pPr>
    </w:p>
    <w:p w:rsidR="00180EEB" w:rsidP="00180EEB" w:rsidRDefault="00180EEB" w14:paraId="1E5E1BD6" w14:textId="77777777">
      <w:pPr>
        <w:suppressAutoHyphens/>
      </w:pPr>
    </w:p>
    <w:p w:rsidRPr="005F055E" w:rsidR="00194494" w:rsidP="00180EEB" w:rsidRDefault="003E7003" w14:paraId="182B623A" w14:textId="4B9E98F0">
      <w:pPr>
        <w:suppressAutoHyphens/>
      </w:pPr>
      <w:r w:rsidRPr="005F055E">
        <w:t>Vraag 378</w:t>
      </w:r>
    </w:p>
    <w:p w:rsidRPr="005F055E" w:rsidR="00194494" w:rsidP="00180EEB" w:rsidRDefault="003E7003" w14:paraId="0136DAD4" w14:textId="77777777">
      <w:pPr>
        <w:suppressAutoHyphens/>
      </w:pPr>
      <w:r w:rsidRPr="005F055E">
        <w:t>Hoeveel geld stelt u in 2026 beschikbaar voor medische producten en is hier ook ruimte voor brillen, beugels en orthopedische schoenen?</w:t>
      </w:r>
    </w:p>
    <w:p w:rsidRPr="005F055E" w:rsidR="003E7003" w:rsidP="00180EEB" w:rsidRDefault="003E7003" w14:paraId="660E225F" w14:textId="41DAC7FC">
      <w:pPr>
        <w:suppressAutoHyphens/>
      </w:pPr>
      <w:r w:rsidRPr="005F055E">
        <w:t>Antwoord</w:t>
      </w:r>
    </w:p>
    <w:p w:rsidRPr="005F055E" w:rsidR="00575A49" w:rsidP="00180EEB" w:rsidRDefault="00575A49" w14:paraId="3A19831D" w14:textId="77777777">
      <w:pPr>
        <w:suppressAutoHyphens/>
        <w:spacing w:line="240" w:lineRule="atLeast"/>
        <w:rPr>
          <w:szCs w:val="18"/>
          <w:lang w:eastAsia="nl-NL"/>
        </w:rPr>
      </w:pPr>
      <w:r w:rsidRPr="005F055E">
        <w:rPr>
          <w:szCs w:val="18"/>
          <w:lang w:eastAsia="nl-NL"/>
        </w:rPr>
        <w:t xml:space="preserve">Het begrip medische producten is breder dan medische hulpmiddelen en omvat bijvoorbeeld ook geneesmiddelen. Ik focus mij bij de beantwoording op medische hulpmiddelen, aangezien brillen, beugels en orthopedische schoenen daaronder vallen. Ook ben ik hierbij uitgegaan van orthopedische beugels. De uitgaven voor alle extramurale medische hulpmiddelen, vergoed uit de </w:t>
      </w:r>
      <w:proofErr w:type="spellStart"/>
      <w:r w:rsidRPr="005F055E">
        <w:rPr>
          <w:szCs w:val="18"/>
          <w:lang w:eastAsia="nl-NL"/>
        </w:rPr>
        <w:t>Zvw</w:t>
      </w:r>
      <w:proofErr w:type="spellEnd"/>
      <w:r w:rsidRPr="005F055E">
        <w:rPr>
          <w:szCs w:val="18"/>
          <w:lang w:eastAsia="nl-NL"/>
        </w:rPr>
        <w:t xml:space="preserve">, worden in 2026 ingeschat op een bedrag van € 2,2 miljard euro. Dit omvat naast brillen en orthopedische schoenen ook andere hulpmiddelen zoals incontinentiemateriaal, diabeteshulpmiddelen, en prothesen. </w:t>
      </w:r>
    </w:p>
    <w:p w:rsidRPr="005F055E" w:rsidR="00194494" w:rsidP="00180EEB" w:rsidRDefault="00194494" w14:paraId="2C963B66" w14:textId="77777777">
      <w:pPr>
        <w:suppressAutoHyphens/>
      </w:pPr>
    </w:p>
    <w:p w:rsidRPr="005F055E" w:rsidR="00194494" w:rsidP="00180EEB" w:rsidRDefault="003E7003" w14:paraId="550EFCCF" w14:textId="77777777">
      <w:pPr>
        <w:suppressAutoHyphens/>
      </w:pPr>
      <w:r w:rsidRPr="005F055E">
        <w:t>Vraag 379</w:t>
      </w:r>
    </w:p>
    <w:p w:rsidRPr="005F055E" w:rsidR="00194494" w:rsidP="00180EEB" w:rsidRDefault="003E7003" w14:paraId="5903AA8C" w14:textId="77777777">
      <w:pPr>
        <w:suppressAutoHyphens/>
      </w:pPr>
      <w:r w:rsidRPr="005F055E">
        <w:t>Wordt er bij de toegankelijkheid van betaalbare genees- en hulpmiddelen ook rekening gehouden met kinderen?</w:t>
      </w:r>
      <w:r w:rsidRPr="005F055E">
        <w:tab/>
      </w:r>
    </w:p>
    <w:p w:rsidRPr="005F055E" w:rsidR="003E7003" w:rsidP="00180EEB" w:rsidRDefault="003E7003" w14:paraId="474975BF" w14:textId="3B056515">
      <w:pPr>
        <w:suppressAutoHyphens/>
      </w:pPr>
      <w:r w:rsidRPr="005F055E">
        <w:t>Antwoord</w:t>
      </w:r>
    </w:p>
    <w:p w:rsidRPr="005F055E" w:rsidR="00EE5450" w:rsidP="00180EEB" w:rsidRDefault="00EE5450" w14:paraId="51E97FAC" w14:textId="77777777">
      <w:pPr>
        <w:suppressAutoHyphens/>
        <w:spacing w:line="240" w:lineRule="atLeast"/>
        <w:rPr>
          <w:szCs w:val="20"/>
          <w:lang w:eastAsia="nl-NL"/>
        </w:rPr>
      </w:pPr>
      <w:r w:rsidRPr="005F055E">
        <w:rPr>
          <w:szCs w:val="20"/>
          <w:lang w:eastAsia="nl-NL"/>
        </w:rPr>
        <w:t>Ja, de minister van VWS houdt in zijn beleid voor de beschikbaarheid van genees- en hulpmiddelen ook rekening met kinderen. Bij het waarborgen van de beschikbaarheid van betaalbare geneesmiddelen en hulpmiddelen maakt de minister van VWS geen onderscheid tussen volwassenen en kinderen.</w:t>
      </w:r>
    </w:p>
    <w:p w:rsidRPr="005F055E" w:rsidR="00194494" w:rsidP="00180EEB" w:rsidRDefault="00194494" w14:paraId="6CD005BA" w14:textId="77777777">
      <w:pPr>
        <w:suppressAutoHyphens/>
      </w:pPr>
    </w:p>
    <w:p w:rsidRPr="005F055E" w:rsidR="00194494" w:rsidP="00180EEB" w:rsidRDefault="003E7003" w14:paraId="69EF8224" w14:textId="77777777">
      <w:pPr>
        <w:suppressAutoHyphens/>
      </w:pPr>
      <w:r w:rsidRPr="005F055E">
        <w:t>Vraag 380</w:t>
      </w:r>
    </w:p>
    <w:p w:rsidRPr="005F055E" w:rsidR="00194494" w:rsidP="00180EEB" w:rsidRDefault="003E7003" w14:paraId="256A5144" w14:textId="77777777">
      <w:pPr>
        <w:suppressAutoHyphens/>
      </w:pPr>
      <w:r w:rsidRPr="005F055E">
        <w:t>Welk bedrag is in 2026 gereserveerd voor de voorraadopbouw van kritieke geneesmiddelen en wat valt er onder kritieke geneesmiddelen?</w:t>
      </w:r>
      <w:r w:rsidRPr="005F055E">
        <w:tab/>
      </w:r>
    </w:p>
    <w:p w:rsidRPr="005F055E" w:rsidR="003E7003" w:rsidP="00180EEB" w:rsidRDefault="003E7003" w14:paraId="6836F50E" w14:textId="2460820F">
      <w:pPr>
        <w:suppressAutoHyphens/>
      </w:pPr>
      <w:r w:rsidRPr="005F055E">
        <w:t>Antwoord</w:t>
      </w:r>
    </w:p>
    <w:p w:rsidRPr="005F055E" w:rsidR="00EE5450" w:rsidP="00180EEB" w:rsidRDefault="00EE5450" w14:paraId="109FEA87" w14:textId="59CAF8A5">
      <w:pPr>
        <w:suppressAutoHyphens/>
        <w:spacing w:line="240" w:lineRule="atLeast"/>
        <w:rPr>
          <w:szCs w:val="20"/>
          <w:lang w:eastAsia="nl-NL"/>
        </w:rPr>
      </w:pPr>
      <w:r w:rsidRPr="005F055E">
        <w:rPr>
          <w:szCs w:val="20"/>
          <w:lang w:eastAsia="nl-NL"/>
        </w:rPr>
        <w:t xml:space="preserve">In 2026 is € 35,2 miljoen beschikbaar voor het aanleggen en aanhouden van de extra voorraad kritieke geneesmiddelen. </w:t>
      </w:r>
      <w:bookmarkStart w:name="_Hlk213658628" w:id="56"/>
      <w:r w:rsidRPr="00B6786C" w:rsidR="00901B1C">
        <w:t xml:space="preserve">De term </w:t>
      </w:r>
      <w:r w:rsidRPr="00150305" w:rsidR="00901B1C">
        <w:rPr>
          <w:i/>
          <w:iCs/>
        </w:rPr>
        <w:t>kritieke geneesmiddelen</w:t>
      </w:r>
      <w:r w:rsidRPr="00B6786C" w:rsidR="00901B1C">
        <w:t xml:space="preserve"> verwijst naar de Nederlandse lijst kritieke geneesmiddelen</w:t>
      </w:r>
      <w:r w:rsidR="00901B1C">
        <w:t xml:space="preserve"> 2025</w:t>
      </w:r>
      <w:r w:rsidRPr="00B6786C" w:rsidR="00901B1C">
        <w:t xml:space="preserve"> die opgesteld is door het Landelijke Coördinatiecentrum Geneesmiddelen, samen met zorgverleners.</w:t>
      </w:r>
      <w:r w:rsidRPr="00C02D4C" w:rsidR="00901B1C">
        <w:rPr>
          <w:rStyle w:val="Voetnootmarkering"/>
        </w:rPr>
        <w:footnoteReference w:id="146"/>
      </w:r>
      <w:r w:rsidRPr="00B6786C" w:rsidR="00901B1C">
        <w:t xml:space="preserve"> "Kritiek" wordt </w:t>
      </w:r>
      <w:r w:rsidR="00901B1C">
        <w:t xml:space="preserve">in deze context </w:t>
      </w:r>
      <w:r w:rsidRPr="00B6786C" w:rsidR="00901B1C">
        <w:t xml:space="preserve">gedefinieerd op basis van de termijn waarop patiënten ernstige gezondheidsschade ondervinden als een geneesmiddel niet beschikbaar is. </w:t>
      </w:r>
      <w:r w:rsidR="00901B1C">
        <w:t>H</w:t>
      </w:r>
      <w:r w:rsidRPr="00B6786C" w:rsidR="00901B1C">
        <w:t xml:space="preserve">iervoor </w:t>
      </w:r>
      <w:r w:rsidR="00901B1C">
        <w:t xml:space="preserve">worden </w:t>
      </w:r>
      <w:r w:rsidRPr="00B6786C" w:rsidR="00901B1C">
        <w:t>drie categorieën</w:t>
      </w:r>
      <w:r w:rsidR="00901B1C">
        <w:t xml:space="preserve"> gehanteerd</w:t>
      </w:r>
      <w:r w:rsidRPr="00B6786C" w:rsidR="00901B1C">
        <w:t>:</w:t>
      </w:r>
      <w:r w:rsidR="00901B1C">
        <w:t xml:space="preserve"> rood, oranje en geel. </w:t>
      </w:r>
      <w:bookmarkEnd w:id="56"/>
      <w:r w:rsidRPr="005F055E">
        <w:rPr>
          <w:szCs w:val="20"/>
          <w:lang w:eastAsia="nl-NL"/>
        </w:rPr>
        <w:t xml:space="preserve">Deze extra voorraad </w:t>
      </w:r>
      <w:r w:rsidR="00901B1C">
        <w:t xml:space="preserve">kritieke geneesmiddelen waarop gedoeld wordt </w:t>
      </w:r>
      <w:r w:rsidRPr="005F055E">
        <w:rPr>
          <w:szCs w:val="20"/>
          <w:lang w:eastAsia="nl-NL"/>
        </w:rPr>
        <w:t>– die wordt opgebouwd bovenop de bestaande voorraadverplichting van in totaal 8 weken – beperkt zich tot de geneesmiddelen van de rode en oranje categorie van de Nederlandse lijst kritieke geneesmiddelen</w:t>
      </w:r>
      <w:r w:rsidRPr="005F055E">
        <w:rPr>
          <w:szCs w:val="20"/>
          <w:vertAlign w:val="superscript"/>
          <w:lang w:eastAsia="nl-NL"/>
        </w:rPr>
        <w:footnoteReference w:id="147"/>
      </w:r>
      <w:r w:rsidRPr="005F055E">
        <w:rPr>
          <w:szCs w:val="20"/>
          <w:lang w:eastAsia="nl-NL"/>
        </w:rPr>
        <w:t xml:space="preserve"> met een apotheekinkoopprijs (AIP) onder € 15. </w:t>
      </w:r>
    </w:p>
    <w:p w:rsidRPr="005F055E" w:rsidR="00194494" w:rsidP="00180EEB" w:rsidRDefault="00194494" w14:paraId="2A9668EE" w14:textId="77777777">
      <w:pPr>
        <w:suppressAutoHyphens/>
      </w:pPr>
    </w:p>
    <w:p w:rsidRPr="005F055E" w:rsidR="00194494" w:rsidP="00180EEB" w:rsidRDefault="003E7003" w14:paraId="36052DD2" w14:textId="77777777">
      <w:pPr>
        <w:suppressAutoHyphens/>
      </w:pPr>
      <w:r w:rsidRPr="005F055E">
        <w:t>Vraag 381</w:t>
      </w:r>
    </w:p>
    <w:p w:rsidRPr="005F055E" w:rsidR="00194494" w:rsidP="00180EEB" w:rsidRDefault="003E7003" w14:paraId="15E9DF50" w14:textId="77777777">
      <w:pPr>
        <w:suppressAutoHyphens/>
      </w:pPr>
      <w:r w:rsidRPr="005F055E">
        <w:t>Hoeveel wordt er bezuinigd op het Nationaal Actieplan Dakloosheid?</w:t>
      </w:r>
    </w:p>
    <w:p w:rsidRPr="005F055E" w:rsidR="003E7003" w:rsidP="00180EEB" w:rsidRDefault="003E7003" w14:paraId="1F63FDAB" w14:textId="5CF74A4A">
      <w:pPr>
        <w:suppressAutoHyphens/>
      </w:pPr>
      <w:r w:rsidRPr="005F055E">
        <w:t>Antwoord</w:t>
      </w:r>
    </w:p>
    <w:p w:rsidRPr="005F055E" w:rsidR="009A48D5" w:rsidP="00180EEB" w:rsidRDefault="009A48D5" w14:paraId="536E71F6" w14:textId="77777777">
      <w:pPr>
        <w:suppressAutoHyphens/>
      </w:pPr>
      <w:bookmarkStart w:name="_Hlk211431382" w:id="57"/>
      <w:r w:rsidRPr="005F055E">
        <w:t xml:space="preserve">Vanaf 2022 is structureel € 65 miljoen extra beschikbaar gesteld voor de aanpak van dakloosheid. Er is structureel € 55 miljoen toegevoegd aan de decentralisatie uitkering Nationaal Actieplan Dakloosheid (voor centrumgemeenten). De middelen komen boven op de € 385 miljoen (excl. indexatie via het accres) die via de decentralisatie uitkering Maatschappelijke Opvang aan 44 centrumgemeenten wordt verstrekt. Gemeenten ontvangen via decentralisatie uitkeringen dus € 440 miljoen in totaal (excl. indexatie via het accres). Deze middelen zijn structureel beschikbaar voor de aanpak van dakloosheid. Daarnaast is er van de overige € 10 miljoen vanaf 2026 € 2 miljoen aangewend voor bredere </w:t>
      </w:r>
      <w:proofErr w:type="spellStart"/>
      <w:r w:rsidRPr="005F055E">
        <w:t>Wmo</w:t>
      </w:r>
      <w:proofErr w:type="spellEnd"/>
      <w:r w:rsidRPr="005F055E">
        <w:t xml:space="preserve"> doeleinden en € 8 miljoen onderdeel van de VWS-begroting ten behoeve van de aanpak van dakloosheid. Hiervan wordt voor € 3 miljoen gewerkt aan de transitie naar Preventie en Wonen Eerst, het verbeteren van de monitoring dakloosheid (ETHOS tellingen) en het aanjagen van de beweging in regio’s door middel van subsidies aan o.a. </w:t>
      </w:r>
      <w:proofErr w:type="spellStart"/>
      <w:r w:rsidRPr="005F055E">
        <w:t>Housing</w:t>
      </w:r>
      <w:proofErr w:type="spellEnd"/>
      <w:r w:rsidRPr="005F055E">
        <w:t xml:space="preserve"> First Nederland, Platform Sociaal Domein en </w:t>
      </w:r>
      <w:proofErr w:type="spellStart"/>
      <w:r w:rsidRPr="005F055E">
        <w:t>Valente</w:t>
      </w:r>
      <w:proofErr w:type="spellEnd"/>
      <w:r w:rsidRPr="005F055E">
        <w:t>. Daarnaast wordt vanuit het ministerie van VWS het samenwerkingsverband Dakloosheid Voorbij! gefinancierd en wordt ingezet op het ontwikkelen van kennis over verschillende woonvormen voor (ex)dakloze mensen. Daarnaast wordt er vanaf 2026 t/m 2028 € 5 miljoen ingezet ten behoeve van de Pilot dakloze EU-burgers. De Pilot dakloze EU-burgers wordt vanaf 2026 uitgebreid en medegefinancierd door SZW met jaarlijks € 8 miljoen. In totaal is voor deze pilot jaarlijks €13 miljoen beschikbaar voor de jaren 2026, 2027 en 2028. Er is derhalve geen sprake van een bezuiniging op het Nationaal Actieplan Dakloosheid.</w:t>
      </w:r>
    </w:p>
    <w:bookmarkEnd w:id="57"/>
    <w:p w:rsidRPr="005F055E" w:rsidR="00194494" w:rsidP="00180EEB" w:rsidRDefault="00194494" w14:paraId="5E3A12C2" w14:textId="77777777">
      <w:pPr>
        <w:suppressAutoHyphens/>
      </w:pPr>
    </w:p>
    <w:p w:rsidRPr="005F055E" w:rsidR="00194494" w:rsidP="00180EEB" w:rsidRDefault="003E7003" w14:paraId="136DCEA2" w14:textId="77777777">
      <w:pPr>
        <w:suppressAutoHyphens/>
      </w:pPr>
      <w:r w:rsidRPr="005F055E">
        <w:t>Vraag 382</w:t>
      </w:r>
    </w:p>
    <w:p w:rsidRPr="005F055E" w:rsidR="00194494" w:rsidP="00180EEB" w:rsidRDefault="003E7003" w14:paraId="7C38526C" w14:textId="77777777">
      <w:pPr>
        <w:suppressAutoHyphens/>
      </w:pPr>
      <w:r w:rsidRPr="005F055E">
        <w:t>Hoeveel geld is er beschikbaar voor het Nationaal Actieplan Dakloosheid in de jaren 2026, 2027, 2028 en 2029?</w:t>
      </w:r>
      <w:r w:rsidRPr="005F055E">
        <w:tab/>
      </w:r>
    </w:p>
    <w:p w:rsidRPr="005F055E" w:rsidR="003E7003" w:rsidP="00180EEB" w:rsidRDefault="003E7003" w14:paraId="5A074BF5" w14:textId="769CE634">
      <w:pPr>
        <w:suppressAutoHyphens/>
      </w:pPr>
      <w:r w:rsidRPr="005F055E">
        <w:t>Antwoord</w:t>
      </w:r>
    </w:p>
    <w:p w:rsidRPr="005F055E" w:rsidR="00194494" w:rsidP="00180EEB" w:rsidRDefault="009A48D5" w14:paraId="124C2845" w14:textId="5C8C00CD">
      <w:pPr>
        <w:suppressAutoHyphens/>
      </w:pPr>
      <w:r w:rsidRPr="005F055E">
        <w:t xml:space="preserve">Vanaf 2022 is structureel € 65 miljoen extra beschikbaar gesteld voor de aanpak van dakloosheid. Er is structureel € 55 miljoen toegevoegd aan de decentralisatie uitkering Nationaal Actieplan Dakloosheid (voor centrumgemeenten). De middelen komen boven op de € 385 miljoen (excl. indexatie via het accres) die via de decentralisatie uitkering Maatschappelijke Opvang aan 44 centrumgemeenten wordt verstrekt. Gemeenten ontvangen via decentralisatie uitkeringen dus € 440 miljoen in totaal (excl. indexatie via het accres). Deze middelen zijn structureel beschikbaar voor de aanpak van dakloosheid. Daarnaast is er van de overige € 10 miljoen vanaf 2026 € 2 miljoen aangewend voor bredere </w:t>
      </w:r>
      <w:proofErr w:type="spellStart"/>
      <w:r w:rsidRPr="005F055E">
        <w:t>Wmo</w:t>
      </w:r>
      <w:proofErr w:type="spellEnd"/>
      <w:r w:rsidRPr="005F055E">
        <w:t xml:space="preserve"> doeleinden en € 8 miljoen onderdeel van de VWS-begroting ten behoeve van de aanpak van dakloosheid.</w:t>
      </w:r>
      <w:r w:rsidRPr="005F055E" w:rsidR="00D73F76">
        <w:t xml:space="preserve"> </w:t>
      </w:r>
      <w:r w:rsidRPr="005F055E">
        <w:t xml:space="preserve">Hiervan wordt voor € 3 miljoen wordt gewerkt aan de transitie naar Preventie en Wonen Eerst, het verbeteren van de monitoring dakloosheid (ETHOS tellingen) en het aanjagen van de beweging in regio’s door middel van subsidies aan o.a. </w:t>
      </w:r>
      <w:proofErr w:type="spellStart"/>
      <w:r w:rsidRPr="005F055E">
        <w:t>Housing</w:t>
      </w:r>
      <w:proofErr w:type="spellEnd"/>
      <w:r w:rsidRPr="005F055E">
        <w:t xml:space="preserve"> First Nederland, Platform Sociaal Domein en </w:t>
      </w:r>
      <w:proofErr w:type="spellStart"/>
      <w:r w:rsidRPr="005F055E">
        <w:t>Valente</w:t>
      </w:r>
      <w:proofErr w:type="spellEnd"/>
      <w:r w:rsidRPr="005F055E">
        <w:t>. Daarnaast wordt vanuit het ministerie van VWS het samenwerkingsverband Dakloosheid Voorbij! gefinancierd en wordt ingezet op het ontwikkelen van kennis over verschillende woonvormen voor (ex)dakloze mensen. Daarnaast wordt er vanaf 2026 t/m 2028 € 5 miljoen ingezet ten behoeve van de Pilot dakloze EU-burgers. De Pilot dakloze EU-burgers wordt vanaf 2026 uitgebreid en medegefinancierd door SZW met jaarlijks € 8 miljoen. In totaal is voor deze pilot jaarlijks €13 miljoen beschikbaar voor de jaren 2026, 2027 en 2028. Er is derhalve geen sprake van een bezuiniging op het Nationaal Actieplan Dakloosheid.</w:t>
      </w:r>
    </w:p>
    <w:p w:rsidRPr="005F055E" w:rsidR="00194494" w:rsidP="00180EEB" w:rsidRDefault="003E7003" w14:paraId="4A44CC7E" w14:textId="77777777">
      <w:pPr>
        <w:suppressAutoHyphens/>
      </w:pPr>
      <w:r w:rsidRPr="005F055E">
        <w:t>Vraag 383</w:t>
      </w:r>
    </w:p>
    <w:p w:rsidRPr="005F055E" w:rsidR="00194494" w:rsidP="00180EEB" w:rsidRDefault="003E7003" w14:paraId="12E74284" w14:textId="77777777">
      <w:pPr>
        <w:suppressAutoHyphens/>
      </w:pPr>
      <w:r w:rsidRPr="005F055E">
        <w:t>Wanneer wordt de actualisatie van de Nationale Dementiestrategie naar verwachting opgeleverd?</w:t>
      </w:r>
    </w:p>
    <w:p w:rsidRPr="005F055E" w:rsidR="003E7003" w:rsidP="00180EEB" w:rsidRDefault="003E7003" w14:paraId="64F9D0BD" w14:textId="782A896E">
      <w:pPr>
        <w:suppressAutoHyphens/>
      </w:pPr>
      <w:r w:rsidRPr="005F055E">
        <w:t>Antwoord</w:t>
      </w:r>
    </w:p>
    <w:p w:rsidRPr="005F055E" w:rsidR="007E044A" w:rsidP="00180EEB" w:rsidRDefault="007E044A" w14:paraId="721B10E0" w14:textId="77777777">
      <w:pPr>
        <w:suppressAutoHyphens/>
        <w:spacing w:line="240" w:lineRule="atLeast"/>
        <w:rPr>
          <w:szCs w:val="18"/>
          <w:lang w:eastAsia="nl-NL"/>
        </w:rPr>
      </w:pPr>
      <w:r w:rsidRPr="005F055E">
        <w:rPr>
          <w:szCs w:val="18"/>
          <w:lang w:eastAsia="nl-NL"/>
        </w:rPr>
        <w:t>Ik verwacht deze het eerste kwartaal van 2026 op te leveren.</w:t>
      </w:r>
    </w:p>
    <w:p w:rsidRPr="005F055E" w:rsidR="007E044A" w:rsidP="00180EEB" w:rsidRDefault="007E044A" w14:paraId="70E2A58B" w14:textId="77777777">
      <w:pPr>
        <w:suppressAutoHyphens/>
      </w:pPr>
    </w:p>
    <w:p w:rsidRPr="005F055E" w:rsidR="00194494" w:rsidP="00180EEB" w:rsidRDefault="003E7003" w14:paraId="43ABAC93" w14:textId="77777777">
      <w:pPr>
        <w:suppressAutoHyphens/>
      </w:pPr>
      <w:r w:rsidRPr="005F055E">
        <w:t>Vraag 384</w:t>
      </w:r>
    </w:p>
    <w:p w:rsidRPr="005F055E" w:rsidR="00194494" w:rsidP="00180EEB" w:rsidRDefault="003E7003" w14:paraId="5533649F" w14:textId="77777777">
      <w:pPr>
        <w:suppressAutoHyphens/>
      </w:pPr>
      <w:r w:rsidRPr="005F055E">
        <w:t>Wat is de gemiddelde verblijfsduur van mensen met een beperking in een zorginstelling?</w:t>
      </w:r>
      <w:r w:rsidRPr="005F055E">
        <w:tab/>
      </w:r>
    </w:p>
    <w:p w:rsidRPr="005F055E" w:rsidR="003E7003" w:rsidP="00180EEB" w:rsidRDefault="003E7003" w14:paraId="5EC9E196" w14:textId="2FA80520">
      <w:pPr>
        <w:suppressAutoHyphens/>
      </w:pPr>
      <w:r w:rsidRPr="005F055E">
        <w:t>Antwoord</w:t>
      </w:r>
    </w:p>
    <w:p w:rsidRPr="005F055E" w:rsidR="00E57EFE" w:rsidP="00180EEB" w:rsidRDefault="00E57EFE" w14:paraId="6405B6CB" w14:textId="22F9B672">
      <w:pPr>
        <w:suppressAutoHyphens/>
      </w:pPr>
      <w:r w:rsidRPr="005F055E">
        <w:t>De verblijfsduur van mensen met een beperking is sterk afhankelijk van de aard van de beperking, de zorgbehoefte en de gekozen woonvorm. Deze varieert van kortdurend verblijf tot levenslange bewoning in gespecialiseerde instellingen of begeleid wonen. Er is geen landelijke databron beschikbaar die inzicht geeft in de gemiddelde verblijfsduur van mensen met een beperking in een zorginstelling.</w:t>
      </w:r>
    </w:p>
    <w:p w:rsidRPr="005F055E" w:rsidR="00E57EFE" w:rsidP="00180EEB" w:rsidRDefault="00E57EFE" w14:paraId="72042B5E" w14:textId="60D8FF64">
      <w:pPr>
        <w:suppressAutoHyphens/>
        <w:rPr>
          <w:szCs w:val="18"/>
        </w:rPr>
      </w:pPr>
      <w:r w:rsidRPr="005F055E">
        <w:rPr>
          <w:szCs w:val="18"/>
        </w:rPr>
        <w:t xml:space="preserve">Een manier om de gemiddelde verblijfsduur van </w:t>
      </w:r>
      <w:proofErr w:type="spellStart"/>
      <w:r w:rsidRPr="005F055E">
        <w:rPr>
          <w:szCs w:val="18"/>
        </w:rPr>
        <w:t>Wlz</w:t>
      </w:r>
      <w:proofErr w:type="spellEnd"/>
      <w:r w:rsidRPr="005F055E">
        <w:rPr>
          <w:szCs w:val="18"/>
        </w:rPr>
        <w:t>-cliënten in de gehandicaptenzorg te benaderen is om de jaarlijkse uitstroom af te zetten tegen het gemiddeld aantal opgenomen cliënten in het jaar. In het jaar 2024 bedroeg de uitstroom 2.775 personen (2.275 door overlijden en 500 overige uitstroom). Het gemiddeld aantal opgenomen personen in de gehandicaptenzorg was 81.355. Op grond van deze gegevens is de inschatting dat de gemiddelde verblijfsduur ruim 29 jaar bedraagt.</w:t>
      </w:r>
    </w:p>
    <w:p w:rsidRPr="005F055E" w:rsidR="00E57EFE" w:rsidP="00180EEB" w:rsidRDefault="00E57EFE" w14:paraId="25009788" w14:textId="77777777">
      <w:pPr>
        <w:suppressAutoHyphens/>
        <w:rPr>
          <w:szCs w:val="18"/>
        </w:rPr>
      </w:pPr>
      <w:r w:rsidRPr="005F055E">
        <w:rPr>
          <w:szCs w:val="18"/>
        </w:rPr>
        <w:t>Het bronmateriaal treft u aan op:</w:t>
      </w:r>
    </w:p>
    <w:p w:rsidRPr="005F055E" w:rsidR="00E57EFE" w:rsidP="00180EEB" w:rsidRDefault="00E57EFE" w14:paraId="11CCACB9" w14:textId="7FCA8035">
      <w:pPr>
        <w:suppressAutoHyphens/>
        <w:rPr>
          <w:szCs w:val="18"/>
        </w:rPr>
      </w:pPr>
      <w:hyperlink w:history="1" r:id="rId29">
        <w:proofErr w:type="spellStart"/>
        <w:r w:rsidRPr="005F055E">
          <w:rPr>
            <w:rStyle w:val="Hyperlink"/>
            <w:szCs w:val="18"/>
          </w:rPr>
          <w:t>Wlz</w:t>
        </w:r>
        <w:proofErr w:type="spellEnd"/>
        <w:r w:rsidRPr="005F055E">
          <w:rPr>
            <w:rStyle w:val="Hyperlink"/>
            <w:szCs w:val="18"/>
          </w:rPr>
          <w:t>-gebruik per sector naar leveringsvorm en in- en uitstroom per week, 2020 week 2 - 2025 week 35 | COVID-19 maatwerk publicatie | Monitor Langdurige Zorg</w:t>
        </w:r>
      </w:hyperlink>
    </w:p>
    <w:p w:rsidRPr="005F055E" w:rsidR="00194494" w:rsidP="00180EEB" w:rsidRDefault="00194494" w14:paraId="2AA64D24" w14:textId="77777777">
      <w:pPr>
        <w:suppressAutoHyphens/>
      </w:pPr>
    </w:p>
    <w:p w:rsidRPr="005F055E" w:rsidR="00194494" w:rsidP="00180EEB" w:rsidRDefault="003E7003" w14:paraId="7A59978A" w14:textId="77777777">
      <w:pPr>
        <w:suppressAutoHyphens/>
      </w:pPr>
      <w:r w:rsidRPr="005F055E">
        <w:t>Vraag 385</w:t>
      </w:r>
    </w:p>
    <w:p w:rsidRPr="005F055E" w:rsidR="00194494" w:rsidP="00180EEB" w:rsidRDefault="003E7003" w14:paraId="55A5E6D9" w14:textId="77777777">
      <w:pPr>
        <w:suppressAutoHyphens/>
      </w:pPr>
      <w:r w:rsidRPr="005F055E">
        <w:t>Wat is de gemiddelde verblijfsduur van mensen in een verpleeghuis?</w:t>
      </w:r>
      <w:r w:rsidRPr="005F055E">
        <w:tab/>
      </w:r>
    </w:p>
    <w:p w:rsidRPr="005F055E" w:rsidR="003E7003" w:rsidP="00180EEB" w:rsidRDefault="003E7003" w14:paraId="01E02C29" w14:textId="5895F716">
      <w:pPr>
        <w:suppressAutoHyphens/>
      </w:pPr>
      <w:r w:rsidRPr="005F055E">
        <w:t>Antwoord</w:t>
      </w:r>
    </w:p>
    <w:p w:rsidRPr="005F055E" w:rsidR="00EE5450" w:rsidP="00180EEB" w:rsidRDefault="00EE5450" w14:paraId="13F9EEC4" w14:textId="6B060E87">
      <w:pPr>
        <w:suppressAutoHyphens/>
        <w:spacing w:line="240" w:lineRule="atLeast"/>
        <w:rPr>
          <w:szCs w:val="20"/>
          <w:lang w:eastAsia="nl-NL"/>
        </w:rPr>
      </w:pPr>
      <w:r w:rsidRPr="005F055E">
        <w:rPr>
          <w:szCs w:val="20"/>
          <w:lang w:eastAsia="nl-NL"/>
        </w:rPr>
        <w:t xml:space="preserve">Volgens gegevens van het CBS bedraagt het gemiddeld aantal opgenomen dagen van cliënten die in 2022 op het moment van overlijden zorg ontvingen op basis van een VV4, VV5 of VV6 circa 875 dagen. Bij cliënten die zorg ontvingen op basis van een VV7 en VV8 was het gemiddeld circa 1380 dagen. Deze aantallen en een toelichting op de berekeningswijze treft u aan op: </w:t>
      </w:r>
      <w:hyperlink w:history="1" r:id="rId30">
        <w:r w:rsidRPr="005F055E">
          <w:rPr>
            <w:color w:val="0563C1" w:themeColor="hyperlink"/>
            <w:szCs w:val="20"/>
            <w:u w:val="single"/>
            <w:lang w:eastAsia="nl-NL"/>
          </w:rPr>
          <w:t xml:space="preserve">Gemiddeld aantal </w:t>
        </w:r>
        <w:proofErr w:type="spellStart"/>
        <w:r w:rsidRPr="005F055E">
          <w:rPr>
            <w:color w:val="0563C1" w:themeColor="hyperlink"/>
            <w:szCs w:val="20"/>
            <w:u w:val="single"/>
            <w:lang w:eastAsia="nl-NL"/>
          </w:rPr>
          <w:t>Wlz</w:t>
        </w:r>
        <w:proofErr w:type="spellEnd"/>
        <w:r w:rsidRPr="005F055E">
          <w:rPr>
            <w:color w:val="0563C1" w:themeColor="hyperlink"/>
            <w:szCs w:val="20"/>
            <w:u w:val="single"/>
            <w:lang w:eastAsia="nl-NL"/>
          </w:rPr>
          <w:t>-opnamedagen van personen die in 2022 overleden zijn met een ZZP VV01 t/m VV09b, naar ZZP bij overlijden | Maatwerk publicatie | Monitor Langdurige Zorg</w:t>
        </w:r>
      </w:hyperlink>
    </w:p>
    <w:p w:rsidRPr="005F055E" w:rsidR="00EE5450" w:rsidP="00180EEB" w:rsidRDefault="00EE5450" w14:paraId="76499710" w14:textId="77777777">
      <w:pPr>
        <w:suppressAutoHyphens/>
        <w:spacing w:line="240" w:lineRule="atLeast"/>
        <w:rPr>
          <w:szCs w:val="20"/>
          <w:lang w:eastAsia="nl-NL"/>
        </w:rPr>
      </w:pPr>
      <w:r w:rsidRPr="005F055E">
        <w:rPr>
          <w:szCs w:val="20"/>
          <w:lang w:eastAsia="nl-NL"/>
        </w:rPr>
        <w:t xml:space="preserve">Ook het Zorginstituut rapporteert met enige regelmaat over de verblijfsduur van ouderen in verpleeghuizen. De rapporten gaan in op verschillende methoden om een gemiddelde verblijfsduur te bepalen en de beperkingen die er zijn om op grond van de beschikbare data die gemiddelden te berekenen. </w:t>
      </w:r>
      <w:r w:rsidRPr="005F055E">
        <w:rPr>
          <w:szCs w:val="20"/>
          <w:lang w:eastAsia="nl-NL"/>
        </w:rPr>
        <w:br/>
        <w:t xml:space="preserve">U treft de rapportages van het Zorginstituut aan op: </w:t>
      </w:r>
      <w:hyperlink w:history="1" r:id="rId31">
        <w:r w:rsidRPr="005F055E">
          <w:rPr>
            <w:color w:val="0563C1" w:themeColor="hyperlink"/>
            <w:szCs w:val="20"/>
            <w:u w:val="single"/>
            <w:lang w:eastAsia="nl-NL"/>
          </w:rPr>
          <w:t xml:space="preserve">Verblijfsduur </w:t>
        </w:r>
        <w:proofErr w:type="spellStart"/>
        <w:r w:rsidRPr="005F055E">
          <w:rPr>
            <w:color w:val="0563C1" w:themeColor="hyperlink"/>
            <w:szCs w:val="20"/>
            <w:u w:val="single"/>
            <w:lang w:eastAsia="nl-NL"/>
          </w:rPr>
          <w:t>Wlz</w:t>
        </w:r>
        <w:proofErr w:type="spellEnd"/>
        <w:r w:rsidRPr="005F055E">
          <w:rPr>
            <w:color w:val="0563C1" w:themeColor="hyperlink"/>
            <w:szCs w:val="20"/>
            <w:u w:val="single"/>
            <w:lang w:eastAsia="nl-NL"/>
          </w:rPr>
          <w:t xml:space="preserve"> | Zorgcijfersdatabank.nl</w:t>
        </w:r>
      </w:hyperlink>
    </w:p>
    <w:p w:rsidRPr="005F055E" w:rsidR="00194494" w:rsidP="00180EEB" w:rsidRDefault="00194494" w14:paraId="1E34C725" w14:textId="77777777">
      <w:pPr>
        <w:suppressAutoHyphens/>
      </w:pPr>
    </w:p>
    <w:p w:rsidRPr="005F055E" w:rsidR="00194494" w:rsidP="00180EEB" w:rsidRDefault="003E7003" w14:paraId="7C633A82" w14:textId="77777777">
      <w:pPr>
        <w:suppressAutoHyphens/>
      </w:pPr>
      <w:r w:rsidRPr="005F055E">
        <w:t>Vraag 386</w:t>
      </w:r>
    </w:p>
    <w:p w:rsidRPr="005F055E" w:rsidR="00194494" w:rsidP="00180EEB" w:rsidRDefault="003E7003" w14:paraId="6497EA9C" w14:textId="77777777">
      <w:pPr>
        <w:suppressAutoHyphens/>
      </w:pPr>
      <w:r w:rsidRPr="005F055E">
        <w:t>Hoe heeft de levensverwachting van mensen met een beperking - zowel binnen als buiten een zorginstelling - zich de afgelopen tien jaar ontwikkeld?</w:t>
      </w:r>
    </w:p>
    <w:p w:rsidR="00D544B0" w:rsidP="00180EEB" w:rsidRDefault="00D544B0" w14:paraId="1C028AB4" w14:textId="77777777">
      <w:pPr>
        <w:suppressAutoHyphens/>
      </w:pPr>
    </w:p>
    <w:p w:rsidRPr="005F055E" w:rsidR="003E7003" w:rsidP="00180EEB" w:rsidRDefault="003E7003" w14:paraId="100ACD41" w14:textId="37BB002D">
      <w:pPr>
        <w:suppressAutoHyphens/>
      </w:pPr>
      <w:r w:rsidRPr="005F055E">
        <w:t>Antwoord</w:t>
      </w:r>
    </w:p>
    <w:p w:rsidRPr="005F055E" w:rsidR="00EE5450" w:rsidP="00180EEB" w:rsidRDefault="00EE5450" w14:paraId="16A415C4" w14:textId="75DDEBB8">
      <w:pPr>
        <w:suppressAutoHyphens/>
        <w:spacing w:line="240" w:lineRule="atLeast"/>
        <w:rPr>
          <w:szCs w:val="20"/>
          <w:lang w:eastAsia="nl-NL"/>
        </w:rPr>
      </w:pPr>
      <w:r w:rsidRPr="005F055E">
        <w:rPr>
          <w:szCs w:val="20"/>
          <w:lang w:eastAsia="nl-NL"/>
        </w:rPr>
        <w:t xml:space="preserve">De groep mensen met een beperking is buitengewoon divers. De levensverwachting binnen deze groep kent dan ook een behoorlijke variatie, en is in sterke mate afhankelijk van de aard en de ernst van de beperking. Er is dus niet een uniform beeld te schetsen over de ontwikkeling van de levensverwachting ten opzichte van die van de algemene populatie. Gedetailleerde informatie over de laatste tien jaar is niet beschikbaar, en gegevens ontbreken om het onderscheid tussen intramuraal en extramuraal te kunnen maken. In algemene zin blijkt uit onderzoek dat de levensverwachting van mensen met een beperking afgelopen decennia is meegestegen met die van de algemene bevolking- ten aanzien van sommige doelgroepen was de groei zelfs nog wat sterker. </w:t>
      </w:r>
    </w:p>
    <w:p w:rsidRPr="005F055E" w:rsidR="00EE5450" w:rsidP="00180EEB" w:rsidRDefault="00EE5450" w14:paraId="2FE3B76D" w14:textId="77777777">
      <w:pPr>
        <w:suppressAutoHyphens/>
        <w:spacing w:line="240" w:lineRule="atLeast"/>
        <w:rPr>
          <w:szCs w:val="20"/>
          <w:lang w:eastAsia="nl-NL"/>
        </w:rPr>
      </w:pPr>
      <w:r w:rsidRPr="005F055E">
        <w:rPr>
          <w:szCs w:val="20"/>
          <w:lang w:eastAsia="nl-NL"/>
        </w:rPr>
        <w:t xml:space="preserve">Het verschil in levensverwachting blijkt echter wel persistent. Voor de groep mensen met een verstandelijke beperking geldt bijvoorbeeld dat hun levensverwachting op dit moment gemiddeld 15 jaar lager ligt dan die de gemiddelde bevolking, met een spreiding van 6 tot 20 jaar. Daarbij geldt doorgaans: hoe ernstiger de verstandelijke beperking, hoe lager de levensverwachting. </w:t>
      </w:r>
    </w:p>
    <w:p w:rsidRPr="005F055E" w:rsidR="00EE5450" w:rsidP="00180EEB" w:rsidRDefault="00EE5450" w14:paraId="3343E029" w14:textId="77777777">
      <w:pPr>
        <w:suppressAutoHyphens/>
      </w:pPr>
    </w:p>
    <w:p w:rsidRPr="005F055E" w:rsidR="00194494" w:rsidP="00180EEB" w:rsidRDefault="003E7003" w14:paraId="7654C5DC" w14:textId="77777777">
      <w:pPr>
        <w:suppressAutoHyphens/>
      </w:pPr>
      <w:r w:rsidRPr="005F055E">
        <w:t>Vraag 387</w:t>
      </w:r>
    </w:p>
    <w:p w:rsidRPr="005F055E" w:rsidR="002B7541" w:rsidP="00180EEB" w:rsidRDefault="003E7003" w14:paraId="53BCDAD0" w14:textId="288FD264">
      <w:pPr>
        <w:suppressAutoHyphens/>
      </w:pPr>
      <w:r w:rsidRPr="005F055E">
        <w:t>Hoe heeft de levensverwachting van ouderen - zowel binnen als buiten een verpleeghuis of zorginstelling - zich de afgelopen tien jaar ontwikkeld?</w:t>
      </w:r>
      <w:r w:rsidRPr="005F055E">
        <w:tab/>
      </w:r>
    </w:p>
    <w:p w:rsidRPr="005F055E" w:rsidR="003E7003" w:rsidP="00180EEB" w:rsidRDefault="003E7003" w14:paraId="0970FE7A" w14:textId="250BE0D4">
      <w:pPr>
        <w:suppressAutoHyphens/>
      </w:pPr>
      <w:r w:rsidRPr="005F055E">
        <w:t>Antwoord</w:t>
      </w:r>
    </w:p>
    <w:p w:rsidRPr="005F055E" w:rsidR="00EE5450" w:rsidP="00180EEB" w:rsidRDefault="00EE5450" w14:paraId="418B1198" w14:textId="2F018432">
      <w:pPr>
        <w:suppressAutoHyphens/>
        <w:spacing w:line="240" w:lineRule="atLeast"/>
        <w:rPr>
          <w:szCs w:val="20"/>
          <w:lang w:eastAsia="nl-NL"/>
        </w:rPr>
      </w:pPr>
      <w:r w:rsidRPr="005F055E">
        <w:rPr>
          <w:szCs w:val="20"/>
          <w:lang w:eastAsia="nl-NL"/>
        </w:rPr>
        <w:t xml:space="preserve">Volgens cijfers van het CBS is de levensverwachting van 65-jarigen gestegen van 19,66 jaar in 2015 naar 20,25 jaar in 2025: </w:t>
      </w:r>
      <w:hyperlink w:history="1" r:id="rId32">
        <w:r w:rsidRPr="005F055E">
          <w:rPr>
            <w:color w:val="0563C1" w:themeColor="hyperlink"/>
            <w:szCs w:val="20"/>
            <w:u w:val="single"/>
            <w:lang w:eastAsia="nl-NL"/>
          </w:rPr>
          <w:t>Prognose levensverwachting 65-jarigen: 20,96 jaar in 2030 | CBS</w:t>
        </w:r>
      </w:hyperlink>
      <w:r w:rsidRPr="005F055E">
        <w:rPr>
          <w:szCs w:val="20"/>
          <w:lang w:eastAsia="nl-NL"/>
        </w:rPr>
        <w:t>. Daarbij wordt geen onderscheid gemaakt naar ouderen binnen of buiten een zorginstelling.</w:t>
      </w:r>
    </w:p>
    <w:p w:rsidRPr="005F055E" w:rsidR="00EE5450" w:rsidP="00180EEB" w:rsidRDefault="00EE5450" w14:paraId="0F2ED8DA" w14:textId="329C3DF4">
      <w:pPr>
        <w:suppressAutoHyphens/>
        <w:spacing w:line="240" w:lineRule="atLeast"/>
        <w:rPr>
          <w:szCs w:val="20"/>
          <w:lang w:eastAsia="nl-NL"/>
        </w:rPr>
      </w:pPr>
      <w:r w:rsidRPr="005F055E">
        <w:rPr>
          <w:szCs w:val="20"/>
          <w:lang w:eastAsia="nl-NL"/>
        </w:rPr>
        <w:t>Veel ouderen brengen alleen de laatste fase van hun leven door in een verpleeghuis of zorginstelling. Het Zorginstituut publiceert sinds 2018 jaarlijks gegevens over de verblijfsduur binnen de Wet langdurige zorg (</w:t>
      </w:r>
      <w:proofErr w:type="spellStart"/>
      <w:r w:rsidRPr="005F055E">
        <w:rPr>
          <w:szCs w:val="20"/>
          <w:lang w:eastAsia="nl-NL"/>
        </w:rPr>
        <w:t>Wlz</w:t>
      </w:r>
      <w:proofErr w:type="spellEnd"/>
      <w:r w:rsidRPr="005F055E">
        <w:rPr>
          <w:szCs w:val="20"/>
          <w:lang w:eastAsia="nl-NL"/>
        </w:rPr>
        <w:t>) voor de sector Verpleging en Verzorging (V&amp;V). Uit deze cijfers blijkt dat in 2018 circa 20% van de cliënten met zorgprofiel VV4 tot en met VV8 binnen drie maanden uitstroomde. In 2024 is dit aandeel licht gedaald naar circa 17%. Het percentage cliënten met een verblijfsduur langer dan 24 maanden daalde tussen 2019 en 2024 van circa 43% naar circa 40%.</w:t>
      </w:r>
    </w:p>
    <w:p w:rsidRPr="005F055E" w:rsidR="00EE5450" w:rsidP="00180EEB" w:rsidRDefault="00EE5450" w14:paraId="5F81F9E8" w14:textId="683941BC">
      <w:pPr>
        <w:suppressAutoHyphens/>
        <w:spacing w:line="240" w:lineRule="atLeast"/>
        <w:rPr>
          <w:szCs w:val="20"/>
          <w:lang w:eastAsia="nl-NL"/>
        </w:rPr>
      </w:pPr>
      <w:r w:rsidRPr="005F055E">
        <w:rPr>
          <w:szCs w:val="20"/>
          <w:lang w:eastAsia="nl-NL"/>
        </w:rPr>
        <w:t xml:space="preserve">U treft de onderliggende cijfers en rapportages aan op: </w:t>
      </w:r>
      <w:hyperlink w:history="1" r:id="rId33">
        <w:r w:rsidRPr="005F055E">
          <w:rPr>
            <w:color w:val="0563C1" w:themeColor="hyperlink"/>
            <w:szCs w:val="20"/>
            <w:u w:val="single"/>
            <w:lang w:eastAsia="nl-NL"/>
          </w:rPr>
          <w:t xml:space="preserve">Verblijfsduur </w:t>
        </w:r>
        <w:proofErr w:type="spellStart"/>
        <w:r w:rsidRPr="005F055E">
          <w:rPr>
            <w:color w:val="0563C1" w:themeColor="hyperlink"/>
            <w:szCs w:val="20"/>
            <w:u w:val="single"/>
            <w:lang w:eastAsia="nl-NL"/>
          </w:rPr>
          <w:t>Wlz</w:t>
        </w:r>
        <w:proofErr w:type="spellEnd"/>
        <w:r w:rsidRPr="005F055E">
          <w:rPr>
            <w:color w:val="0563C1" w:themeColor="hyperlink"/>
            <w:szCs w:val="20"/>
            <w:u w:val="single"/>
            <w:lang w:eastAsia="nl-NL"/>
          </w:rPr>
          <w:t xml:space="preserve"> | Zorgcijfersdatabank.nl</w:t>
        </w:r>
      </w:hyperlink>
    </w:p>
    <w:p w:rsidRPr="005F055E" w:rsidR="00194494" w:rsidP="00180EEB" w:rsidRDefault="00194494" w14:paraId="79F24353" w14:textId="77777777">
      <w:pPr>
        <w:suppressAutoHyphens/>
      </w:pPr>
    </w:p>
    <w:p w:rsidRPr="005F055E" w:rsidR="00194494" w:rsidP="00180EEB" w:rsidRDefault="003E7003" w14:paraId="4344BD6C" w14:textId="77777777">
      <w:pPr>
        <w:suppressAutoHyphens/>
      </w:pPr>
      <w:r w:rsidRPr="005F055E">
        <w:t>Vraag 388</w:t>
      </w:r>
    </w:p>
    <w:p w:rsidRPr="005F055E" w:rsidR="00194494" w:rsidP="00180EEB" w:rsidRDefault="003E7003" w14:paraId="5B0D3892" w14:textId="77777777">
      <w:pPr>
        <w:suppressAutoHyphens/>
      </w:pPr>
      <w:r w:rsidRPr="005F055E">
        <w:t>Hoe heeft het aantal mensen met een beperking en gedragsproblematiek in een zorginstelling zich de afgelopen tien jaar ontwikkeld?</w:t>
      </w:r>
    </w:p>
    <w:p w:rsidRPr="005F055E" w:rsidR="003E7003" w:rsidP="00180EEB" w:rsidRDefault="003E7003" w14:paraId="4EDF39DA" w14:textId="57791450">
      <w:pPr>
        <w:suppressAutoHyphens/>
      </w:pPr>
      <w:r w:rsidRPr="005F055E">
        <w:t>Antwoord</w:t>
      </w:r>
    </w:p>
    <w:p w:rsidRPr="005F055E" w:rsidR="009E2BC0" w:rsidP="00180EEB" w:rsidRDefault="009E2BC0" w14:paraId="460DB9D4" w14:textId="77777777">
      <w:pPr>
        <w:suppressAutoHyphens/>
        <w:spacing w:line="240" w:lineRule="atLeast"/>
        <w:rPr>
          <w:szCs w:val="20"/>
          <w:lang w:eastAsia="nl-NL"/>
        </w:rPr>
      </w:pPr>
      <w:r w:rsidRPr="005F055E">
        <w:rPr>
          <w:szCs w:val="20"/>
          <w:lang w:eastAsia="nl-NL"/>
        </w:rPr>
        <w:t>Voor de beantwoording van de vraag worden mensen met een VG6- en VG7- indicatie meegenomen die verblijven in een zorginstelling. VG6 staat voor 'Wonen met intensieve begeleiding, verzorging en gedragsregulering' en VG7 staat voor '(Besloten) wonen met zeer intensieve begeleiding, verzorging en gedragsregulering'. In de verstandelijke gehandicaptenzorg zijn dit de twee zorgprofielen waarbij gedragsregulering specifiek is opgenomen. De cijfers rondom de LVG-zorgprofielen (licht verstandelijk gehandicapt) zijn voor de beantwoording van deze vraag buiten beschouwing gelaten, omdat deze zorgprofielen van tijdelijke aard zijn en gericht zijn op behandeling.</w:t>
      </w:r>
    </w:p>
    <w:p w:rsidRPr="005F055E" w:rsidR="009E2BC0" w:rsidP="00180EEB" w:rsidRDefault="009E2BC0" w14:paraId="4434FE97" w14:textId="1AE2DECB">
      <w:pPr>
        <w:suppressAutoHyphens/>
        <w:spacing w:line="240" w:lineRule="atLeast"/>
        <w:rPr>
          <w:szCs w:val="20"/>
          <w:lang w:eastAsia="nl-NL"/>
        </w:rPr>
      </w:pPr>
      <w:r w:rsidRPr="005F055E">
        <w:rPr>
          <w:szCs w:val="20"/>
          <w:lang w:eastAsia="nl-NL"/>
        </w:rPr>
        <w:t>Er is een toename te zien van het aantal cliënten van 36.240 in 2015 naar 51.235 in 2025</w:t>
      </w:r>
      <w:r w:rsidRPr="005F055E">
        <w:rPr>
          <w:szCs w:val="20"/>
          <w:vertAlign w:val="superscript"/>
          <w:lang w:eastAsia="nl-NL"/>
        </w:rPr>
        <w:footnoteReference w:id="148"/>
      </w:r>
      <w:r w:rsidRPr="005F055E">
        <w:rPr>
          <w:szCs w:val="20"/>
          <w:lang w:eastAsia="nl-NL"/>
        </w:rPr>
        <w:t>.</w:t>
      </w:r>
    </w:p>
    <w:p w:rsidR="00D544B0" w:rsidP="00180EEB" w:rsidRDefault="00D544B0" w14:paraId="6C3F0E48" w14:textId="77777777">
      <w:pPr>
        <w:suppressAutoHyphens/>
        <w:spacing w:line="240" w:lineRule="atLeast"/>
        <w:rPr>
          <w:szCs w:val="20"/>
          <w:lang w:eastAsia="nl-NL"/>
        </w:rPr>
      </w:pPr>
    </w:p>
    <w:p w:rsidRPr="005F055E" w:rsidR="009E2BC0" w:rsidP="00180EEB" w:rsidRDefault="009E2BC0" w14:paraId="15A818B4" w14:textId="7E966F76">
      <w:pPr>
        <w:suppressAutoHyphens/>
        <w:spacing w:line="240" w:lineRule="atLeast"/>
        <w:rPr>
          <w:szCs w:val="20"/>
          <w:lang w:eastAsia="nl-NL"/>
        </w:rPr>
      </w:pPr>
      <w:r w:rsidRPr="005F055E">
        <w:rPr>
          <w:szCs w:val="20"/>
          <w:lang w:eastAsia="nl-NL"/>
        </w:rPr>
        <w:t>De ontwikkeling van het aantal mensen is te zien in onderstaande grafiek.</w:t>
      </w:r>
    </w:p>
    <w:p w:rsidRPr="005F055E" w:rsidR="009E2BC0" w:rsidP="00180EEB" w:rsidRDefault="009E2BC0" w14:paraId="680588C3" w14:textId="1DA9EC81">
      <w:pPr>
        <w:suppressAutoHyphens/>
        <w:spacing w:line="240" w:lineRule="atLeast"/>
        <w:rPr>
          <w:noProof/>
          <w:szCs w:val="20"/>
          <w:lang w:eastAsia="nl-NL"/>
        </w:rPr>
      </w:pPr>
      <w:r w:rsidRPr="005F055E">
        <w:rPr>
          <w:noProof/>
        </w:rPr>
        <w:drawing>
          <wp:inline distT="0" distB="0" distL="0" distR="0" wp14:anchorId="375C9E1F" wp14:editId="772AD9B5">
            <wp:extent cx="4784090" cy="2515444"/>
            <wp:effectExtent l="0" t="0" r="16510" b="18415"/>
            <wp:docPr id="1388760038" name="Grafiek 1">
              <a:extLst xmlns:a="http://schemas.openxmlformats.org/drawingml/2006/main">
                <a:ext uri="{FF2B5EF4-FFF2-40B4-BE49-F238E27FC236}">
                  <a16:creationId xmlns:a16="http://schemas.microsoft.com/office/drawing/2014/main" id="{19E9FD84-FF3B-346C-3115-515EEC9DE5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Pr="005F055E" w:rsidR="00506A68" w:rsidP="00180EEB" w:rsidRDefault="00506A68" w14:paraId="544E9AE3" w14:textId="77777777">
      <w:pPr>
        <w:suppressAutoHyphens/>
      </w:pPr>
    </w:p>
    <w:p w:rsidRPr="005F055E" w:rsidR="00506A68" w:rsidP="00180EEB" w:rsidRDefault="003E7003" w14:paraId="084B6A4E" w14:textId="0F234771">
      <w:pPr>
        <w:suppressAutoHyphens/>
      </w:pPr>
      <w:r w:rsidRPr="005F055E">
        <w:t>Vraag 389</w:t>
      </w:r>
    </w:p>
    <w:p w:rsidRPr="005F055E" w:rsidR="00506A68" w:rsidP="00180EEB" w:rsidRDefault="003E7003" w14:paraId="4CD4DB16" w14:textId="77777777">
      <w:pPr>
        <w:suppressAutoHyphens/>
      </w:pPr>
      <w:r w:rsidRPr="005F055E">
        <w:t>Welke sociale en technologische ontwikkelingen worden bedoeld?</w:t>
      </w:r>
    </w:p>
    <w:p w:rsidRPr="005F055E" w:rsidR="003E7003" w:rsidP="00180EEB" w:rsidRDefault="003E7003" w14:paraId="64BB4E7D" w14:textId="5B14ECFF">
      <w:pPr>
        <w:suppressAutoHyphens/>
      </w:pPr>
      <w:r w:rsidRPr="005F055E">
        <w:t>Antwoord</w:t>
      </w:r>
    </w:p>
    <w:p w:rsidRPr="005F055E" w:rsidR="00EE5450" w:rsidP="00180EEB" w:rsidRDefault="00EE5450" w14:paraId="192C3FC0" w14:textId="79316C29">
      <w:pPr>
        <w:suppressAutoHyphens/>
        <w:spacing w:line="240" w:lineRule="atLeast"/>
        <w:rPr>
          <w:szCs w:val="18"/>
          <w:lang w:eastAsia="nl-NL"/>
        </w:rPr>
      </w:pPr>
      <w:r w:rsidRPr="005F055E">
        <w:rPr>
          <w:szCs w:val="18"/>
          <w:lang w:eastAsia="nl-NL"/>
        </w:rPr>
        <w:t xml:space="preserve">In 2024 is heeft de Innovatie-impuls Gehandicaptenzorg 2 een uitvraag gedaan onder medewerkers van 69 verschillende gehandicaptenzorgorganisaties over de inzet van zorgtechnologie. Hieruit bleek dat er veel verschillende technologieën ingezet worden, o.a. binnen de domeinen “stimulering, beweging, ontspanning en vermaak”, “verbeteren van de </w:t>
      </w:r>
      <w:proofErr w:type="spellStart"/>
      <w:r w:rsidRPr="005F055E">
        <w:rPr>
          <w:szCs w:val="18"/>
          <w:lang w:eastAsia="nl-NL"/>
        </w:rPr>
        <w:t>dagstructuur</w:t>
      </w:r>
      <w:proofErr w:type="spellEnd"/>
      <w:r w:rsidRPr="005F055E">
        <w:rPr>
          <w:szCs w:val="18"/>
          <w:lang w:eastAsia="nl-NL"/>
        </w:rPr>
        <w:t xml:space="preserve">” en “verbeteren van de slaap”. In 2026 zal de uitvraag herhaald worden. </w:t>
      </w:r>
    </w:p>
    <w:p w:rsidRPr="005F055E" w:rsidR="00EE5450" w:rsidP="00180EEB" w:rsidRDefault="00EE5450" w14:paraId="51966F2F" w14:textId="4808FD95">
      <w:pPr>
        <w:suppressAutoHyphens/>
        <w:spacing w:line="240" w:lineRule="atLeast"/>
        <w:rPr>
          <w:szCs w:val="18"/>
          <w:lang w:eastAsia="nl-NL"/>
        </w:rPr>
      </w:pPr>
      <w:r w:rsidRPr="005F055E">
        <w:rPr>
          <w:szCs w:val="18"/>
          <w:lang w:eastAsia="nl-NL"/>
        </w:rPr>
        <w:t xml:space="preserve">Binnen de gehandicaptenzorg zijn veel zorgaanbieders continu bezig met het verbeteren van de zorg, en uit dat proces vloeien veel sociale vernieuwingen of innovaties voort. Dan gaat het bijvoorbeeld om vernieuwende aanpakken om zorg aan mensen met een beperking persoonsgerichter te maken. Met begeleiding </w:t>
      </w:r>
      <w:r w:rsidRPr="005F055E" w:rsidR="001B3826">
        <w:rPr>
          <w:szCs w:val="18"/>
          <w:lang w:eastAsia="nl-NL"/>
        </w:rPr>
        <w:t>à</w:t>
      </w:r>
      <w:r w:rsidRPr="005F055E">
        <w:rPr>
          <w:szCs w:val="18"/>
          <w:lang w:eastAsia="nl-NL"/>
        </w:rPr>
        <w:t xml:space="preserve"> la carte 2 (BALC 2) stimuleert VWS de inhoudelijke doorontwikkeling van deze aanpakken via intervisie en coaching; aspecten die daarbij aandacht krijgen zijn onder andere het systematische beschrijven van de aanpak en het verhelderen van de werkzame elementen. Daarnaast beoogt BALC 2 de uitwisseling van waardevolle sociale innovaties in de sector te versterken, door intensieve uitwisseling tussen deelnemende zorgaanbieders.</w:t>
      </w:r>
    </w:p>
    <w:p w:rsidRPr="005F055E" w:rsidR="00506A68" w:rsidP="00180EEB" w:rsidRDefault="00506A68" w14:paraId="3487D358" w14:textId="77777777">
      <w:pPr>
        <w:suppressAutoHyphens/>
      </w:pPr>
    </w:p>
    <w:p w:rsidRPr="005F055E" w:rsidR="00506A68" w:rsidP="00180EEB" w:rsidRDefault="003E7003" w14:paraId="5F57D0B4" w14:textId="77777777">
      <w:pPr>
        <w:suppressAutoHyphens/>
      </w:pPr>
      <w:r w:rsidRPr="005F055E">
        <w:t>Vraag 390</w:t>
      </w:r>
    </w:p>
    <w:p w:rsidRPr="005F055E" w:rsidR="00506A68" w:rsidP="00180EEB" w:rsidRDefault="003E7003" w14:paraId="379357BA" w14:textId="77777777">
      <w:pPr>
        <w:suppressAutoHyphens/>
      </w:pPr>
      <w:r w:rsidRPr="005F055E">
        <w:t>Wat is er gereserveerd voor palliatieve zorg wanneer het programma palliatieve zorg per 1 januari 2027 stopt?</w:t>
      </w:r>
    </w:p>
    <w:p w:rsidRPr="005F055E" w:rsidR="003E7003" w:rsidP="00180EEB" w:rsidRDefault="003E7003" w14:paraId="00BEF9A4" w14:textId="466F516B">
      <w:pPr>
        <w:suppressAutoHyphens/>
      </w:pPr>
      <w:r w:rsidRPr="005F055E">
        <w:t>Antwoord</w:t>
      </w:r>
    </w:p>
    <w:p w:rsidRPr="005F055E" w:rsidR="009E2BC0" w:rsidP="00180EEB" w:rsidRDefault="009E2BC0" w14:paraId="646564B2" w14:textId="77777777">
      <w:pPr>
        <w:suppressAutoHyphens/>
        <w:spacing w:line="240" w:lineRule="atLeast"/>
        <w:rPr>
          <w:szCs w:val="18"/>
          <w:lang w:eastAsia="nl-NL"/>
        </w:rPr>
      </w:pPr>
      <w:r w:rsidRPr="005F055E">
        <w:rPr>
          <w:szCs w:val="18"/>
          <w:lang w:eastAsia="nl-NL"/>
        </w:rPr>
        <w:t>In 2027 en 2028 is jaarlijks € 2,5 miljoen gereserveerd voor afronding, evaluatie en borging Nationaal Programma Palliatieve Zorg II (NPPZ II) en doorstart naar de Toekomstagenda palliatieve zorg en ondersteuning, die nu in ontwikkeling is. Deze middelen zijn onderdeel van de € 150 miljoen coalitieakkoordmiddelen Rutte IV die eind 2021 meerjarig geoormerkt zijn voor palliatieve zorg. Dit is naast de lopende instellingssubsidies (€ 12 miljoen per jaar) en de reeks voor de Subsidieregeling palliatieve terminale zorg en geestelijke verzorging (€ 56 miljoen in 2027, € 58 miljoen in 2028, € 53 miljoen 2029 e.v.).</w:t>
      </w:r>
    </w:p>
    <w:p w:rsidR="00506A68" w:rsidP="00180EEB" w:rsidRDefault="00506A68" w14:paraId="588FC312" w14:textId="77777777">
      <w:pPr>
        <w:suppressAutoHyphens/>
      </w:pPr>
    </w:p>
    <w:p w:rsidR="00180EEB" w:rsidP="00180EEB" w:rsidRDefault="00180EEB" w14:paraId="3E50A928" w14:textId="77777777">
      <w:pPr>
        <w:suppressAutoHyphens/>
      </w:pPr>
    </w:p>
    <w:p w:rsidR="00180EEB" w:rsidP="00180EEB" w:rsidRDefault="00180EEB" w14:paraId="4E8D5224" w14:textId="77777777">
      <w:pPr>
        <w:suppressAutoHyphens/>
      </w:pPr>
    </w:p>
    <w:p w:rsidRPr="005F055E" w:rsidR="00506A68" w:rsidP="00180EEB" w:rsidRDefault="003E7003" w14:paraId="25B85F7D" w14:textId="3776404B">
      <w:pPr>
        <w:suppressAutoHyphens/>
      </w:pPr>
      <w:r w:rsidRPr="005F055E">
        <w:t>Vraag 391</w:t>
      </w:r>
    </w:p>
    <w:p w:rsidRPr="005F055E" w:rsidR="00506A68" w:rsidP="00180EEB" w:rsidRDefault="003E7003" w14:paraId="0A51EC26" w14:textId="77777777">
      <w:pPr>
        <w:suppressAutoHyphens/>
      </w:pPr>
      <w:r w:rsidRPr="005F055E">
        <w:t>Hoeveel mensen zijn er met palliatieve zorg? En voor hoeveel jonge mensen met kinderen wordt de kinderopvang stopgezet? Hoeveel van hen maken daarbij gebruik van de gemeentelijke regeling? Hoeveel dagen duurt deze aanvraagprocedure tot en met toekenning/afwijzing gemiddeld?</w:t>
      </w:r>
    </w:p>
    <w:p w:rsidRPr="005F055E" w:rsidR="003E7003" w:rsidP="00180EEB" w:rsidRDefault="003E7003" w14:paraId="397BAF18" w14:textId="3F2F07FB">
      <w:pPr>
        <w:suppressAutoHyphens/>
      </w:pPr>
      <w:r w:rsidRPr="005F055E">
        <w:t>Antwoord</w:t>
      </w:r>
    </w:p>
    <w:p w:rsidRPr="005F055E" w:rsidR="007E044A" w:rsidP="00180EEB" w:rsidRDefault="007E044A" w14:paraId="0D662D80" w14:textId="77777777">
      <w:pPr>
        <w:suppressAutoHyphens/>
        <w:rPr>
          <w:szCs w:val="20"/>
          <w:lang w:eastAsia="nl-NL"/>
        </w:rPr>
      </w:pPr>
      <w:r w:rsidRPr="005F055E">
        <w:rPr>
          <w:szCs w:val="20"/>
          <w:lang w:eastAsia="nl-NL"/>
        </w:rPr>
        <w:t xml:space="preserve">Jaarlijks sterven in Nederland ongeveer 170.000 mensen. Bij 70% van deze mensen (ruim 100.000) komt het overlijden niet onverwacht. Zij kunnen in de laatste levensfase behoefte hebben aan palliatieve zorg (kerncijfers palliatieve zorg 2023, zie </w:t>
      </w:r>
      <w:hyperlink w:history="1" r:id="rId35">
        <w:r w:rsidRPr="005F055E">
          <w:rPr>
            <w:color w:val="467886"/>
            <w:szCs w:val="20"/>
            <w:u w:val="single"/>
            <w:lang w:eastAsia="nl-NL"/>
          </w:rPr>
          <w:t>https://palliaweb.nl/onderzoek/kerncijfers-palliatieve-zorg/kerncijfers-behoefte-aan-palliatieve-zorg</w:t>
        </w:r>
      </w:hyperlink>
      <w:r w:rsidRPr="005F055E">
        <w:rPr>
          <w:szCs w:val="20"/>
          <w:lang w:eastAsia="nl-NL"/>
        </w:rPr>
        <w:t>).</w:t>
      </w:r>
    </w:p>
    <w:p w:rsidRPr="005F055E" w:rsidR="0013300B" w:rsidP="00180EEB" w:rsidRDefault="0013300B" w14:paraId="795EE8AA" w14:textId="77777777">
      <w:pPr>
        <w:suppressAutoHyphens/>
        <w:rPr>
          <w:szCs w:val="20"/>
          <w:lang w:eastAsia="nl-NL"/>
        </w:rPr>
      </w:pPr>
      <w:r w:rsidRPr="005F055E">
        <w:rPr>
          <w:szCs w:val="20"/>
          <w:lang w:eastAsia="nl-NL"/>
        </w:rPr>
        <w:t xml:space="preserve">Kinderopvangtoeslag is bedoeld om werk en de zorg voor kinderen te combineren. Als een ouder langdurig ziek wordt eindigt het arbeidscontract na (meestal) 2 jaar. In die periode blijft het recht op kinderopvangtoeslag bestaan. Na beëindiging van het dienstverband blijft er nog 3 maanden recht op kinderopvangtoeslag bestaan. Als er in het lopende jaar nog opgebouwde uren aan toeslag niet zijn afgenomen, mogen die worden ingezet in de resterende periode van dat jaar. </w:t>
      </w:r>
    </w:p>
    <w:p w:rsidRPr="005F055E" w:rsidR="0013300B" w:rsidP="00180EEB" w:rsidRDefault="0013300B" w14:paraId="4910B931" w14:textId="77777777">
      <w:pPr>
        <w:suppressAutoHyphens/>
        <w:rPr>
          <w:szCs w:val="20"/>
          <w:lang w:eastAsia="nl-NL"/>
        </w:rPr>
      </w:pPr>
      <w:r w:rsidRPr="005F055E">
        <w:rPr>
          <w:szCs w:val="20"/>
          <w:lang w:eastAsia="nl-NL"/>
        </w:rPr>
        <w:t xml:space="preserve">Als er geen recht op kinderopvangtoeslag meer is, dan kan een gezin dat te maken heeft met sociaal medische problematiek bij de gemeente een vergoeding krijgen voor de kosten van kinderopvang. Daarvoor geeft de gemeente een SMI (Sociaal Medische Indicatie) af. Gemeenten zijn verantwoordelijk voor de uitvoering van SMI. </w:t>
      </w:r>
    </w:p>
    <w:p w:rsidRPr="005F055E" w:rsidR="0013300B" w:rsidP="00180EEB" w:rsidRDefault="0013300B" w14:paraId="219D7B52" w14:textId="77777777">
      <w:pPr>
        <w:suppressAutoHyphens/>
        <w:rPr>
          <w:szCs w:val="20"/>
          <w:lang w:eastAsia="nl-NL"/>
        </w:rPr>
      </w:pPr>
      <w:r w:rsidRPr="005F055E">
        <w:rPr>
          <w:szCs w:val="20"/>
          <w:lang w:eastAsia="nl-NL"/>
        </w:rPr>
        <w:t xml:space="preserve">Het is onbekend hoeveel ouders met jonge kinderen het recht op kinderopvangtoeslag verliezen en hoeveel gebruik maken van SMI. </w:t>
      </w:r>
    </w:p>
    <w:p w:rsidRPr="005F055E" w:rsidR="0013300B" w:rsidP="00180EEB" w:rsidRDefault="0013300B" w14:paraId="3190CF8F" w14:textId="77777777">
      <w:pPr>
        <w:suppressAutoHyphens/>
        <w:rPr>
          <w:szCs w:val="20"/>
          <w:lang w:eastAsia="nl-NL"/>
        </w:rPr>
      </w:pPr>
      <w:r w:rsidRPr="005F055E">
        <w:rPr>
          <w:szCs w:val="20"/>
          <w:lang w:eastAsia="nl-NL"/>
        </w:rPr>
        <w:t xml:space="preserve">Het aantal dagen tussen aanvraag en toekenning verschilt per gemeente en per situatie. Sommige gemeenten hanteren een wettelijke termijn van 8 weken. Gemeenten streven naar een zo spoedig mogelijke afhandeling. </w:t>
      </w:r>
    </w:p>
    <w:p w:rsidRPr="005F055E" w:rsidR="0013300B" w:rsidP="00180EEB" w:rsidRDefault="0013300B" w14:paraId="7E0F357F" w14:textId="77777777">
      <w:pPr>
        <w:suppressAutoHyphens/>
        <w:rPr>
          <w:szCs w:val="20"/>
          <w:lang w:eastAsia="nl-NL"/>
        </w:rPr>
      </w:pPr>
    </w:p>
    <w:p w:rsidRPr="005F055E" w:rsidR="00506A68" w:rsidP="00180EEB" w:rsidRDefault="003E7003" w14:paraId="4B427A82" w14:textId="5062B7D9">
      <w:pPr>
        <w:suppressAutoHyphens/>
      </w:pPr>
      <w:r w:rsidRPr="005F055E">
        <w:t>Vraag 392</w:t>
      </w:r>
    </w:p>
    <w:p w:rsidRPr="005F055E" w:rsidR="002B7541" w:rsidP="00180EEB" w:rsidRDefault="003E7003" w14:paraId="0322C25D" w14:textId="4A13C948">
      <w:pPr>
        <w:suppressAutoHyphens/>
      </w:pPr>
      <w:r w:rsidRPr="005F055E">
        <w:t>Welke maatregelen worden door u genomen om invulling te geven aan het 'boeien, binden en benutten' in de gehandicaptenzorg?</w:t>
      </w:r>
    </w:p>
    <w:p w:rsidRPr="005F055E" w:rsidR="003E7003" w:rsidP="00180EEB" w:rsidRDefault="003E7003" w14:paraId="58F8ED22" w14:textId="1223D157">
      <w:pPr>
        <w:suppressAutoHyphens/>
      </w:pPr>
      <w:r w:rsidRPr="005F055E">
        <w:t>Antwoord</w:t>
      </w:r>
    </w:p>
    <w:p w:rsidRPr="005F055E" w:rsidR="00E57EFE" w:rsidP="00180EEB" w:rsidRDefault="00E57EFE" w14:paraId="3FBF8292" w14:textId="77777777">
      <w:pPr>
        <w:suppressAutoHyphens/>
      </w:pPr>
      <w:r w:rsidRPr="005F055E">
        <w:t>Met de Toekomstagenda ‘zorg en ondersteuning voor mensen met een beperking’ zijn verschillende maatregelen in gang gezet om invulling te geven aan het boeien, binden en benutten in de gehandicaptenzorg. Voor het boeien van medewerkers is het belangrijk om aandacht te hebben voor de juiste beeldvorming. Met de leergang</w:t>
      </w:r>
      <w:r w:rsidRPr="005F055E">
        <w:rPr>
          <w:b/>
          <w:bCs/>
        </w:rPr>
        <w:t> </w:t>
      </w:r>
      <w:r w:rsidRPr="005F055E">
        <w:t xml:space="preserve">Ambassadeurs Gehandicaptenzorg van de Beroepsvereniging van professionals in sociaal werk (BPSW) en Verpleegkundigen en Verzorgenden Nederland (V&amp;VN) ontwikkelen professionals uit de gehandicaptenzorg zich tot ambassadeur. Er zijn totaal vijf lichtingen afgestudeerd. </w:t>
      </w:r>
    </w:p>
    <w:p w:rsidRPr="005F055E" w:rsidR="00E57EFE" w:rsidP="00180EEB" w:rsidRDefault="00E57EFE" w14:paraId="0AAB6557" w14:textId="0B6C1FE6">
      <w:pPr>
        <w:suppressAutoHyphens/>
      </w:pPr>
      <w:r w:rsidRPr="005F055E">
        <w:t xml:space="preserve">Deze ambassadeurs zijn enthousiast over hun vak, maken zichtbaar wat er speelt op de werkvloer en vragen aandacht voor de gehandicaptensector. Om medewerkers te binden en te behouden is het van belang dat het beroep zich blijft ontwikkelen. De BPSW heeft een vierjarige subsidie gekregen om te werken aan het verstevigen van de professie en het vakmanschap van professionals. Zij voeren onder andere de pilot beroepsregistratie uit en onderzoeken wat dit betekent voor de professionalisering van het beroep. Voor het benutten van aanwezige kennis en ervaring is, door de Academische Werkplaats Leven met een verstandelijke beperking, verkend wat het netwerk van mensen met een beperking kan betekenen in een meer gelijkwaardige positie tot de professional. </w:t>
      </w:r>
    </w:p>
    <w:p w:rsidRPr="005F055E" w:rsidR="00E57EFE" w:rsidP="00180EEB" w:rsidRDefault="00E57EFE" w14:paraId="6C5B68C2" w14:textId="77777777">
      <w:pPr>
        <w:suppressAutoHyphens/>
      </w:pPr>
      <w:r w:rsidRPr="005F055E">
        <w:t xml:space="preserve">Daarnaast wordt het Preventieplan Zorg en Welzijn gesteund. Dat richt zich zowel op het behoud van medewerkers in de sector zorg en welzijn als op het tegengaan van verzuim. Voor het behouden van medewerkers is een goed en veilig leerklimaat van belang. Het gaat hierbij niet alleen om het kunnen volgen van scholing, maar ook om het kunnen spiegelen en reflecteren, mogen maken van fouten, </w:t>
      </w:r>
      <w:proofErr w:type="spellStart"/>
      <w:r w:rsidRPr="005F055E">
        <w:t>learning</w:t>
      </w:r>
      <w:proofErr w:type="spellEnd"/>
      <w:r w:rsidRPr="005F055E">
        <w:t xml:space="preserve"> on </w:t>
      </w:r>
      <w:proofErr w:type="spellStart"/>
      <w:r w:rsidRPr="005F055E">
        <w:t>the</w:t>
      </w:r>
      <w:proofErr w:type="spellEnd"/>
      <w:r w:rsidRPr="005F055E">
        <w:t xml:space="preserve"> job of het verder kunnen brengen van het vak. Het preventieplan biedt zorgorganisaties handvatten voor een aanpak om het verloop in hun organisatie terug te dringen. Door het thema in alle lagen van de organisatie hoog op de agenda te zetten en door sámen met medewerkers te kijken naar wat daadwerkelijk nodig is om mensen te behouden.</w:t>
      </w:r>
    </w:p>
    <w:p w:rsidRPr="005F055E" w:rsidR="00506A68" w:rsidP="00180EEB" w:rsidRDefault="00506A68" w14:paraId="3A7C9BB5" w14:textId="77777777">
      <w:pPr>
        <w:suppressAutoHyphens/>
      </w:pPr>
    </w:p>
    <w:p w:rsidRPr="005F055E" w:rsidR="00506A68" w:rsidP="00180EEB" w:rsidRDefault="003E7003" w14:paraId="205EAAA0" w14:textId="77777777">
      <w:pPr>
        <w:suppressAutoHyphens/>
      </w:pPr>
      <w:r w:rsidRPr="005F055E">
        <w:t>Vraag 393</w:t>
      </w:r>
    </w:p>
    <w:p w:rsidRPr="005F055E" w:rsidR="00506A68" w:rsidP="00180EEB" w:rsidRDefault="003E7003" w14:paraId="4A9173AC" w14:textId="77777777">
      <w:pPr>
        <w:suppressAutoHyphens/>
      </w:pPr>
      <w:r w:rsidRPr="005F055E">
        <w:t>Hoeveel mensen staan momenteel op de wachtlijst voor de gehandicaptenzorg?</w:t>
      </w:r>
    </w:p>
    <w:p w:rsidRPr="005F055E" w:rsidR="003E7003" w:rsidP="00180EEB" w:rsidRDefault="003E7003" w14:paraId="60AE063E" w14:textId="0FC3188C">
      <w:pPr>
        <w:suppressAutoHyphens/>
      </w:pPr>
      <w:r w:rsidRPr="005F055E">
        <w:t>Antwoord</w:t>
      </w:r>
    </w:p>
    <w:p w:rsidRPr="00D544B0" w:rsidR="00506A68" w:rsidP="00180EEB" w:rsidRDefault="00EE5450" w14:paraId="6FAB04EF" w14:textId="741DA300">
      <w:pPr>
        <w:suppressAutoHyphens/>
        <w:spacing w:line="240" w:lineRule="atLeast"/>
        <w:rPr>
          <w:szCs w:val="20"/>
          <w:lang w:eastAsia="nl-NL"/>
        </w:rPr>
      </w:pPr>
      <w:r w:rsidRPr="005F055E">
        <w:rPr>
          <w:szCs w:val="20"/>
          <w:lang w:eastAsia="nl-NL"/>
        </w:rPr>
        <w:t xml:space="preserve">Volgens de wachtlijstregistratie van het Zorginstituut wachtten er op 1 augustus 2025 1.738 cliënten op een plek in een instelling voor gehandicaptenzorg. U treft de maandelijkse rapportages aan op: </w:t>
      </w:r>
      <w:hyperlink w:history="1" r:id="rId36">
        <w:r w:rsidRPr="005F055E">
          <w:rPr>
            <w:color w:val="0563C1" w:themeColor="hyperlink"/>
            <w:szCs w:val="20"/>
            <w:u w:val="single"/>
            <w:lang w:eastAsia="nl-NL"/>
          </w:rPr>
          <w:t>Wachtlijsten landelijk niveau | Zorgcijfersdatabank.nl</w:t>
        </w:r>
      </w:hyperlink>
    </w:p>
    <w:p w:rsidR="008C3510" w:rsidP="00180EEB" w:rsidRDefault="008C3510" w14:paraId="5DEC7F5F" w14:textId="77777777">
      <w:pPr>
        <w:suppressAutoHyphens/>
      </w:pPr>
    </w:p>
    <w:p w:rsidRPr="005F055E" w:rsidR="00506A68" w:rsidP="00180EEB" w:rsidRDefault="003E7003" w14:paraId="68B31FB5" w14:textId="4BFA571B">
      <w:pPr>
        <w:suppressAutoHyphens/>
      </w:pPr>
      <w:r w:rsidRPr="005F055E">
        <w:t>Vraag 394</w:t>
      </w:r>
    </w:p>
    <w:p w:rsidRPr="005F055E" w:rsidR="00506A68" w:rsidP="00180EEB" w:rsidRDefault="003E7003" w14:paraId="7D942742" w14:textId="77777777">
      <w:pPr>
        <w:suppressAutoHyphens/>
      </w:pPr>
      <w:r w:rsidRPr="005F055E">
        <w:t>Hoe wordt samenwerking tussen de geestelijke gezondheidszorg en de gehandicaptenzorg vormgegeven?</w:t>
      </w:r>
    </w:p>
    <w:p w:rsidRPr="005F055E" w:rsidR="003E7003" w:rsidP="00180EEB" w:rsidRDefault="003E7003" w14:paraId="0F327103" w14:textId="7EF0F92D">
      <w:pPr>
        <w:suppressAutoHyphens/>
      </w:pPr>
      <w:r w:rsidRPr="005F055E">
        <w:t>Antwoord</w:t>
      </w:r>
    </w:p>
    <w:p w:rsidRPr="005F055E" w:rsidR="00EE5450" w:rsidP="00180EEB" w:rsidRDefault="00EE5450" w14:paraId="4A0E540E" w14:textId="4016E34D">
      <w:pPr>
        <w:suppressAutoHyphens/>
        <w:spacing w:line="240" w:lineRule="atLeast"/>
        <w:rPr>
          <w:szCs w:val="20"/>
          <w:lang w:eastAsia="nl-NL"/>
        </w:rPr>
      </w:pPr>
      <w:r w:rsidRPr="005F055E">
        <w:rPr>
          <w:szCs w:val="20"/>
          <w:lang w:eastAsia="nl-NL"/>
        </w:rPr>
        <w:t xml:space="preserve">In de beantwoording ligt de focus op de zorg voor mensen met een </w:t>
      </w:r>
      <w:proofErr w:type="spellStart"/>
      <w:r w:rsidRPr="005F055E">
        <w:rPr>
          <w:szCs w:val="20"/>
          <w:lang w:eastAsia="nl-NL"/>
        </w:rPr>
        <w:t>Wlz</w:t>
      </w:r>
      <w:proofErr w:type="spellEnd"/>
      <w:r w:rsidRPr="005F055E">
        <w:rPr>
          <w:szCs w:val="20"/>
          <w:lang w:eastAsia="nl-NL"/>
        </w:rPr>
        <w:t>-indicatie. De samenwerking tussen de geestelijke gezondheidszorg (</w:t>
      </w:r>
      <w:r w:rsidR="00D55762">
        <w:rPr>
          <w:szCs w:val="20"/>
          <w:lang w:eastAsia="nl-NL"/>
        </w:rPr>
        <w:t>GGZ</w:t>
      </w:r>
      <w:r w:rsidRPr="005F055E">
        <w:rPr>
          <w:szCs w:val="20"/>
          <w:lang w:eastAsia="nl-NL"/>
        </w:rPr>
        <w:t>) en de gehandicaptenzorg (</w:t>
      </w:r>
      <w:proofErr w:type="spellStart"/>
      <w:r w:rsidRPr="005F055E">
        <w:rPr>
          <w:szCs w:val="20"/>
          <w:lang w:eastAsia="nl-NL"/>
        </w:rPr>
        <w:t>ghz</w:t>
      </w:r>
      <w:proofErr w:type="spellEnd"/>
      <w:r w:rsidRPr="005F055E">
        <w:rPr>
          <w:szCs w:val="20"/>
          <w:lang w:eastAsia="nl-NL"/>
        </w:rPr>
        <w:t xml:space="preserve">) richt zich op het bieden van passende, samenhangende zorg en ondersteuning aan mensen met meervoudige en complexe problematiek, zoals de combinatie van een psychische aandoening en een (licht) verstandelijke beperking (LVB). Voor deze mensen is de zorg vaak niet goed op elkaar afgestemd. Daarom zetten we via de bestuurlijke afspraken met Zorgverzekeraars Nederland (ZN), de Vereniging Gehandicaptenzorg Nederland (VGN), Ieder(in), de Nederlandse </w:t>
      </w:r>
      <w:r w:rsidR="00D55762">
        <w:rPr>
          <w:szCs w:val="20"/>
          <w:lang w:eastAsia="nl-NL"/>
        </w:rPr>
        <w:t>GGZ</w:t>
      </w:r>
      <w:r w:rsidRPr="005F055E">
        <w:rPr>
          <w:szCs w:val="20"/>
          <w:lang w:eastAsia="nl-NL"/>
        </w:rPr>
        <w:t xml:space="preserve"> en VWS in op het verbeteren van deze samenwerking tussen beide sectoren</w:t>
      </w:r>
      <w:r w:rsidRPr="005F055E">
        <w:rPr>
          <w:szCs w:val="20"/>
          <w:vertAlign w:val="superscript"/>
          <w:lang w:eastAsia="nl-NL"/>
        </w:rPr>
        <w:footnoteReference w:id="149"/>
      </w:r>
      <w:r w:rsidRPr="005F055E">
        <w:rPr>
          <w:szCs w:val="20"/>
          <w:lang w:eastAsia="nl-NL"/>
        </w:rPr>
        <w:t>. Dit is één van de prioriteiten binnen de bestuurlijke afspraken die vallen onder de ‘Toekomstagenda zorg en ondersteuning voor mensen met een beperking’, die een looptijd heeft tot en met 2026. Daarnaast zijn in de werkagenda ‘Een betekenisvol leven voor mensen met een langdurige psychische aandoening’ acties opgenomen ten aanzien van het verbeteren van de samenwerking in de regio en het realiseren van meer passende woonzorgconcepten en -voorzieningen, ook voor mensen met een psychische aandoening en een (licht) verstandelijke beperking</w:t>
      </w:r>
      <w:r w:rsidRPr="005F055E">
        <w:rPr>
          <w:szCs w:val="20"/>
          <w:vertAlign w:val="superscript"/>
          <w:lang w:eastAsia="nl-NL"/>
        </w:rPr>
        <w:footnoteReference w:id="150"/>
      </w:r>
      <w:r w:rsidRPr="005F055E">
        <w:rPr>
          <w:szCs w:val="20"/>
          <w:lang w:eastAsia="nl-NL"/>
        </w:rPr>
        <w:t xml:space="preserve">. </w:t>
      </w:r>
    </w:p>
    <w:p w:rsidRPr="005F055E" w:rsidR="00EE5450" w:rsidP="00180EEB" w:rsidRDefault="00EE5450" w14:paraId="702A21AB" w14:textId="77777777">
      <w:pPr>
        <w:suppressAutoHyphens/>
      </w:pPr>
    </w:p>
    <w:p w:rsidRPr="005F055E" w:rsidR="00506A68" w:rsidP="00180EEB" w:rsidRDefault="003E7003" w14:paraId="74B14545" w14:textId="77777777">
      <w:pPr>
        <w:suppressAutoHyphens/>
      </w:pPr>
      <w:r w:rsidRPr="005F055E">
        <w:t>Vraag 395</w:t>
      </w:r>
    </w:p>
    <w:p w:rsidRPr="005F055E" w:rsidR="00506A68" w:rsidP="00180EEB" w:rsidRDefault="003E7003" w14:paraId="2DF81D04" w14:textId="77777777">
      <w:pPr>
        <w:suppressAutoHyphens/>
      </w:pPr>
      <w:r w:rsidRPr="005F055E">
        <w:t>Op welke manier wordt de samenwerking tussen zorgdomein en sociaal domein precies vormgegeven?</w:t>
      </w:r>
    </w:p>
    <w:p w:rsidRPr="005F055E" w:rsidR="003E7003" w:rsidP="00180EEB" w:rsidRDefault="003E7003" w14:paraId="1D263691" w14:textId="60D03117">
      <w:pPr>
        <w:suppressAutoHyphens/>
      </w:pPr>
      <w:r w:rsidRPr="005F055E">
        <w:t>Antwoord</w:t>
      </w:r>
    </w:p>
    <w:p w:rsidRPr="005F055E" w:rsidR="00EE5450" w:rsidP="00180EEB" w:rsidRDefault="00EE5450" w14:paraId="7D01FA1A" w14:textId="77777777">
      <w:pPr>
        <w:suppressAutoHyphens/>
        <w:spacing w:line="240" w:lineRule="atLeast"/>
        <w:rPr>
          <w:szCs w:val="18"/>
          <w:lang w:eastAsia="nl-NL"/>
        </w:rPr>
      </w:pPr>
      <w:r w:rsidRPr="005F055E">
        <w:rPr>
          <w:szCs w:val="18"/>
          <w:lang w:eastAsia="nl-NL"/>
        </w:rPr>
        <w:t xml:space="preserve">Al langere tijd wordt ingezet op een sterkere samenwerking tussen het zorgdomein en sociaal domein. Zo werd in het Integraal Zorgakkoord (IZA) en Gezond en Actief Leven Akkoord (GALA) onder andere ingezet op </w:t>
      </w:r>
      <w:proofErr w:type="spellStart"/>
      <w:r w:rsidRPr="005F055E">
        <w:rPr>
          <w:szCs w:val="18"/>
          <w:lang w:eastAsia="nl-NL"/>
        </w:rPr>
        <w:t>domeinoverstijgende</w:t>
      </w:r>
      <w:proofErr w:type="spellEnd"/>
      <w:r w:rsidRPr="005F055E">
        <w:rPr>
          <w:szCs w:val="18"/>
          <w:lang w:eastAsia="nl-NL"/>
        </w:rPr>
        <w:t xml:space="preserve"> ketenaanpakken. In het Aanvullend zorg en welzijnsakkoord (AZWA) wordt deze samenwerking nu nog concreter vormgegeven door onder andere afspraken over het structureel verankeren van basisfunctionaliteiten op het snijvlak zorg-sociaal domein. Hierbij worden landelijke afspraken gemaakt tussen gemeenten en zorgverzekeraars op specifieke thema’s als valpreventie, laagdrempelige steunpunten voor de EPA-doelgroep en sociaal verwijzen. Deze afspraken gaan over welke zorg en ondersteuning in de regio en lokaal beschikbaar moet zijn om zo duidelijk aan te kunnen geven aan inwoners waar men op kan rekenen. Daarbij wordt de basis in het sociaal domein verstevigd, onder andere door afspraken te maken over de basisinfrastructuur en de aansluiting van lokale teams op de hechte wijkverbanden eerstelijnszorg en de JGZ.</w:t>
      </w:r>
    </w:p>
    <w:p w:rsidRPr="005F055E" w:rsidR="00EE5450" w:rsidP="00180EEB" w:rsidRDefault="00EE5450" w14:paraId="11CB423D" w14:textId="77777777">
      <w:pPr>
        <w:suppressAutoHyphens/>
      </w:pPr>
    </w:p>
    <w:p w:rsidRPr="005F055E" w:rsidR="00506A68" w:rsidP="00180EEB" w:rsidRDefault="003E7003" w14:paraId="5CE75485" w14:textId="77777777">
      <w:pPr>
        <w:suppressAutoHyphens/>
      </w:pPr>
      <w:r w:rsidRPr="005F055E">
        <w:t>Vraag 396</w:t>
      </w:r>
    </w:p>
    <w:p w:rsidRPr="005F055E" w:rsidR="00506A68" w:rsidP="00180EEB" w:rsidRDefault="003E7003" w14:paraId="5738948F" w14:textId="77777777">
      <w:pPr>
        <w:suppressAutoHyphens/>
      </w:pPr>
      <w:r w:rsidRPr="005F055E">
        <w:t>Wat is de rolverdeling tussen VNG, Zorgverzekeraars Nederland en gemeenten bij de verdere uitwerking van het AZWA in 2026?</w:t>
      </w:r>
    </w:p>
    <w:p w:rsidRPr="005F055E" w:rsidR="003E7003" w:rsidP="00180EEB" w:rsidRDefault="003E7003" w14:paraId="5E080E2C" w14:textId="3E301F96">
      <w:pPr>
        <w:suppressAutoHyphens/>
        <w:rPr>
          <w:szCs w:val="18"/>
        </w:rPr>
      </w:pPr>
      <w:r w:rsidRPr="005F055E">
        <w:rPr>
          <w:szCs w:val="18"/>
        </w:rPr>
        <w:t>Antwoord</w:t>
      </w:r>
    </w:p>
    <w:p w:rsidRPr="005F055E" w:rsidR="00EE5450" w:rsidP="00180EEB" w:rsidRDefault="00EE5450" w14:paraId="6BF9F832" w14:textId="77777777">
      <w:pPr>
        <w:suppressAutoHyphens/>
        <w:rPr>
          <w:rFonts w:eastAsia="Calibri"/>
          <w:kern w:val="2"/>
          <w:szCs w:val="18"/>
          <w14:ligatures w14:val="standardContextual"/>
        </w:rPr>
      </w:pPr>
      <w:r w:rsidRPr="005F055E">
        <w:rPr>
          <w:rFonts w:eastAsia="Calibri"/>
          <w:kern w:val="2"/>
          <w:szCs w:val="18"/>
          <w14:ligatures w14:val="standardContextual"/>
        </w:rPr>
        <w:t xml:space="preserve">Het aanvullend zorg- en welzijnsakkoord (AZWA) is afgesloten met de betrokken partijen uit zorg en welzijn, waaronder de Vereniging Nederlandse Gemeenten (VNG) en Zorgverzekeraars Nederland (ZN). Op landelijk niveau zijn begin 2025 afspraken gemaakt over gelijkwaardig partnerschap in de samenwerking tussen VWS, VNG en ZN. In de IZA regio’s werken gemeenten en zorgverzekeraars al langere tijd samen aan de doorontwikkeling van zorg en welzijn. De </w:t>
      </w:r>
      <w:proofErr w:type="spellStart"/>
      <w:r w:rsidRPr="005F055E">
        <w:rPr>
          <w:rFonts w:eastAsia="Calibri"/>
          <w:kern w:val="2"/>
          <w:szCs w:val="18"/>
          <w14:ligatures w14:val="standardContextual"/>
        </w:rPr>
        <w:t>marktleidende</w:t>
      </w:r>
      <w:proofErr w:type="spellEnd"/>
      <w:r w:rsidRPr="005F055E">
        <w:rPr>
          <w:rFonts w:eastAsia="Calibri"/>
          <w:kern w:val="2"/>
          <w:szCs w:val="18"/>
          <w14:ligatures w14:val="standardContextual"/>
        </w:rPr>
        <w:t xml:space="preserve"> zorgverzekeraar en de aangewezen gemeente zijn dan ook samen verantwoordelijk om het initiatief te nemen om tot een (geactualiseerd) regiobeeld te komen. </w:t>
      </w:r>
    </w:p>
    <w:p w:rsidRPr="005F055E" w:rsidR="00EE5450" w:rsidP="00180EEB" w:rsidRDefault="00EE5450" w14:paraId="6FB38D13" w14:textId="77777777">
      <w:pPr>
        <w:suppressAutoHyphens/>
        <w:rPr>
          <w:rFonts w:eastAsia="Calibri"/>
          <w:kern w:val="2"/>
          <w:szCs w:val="18"/>
          <w14:ligatures w14:val="standardContextual"/>
        </w:rPr>
      </w:pPr>
      <w:r w:rsidRPr="005F055E">
        <w:rPr>
          <w:rFonts w:eastAsia="Calibri"/>
          <w:kern w:val="2"/>
          <w:szCs w:val="18"/>
          <w14:ligatures w14:val="standardContextual"/>
        </w:rPr>
        <w:t>De komende periode maken VWS, VNG en ZN in afstemming met (vertegenwoordigers van) aanbieders van zorg en ondersteuning landelijke afspraken over de in het AZWA beschreven basisfunctionaliteiten. Het doel is dat deze functionaliteiten in elke regio of gemeente ingevuld en beschikbaar zijn voor inwoners. Gemeenten, zorgverzekeraars en aanbieders van zorg en ondersteuning zijn hierop wederzijds aanspreekbaar.</w:t>
      </w:r>
    </w:p>
    <w:p w:rsidRPr="005F055E" w:rsidR="00506A68" w:rsidP="00180EEB" w:rsidRDefault="00506A68" w14:paraId="3A3AD1A9" w14:textId="77777777">
      <w:pPr>
        <w:suppressAutoHyphens/>
      </w:pPr>
    </w:p>
    <w:p w:rsidRPr="005F055E" w:rsidR="00506A68" w:rsidP="00180EEB" w:rsidRDefault="003E7003" w14:paraId="25E0CF4F" w14:textId="77777777">
      <w:pPr>
        <w:suppressAutoHyphens/>
      </w:pPr>
      <w:r w:rsidRPr="005F055E">
        <w:t>Vraag 397</w:t>
      </w:r>
    </w:p>
    <w:p w:rsidRPr="005F055E" w:rsidR="00506A68" w:rsidP="00180EEB" w:rsidRDefault="003E7003" w14:paraId="710A12C4" w14:textId="77777777">
      <w:pPr>
        <w:suppressAutoHyphens/>
      </w:pPr>
      <w:r w:rsidRPr="005F055E">
        <w:t>Is er binnen het AZWA ruimte voor psychosociale ondersteuning bij kanker die op maat lokaal wordt geboden?</w:t>
      </w:r>
    </w:p>
    <w:p w:rsidRPr="005F055E" w:rsidR="003E7003" w:rsidP="00180EEB" w:rsidRDefault="003E7003" w14:paraId="7614A258" w14:textId="4310A801">
      <w:pPr>
        <w:suppressAutoHyphens/>
      </w:pPr>
      <w:r w:rsidRPr="005F055E">
        <w:t>Antwoord</w:t>
      </w:r>
    </w:p>
    <w:p w:rsidRPr="005F055E" w:rsidR="00E57EFE" w:rsidP="00180EEB" w:rsidRDefault="00E57EFE" w14:paraId="7FCCF5FC" w14:textId="77777777">
      <w:pPr>
        <w:suppressAutoHyphens/>
        <w:rPr>
          <w:szCs w:val="18"/>
        </w:rPr>
      </w:pPr>
      <w:r w:rsidRPr="005F055E">
        <w:rPr>
          <w:szCs w:val="18"/>
        </w:rPr>
        <w:t xml:space="preserve">In het Aanvullend Zorg- en Welzijnsakkoord (AZWA) zijn o.a. afspraken gemaakt over basisfunctionaliteiten en de basisinfrastructuur op het snijvlak van het zorgdomein en het sociaal domein. Er is bij de ontwikkeling en implementatie van basisfunctionaliteiten niet voorzien in specifieke afspraken over psychosociale ondersteuning bij kanker. Wel kan bij de uitwerking van de basisinfrastructuur gekeken worden naar vormen van psychosociale ondersteuning. De afspraken vanuit het AZWA worden momenteel verder uitgewerkt. </w:t>
      </w:r>
    </w:p>
    <w:p w:rsidRPr="005F055E" w:rsidR="00506A68" w:rsidP="00180EEB" w:rsidRDefault="00506A68" w14:paraId="5E57B45C" w14:textId="77777777">
      <w:pPr>
        <w:suppressAutoHyphens/>
      </w:pPr>
    </w:p>
    <w:p w:rsidRPr="005F055E" w:rsidR="00506A68" w:rsidP="00180EEB" w:rsidRDefault="003E7003" w14:paraId="0CA2E729" w14:textId="77777777">
      <w:pPr>
        <w:suppressAutoHyphens/>
      </w:pPr>
      <w:r w:rsidRPr="005F055E">
        <w:t>Vraag 398</w:t>
      </w:r>
    </w:p>
    <w:p w:rsidRPr="005F055E" w:rsidR="00506A68" w:rsidP="00180EEB" w:rsidRDefault="003E7003" w14:paraId="08991EC8" w14:textId="77777777">
      <w:pPr>
        <w:suppressAutoHyphens/>
      </w:pPr>
      <w:r w:rsidRPr="005F055E">
        <w:t>Wat zal de impact van het AZWA zijn op mensen die leven met en na kanker?</w:t>
      </w:r>
    </w:p>
    <w:p w:rsidRPr="005F055E" w:rsidR="003E7003" w:rsidP="00180EEB" w:rsidRDefault="003E7003" w14:paraId="10A50D8C" w14:textId="465366BC">
      <w:pPr>
        <w:suppressAutoHyphens/>
      </w:pPr>
      <w:r w:rsidRPr="005F055E">
        <w:t>Antwoord</w:t>
      </w:r>
    </w:p>
    <w:p w:rsidRPr="005F055E" w:rsidR="008D2F23" w:rsidP="00180EEB" w:rsidRDefault="008D2F23" w14:paraId="6B171BE2" w14:textId="67870F66">
      <w:pPr>
        <w:suppressAutoHyphens/>
        <w:spacing w:line="240" w:lineRule="atLeast"/>
        <w:rPr>
          <w:szCs w:val="18"/>
          <w:lang w:eastAsia="nl-NL"/>
        </w:rPr>
      </w:pPr>
      <w:r w:rsidRPr="005F055E">
        <w:rPr>
          <w:szCs w:val="18"/>
          <w:lang w:eastAsia="nl-NL"/>
        </w:rPr>
        <w:t xml:space="preserve">Met het IZA en AZWA wordt een brede beweging ingezet die ziet op toegankelijke en passende zorg en ondersteuning voor iedereen die deze nodig heeft. Dit geldt ook voor mensen die leven met en na kanker. Op het gebied van de oncologie specifiek, zet het Aanvullend Zorg- en Welzijnsakkoord (AZWA) de beweging voort die eerder is ingezet in het Integraal Zorgakkoord (IZA) en het daaruit vloeiende Plan van Aanpak netwerk- en expertzorg voor mensen met kanker (Passende zorg in de oncologieregio’s). Door de oncologische zorg in netwerken te organiseren kan er aan oncologische patiënten betere en passende zorg geboden worden, en blijft die zorg ook in de toekomst betaalbaar en voor iedereen toegankelijk. Samenwerking in netwerken helpt om ieder patiënt met kanker de beste zorg te geven, ongeacht waar zijn of haar zorgtraject start. </w:t>
      </w:r>
    </w:p>
    <w:p w:rsidRPr="005F055E" w:rsidR="008D2F23" w:rsidP="00180EEB" w:rsidRDefault="008D2F23" w14:paraId="3629BD7C" w14:textId="77777777">
      <w:pPr>
        <w:suppressAutoHyphens/>
        <w:spacing w:line="240" w:lineRule="atLeast"/>
      </w:pPr>
    </w:p>
    <w:p w:rsidRPr="005F055E" w:rsidR="00506A68" w:rsidP="00180EEB" w:rsidRDefault="003E7003" w14:paraId="67A9B3E1" w14:textId="77777777">
      <w:pPr>
        <w:suppressAutoHyphens/>
      </w:pPr>
      <w:r w:rsidRPr="005F055E">
        <w:t>Vraag 399</w:t>
      </w:r>
    </w:p>
    <w:p w:rsidRPr="005F055E" w:rsidR="00506A68" w:rsidP="00180EEB" w:rsidRDefault="003E7003" w14:paraId="0F078802" w14:textId="77777777">
      <w:pPr>
        <w:suppressAutoHyphens/>
      </w:pPr>
      <w:r w:rsidRPr="005F055E">
        <w:t>Ziet u een rol voor inloophuizen, zoals de IPSO centra, binnen het maken van de afspraken voor het AZWA?</w:t>
      </w:r>
    </w:p>
    <w:p w:rsidRPr="005F055E" w:rsidR="003E7003" w:rsidP="00180EEB" w:rsidRDefault="003E7003" w14:paraId="270565D7" w14:textId="24D4B3EE">
      <w:pPr>
        <w:suppressAutoHyphens/>
      </w:pPr>
      <w:r w:rsidRPr="005F055E">
        <w:t>Antwoord</w:t>
      </w:r>
    </w:p>
    <w:p w:rsidRPr="005F055E" w:rsidR="00E57EFE" w:rsidP="00180EEB" w:rsidRDefault="00E57EFE" w14:paraId="6CDA1728" w14:textId="77777777">
      <w:pPr>
        <w:suppressAutoHyphens/>
        <w:rPr>
          <w:szCs w:val="18"/>
        </w:rPr>
      </w:pPr>
      <w:r w:rsidRPr="005F055E">
        <w:rPr>
          <w:szCs w:val="18"/>
        </w:rPr>
        <w:t>Inloophuizen voor (ex)-kankerpatiënten en hun naasten, zoals IPSO centra, zijn van groot belang. In het Aanvullend Zorg- en Welzijnsakkoord (AZWA) zijn verschillende aandachtspunten opgenomen voor de informele zorg. Er is onder andere opgenomen dat er intensiever en gelijkwaardiger samengewerkt wordt tussen het medische en sociale domein om passende zorg te garanderen. Daarnaast zijn er in het AZWA afspraken gemaakt over basisfunctionaliteiten en de basisinfrastructuur op het snijvlak van het zorgdomein en het sociaal domein. Op dit moment is bij de ontwikkeling en implementatie van basisfunctionaliteiten niet voorzien in specifieke afspraken over psychosociale ondersteuning bij kanker. Bij het maken van afspraken over de inrichting en uitvoering van de basisinfrastructuur, bijvoorbeeld op het punt van inloopvoorzieningen, kan hier wel naar gekeken worden. Dit vraagt nadere uitwerking.</w:t>
      </w:r>
    </w:p>
    <w:p w:rsidRPr="005F055E" w:rsidR="00506A68" w:rsidP="00180EEB" w:rsidRDefault="00506A68" w14:paraId="1B66F769" w14:textId="77777777">
      <w:pPr>
        <w:suppressAutoHyphens/>
      </w:pPr>
    </w:p>
    <w:p w:rsidRPr="005F055E" w:rsidR="00506A68" w:rsidP="00180EEB" w:rsidRDefault="003E7003" w14:paraId="6180532E" w14:textId="1303FF54">
      <w:pPr>
        <w:suppressAutoHyphens/>
      </w:pPr>
      <w:r w:rsidRPr="005F055E">
        <w:t>Vraag 400</w:t>
      </w:r>
    </w:p>
    <w:p w:rsidRPr="005F055E" w:rsidR="00506A68" w:rsidP="00180EEB" w:rsidRDefault="003E7003" w14:paraId="501FD8BF" w14:textId="77777777">
      <w:pPr>
        <w:suppressAutoHyphens/>
      </w:pPr>
      <w:r w:rsidRPr="005F055E">
        <w:t>Ziet u een rol voor inloophuizen voor (ex-)kankerpatiënten en nabestaanden binnen het maken van de afspraken voor het AZWA?</w:t>
      </w:r>
    </w:p>
    <w:p w:rsidRPr="005F055E" w:rsidR="003E7003" w:rsidP="00180EEB" w:rsidRDefault="003E7003" w14:paraId="1520A281" w14:textId="7E59A51A">
      <w:pPr>
        <w:suppressAutoHyphens/>
      </w:pPr>
      <w:r w:rsidRPr="005F055E">
        <w:t>Antwoord</w:t>
      </w:r>
    </w:p>
    <w:p w:rsidRPr="005F055E" w:rsidR="008D2F23" w:rsidP="00180EEB" w:rsidRDefault="008D2F23" w14:paraId="78C681F2" w14:textId="77777777">
      <w:pPr>
        <w:suppressAutoHyphens/>
        <w:spacing w:line="240" w:lineRule="atLeast"/>
        <w:rPr>
          <w:szCs w:val="18"/>
          <w:lang w:eastAsia="nl-NL"/>
        </w:rPr>
      </w:pPr>
      <w:r w:rsidRPr="005F055E">
        <w:rPr>
          <w:szCs w:val="18"/>
          <w:lang w:eastAsia="nl-NL"/>
        </w:rPr>
        <w:t xml:space="preserve">Zoals genoemd in vraag 399 zijn er in het Aanvullend Zorg en Welzijnsakkoord (AZWA) verschillende aandachtspunten opgenomen voor de informele zorg. </w:t>
      </w:r>
    </w:p>
    <w:p w:rsidRPr="005F055E" w:rsidR="00506A68" w:rsidP="00180EEB" w:rsidRDefault="00506A68" w14:paraId="33DD1805" w14:textId="77777777">
      <w:pPr>
        <w:suppressAutoHyphens/>
      </w:pPr>
    </w:p>
    <w:p w:rsidRPr="005F055E" w:rsidR="00506A68" w:rsidP="00180EEB" w:rsidRDefault="003E7003" w14:paraId="45A89137" w14:textId="77777777">
      <w:pPr>
        <w:suppressAutoHyphens/>
      </w:pPr>
      <w:r w:rsidRPr="005F055E">
        <w:t>Vraag 401</w:t>
      </w:r>
    </w:p>
    <w:p w:rsidRPr="005F055E" w:rsidR="00506A68" w:rsidP="00180EEB" w:rsidRDefault="003E7003" w14:paraId="6EE827F8" w14:textId="77777777">
      <w:pPr>
        <w:suppressAutoHyphens/>
      </w:pPr>
      <w:r w:rsidRPr="005F055E">
        <w:t>Wat zijn de gevolgen van het lagere budget in 2025 en de komende jaren voor het RIVM? Welke taken kan het RIVM hierdoor niet (meer) uitvoeren?</w:t>
      </w:r>
    </w:p>
    <w:p w:rsidRPr="005F055E" w:rsidR="003E7003" w:rsidP="00180EEB" w:rsidRDefault="003E7003" w14:paraId="2006E796" w14:textId="66D75BC3">
      <w:pPr>
        <w:suppressAutoHyphens/>
      </w:pPr>
      <w:r w:rsidRPr="005F055E">
        <w:t>Antwoord</w:t>
      </w:r>
    </w:p>
    <w:p w:rsidRPr="005F055E" w:rsidR="008D2F23" w:rsidP="00180EEB" w:rsidRDefault="008D2F23" w14:paraId="07DCADFE" w14:textId="77777777">
      <w:pPr>
        <w:suppressAutoHyphens/>
        <w:spacing w:line="240" w:lineRule="atLeast"/>
        <w:rPr>
          <w:szCs w:val="18"/>
          <w:lang w:eastAsia="nl-NL"/>
        </w:rPr>
      </w:pPr>
      <w:r w:rsidRPr="005F055E">
        <w:rPr>
          <w:szCs w:val="18"/>
          <w:lang w:eastAsia="nl-NL"/>
        </w:rPr>
        <w:t>De budgetten die in de begroting zijn gereserveerd voor het RIVM bestaan uit structurele en tijdelijke budgetten. Omdat bepaalde tijdelijke budgetten niet worden verlengd loopt het totale budget af. Daarnaast is een taakstelling doorgevoerd op de budgetten voor het RIVM, waardoor over de hele breedte van het portfolio keuzes moeten worden gemaakt in de programmering. Deze keuzes zullen met uw Kamer worden gedeeld via de beleidsinhoudelijke brieven waar deze programma’s aan bijdragen.</w:t>
      </w:r>
    </w:p>
    <w:p w:rsidRPr="005F055E" w:rsidR="00506A68" w:rsidP="00180EEB" w:rsidRDefault="00506A68" w14:paraId="00E13376" w14:textId="77777777">
      <w:pPr>
        <w:suppressAutoHyphens/>
      </w:pPr>
    </w:p>
    <w:p w:rsidRPr="005F055E" w:rsidR="00506A68" w:rsidP="00180EEB" w:rsidRDefault="003E7003" w14:paraId="5D698B1A" w14:textId="77777777">
      <w:pPr>
        <w:suppressAutoHyphens/>
      </w:pPr>
      <w:r w:rsidRPr="005F055E">
        <w:t>Vraag 402</w:t>
      </w:r>
    </w:p>
    <w:p w:rsidRPr="005F055E" w:rsidR="00506A68" w:rsidP="00180EEB" w:rsidRDefault="003E7003" w14:paraId="2D780319" w14:textId="77777777">
      <w:pPr>
        <w:suppressAutoHyphens/>
      </w:pPr>
      <w:r w:rsidRPr="005F055E">
        <w:t xml:space="preserve">Welke programma's van </w:t>
      </w:r>
      <w:proofErr w:type="spellStart"/>
      <w:r w:rsidRPr="005F055E">
        <w:t>ZonMw</w:t>
      </w:r>
      <w:proofErr w:type="spellEnd"/>
      <w:r w:rsidRPr="005F055E">
        <w:t xml:space="preserve"> worden geschrapt of versoberd door het lagere budget voor </w:t>
      </w:r>
      <w:proofErr w:type="spellStart"/>
      <w:r w:rsidRPr="005F055E">
        <w:t>ZonMw</w:t>
      </w:r>
      <w:proofErr w:type="spellEnd"/>
      <w:r w:rsidRPr="005F055E">
        <w:t xml:space="preserve"> programmering?</w:t>
      </w:r>
    </w:p>
    <w:p w:rsidRPr="005F055E" w:rsidR="003E7003" w:rsidP="00180EEB" w:rsidRDefault="003E7003" w14:paraId="43EF2C39" w14:textId="64690F2C">
      <w:pPr>
        <w:suppressAutoHyphens/>
      </w:pPr>
      <w:r w:rsidRPr="005F055E">
        <w:t>Antwoord</w:t>
      </w:r>
    </w:p>
    <w:p w:rsidRPr="005F055E" w:rsidR="009E2BC0" w:rsidP="00180EEB" w:rsidRDefault="009E2BC0" w14:paraId="240701CA" w14:textId="2982BBF5">
      <w:pPr>
        <w:suppressAutoHyphens/>
        <w:spacing w:line="240" w:lineRule="atLeast"/>
        <w:rPr>
          <w:szCs w:val="18"/>
          <w:lang w:eastAsia="nl-NL"/>
        </w:rPr>
      </w:pPr>
      <w:proofErr w:type="spellStart"/>
      <w:r w:rsidRPr="005F055E">
        <w:rPr>
          <w:szCs w:val="18"/>
          <w:lang w:eastAsia="nl-NL"/>
        </w:rPr>
        <w:t>ZonMw</w:t>
      </w:r>
      <w:proofErr w:type="spellEnd"/>
      <w:r w:rsidRPr="005F055E">
        <w:rPr>
          <w:szCs w:val="18"/>
          <w:lang w:eastAsia="nl-NL"/>
        </w:rPr>
        <w:t xml:space="preserve"> werkt programmatisch. Daarbij lopen programma’s voor een aantal jaren. Na afloop van die periode staat het budget niet meer in de begroting bij artikel 1. </w:t>
      </w:r>
    </w:p>
    <w:p w:rsidRPr="005F055E" w:rsidR="009E2BC0" w:rsidP="00180EEB" w:rsidRDefault="009E2BC0" w14:paraId="128B3FEB" w14:textId="65E8A805">
      <w:pPr>
        <w:suppressAutoHyphens/>
        <w:spacing w:line="240" w:lineRule="atLeast"/>
        <w:rPr>
          <w:szCs w:val="18"/>
          <w:lang w:eastAsia="nl-NL"/>
        </w:rPr>
      </w:pPr>
      <w:r w:rsidRPr="005F055E">
        <w:rPr>
          <w:szCs w:val="18"/>
          <w:lang w:eastAsia="nl-NL"/>
        </w:rPr>
        <w:t xml:space="preserve">Het programma kan een vervolg krijgen van uit het budget van de </w:t>
      </w:r>
      <w:proofErr w:type="spellStart"/>
      <w:r w:rsidRPr="005F055E">
        <w:rPr>
          <w:szCs w:val="18"/>
          <w:lang w:eastAsia="nl-NL"/>
        </w:rPr>
        <w:t>opdrachtgevende</w:t>
      </w:r>
      <w:proofErr w:type="spellEnd"/>
      <w:r w:rsidRPr="005F055E">
        <w:rPr>
          <w:szCs w:val="18"/>
          <w:lang w:eastAsia="nl-NL"/>
        </w:rPr>
        <w:t xml:space="preserve"> beleidsdirectie. Het budget wordt pas overgeheveld bij officiële verlenging van het programma. Vandaar dat de budgetten in de meerjarige reeks aflopen. Er is soms ook sprake van programma’s met een tijdelijke financiering. Deze krijgen geen vervolg. </w:t>
      </w:r>
    </w:p>
    <w:p w:rsidRPr="005F055E" w:rsidR="009E2BC0" w:rsidP="00180EEB" w:rsidRDefault="009E2BC0" w14:paraId="79422BCF" w14:textId="17716E50">
      <w:pPr>
        <w:suppressAutoHyphens/>
        <w:spacing w:line="240" w:lineRule="atLeast"/>
        <w:rPr>
          <w:szCs w:val="18"/>
          <w:lang w:eastAsia="nl-NL"/>
        </w:rPr>
      </w:pPr>
      <w:r w:rsidRPr="005F055E">
        <w:rPr>
          <w:szCs w:val="18"/>
          <w:lang w:eastAsia="nl-NL"/>
        </w:rPr>
        <w:t>Daarnaast is in bijlage 1 bij de Nota van Wijziging op de ontwerpbegroting 2025 te zien dat er gekort wordt op de volgende programma’s:</w:t>
      </w:r>
    </w:p>
    <w:tbl>
      <w:tblPr>
        <w:tblW w:w="0" w:type="auto"/>
        <w:tblCellMar>
          <w:left w:w="0" w:type="dxa"/>
          <w:right w:w="0" w:type="dxa"/>
        </w:tblCellMar>
        <w:tblLook w:val="04A0" w:firstRow="1" w:lastRow="0" w:firstColumn="1" w:lastColumn="0" w:noHBand="0" w:noVBand="1"/>
      </w:tblPr>
      <w:tblGrid>
        <w:gridCol w:w="2524"/>
        <w:gridCol w:w="1609"/>
        <w:gridCol w:w="1654"/>
        <w:gridCol w:w="1610"/>
        <w:gridCol w:w="1610"/>
      </w:tblGrid>
      <w:tr w:rsidRPr="005F055E" w:rsidR="009E2BC0" w:rsidTr="00EC7257" w14:paraId="7CA70C8A" w14:textId="77777777">
        <w:tc>
          <w:tcPr>
            <w:tcW w:w="25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F055E" w:rsidR="009E2BC0" w:rsidP="00180EEB" w:rsidRDefault="009E2BC0" w14:paraId="7A978B13" w14:textId="77777777">
            <w:pPr>
              <w:suppressAutoHyphens/>
              <w:spacing w:line="240" w:lineRule="atLeast"/>
              <w:rPr>
                <w:szCs w:val="18"/>
                <w:lang w:eastAsia="nl-NL"/>
              </w:rPr>
            </w:pPr>
          </w:p>
        </w:tc>
        <w:tc>
          <w:tcPr>
            <w:tcW w:w="190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22BF57CF" w14:textId="77777777">
            <w:pPr>
              <w:suppressAutoHyphens/>
              <w:spacing w:line="240" w:lineRule="atLeast"/>
              <w:rPr>
                <w:b/>
                <w:bCs/>
                <w:szCs w:val="18"/>
                <w:lang w:eastAsia="nl-NL"/>
              </w:rPr>
            </w:pPr>
            <w:r w:rsidRPr="005F055E">
              <w:rPr>
                <w:b/>
                <w:bCs/>
                <w:szCs w:val="18"/>
                <w:lang w:eastAsia="nl-NL"/>
              </w:rPr>
              <w:t>2026</w:t>
            </w:r>
          </w:p>
        </w:tc>
        <w:tc>
          <w:tcPr>
            <w:tcW w:w="190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21985613" w14:textId="77777777">
            <w:pPr>
              <w:suppressAutoHyphens/>
              <w:spacing w:line="240" w:lineRule="atLeast"/>
              <w:rPr>
                <w:b/>
                <w:bCs/>
                <w:szCs w:val="18"/>
                <w:lang w:eastAsia="nl-NL"/>
              </w:rPr>
            </w:pPr>
            <w:r w:rsidRPr="005F055E">
              <w:rPr>
                <w:b/>
                <w:bCs/>
                <w:szCs w:val="18"/>
                <w:lang w:eastAsia="nl-NL"/>
              </w:rPr>
              <w:t>2027</w:t>
            </w:r>
          </w:p>
        </w:tc>
        <w:tc>
          <w:tcPr>
            <w:tcW w:w="190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6C2AE161" w14:textId="77777777">
            <w:pPr>
              <w:suppressAutoHyphens/>
              <w:spacing w:line="240" w:lineRule="atLeast"/>
              <w:rPr>
                <w:b/>
                <w:bCs/>
                <w:szCs w:val="18"/>
                <w:lang w:eastAsia="nl-NL"/>
              </w:rPr>
            </w:pPr>
            <w:r w:rsidRPr="005F055E">
              <w:rPr>
                <w:b/>
                <w:bCs/>
                <w:szCs w:val="18"/>
                <w:lang w:eastAsia="nl-NL"/>
              </w:rPr>
              <w:t>2028</w:t>
            </w:r>
          </w:p>
        </w:tc>
        <w:tc>
          <w:tcPr>
            <w:tcW w:w="190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44153535" w14:textId="77777777">
            <w:pPr>
              <w:suppressAutoHyphens/>
              <w:spacing w:line="240" w:lineRule="atLeast"/>
              <w:rPr>
                <w:b/>
                <w:bCs/>
                <w:szCs w:val="18"/>
                <w:lang w:eastAsia="nl-NL"/>
              </w:rPr>
            </w:pPr>
            <w:r w:rsidRPr="005F055E">
              <w:rPr>
                <w:b/>
                <w:bCs/>
                <w:szCs w:val="18"/>
                <w:lang w:eastAsia="nl-NL"/>
              </w:rPr>
              <w:t>2029</w:t>
            </w:r>
          </w:p>
        </w:tc>
      </w:tr>
      <w:tr w:rsidRPr="005F055E" w:rsidR="009E2BC0" w:rsidTr="00EC7257" w14:paraId="5CEE1763" w14:textId="77777777">
        <w:tc>
          <w:tcPr>
            <w:tcW w:w="25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2F99059E" w14:textId="65A6879E">
            <w:pPr>
              <w:suppressAutoHyphens/>
              <w:spacing w:line="240" w:lineRule="atLeast"/>
              <w:rPr>
                <w:szCs w:val="18"/>
                <w:lang w:eastAsia="nl-NL"/>
              </w:rPr>
            </w:pPr>
            <w:r w:rsidRPr="005F055E">
              <w:rPr>
                <w:szCs w:val="18"/>
                <w:lang w:eastAsia="nl-NL"/>
              </w:rPr>
              <w:t xml:space="preserve">Personen met verward gedrag en onderzoek </w:t>
            </w:r>
            <w:r w:rsidR="00D55762">
              <w:rPr>
                <w:szCs w:val="18"/>
                <w:lang w:eastAsia="nl-NL"/>
              </w:rPr>
              <w:t>GGZ</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1C793F10" w14:textId="77777777">
            <w:pPr>
              <w:suppressAutoHyphens/>
              <w:spacing w:line="240" w:lineRule="atLeast"/>
              <w:rPr>
                <w:szCs w:val="18"/>
                <w:lang w:eastAsia="nl-NL"/>
              </w:rPr>
            </w:pPr>
            <w:r w:rsidRPr="005F055E">
              <w:rPr>
                <w:szCs w:val="18"/>
                <w:lang w:eastAsia="nl-NL"/>
              </w:rPr>
              <w:t>-2.120.000</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72751948" w14:textId="77777777">
            <w:pPr>
              <w:suppressAutoHyphens/>
              <w:spacing w:line="240" w:lineRule="atLeast"/>
              <w:rPr>
                <w:szCs w:val="18"/>
                <w:lang w:eastAsia="nl-NL"/>
              </w:rPr>
            </w:pPr>
            <w:r w:rsidRPr="005F055E">
              <w:rPr>
                <w:szCs w:val="18"/>
                <w:lang w:eastAsia="nl-NL"/>
              </w:rPr>
              <w:t>-2.270.000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1157E282" w14:textId="77777777">
            <w:pPr>
              <w:suppressAutoHyphens/>
              <w:spacing w:line="240" w:lineRule="atLeast"/>
              <w:rPr>
                <w:szCs w:val="18"/>
                <w:lang w:eastAsia="nl-NL"/>
              </w:rPr>
            </w:pPr>
            <w:r w:rsidRPr="005F055E">
              <w:rPr>
                <w:szCs w:val="18"/>
                <w:lang w:eastAsia="nl-NL"/>
              </w:rPr>
              <w:t>-2.270.000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739958BC" w14:textId="77777777">
            <w:pPr>
              <w:suppressAutoHyphens/>
              <w:spacing w:line="240" w:lineRule="atLeast"/>
              <w:rPr>
                <w:szCs w:val="18"/>
                <w:lang w:eastAsia="nl-NL"/>
              </w:rPr>
            </w:pPr>
            <w:r w:rsidRPr="005F055E">
              <w:rPr>
                <w:szCs w:val="18"/>
                <w:lang w:eastAsia="nl-NL"/>
              </w:rPr>
              <w:t>-2.270.000</w:t>
            </w:r>
          </w:p>
        </w:tc>
      </w:tr>
      <w:tr w:rsidRPr="005F055E" w:rsidR="009E2BC0" w:rsidTr="00EC7257" w14:paraId="7E53A79A" w14:textId="77777777">
        <w:tc>
          <w:tcPr>
            <w:tcW w:w="25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35040ACE" w14:textId="77777777">
            <w:pPr>
              <w:suppressAutoHyphens/>
              <w:spacing w:line="240" w:lineRule="atLeast"/>
              <w:rPr>
                <w:szCs w:val="18"/>
                <w:lang w:eastAsia="nl-NL"/>
              </w:rPr>
            </w:pPr>
            <w:r w:rsidRPr="005F055E">
              <w:rPr>
                <w:szCs w:val="18"/>
                <w:lang w:eastAsia="nl-NL"/>
              </w:rPr>
              <w:t>Kwaliteitsgelden</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771F5281" w14:textId="77777777">
            <w:pPr>
              <w:suppressAutoHyphens/>
              <w:spacing w:line="240" w:lineRule="atLeast"/>
              <w:rPr>
                <w:szCs w:val="18"/>
                <w:lang w:eastAsia="nl-NL"/>
              </w:rPr>
            </w:pPr>
            <w:r w:rsidRPr="005F055E">
              <w:rPr>
                <w:szCs w:val="18"/>
                <w:lang w:eastAsia="nl-NL"/>
              </w:rPr>
              <w:t>0</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07AD1E9F" w14:textId="77777777">
            <w:pPr>
              <w:suppressAutoHyphens/>
              <w:spacing w:line="240" w:lineRule="atLeast"/>
              <w:rPr>
                <w:szCs w:val="18"/>
                <w:lang w:eastAsia="nl-NL"/>
              </w:rPr>
            </w:pPr>
            <w:r w:rsidRPr="005F055E">
              <w:rPr>
                <w:szCs w:val="18"/>
                <w:lang w:eastAsia="nl-NL"/>
              </w:rPr>
              <w:t>-4.730.000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177C61B4" w14:textId="77777777">
            <w:pPr>
              <w:suppressAutoHyphens/>
              <w:spacing w:line="240" w:lineRule="atLeast"/>
              <w:rPr>
                <w:szCs w:val="18"/>
                <w:lang w:eastAsia="nl-NL"/>
              </w:rPr>
            </w:pPr>
            <w:r w:rsidRPr="005F055E">
              <w:rPr>
                <w:szCs w:val="18"/>
                <w:lang w:eastAsia="nl-NL"/>
              </w:rPr>
              <w:t>-4.730.000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19BCE2C0" w14:textId="77777777">
            <w:pPr>
              <w:suppressAutoHyphens/>
              <w:spacing w:line="240" w:lineRule="atLeast"/>
              <w:rPr>
                <w:szCs w:val="18"/>
                <w:lang w:eastAsia="nl-NL"/>
              </w:rPr>
            </w:pPr>
            <w:r w:rsidRPr="005F055E">
              <w:rPr>
                <w:szCs w:val="18"/>
                <w:lang w:eastAsia="nl-NL"/>
              </w:rPr>
              <w:t>-4.730.000</w:t>
            </w:r>
          </w:p>
        </w:tc>
      </w:tr>
      <w:tr w:rsidRPr="005F055E" w:rsidR="009E2BC0" w:rsidTr="00EC7257" w14:paraId="720B61A8" w14:textId="77777777">
        <w:tc>
          <w:tcPr>
            <w:tcW w:w="25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6A51C690" w14:textId="77777777">
            <w:pPr>
              <w:suppressAutoHyphens/>
              <w:spacing w:line="240" w:lineRule="atLeast"/>
              <w:rPr>
                <w:szCs w:val="18"/>
                <w:lang w:eastAsia="nl-NL"/>
              </w:rPr>
            </w:pPr>
            <w:r w:rsidRPr="005F055E">
              <w:rPr>
                <w:szCs w:val="18"/>
                <w:lang w:eastAsia="nl-NL"/>
              </w:rPr>
              <w:t>Doelmatigheid, passende zorg, ZEGG en doelmatigheidsonderzoek</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5E3B79D2" w14:textId="77777777">
            <w:pPr>
              <w:suppressAutoHyphens/>
              <w:spacing w:line="240" w:lineRule="atLeast"/>
              <w:rPr>
                <w:szCs w:val="18"/>
                <w:lang w:eastAsia="nl-NL"/>
              </w:rPr>
            </w:pPr>
            <w:r w:rsidRPr="005F055E">
              <w:rPr>
                <w:szCs w:val="18"/>
                <w:lang w:eastAsia="nl-NL"/>
              </w:rPr>
              <w:t>-654.000</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2ABD62A1" w14:textId="77777777">
            <w:pPr>
              <w:suppressAutoHyphens/>
              <w:spacing w:line="240" w:lineRule="atLeast"/>
              <w:rPr>
                <w:szCs w:val="18"/>
                <w:lang w:eastAsia="nl-NL"/>
              </w:rPr>
            </w:pPr>
            <w:r w:rsidRPr="005F055E">
              <w:rPr>
                <w:szCs w:val="18"/>
                <w:lang w:eastAsia="nl-NL"/>
              </w:rPr>
              <w:t>-20.275.000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3E7D7F33" w14:textId="77777777">
            <w:pPr>
              <w:suppressAutoHyphens/>
              <w:spacing w:line="240" w:lineRule="atLeast"/>
              <w:rPr>
                <w:szCs w:val="18"/>
                <w:lang w:eastAsia="nl-NL"/>
              </w:rPr>
            </w:pPr>
            <w:r w:rsidRPr="005F055E">
              <w:rPr>
                <w:szCs w:val="18"/>
                <w:lang w:eastAsia="nl-NL"/>
              </w:rPr>
              <w:t>-6.541.000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6F8590A8" w14:textId="77777777">
            <w:pPr>
              <w:suppressAutoHyphens/>
              <w:spacing w:line="240" w:lineRule="atLeast"/>
              <w:rPr>
                <w:szCs w:val="18"/>
                <w:lang w:eastAsia="nl-NL"/>
              </w:rPr>
            </w:pPr>
            <w:r w:rsidRPr="005F055E">
              <w:rPr>
                <w:szCs w:val="18"/>
                <w:lang w:eastAsia="nl-NL"/>
              </w:rPr>
              <w:t>-9.407.000</w:t>
            </w:r>
          </w:p>
        </w:tc>
      </w:tr>
      <w:tr w:rsidRPr="005F055E" w:rsidR="009E2BC0" w:rsidTr="00EC7257" w14:paraId="429EB852" w14:textId="77777777">
        <w:tc>
          <w:tcPr>
            <w:tcW w:w="25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39AE6823" w14:textId="77777777">
            <w:pPr>
              <w:suppressAutoHyphens/>
              <w:spacing w:line="240" w:lineRule="atLeast"/>
              <w:rPr>
                <w:szCs w:val="18"/>
                <w:lang w:eastAsia="nl-NL"/>
              </w:rPr>
            </w:pPr>
            <w:r w:rsidRPr="005F055E">
              <w:rPr>
                <w:szCs w:val="18"/>
                <w:lang w:eastAsia="nl-NL"/>
              </w:rPr>
              <w:t>Basisbudget (incidenteel niet uitkeren)</w:t>
            </w:r>
          </w:p>
        </w:tc>
        <w:tc>
          <w:tcPr>
            <w:tcW w:w="1901" w:type="dxa"/>
            <w:tcBorders>
              <w:top w:val="nil"/>
              <w:left w:val="nil"/>
              <w:bottom w:val="single" w:color="auto" w:sz="8" w:space="0"/>
              <w:right w:val="single" w:color="auto" w:sz="8" w:space="0"/>
            </w:tcBorders>
            <w:tcMar>
              <w:top w:w="0" w:type="dxa"/>
              <w:left w:w="108" w:type="dxa"/>
              <w:bottom w:w="0" w:type="dxa"/>
              <w:right w:w="108" w:type="dxa"/>
            </w:tcMar>
          </w:tcPr>
          <w:p w:rsidRPr="005F055E" w:rsidR="009E2BC0" w:rsidP="00180EEB" w:rsidRDefault="009E2BC0" w14:paraId="72DDD529" w14:textId="77777777">
            <w:pPr>
              <w:suppressAutoHyphens/>
              <w:spacing w:line="240" w:lineRule="atLeast"/>
              <w:rPr>
                <w:szCs w:val="18"/>
                <w:lang w:eastAsia="nl-NL"/>
              </w:rPr>
            </w:pP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43478CEA" w14:textId="77777777">
            <w:pPr>
              <w:suppressAutoHyphens/>
              <w:spacing w:line="240" w:lineRule="atLeast"/>
              <w:rPr>
                <w:szCs w:val="18"/>
                <w:lang w:eastAsia="nl-NL"/>
              </w:rPr>
            </w:pPr>
            <w:r w:rsidRPr="005F055E">
              <w:rPr>
                <w:szCs w:val="18"/>
                <w:lang w:eastAsia="nl-NL"/>
              </w:rPr>
              <w:t>-5.872.000</w:t>
            </w:r>
          </w:p>
        </w:tc>
        <w:tc>
          <w:tcPr>
            <w:tcW w:w="1902" w:type="dxa"/>
            <w:tcBorders>
              <w:top w:val="nil"/>
              <w:left w:val="nil"/>
              <w:bottom w:val="single" w:color="auto" w:sz="8" w:space="0"/>
              <w:right w:val="single" w:color="auto" w:sz="8" w:space="0"/>
            </w:tcBorders>
            <w:tcMar>
              <w:top w:w="0" w:type="dxa"/>
              <w:left w:w="108" w:type="dxa"/>
              <w:bottom w:w="0" w:type="dxa"/>
              <w:right w:w="108" w:type="dxa"/>
            </w:tcMar>
          </w:tcPr>
          <w:p w:rsidRPr="005F055E" w:rsidR="009E2BC0" w:rsidP="00180EEB" w:rsidRDefault="009E2BC0" w14:paraId="2AF5D323" w14:textId="77777777">
            <w:pPr>
              <w:suppressAutoHyphens/>
              <w:spacing w:line="240" w:lineRule="atLeast"/>
              <w:rPr>
                <w:szCs w:val="18"/>
                <w:lang w:eastAsia="nl-NL"/>
              </w:rPr>
            </w:pPr>
          </w:p>
        </w:tc>
        <w:tc>
          <w:tcPr>
            <w:tcW w:w="1902" w:type="dxa"/>
            <w:tcBorders>
              <w:top w:val="nil"/>
              <w:left w:val="nil"/>
              <w:bottom w:val="single" w:color="auto" w:sz="8" w:space="0"/>
              <w:right w:val="single" w:color="auto" w:sz="8" w:space="0"/>
            </w:tcBorders>
            <w:tcMar>
              <w:top w:w="0" w:type="dxa"/>
              <w:left w:w="108" w:type="dxa"/>
              <w:bottom w:w="0" w:type="dxa"/>
              <w:right w:w="108" w:type="dxa"/>
            </w:tcMar>
          </w:tcPr>
          <w:p w:rsidRPr="005F055E" w:rsidR="009E2BC0" w:rsidP="00180EEB" w:rsidRDefault="009E2BC0" w14:paraId="33B1AF4C" w14:textId="77777777">
            <w:pPr>
              <w:suppressAutoHyphens/>
              <w:spacing w:line="240" w:lineRule="atLeast"/>
              <w:rPr>
                <w:szCs w:val="18"/>
                <w:lang w:eastAsia="nl-NL"/>
              </w:rPr>
            </w:pPr>
          </w:p>
        </w:tc>
      </w:tr>
    </w:tbl>
    <w:p w:rsidRPr="005F055E" w:rsidR="009E2BC0" w:rsidP="00180EEB" w:rsidRDefault="009E2BC0" w14:paraId="42ED448E" w14:textId="77777777">
      <w:pPr>
        <w:suppressAutoHyphens/>
        <w:spacing w:line="240" w:lineRule="atLeast"/>
        <w:rPr>
          <w:szCs w:val="18"/>
          <w:lang w:eastAsia="nl-NL"/>
        </w:rPr>
      </w:pPr>
    </w:p>
    <w:p w:rsidRPr="005F055E" w:rsidR="00506A68" w:rsidP="00180EEB" w:rsidRDefault="00506A68" w14:paraId="6C73195E" w14:textId="77777777">
      <w:pPr>
        <w:suppressAutoHyphens/>
      </w:pPr>
    </w:p>
    <w:p w:rsidRPr="005F055E" w:rsidR="00506A68" w:rsidP="00180EEB" w:rsidRDefault="003E7003" w14:paraId="4B7AA04F" w14:textId="77777777">
      <w:pPr>
        <w:suppressAutoHyphens/>
      </w:pPr>
      <w:r w:rsidRPr="005F055E">
        <w:t>Vraag 403</w:t>
      </w:r>
    </w:p>
    <w:p w:rsidRPr="005F055E" w:rsidR="00506A68" w:rsidP="00180EEB" w:rsidRDefault="003E7003" w14:paraId="0B8075BA" w14:textId="77777777">
      <w:pPr>
        <w:suppressAutoHyphens/>
      </w:pPr>
      <w:r w:rsidRPr="005F055E">
        <w:t>Waarom is er in 2026 een lager bedrag begroot voor vaccinaties dan in 2025?</w:t>
      </w:r>
    </w:p>
    <w:p w:rsidRPr="005F055E" w:rsidR="003E7003" w:rsidP="00180EEB" w:rsidRDefault="003E7003" w14:paraId="49807287" w14:textId="478D1C38">
      <w:pPr>
        <w:suppressAutoHyphens/>
      </w:pPr>
      <w:r w:rsidRPr="005F055E">
        <w:t>Antwoord</w:t>
      </w:r>
    </w:p>
    <w:p w:rsidRPr="005F055E" w:rsidR="00E57EFE" w:rsidP="00180EEB" w:rsidRDefault="00E57EFE" w14:paraId="633D96EA" w14:textId="77777777">
      <w:pPr>
        <w:suppressAutoHyphens/>
        <w:rPr>
          <w:szCs w:val="18"/>
        </w:rPr>
      </w:pPr>
      <w:r w:rsidRPr="005F055E">
        <w:t>In 2025 is een nieuw pneumokokkenvaccin in gebruik genomen dat levenslange bescherming biedt en geschikt is voor mensen met een verminderd afweersysteem. In 2025 vindt een eenmalige inhaalcampagne plaats om ook 85-plussers met dit vaccin te vaccineren, waardoor er sprake is van hogere uitvoerings- en vaccinkosten.</w:t>
      </w:r>
    </w:p>
    <w:p w:rsidRPr="005F055E" w:rsidR="00CF1801" w:rsidP="00180EEB" w:rsidRDefault="00CF1801" w14:paraId="49AF8DC8" w14:textId="77777777">
      <w:pPr>
        <w:suppressAutoHyphens/>
      </w:pPr>
    </w:p>
    <w:p w:rsidRPr="005F055E" w:rsidR="00506A68" w:rsidP="00180EEB" w:rsidRDefault="003E7003" w14:paraId="79AF061B" w14:textId="77777777">
      <w:pPr>
        <w:suppressAutoHyphens/>
      </w:pPr>
      <w:r w:rsidRPr="005F055E">
        <w:t>Vraag 404</w:t>
      </w:r>
    </w:p>
    <w:p w:rsidRPr="005F055E" w:rsidR="00506A68" w:rsidP="00180EEB" w:rsidRDefault="003E7003" w14:paraId="46A150B8" w14:textId="77777777">
      <w:pPr>
        <w:suppressAutoHyphens/>
      </w:pPr>
      <w:r w:rsidRPr="005F055E">
        <w:t>Wat is de reden dat het budget Gezonde Leefstijl en Gezond gewicht vanaf 2026 substantieel afneemt?</w:t>
      </w:r>
    </w:p>
    <w:p w:rsidRPr="005F055E" w:rsidR="003E7003" w:rsidP="00180EEB" w:rsidRDefault="003E7003" w14:paraId="5FB68D7E" w14:textId="4E32A8B2">
      <w:pPr>
        <w:suppressAutoHyphens/>
      </w:pPr>
      <w:r w:rsidRPr="005F055E">
        <w:t>Antwoord</w:t>
      </w:r>
    </w:p>
    <w:p w:rsidRPr="005F055E" w:rsidR="00506A68" w:rsidP="00180EEB" w:rsidRDefault="00CB0883" w14:paraId="36315043" w14:textId="491AE7D9">
      <w:pPr>
        <w:suppressAutoHyphens/>
        <w:rPr>
          <w:szCs w:val="18"/>
          <w:lang w:eastAsia="nl-NL"/>
        </w:rPr>
      </w:pPr>
      <w:r w:rsidRPr="005F055E">
        <w:rPr>
          <w:szCs w:val="18"/>
          <w:lang w:eastAsia="nl-NL"/>
        </w:rPr>
        <w:t>Het kabinet Rutte IV heeft tussen 2022-2025 extra geïnvesteerd in preventie. Deze middelen waren tijdelijk van aard en komen per 2026 te vervallen.</w:t>
      </w:r>
      <w:r w:rsidRPr="005F055E" w:rsidR="00E41A70">
        <w:rPr>
          <w:szCs w:val="18"/>
          <w:lang w:eastAsia="nl-NL"/>
        </w:rPr>
        <w:t xml:space="preserve"> Het huidige kabinet heeft daarnaast een bezuiniging op subsidies doorgevoerd.</w:t>
      </w:r>
      <w:r w:rsidRPr="005F055E">
        <w:rPr>
          <w:szCs w:val="18"/>
          <w:lang w:eastAsia="nl-NL"/>
        </w:rPr>
        <w:t xml:space="preserve"> Dit is de reden waarom het budget voor gezonde leefstijl en gezond gewicht in 2026 lager uitvalt dan in 2025. </w:t>
      </w:r>
    </w:p>
    <w:p w:rsidRPr="005F055E" w:rsidR="009E2BC0" w:rsidP="00180EEB" w:rsidRDefault="009E2BC0" w14:paraId="4B659010" w14:textId="77777777">
      <w:pPr>
        <w:suppressAutoHyphens/>
      </w:pPr>
    </w:p>
    <w:p w:rsidRPr="005F055E" w:rsidR="00506A68" w:rsidP="00180EEB" w:rsidRDefault="003E7003" w14:paraId="0573F080" w14:textId="77777777">
      <w:pPr>
        <w:suppressAutoHyphens/>
      </w:pPr>
      <w:r w:rsidRPr="005F055E">
        <w:t>Vraag 405</w:t>
      </w:r>
    </w:p>
    <w:p w:rsidRPr="005F055E" w:rsidR="00506A68" w:rsidP="00180EEB" w:rsidRDefault="003E7003" w14:paraId="06D34C81" w14:textId="77777777">
      <w:pPr>
        <w:suppressAutoHyphens/>
      </w:pPr>
      <w:r w:rsidRPr="005F055E">
        <w:t>Waarom is er geen oplossing gevonden voor de gelden voor pandemische paraatheid, die vanaf 2030 op nul staan, ondanks eerdere toezeggingen aan deze Kamer? Op welke wijze wordt er toch recht gedaan aan deze toezeggingen?</w:t>
      </w:r>
    </w:p>
    <w:p w:rsidRPr="005F055E" w:rsidR="003E7003" w:rsidP="00180EEB" w:rsidRDefault="003E7003" w14:paraId="795EFC8D" w14:textId="1F4DCD8D">
      <w:pPr>
        <w:suppressAutoHyphens/>
      </w:pPr>
      <w:r w:rsidRPr="005F055E">
        <w:t>Antwoord</w:t>
      </w:r>
    </w:p>
    <w:p w:rsidRPr="005F055E" w:rsidR="00C279FC" w:rsidP="00180EEB" w:rsidRDefault="00C279FC" w14:paraId="10F8FD3C" w14:textId="77777777">
      <w:pPr>
        <w:suppressAutoHyphens/>
      </w:pPr>
      <w:r w:rsidRPr="005F055E">
        <w:t xml:space="preserve">Mijn voorgangers hebben toegezegd op zoek te gaan naar alternatieve financiering. Het kabinet heeft tot op heden niet besloten tot het vrijmaken van alternatieve financiering. Daarom zoek ik nog naar alternatieve structurele middelen. </w:t>
      </w:r>
    </w:p>
    <w:p w:rsidRPr="005F055E" w:rsidR="00506A68" w:rsidP="00180EEB" w:rsidRDefault="00506A68" w14:paraId="4540172B" w14:textId="77777777">
      <w:pPr>
        <w:suppressAutoHyphens/>
      </w:pPr>
    </w:p>
    <w:p w:rsidRPr="005F055E" w:rsidR="00506A68" w:rsidP="00180EEB" w:rsidRDefault="003E7003" w14:paraId="0696931C" w14:textId="77777777">
      <w:pPr>
        <w:suppressAutoHyphens/>
      </w:pPr>
      <w:r w:rsidRPr="005F055E">
        <w:t>Vraag 406</w:t>
      </w:r>
    </w:p>
    <w:p w:rsidRPr="005F055E" w:rsidR="00506A68" w:rsidP="00180EEB" w:rsidRDefault="003E7003" w14:paraId="75509023" w14:textId="77777777">
      <w:pPr>
        <w:suppressAutoHyphens/>
      </w:pPr>
      <w:r w:rsidRPr="005F055E">
        <w:t>Kunnen de verscheidene posten pandemische paraatheid op pagina 50 nader worden toegelicht? Waar wordt het geld precies aan besteed?</w:t>
      </w:r>
    </w:p>
    <w:p w:rsidR="00D544B0" w:rsidP="00180EEB" w:rsidRDefault="00D544B0" w14:paraId="022268FD" w14:textId="77777777">
      <w:pPr>
        <w:suppressAutoHyphens/>
      </w:pPr>
    </w:p>
    <w:p w:rsidRPr="005F055E" w:rsidR="003E7003" w:rsidP="00180EEB" w:rsidRDefault="003E7003" w14:paraId="4C0BAEFF" w14:textId="30031AA8">
      <w:pPr>
        <w:suppressAutoHyphens/>
      </w:pPr>
      <w:r w:rsidRPr="005F055E">
        <w:t>Antwoord</w:t>
      </w:r>
    </w:p>
    <w:p w:rsidRPr="005F055E" w:rsidR="008D2F23" w:rsidP="00180EEB" w:rsidRDefault="008D2F23" w14:paraId="208A979D" w14:textId="77777777">
      <w:pPr>
        <w:suppressAutoHyphens/>
        <w:spacing w:line="240" w:lineRule="atLeast"/>
        <w:rPr>
          <w:szCs w:val="20"/>
          <w:lang w:eastAsia="nl-NL"/>
        </w:rPr>
      </w:pPr>
      <w:bookmarkStart w:name="_Hlk210909608" w:id="58"/>
      <w:r w:rsidRPr="005F055E">
        <w:rPr>
          <w:szCs w:val="20"/>
          <w:lang w:eastAsia="nl-NL"/>
        </w:rPr>
        <w:t xml:space="preserve">De posten pandemische paraatheid in de tabel op pagina 50 betreffen de nog beschikbare middelen voor ‘pandemische paraatheid’ onder artikel 1. Totaal gaat het in de tabel bij de verschillende begrotingsinstrumenten om bijna 149 miljoen. Hiervan is in 2026 €41,8 miljoen gereserveerd voor de SPUK Versterking </w:t>
      </w:r>
      <w:proofErr w:type="spellStart"/>
      <w:r w:rsidRPr="005F055E">
        <w:rPr>
          <w:szCs w:val="20"/>
          <w:lang w:eastAsia="nl-NL"/>
        </w:rPr>
        <w:t>GGD’en</w:t>
      </w:r>
      <w:proofErr w:type="spellEnd"/>
      <w:r w:rsidRPr="005F055E">
        <w:rPr>
          <w:szCs w:val="20"/>
          <w:lang w:eastAsia="nl-NL"/>
        </w:rPr>
        <w:t xml:space="preserve">, €47 miljoen voor versterking van infectieziektebestrijding bij het RIVM en voor de LFI, €47 miljoen is gereserveerd voor de vernieuwing van het IV-landschap infectieziektebestrijding bij het RIVM en de </w:t>
      </w:r>
      <w:proofErr w:type="spellStart"/>
      <w:r w:rsidRPr="005F055E">
        <w:rPr>
          <w:szCs w:val="20"/>
          <w:lang w:eastAsia="nl-NL"/>
        </w:rPr>
        <w:t>GGD’en</w:t>
      </w:r>
      <w:proofErr w:type="spellEnd"/>
      <w:r w:rsidRPr="005F055E">
        <w:rPr>
          <w:szCs w:val="20"/>
          <w:lang w:eastAsia="nl-NL"/>
        </w:rPr>
        <w:t xml:space="preserve">. De overige middelen van de € 149 miljoen uit de tabel worden ingezet voor het monitoren en bestrijden van </w:t>
      </w:r>
      <w:proofErr w:type="spellStart"/>
      <w:r w:rsidRPr="005F055E">
        <w:rPr>
          <w:szCs w:val="20"/>
          <w:lang w:eastAsia="nl-NL"/>
        </w:rPr>
        <w:t>zoönosen</w:t>
      </w:r>
      <w:proofErr w:type="spellEnd"/>
      <w:r w:rsidRPr="005F055E">
        <w:rPr>
          <w:szCs w:val="20"/>
          <w:lang w:eastAsia="nl-NL"/>
        </w:rPr>
        <w:t xml:space="preserve">, de rioolwatersurveillance door waterschappen en voor het ontwikkelen van gedragskennis en het onderhouden van een gedragsnetwerk door RIVM. </w:t>
      </w:r>
    </w:p>
    <w:bookmarkEnd w:id="58"/>
    <w:p w:rsidRPr="005F055E" w:rsidR="008D2F23" w:rsidP="00180EEB" w:rsidRDefault="008D2F23" w14:paraId="1EFF6030" w14:textId="77777777">
      <w:pPr>
        <w:suppressAutoHyphens/>
      </w:pPr>
    </w:p>
    <w:p w:rsidRPr="005F055E" w:rsidR="00506A68" w:rsidP="00180EEB" w:rsidRDefault="003E7003" w14:paraId="5F238800" w14:textId="77777777">
      <w:pPr>
        <w:suppressAutoHyphens/>
      </w:pPr>
      <w:r w:rsidRPr="005F055E">
        <w:t>Vraag 407</w:t>
      </w:r>
    </w:p>
    <w:p w:rsidR="008C3510" w:rsidP="00180EEB" w:rsidRDefault="003E7003" w14:paraId="16AD1512" w14:textId="7D227019">
      <w:pPr>
        <w:suppressAutoHyphens/>
      </w:pPr>
      <w:r w:rsidRPr="005F055E">
        <w:t>Wat zijn in de meest recente jaren de bijgewerkte reeksen van de levensverwachting man/vrouw, plus een korte methodische toelichting op eventuele herzieningen?</w:t>
      </w:r>
    </w:p>
    <w:p w:rsidRPr="005F055E" w:rsidR="003E7003" w:rsidP="00180EEB" w:rsidRDefault="003E7003" w14:paraId="77455D8D" w14:textId="54DF542D">
      <w:pPr>
        <w:suppressAutoHyphens/>
      </w:pPr>
      <w:r w:rsidRPr="005F055E">
        <w:t>Antwoord</w:t>
      </w:r>
    </w:p>
    <w:p w:rsidRPr="005F055E" w:rsidR="008D2F23" w:rsidP="00180EEB" w:rsidRDefault="008D2F23" w14:paraId="494C9F2E" w14:textId="77777777">
      <w:pPr>
        <w:suppressAutoHyphens/>
        <w:spacing w:line="240" w:lineRule="atLeast"/>
        <w:rPr>
          <w:szCs w:val="18"/>
          <w:lang w:eastAsia="nl-NL"/>
        </w:rPr>
      </w:pPr>
      <w:r w:rsidRPr="005F055E">
        <w:rPr>
          <w:szCs w:val="18"/>
          <w:lang w:eastAsia="nl-NL"/>
        </w:rPr>
        <w:t>In onderstaande tabel wordt de (resterende) levensverwachting naar geslacht, leeftijd en periode in kaart gebracht:</w:t>
      </w:r>
    </w:p>
    <w:p w:rsidRPr="005F055E" w:rsidR="008D2F23" w:rsidP="00180EEB" w:rsidRDefault="008D2F23" w14:paraId="1B8377D0" w14:textId="77777777">
      <w:pPr>
        <w:suppressAutoHyphens/>
        <w:spacing w:line="240" w:lineRule="atLeast"/>
        <w:rPr>
          <w:szCs w:val="18"/>
          <w:lang w:eastAsia="nl-NL"/>
        </w:rPr>
      </w:pPr>
    </w:p>
    <w:tbl>
      <w:tblPr>
        <w:tblW w:w="6804" w:type="dxa"/>
        <w:tblCellMar>
          <w:left w:w="70" w:type="dxa"/>
          <w:right w:w="70" w:type="dxa"/>
        </w:tblCellMar>
        <w:tblLook w:val="04A0" w:firstRow="1" w:lastRow="0" w:firstColumn="1" w:lastColumn="0" w:noHBand="0" w:noVBand="1"/>
      </w:tblPr>
      <w:tblGrid>
        <w:gridCol w:w="998"/>
        <w:gridCol w:w="998"/>
        <w:gridCol w:w="1341"/>
        <w:gridCol w:w="1842"/>
        <w:gridCol w:w="1625"/>
      </w:tblGrid>
      <w:tr w:rsidRPr="005F055E" w:rsidR="008D2F23" w:rsidTr="005E2643" w14:paraId="3B317EB8" w14:textId="77777777">
        <w:trPr>
          <w:trHeight w:val="300"/>
        </w:trPr>
        <w:tc>
          <w:tcPr>
            <w:tcW w:w="960" w:type="dxa"/>
            <w:tcBorders>
              <w:top w:val="nil"/>
              <w:left w:val="nil"/>
              <w:bottom w:val="nil"/>
              <w:right w:val="nil"/>
            </w:tcBorders>
            <w:shd w:val="clear" w:color="auto" w:fill="auto"/>
            <w:noWrap/>
            <w:vAlign w:val="center"/>
            <w:hideMark/>
          </w:tcPr>
          <w:p w:rsidRPr="005F055E" w:rsidR="008D2F23" w:rsidP="00180EEB" w:rsidRDefault="008D2F23" w14:paraId="1D9820B6" w14:textId="77777777">
            <w:pPr>
              <w:suppressAutoHyphens/>
              <w:spacing w:after="0"/>
              <w:rPr>
                <w:sz w:val="20"/>
                <w:szCs w:val="20"/>
                <w:lang w:eastAsia="nl-NL"/>
              </w:rPr>
            </w:pPr>
          </w:p>
        </w:tc>
        <w:tc>
          <w:tcPr>
            <w:tcW w:w="960" w:type="dxa"/>
            <w:tcBorders>
              <w:top w:val="nil"/>
              <w:left w:val="nil"/>
              <w:bottom w:val="nil"/>
              <w:right w:val="nil"/>
            </w:tcBorders>
            <w:shd w:val="clear" w:color="auto" w:fill="auto"/>
            <w:noWrap/>
            <w:vAlign w:val="center"/>
            <w:hideMark/>
          </w:tcPr>
          <w:p w:rsidRPr="005F055E" w:rsidR="008D2F23" w:rsidP="00180EEB" w:rsidRDefault="008D2F23" w14:paraId="702B97CB" w14:textId="77777777">
            <w:pPr>
              <w:suppressAutoHyphens/>
              <w:spacing w:after="0"/>
              <w:rPr>
                <w:sz w:val="20"/>
                <w:szCs w:val="20"/>
                <w:lang w:eastAsia="nl-NL"/>
              </w:rPr>
            </w:pPr>
          </w:p>
        </w:tc>
        <w:tc>
          <w:tcPr>
            <w:tcW w:w="1341" w:type="dxa"/>
            <w:tcBorders>
              <w:top w:val="single" w:color="auto" w:sz="4" w:space="0"/>
              <w:left w:val="single" w:color="auto" w:sz="4" w:space="0"/>
              <w:bottom w:val="nil"/>
              <w:right w:val="single" w:color="auto" w:sz="4" w:space="0"/>
            </w:tcBorders>
            <w:shd w:val="clear" w:color="auto" w:fill="auto"/>
            <w:noWrap/>
            <w:vAlign w:val="center"/>
            <w:hideMark/>
          </w:tcPr>
          <w:p w:rsidRPr="005F055E" w:rsidR="008D2F23" w:rsidP="00180EEB" w:rsidRDefault="008D2F23" w14:paraId="536B30FE" w14:textId="77777777">
            <w:pPr>
              <w:suppressAutoHyphens/>
              <w:spacing w:after="0"/>
              <w:rPr>
                <w:b/>
                <w:bCs/>
                <w:color w:val="000000"/>
                <w:sz w:val="20"/>
                <w:szCs w:val="20"/>
                <w:lang w:eastAsia="nl-NL"/>
              </w:rPr>
            </w:pPr>
            <w:r w:rsidRPr="005F055E">
              <w:rPr>
                <w:b/>
                <w:bCs/>
                <w:color w:val="000000"/>
                <w:sz w:val="20"/>
                <w:szCs w:val="20"/>
                <w:lang w:eastAsia="nl-NL"/>
              </w:rPr>
              <w:t>Mannen</w:t>
            </w:r>
          </w:p>
        </w:tc>
        <w:tc>
          <w:tcPr>
            <w:tcW w:w="1842" w:type="dxa"/>
            <w:tcBorders>
              <w:top w:val="single" w:color="auto" w:sz="4" w:space="0"/>
              <w:left w:val="nil"/>
              <w:bottom w:val="nil"/>
              <w:right w:val="single" w:color="auto" w:sz="4" w:space="0"/>
            </w:tcBorders>
            <w:shd w:val="clear" w:color="auto" w:fill="auto"/>
            <w:noWrap/>
            <w:vAlign w:val="center"/>
            <w:hideMark/>
          </w:tcPr>
          <w:p w:rsidRPr="005F055E" w:rsidR="008D2F23" w:rsidP="00180EEB" w:rsidRDefault="008D2F23" w14:paraId="52436FFE" w14:textId="77777777">
            <w:pPr>
              <w:suppressAutoHyphens/>
              <w:spacing w:after="0"/>
              <w:rPr>
                <w:b/>
                <w:bCs/>
                <w:color w:val="000000"/>
                <w:sz w:val="20"/>
                <w:szCs w:val="20"/>
                <w:lang w:eastAsia="nl-NL"/>
              </w:rPr>
            </w:pPr>
            <w:r w:rsidRPr="005F055E">
              <w:rPr>
                <w:b/>
                <w:bCs/>
                <w:color w:val="000000"/>
                <w:sz w:val="20"/>
                <w:szCs w:val="20"/>
                <w:lang w:eastAsia="nl-NL"/>
              </w:rPr>
              <w:t>Vrouwen</w:t>
            </w:r>
          </w:p>
        </w:tc>
        <w:tc>
          <w:tcPr>
            <w:tcW w:w="1701" w:type="dxa"/>
            <w:tcBorders>
              <w:top w:val="single" w:color="auto" w:sz="4" w:space="0"/>
              <w:left w:val="nil"/>
              <w:bottom w:val="nil"/>
              <w:right w:val="single" w:color="auto" w:sz="4" w:space="0"/>
            </w:tcBorders>
            <w:vAlign w:val="center"/>
          </w:tcPr>
          <w:p w:rsidRPr="005F055E" w:rsidR="008D2F23" w:rsidP="00180EEB" w:rsidRDefault="008D2F23" w14:paraId="002C3673" w14:textId="77777777">
            <w:pPr>
              <w:suppressAutoHyphens/>
              <w:spacing w:after="0"/>
              <w:rPr>
                <w:b/>
                <w:bCs/>
                <w:color w:val="000000"/>
                <w:sz w:val="20"/>
                <w:szCs w:val="20"/>
                <w:lang w:eastAsia="nl-NL"/>
              </w:rPr>
            </w:pPr>
            <w:r w:rsidRPr="005F055E">
              <w:rPr>
                <w:b/>
                <w:bCs/>
                <w:color w:val="000000"/>
                <w:sz w:val="20"/>
                <w:szCs w:val="20"/>
                <w:lang w:eastAsia="nl-NL"/>
              </w:rPr>
              <w:t>Verschil</w:t>
            </w:r>
          </w:p>
        </w:tc>
      </w:tr>
      <w:tr w:rsidRPr="005F055E" w:rsidR="008D2F23" w:rsidTr="005E2643" w14:paraId="09AE46B9" w14:textId="77777777">
        <w:trPr>
          <w:trHeight w:val="300"/>
        </w:trPr>
        <w:tc>
          <w:tcPr>
            <w:tcW w:w="960" w:type="dxa"/>
            <w:tcBorders>
              <w:top w:val="nil"/>
              <w:left w:val="nil"/>
              <w:bottom w:val="single" w:color="auto" w:sz="4" w:space="0"/>
              <w:right w:val="nil"/>
            </w:tcBorders>
            <w:shd w:val="clear" w:color="auto" w:fill="auto"/>
            <w:noWrap/>
            <w:vAlign w:val="center"/>
            <w:hideMark/>
          </w:tcPr>
          <w:p w:rsidRPr="005F055E" w:rsidR="008D2F23" w:rsidP="00180EEB" w:rsidRDefault="008D2F23" w14:paraId="74D7215F" w14:textId="77777777">
            <w:pPr>
              <w:suppressAutoHyphens/>
              <w:spacing w:after="0"/>
              <w:rPr>
                <w:b/>
                <w:bCs/>
                <w:color w:val="000000"/>
                <w:sz w:val="20"/>
                <w:szCs w:val="20"/>
                <w:lang w:eastAsia="nl-NL"/>
              </w:rPr>
            </w:pPr>
            <w:r w:rsidRPr="005F055E">
              <w:rPr>
                <w:b/>
                <w:bCs/>
                <w:color w:val="000000"/>
                <w:sz w:val="20"/>
                <w:szCs w:val="20"/>
                <w:lang w:eastAsia="nl-NL"/>
              </w:rPr>
              <w:t>Leeftijd</w:t>
            </w:r>
          </w:p>
        </w:tc>
        <w:tc>
          <w:tcPr>
            <w:tcW w:w="960" w:type="dxa"/>
            <w:tcBorders>
              <w:top w:val="nil"/>
              <w:left w:val="nil"/>
              <w:bottom w:val="single" w:color="auto" w:sz="4" w:space="0"/>
              <w:right w:val="nil"/>
            </w:tcBorders>
            <w:shd w:val="clear" w:color="auto" w:fill="auto"/>
            <w:noWrap/>
            <w:vAlign w:val="center"/>
            <w:hideMark/>
          </w:tcPr>
          <w:p w:rsidRPr="005F055E" w:rsidR="008D2F23" w:rsidP="00180EEB" w:rsidRDefault="008D2F23" w14:paraId="7C284181" w14:textId="77777777">
            <w:pPr>
              <w:suppressAutoHyphens/>
              <w:spacing w:after="0"/>
              <w:rPr>
                <w:b/>
                <w:bCs/>
                <w:color w:val="000000"/>
                <w:sz w:val="20"/>
                <w:szCs w:val="20"/>
                <w:lang w:eastAsia="nl-NL"/>
              </w:rPr>
            </w:pPr>
            <w:r w:rsidRPr="005F055E">
              <w:rPr>
                <w:b/>
                <w:bCs/>
                <w:color w:val="000000"/>
                <w:sz w:val="20"/>
                <w:szCs w:val="20"/>
                <w:lang w:eastAsia="nl-NL"/>
              </w:rPr>
              <w:t>Periode</w:t>
            </w:r>
          </w:p>
        </w:tc>
        <w:tc>
          <w:tcPr>
            <w:tcW w:w="1341" w:type="dxa"/>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2F65E5C7" w14:textId="77777777">
            <w:pPr>
              <w:suppressAutoHyphens/>
              <w:spacing w:after="0"/>
              <w:rPr>
                <w:color w:val="000000"/>
                <w:sz w:val="20"/>
                <w:szCs w:val="20"/>
                <w:lang w:eastAsia="nl-NL"/>
              </w:rPr>
            </w:pPr>
            <w:r w:rsidRPr="005F055E">
              <w:rPr>
                <w:color w:val="000000"/>
                <w:sz w:val="20"/>
                <w:szCs w:val="20"/>
                <w:lang w:eastAsia="nl-NL"/>
              </w:rPr>
              <w:t xml:space="preserve">(jaren) </w:t>
            </w:r>
          </w:p>
        </w:tc>
        <w:tc>
          <w:tcPr>
            <w:tcW w:w="1842" w:type="dxa"/>
            <w:tcBorders>
              <w:top w:val="nil"/>
              <w:left w:val="nil"/>
              <w:bottom w:val="nil"/>
              <w:right w:val="single" w:color="auto" w:sz="4" w:space="0"/>
            </w:tcBorders>
            <w:shd w:val="clear" w:color="auto" w:fill="auto"/>
            <w:noWrap/>
            <w:vAlign w:val="center"/>
            <w:hideMark/>
          </w:tcPr>
          <w:p w:rsidRPr="005F055E" w:rsidR="008D2F23" w:rsidP="00180EEB" w:rsidRDefault="008D2F23" w14:paraId="732CDD21" w14:textId="77777777">
            <w:pPr>
              <w:suppressAutoHyphens/>
              <w:spacing w:after="0"/>
              <w:rPr>
                <w:color w:val="000000"/>
                <w:sz w:val="20"/>
                <w:szCs w:val="20"/>
                <w:lang w:eastAsia="nl-NL"/>
              </w:rPr>
            </w:pPr>
            <w:r w:rsidRPr="005F055E">
              <w:rPr>
                <w:color w:val="000000"/>
                <w:sz w:val="20"/>
                <w:szCs w:val="20"/>
                <w:lang w:eastAsia="nl-NL"/>
              </w:rPr>
              <w:t xml:space="preserve">(jaren) </w:t>
            </w:r>
          </w:p>
        </w:tc>
        <w:tc>
          <w:tcPr>
            <w:tcW w:w="1701" w:type="dxa"/>
            <w:tcBorders>
              <w:top w:val="nil"/>
              <w:left w:val="nil"/>
              <w:bottom w:val="single" w:color="auto" w:sz="4" w:space="0"/>
              <w:right w:val="single" w:color="auto" w:sz="4" w:space="0"/>
            </w:tcBorders>
            <w:vAlign w:val="center"/>
          </w:tcPr>
          <w:p w:rsidRPr="005F055E" w:rsidR="008D2F23" w:rsidP="00180EEB" w:rsidRDefault="008D2F23" w14:paraId="1B2C3307" w14:textId="77777777">
            <w:pPr>
              <w:suppressAutoHyphens/>
              <w:spacing w:after="0"/>
              <w:rPr>
                <w:color w:val="000000"/>
                <w:sz w:val="20"/>
                <w:szCs w:val="20"/>
                <w:lang w:eastAsia="nl-NL"/>
              </w:rPr>
            </w:pPr>
            <w:r w:rsidRPr="005F055E">
              <w:rPr>
                <w:color w:val="000000"/>
                <w:sz w:val="20"/>
                <w:szCs w:val="20"/>
                <w:lang w:eastAsia="nl-NL"/>
              </w:rPr>
              <w:t>(jaren)</w:t>
            </w:r>
          </w:p>
        </w:tc>
      </w:tr>
      <w:tr w:rsidRPr="005F055E" w:rsidR="008D2F23" w:rsidTr="005E2643" w14:paraId="1E64C136" w14:textId="77777777">
        <w:trPr>
          <w:trHeight w:val="300"/>
        </w:trPr>
        <w:tc>
          <w:tcPr>
            <w:tcW w:w="960" w:type="dxa"/>
            <w:tcBorders>
              <w:top w:val="single" w:color="auto" w:sz="4" w:space="0"/>
              <w:left w:val="single" w:color="auto" w:sz="4" w:space="0"/>
              <w:bottom w:val="nil"/>
              <w:right w:val="nil"/>
            </w:tcBorders>
            <w:shd w:val="clear" w:color="auto" w:fill="auto"/>
            <w:noWrap/>
            <w:vAlign w:val="center"/>
            <w:hideMark/>
          </w:tcPr>
          <w:p w:rsidRPr="005F055E" w:rsidR="008D2F23" w:rsidP="00180EEB" w:rsidRDefault="008D2F23" w14:paraId="7DDBDD01" w14:textId="77777777">
            <w:pPr>
              <w:suppressAutoHyphens/>
              <w:spacing w:after="0"/>
              <w:rPr>
                <w:color w:val="000000"/>
                <w:sz w:val="20"/>
                <w:szCs w:val="20"/>
                <w:lang w:eastAsia="nl-NL"/>
              </w:rPr>
            </w:pPr>
            <w:r w:rsidRPr="005F055E">
              <w:rPr>
                <w:color w:val="000000"/>
                <w:sz w:val="20"/>
                <w:szCs w:val="20"/>
                <w:lang w:eastAsia="nl-NL"/>
              </w:rPr>
              <w:t>0 jaar</w:t>
            </w:r>
          </w:p>
        </w:tc>
        <w:tc>
          <w:tcPr>
            <w:tcW w:w="960" w:type="dxa"/>
            <w:tcBorders>
              <w:top w:val="single" w:color="auto" w:sz="4" w:space="0"/>
              <w:left w:val="nil"/>
              <w:bottom w:val="nil"/>
              <w:right w:val="nil"/>
            </w:tcBorders>
            <w:shd w:val="clear" w:color="auto" w:fill="auto"/>
            <w:noWrap/>
            <w:vAlign w:val="center"/>
            <w:hideMark/>
          </w:tcPr>
          <w:p w:rsidRPr="005F055E" w:rsidR="008D2F23" w:rsidP="00180EEB" w:rsidRDefault="008D2F23" w14:paraId="76BA593C" w14:textId="77777777">
            <w:pPr>
              <w:suppressAutoHyphens/>
              <w:spacing w:after="0"/>
              <w:rPr>
                <w:color w:val="000000"/>
                <w:sz w:val="20"/>
                <w:szCs w:val="20"/>
                <w:lang w:eastAsia="nl-NL"/>
              </w:rPr>
            </w:pPr>
            <w:r w:rsidRPr="005F055E">
              <w:rPr>
                <w:color w:val="000000"/>
                <w:sz w:val="20"/>
                <w:szCs w:val="20"/>
                <w:lang w:eastAsia="nl-NL"/>
              </w:rPr>
              <w:t>1950</w:t>
            </w:r>
          </w:p>
        </w:tc>
        <w:tc>
          <w:tcPr>
            <w:tcW w:w="1341" w:type="dxa"/>
            <w:tcBorders>
              <w:top w:val="single" w:color="auto" w:sz="4" w:space="0"/>
              <w:left w:val="single" w:color="auto" w:sz="4" w:space="0"/>
              <w:bottom w:val="nil"/>
              <w:right w:val="single" w:color="auto" w:sz="4" w:space="0"/>
            </w:tcBorders>
            <w:shd w:val="clear" w:color="auto" w:fill="auto"/>
            <w:noWrap/>
            <w:vAlign w:val="center"/>
            <w:hideMark/>
          </w:tcPr>
          <w:p w:rsidRPr="005F055E" w:rsidR="008D2F23" w:rsidP="00180EEB" w:rsidRDefault="008D2F23" w14:paraId="65FE45F6" w14:textId="77777777">
            <w:pPr>
              <w:suppressAutoHyphens/>
              <w:spacing w:after="0"/>
              <w:rPr>
                <w:color w:val="000000"/>
                <w:sz w:val="20"/>
                <w:szCs w:val="20"/>
                <w:lang w:eastAsia="nl-NL"/>
              </w:rPr>
            </w:pPr>
            <w:r w:rsidRPr="005F055E">
              <w:rPr>
                <w:color w:val="000000"/>
                <w:sz w:val="20"/>
                <w:szCs w:val="20"/>
                <w:lang w:eastAsia="nl-NL"/>
              </w:rPr>
              <w:t>70,3</w:t>
            </w:r>
          </w:p>
        </w:tc>
        <w:tc>
          <w:tcPr>
            <w:tcW w:w="1842" w:type="dxa"/>
            <w:tcBorders>
              <w:top w:val="single" w:color="auto" w:sz="4" w:space="0"/>
              <w:left w:val="nil"/>
              <w:bottom w:val="nil"/>
              <w:right w:val="single" w:color="auto" w:sz="4" w:space="0"/>
            </w:tcBorders>
            <w:shd w:val="clear" w:color="auto" w:fill="auto"/>
            <w:noWrap/>
            <w:vAlign w:val="center"/>
            <w:hideMark/>
          </w:tcPr>
          <w:p w:rsidRPr="005F055E" w:rsidR="008D2F23" w:rsidP="00180EEB" w:rsidRDefault="008D2F23" w14:paraId="66CECF3F" w14:textId="77777777">
            <w:pPr>
              <w:suppressAutoHyphens/>
              <w:spacing w:after="0"/>
              <w:rPr>
                <w:color w:val="000000"/>
                <w:sz w:val="20"/>
                <w:szCs w:val="20"/>
                <w:lang w:eastAsia="nl-NL"/>
              </w:rPr>
            </w:pPr>
            <w:r w:rsidRPr="005F055E">
              <w:rPr>
                <w:color w:val="000000"/>
                <w:sz w:val="20"/>
                <w:szCs w:val="20"/>
                <w:lang w:eastAsia="nl-NL"/>
              </w:rPr>
              <w:t>72,6</w:t>
            </w:r>
          </w:p>
        </w:tc>
        <w:tc>
          <w:tcPr>
            <w:tcW w:w="1701" w:type="dxa"/>
            <w:tcBorders>
              <w:top w:val="single" w:color="auto" w:sz="4" w:space="0"/>
              <w:left w:val="nil"/>
              <w:bottom w:val="nil"/>
              <w:right w:val="single" w:color="auto" w:sz="4" w:space="0"/>
            </w:tcBorders>
            <w:vAlign w:val="center"/>
          </w:tcPr>
          <w:p w:rsidRPr="005F055E" w:rsidR="008D2F23" w:rsidP="00180EEB" w:rsidRDefault="008D2F23" w14:paraId="26F19EC5" w14:textId="77777777">
            <w:pPr>
              <w:suppressAutoHyphens/>
              <w:spacing w:after="0"/>
              <w:rPr>
                <w:color w:val="000000"/>
                <w:sz w:val="20"/>
                <w:szCs w:val="20"/>
                <w:lang w:eastAsia="nl-NL"/>
              </w:rPr>
            </w:pPr>
            <w:r w:rsidRPr="005F055E">
              <w:rPr>
                <w:color w:val="000000"/>
                <w:sz w:val="20"/>
                <w:szCs w:val="20"/>
                <w:lang w:eastAsia="nl-NL"/>
              </w:rPr>
              <w:t>2,3</w:t>
            </w:r>
          </w:p>
        </w:tc>
      </w:tr>
      <w:tr w:rsidRPr="005F055E" w:rsidR="008D2F23" w:rsidTr="005E2643" w14:paraId="068CC6C2" w14:textId="77777777">
        <w:trPr>
          <w:trHeight w:val="300"/>
        </w:trPr>
        <w:tc>
          <w:tcPr>
            <w:tcW w:w="960" w:type="dxa"/>
            <w:tcBorders>
              <w:top w:val="nil"/>
              <w:left w:val="single" w:color="auto" w:sz="4" w:space="0"/>
              <w:right w:val="nil"/>
            </w:tcBorders>
            <w:shd w:val="clear" w:color="auto" w:fill="auto"/>
            <w:noWrap/>
            <w:vAlign w:val="center"/>
            <w:hideMark/>
          </w:tcPr>
          <w:p w:rsidRPr="005F055E" w:rsidR="008D2F23" w:rsidP="00180EEB" w:rsidRDefault="008D2F23" w14:paraId="1A54FFB3" w14:textId="77777777">
            <w:pPr>
              <w:suppressAutoHyphens/>
              <w:spacing w:after="0"/>
              <w:rPr>
                <w:color w:val="000000"/>
                <w:sz w:val="20"/>
                <w:szCs w:val="20"/>
                <w:lang w:eastAsia="nl-NL"/>
              </w:rPr>
            </w:pPr>
            <w:r w:rsidRPr="005F055E">
              <w:rPr>
                <w:color w:val="000000"/>
                <w:sz w:val="20"/>
                <w:szCs w:val="20"/>
                <w:lang w:eastAsia="nl-NL"/>
              </w:rPr>
              <w:t>0 jaar</w:t>
            </w:r>
          </w:p>
        </w:tc>
        <w:tc>
          <w:tcPr>
            <w:tcW w:w="960" w:type="dxa"/>
            <w:tcBorders>
              <w:top w:val="nil"/>
              <w:left w:val="nil"/>
              <w:right w:val="nil"/>
            </w:tcBorders>
            <w:shd w:val="clear" w:color="auto" w:fill="auto"/>
            <w:noWrap/>
            <w:vAlign w:val="center"/>
            <w:hideMark/>
          </w:tcPr>
          <w:p w:rsidRPr="005F055E" w:rsidR="008D2F23" w:rsidP="00180EEB" w:rsidRDefault="008D2F23" w14:paraId="49E229A7" w14:textId="77777777">
            <w:pPr>
              <w:suppressAutoHyphens/>
              <w:spacing w:after="0"/>
              <w:rPr>
                <w:color w:val="000000"/>
                <w:sz w:val="20"/>
                <w:szCs w:val="20"/>
                <w:lang w:eastAsia="nl-NL"/>
              </w:rPr>
            </w:pPr>
            <w:r w:rsidRPr="005F055E">
              <w:rPr>
                <w:color w:val="000000"/>
                <w:sz w:val="20"/>
                <w:szCs w:val="20"/>
                <w:lang w:eastAsia="nl-NL"/>
              </w:rPr>
              <w:t>1980</w:t>
            </w:r>
          </w:p>
        </w:tc>
        <w:tc>
          <w:tcPr>
            <w:tcW w:w="1341" w:type="dxa"/>
            <w:tcBorders>
              <w:top w:val="nil"/>
              <w:left w:val="single" w:color="auto" w:sz="4" w:space="0"/>
              <w:right w:val="single" w:color="auto" w:sz="4" w:space="0"/>
            </w:tcBorders>
            <w:shd w:val="clear" w:color="auto" w:fill="auto"/>
            <w:noWrap/>
            <w:vAlign w:val="center"/>
            <w:hideMark/>
          </w:tcPr>
          <w:p w:rsidRPr="005F055E" w:rsidR="008D2F23" w:rsidP="00180EEB" w:rsidRDefault="008D2F23" w14:paraId="0464CB48" w14:textId="77777777">
            <w:pPr>
              <w:suppressAutoHyphens/>
              <w:spacing w:after="0"/>
              <w:rPr>
                <w:color w:val="000000"/>
                <w:sz w:val="20"/>
                <w:szCs w:val="20"/>
                <w:lang w:eastAsia="nl-NL"/>
              </w:rPr>
            </w:pPr>
            <w:r w:rsidRPr="005F055E">
              <w:rPr>
                <w:color w:val="000000"/>
                <w:sz w:val="20"/>
                <w:szCs w:val="20"/>
                <w:lang w:eastAsia="nl-NL"/>
              </w:rPr>
              <w:t>72,5</w:t>
            </w:r>
          </w:p>
        </w:tc>
        <w:tc>
          <w:tcPr>
            <w:tcW w:w="1842" w:type="dxa"/>
            <w:tcBorders>
              <w:top w:val="nil"/>
              <w:left w:val="nil"/>
              <w:right w:val="single" w:color="auto" w:sz="4" w:space="0"/>
            </w:tcBorders>
            <w:shd w:val="clear" w:color="auto" w:fill="auto"/>
            <w:noWrap/>
            <w:vAlign w:val="center"/>
            <w:hideMark/>
          </w:tcPr>
          <w:p w:rsidRPr="005F055E" w:rsidR="008D2F23" w:rsidP="00180EEB" w:rsidRDefault="008D2F23" w14:paraId="29D733F1" w14:textId="77777777">
            <w:pPr>
              <w:suppressAutoHyphens/>
              <w:spacing w:after="0"/>
              <w:rPr>
                <w:color w:val="000000"/>
                <w:sz w:val="20"/>
                <w:szCs w:val="20"/>
                <w:lang w:eastAsia="nl-NL"/>
              </w:rPr>
            </w:pPr>
            <w:r w:rsidRPr="005F055E">
              <w:rPr>
                <w:color w:val="000000"/>
                <w:sz w:val="20"/>
                <w:szCs w:val="20"/>
                <w:lang w:eastAsia="nl-NL"/>
              </w:rPr>
              <w:t>79,2</w:t>
            </w:r>
          </w:p>
        </w:tc>
        <w:tc>
          <w:tcPr>
            <w:tcW w:w="1701" w:type="dxa"/>
            <w:tcBorders>
              <w:top w:val="nil"/>
              <w:left w:val="nil"/>
              <w:right w:val="single" w:color="auto" w:sz="4" w:space="0"/>
            </w:tcBorders>
            <w:vAlign w:val="center"/>
          </w:tcPr>
          <w:p w:rsidRPr="005F055E" w:rsidR="008D2F23" w:rsidP="00180EEB" w:rsidRDefault="008D2F23" w14:paraId="3FF07387" w14:textId="77777777">
            <w:pPr>
              <w:suppressAutoHyphens/>
              <w:spacing w:after="0"/>
              <w:rPr>
                <w:color w:val="000000"/>
                <w:sz w:val="20"/>
                <w:szCs w:val="20"/>
                <w:lang w:eastAsia="nl-NL"/>
              </w:rPr>
            </w:pPr>
            <w:r w:rsidRPr="005F055E">
              <w:rPr>
                <w:color w:val="000000"/>
                <w:sz w:val="20"/>
                <w:szCs w:val="20"/>
                <w:lang w:eastAsia="nl-NL"/>
              </w:rPr>
              <w:t>6,7</w:t>
            </w:r>
          </w:p>
        </w:tc>
      </w:tr>
      <w:tr w:rsidRPr="005F055E" w:rsidR="008D2F23" w:rsidTr="005E2643" w14:paraId="5E5749B0" w14:textId="77777777">
        <w:trPr>
          <w:trHeight w:val="300"/>
        </w:trPr>
        <w:tc>
          <w:tcPr>
            <w:tcW w:w="960" w:type="dxa"/>
            <w:tcBorders>
              <w:top w:val="nil"/>
              <w:left w:val="single" w:color="auto" w:sz="4" w:space="0"/>
            </w:tcBorders>
            <w:shd w:val="clear" w:color="auto" w:fill="auto"/>
            <w:noWrap/>
            <w:vAlign w:val="center"/>
            <w:hideMark/>
          </w:tcPr>
          <w:p w:rsidRPr="005F055E" w:rsidR="008D2F23" w:rsidP="00180EEB" w:rsidRDefault="008D2F23" w14:paraId="61B1A33E" w14:textId="77777777">
            <w:pPr>
              <w:suppressAutoHyphens/>
              <w:spacing w:after="0"/>
              <w:rPr>
                <w:color w:val="000000"/>
                <w:sz w:val="20"/>
                <w:szCs w:val="20"/>
                <w:lang w:eastAsia="nl-NL"/>
              </w:rPr>
            </w:pPr>
            <w:r w:rsidRPr="005F055E">
              <w:rPr>
                <w:color w:val="000000"/>
                <w:sz w:val="20"/>
                <w:szCs w:val="20"/>
                <w:lang w:eastAsia="nl-NL"/>
              </w:rPr>
              <w:t>0 jaar</w:t>
            </w:r>
          </w:p>
        </w:tc>
        <w:tc>
          <w:tcPr>
            <w:tcW w:w="960" w:type="dxa"/>
            <w:tcBorders>
              <w:top w:val="nil"/>
              <w:right w:val="single" w:color="auto" w:sz="4" w:space="0"/>
            </w:tcBorders>
            <w:shd w:val="clear" w:color="auto" w:fill="auto"/>
            <w:noWrap/>
            <w:vAlign w:val="center"/>
            <w:hideMark/>
          </w:tcPr>
          <w:p w:rsidRPr="005F055E" w:rsidR="008D2F23" w:rsidP="00180EEB" w:rsidRDefault="008D2F23" w14:paraId="76D06626" w14:textId="77777777">
            <w:pPr>
              <w:suppressAutoHyphens/>
              <w:spacing w:after="0"/>
              <w:rPr>
                <w:color w:val="000000"/>
                <w:sz w:val="20"/>
                <w:szCs w:val="20"/>
                <w:lang w:eastAsia="nl-NL"/>
              </w:rPr>
            </w:pPr>
            <w:r w:rsidRPr="005F055E">
              <w:rPr>
                <w:color w:val="000000"/>
                <w:sz w:val="20"/>
                <w:szCs w:val="20"/>
                <w:lang w:eastAsia="nl-NL"/>
              </w:rPr>
              <w:t>2024</w:t>
            </w:r>
          </w:p>
        </w:tc>
        <w:tc>
          <w:tcPr>
            <w:tcW w:w="1341" w:type="dxa"/>
            <w:tcBorders>
              <w:top w:val="nil"/>
              <w:left w:val="single" w:color="auto" w:sz="4" w:space="0"/>
              <w:right w:val="single" w:color="auto" w:sz="4" w:space="0"/>
            </w:tcBorders>
            <w:shd w:val="clear" w:color="auto" w:fill="auto"/>
            <w:noWrap/>
            <w:vAlign w:val="center"/>
            <w:hideMark/>
          </w:tcPr>
          <w:p w:rsidRPr="005F055E" w:rsidR="008D2F23" w:rsidP="00180EEB" w:rsidRDefault="008D2F23" w14:paraId="33EBBDD6" w14:textId="77777777">
            <w:pPr>
              <w:suppressAutoHyphens/>
              <w:spacing w:after="0"/>
              <w:rPr>
                <w:color w:val="000000"/>
                <w:sz w:val="20"/>
                <w:szCs w:val="20"/>
                <w:lang w:eastAsia="nl-NL"/>
              </w:rPr>
            </w:pPr>
            <w:r w:rsidRPr="005F055E">
              <w:rPr>
                <w:color w:val="000000"/>
                <w:sz w:val="20"/>
                <w:szCs w:val="20"/>
                <w:lang w:eastAsia="nl-NL"/>
              </w:rPr>
              <w:t>80,5</w:t>
            </w:r>
          </w:p>
        </w:tc>
        <w:tc>
          <w:tcPr>
            <w:tcW w:w="1842" w:type="dxa"/>
            <w:tcBorders>
              <w:top w:val="nil"/>
              <w:left w:val="single" w:color="auto" w:sz="4" w:space="0"/>
              <w:right w:val="single" w:color="auto" w:sz="4" w:space="0"/>
            </w:tcBorders>
            <w:shd w:val="clear" w:color="auto" w:fill="auto"/>
            <w:noWrap/>
            <w:vAlign w:val="center"/>
            <w:hideMark/>
          </w:tcPr>
          <w:p w:rsidRPr="005F055E" w:rsidR="008D2F23" w:rsidP="00180EEB" w:rsidRDefault="008D2F23" w14:paraId="75DE824C" w14:textId="77777777">
            <w:pPr>
              <w:suppressAutoHyphens/>
              <w:spacing w:after="0"/>
              <w:rPr>
                <w:color w:val="000000"/>
                <w:sz w:val="20"/>
                <w:szCs w:val="20"/>
                <w:lang w:eastAsia="nl-NL"/>
              </w:rPr>
            </w:pPr>
            <w:r w:rsidRPr="005F055E">
              <w:rPr>
                <w:color w:val="000000"/>
                <w:sz w:val="20"/>
                <w:szCs w:val="20"/>
                <w:lang w:eastAsia="nl-NL"/>
              </w:rPr>
              <w:t>83,3</w:t>
            </w:r>
          </w:p>
        </w:tc>
        <w:tc>
          <w:tcPr>
            <w:tcW w:w="1701" w:type="dxa"/>
            <w:tcBorders>
              <w:top w:val="nil"/>
              <w:left w:val="single" w:color="auto" w:sz="4" w:space="0"/>
              <w:right w:val="single" w:color="auto" w:sz="4" w:space="0"/>
            </w:tcBorders>
            <w:vAlign w:val="center"/>
          </w:tcPr>
          <w:p w:rsidRPr="005F055E" w:rsidR="008D2F23" w:rsidP="00180EEB" w:rsidRDefault="008D2F23" w14:paraId="7439895A" w14:textId="77777777">
            <w:pPr>
              <w:suppressAutoHyphens/>
              <w:spacing w:after="0"/>
              <w:rPr>
                <w:color w:val="000000"/>
                <w:sz w:val="20"/>
                <w:szCs w:val="20"/>
                <w:lang w:eastAsia="nl-NL"/>
              </w:rPr>
            </w:pPr>
            <w:r w:rsidRPr="005F055E">
              <w:rPr>
                <w:color w:val="000000"/>
                <w:sz w:val="20"/>
                <w:szCs w:val="20"/>
                <w:lang w:eastAsia="nl-NL"/>
              </w:rPr>
              <w:t>2,8</w:t>
            </w:r>
          </w:p>
        </w:tc>
      </w:tr>
      <w:tr w:rsidRPr="005F055E" w:rsidR="008D2F23" w:rsidTr="005E2643" w14:paraId="1535AAAE" w14:textId="77777777">
        <w:trPr>
          <w:trHeight w:val="300"/>
        </w:trPr>
        <w:tc>
          <w:tcPr>
            <w:tcW w:w="960" w:type="dxa"/>
            <w:tcBorders>
              <w:top w:val="nil"/>
              <w:left w:val="single" w:color="auto" w:sz="4" w:space="0"/>
            </w:tcBorders>
            <w:shd w:val="clear" w:color="auto" w:fill="auto"/>
            <w:noWrap/>
            <w:vAlign w:val="center"/>
          </w:tcPr>
          <w:p w:rsidRPr="005F055E" w:rsidR="008D2F23" w:rsidP="00180EEB" w:rsidRDefault="008D2F23" w14:paraId="55B2D8DA" w14:textId="77777777">
            <w:pPr>
              <w:suppressAutoHyphens/>
              <w:spacing w:after="0"/>
              <w:rPr>
                <w:color w:val="000000"/>
                <w:sz w:val="20"/>
                <w:szCs w:val="20"/>
                <w:lang w:eastAsia="nl-NL"/>
              </w:rPr>
            </w:pPr>
            <w:r w:rsidRPr="005F055E">
              <w:rPr>
                <w:color w:val="000000"/>
                <w:sz w:val="20"/>
                <w:szCs w:val="20"/>
                <w:lang w:eastAsia="nl-NL"/>
              </w:rPr>
              <w:t>0 jaar</w:t>
            </w:r>
          </w:p>
        </w:tc>
        <w:tc>
          <w:tcPr>
            <w:tcW w:w="960" w:type="dxa"/>
            <w:tcBorders>
              <w:top w:val="nil"/>
              <w:right w:val="single" w:color="auto" w:sz="4" w:space="0"/>
            </w:tcBorders>
            <w:shd w:val="clear" w:color="auto" w:fill="auto"/>
            <w:noWrap/>
            <w:vAlign w:val="center"/>
          </w:tcPr>
          <w:p w:rsidRPr="005F055E" w:rsidR="008D2F23" w:rsidP="00180EEB" w:rsidRDefault="008D2F23" w14:paraId="4935FCF6" w14:textId="77777777">
            <w:pPr>
              <w:suppressAutoHyphens/>
              <w:spacing w:after="0"/>
              <w:rPr>
                <w:color w:val="000000"/>
                <w:sz w:val="20"/>
                <w:szCs w:val="20"/>
                <w:lang w:eastAsia="nl-NL"/>
              </w:rPr>
            </w:pPr>
            <w:r w:rsidRPr="005F055E">
              <w:rPr>
                <w:color w:val="000000"/>
                <w:sz w:val="20"/>
                <w:szCs w:val="20"/>
                <w:lang w:eastAsia="nl-NL"/>
              </w:rPr>
              <w:t>2050</w:t>
            </w:r>
          </w:p>
        </w:tc>
        <w:tc>
          <w:tcPr>
            <w:tcW w:w="1341" w:type="dxa"/>
            <w:tcBorders>
              <w:top w:val="nil"/>
              <w:left w:val="single" w:color="auto" w:sz="4" w:space="0"/>
              <w:right w:val="single" w:color="auto" w:sz="4" w:space="0"/>
            </w:tcBorders>
            <w:shd w:val="clear" w:color="auto" w:fill="auto"/>
            <w:noWrap/>
          </w:tcPr>
          <w:p w:rsidRPr="005F055E" w:rsidR="008D2F23" w:rsidP="00180EEB" w:rsidRDefault="008D2F23" w14:paraId="37363412" w14:textId="77777777">
            <w:pPr>
              <w:suppressAutoHyphens/>
              <w:spacing w:after="0"/>
              <w:rPr>
                <w:color w:val="000000"/>
                <w:sz w:val="20"/>
                <w:szCs w:val="20"/>
                <w:lang w:eastAsia="nl-NL"/>
              </w:rPr>
            </w:pPr>
            <w:r w:rsidRPr="005F055E">
              <w:rPr>
                <w:color w:val="000000"/>
                <w:sz w:val="20"/>
                <w:szCs w:val="20"/>
                <w:lang w:eastAsia="nl-NL"/>
              </w:rPr>
              <w:t>85,0</w:t>
            </w:r>
          </w:p>
        </w:tc>
        <w:tc>
          <w:tcPr>
            <w:tcW w:w="1842" w:type="dxa"/>
            <w:tcBorders>
              <w:top w:val="nil"/>
              <w:left w:val="single" w:color="auto" w:sz="4" w:space="0"/>
              <w:right w:val="single" w:color="auto" w:sz="4" w:space="0"/>
            </w:tcBorders>
            <w:shd w:val="clear" w:color="auto" w:fill="auto"/>
            <w:noWrap/>
          </w:tcPr>
          <w:p w:rsidRPr="005F055E" w:rsidR="008D2F23" w:rsidP="00180EEB" w:rsidRDefault="008D2F23" w14:paraId="3578740D" w14:textId="77777777">
            <w:pPr>
              <w:suppressAutoHyphens/>
              <w:spacing w:after="0"/>
              <w:rPr>
                <w:color w:val="000000"/>
                <w:sz w:val="20"/>
                <w:szCs w:val="20"/>
                <w:lang w:eastAsia="nl-NL"/>
              </w:rPr>
            </w:pPr>
            <w:r w:rsidRPr="005F055E">
              <w:rPr>
                <w:color w:val="000000"/>
                <w:sz w:val="20"/>
                <w:szCs w:val="20"/>
                <w:lang w:eastAsia="nl-NL"/>
              </w:rPr>
              <w:t>88,1</w:t>
            </w:r>
          </w:p>
        </w:tc>
        <w:tc>
          <w:tcPr>
            <w:tcW w:w="1701" w:type="dxa"/>
            <w:tcBorders>
              <w:top w:val="nil"/>
              <w:left w:val="single" w:color="auto" w:sz="4" w:space="0"/>
              <w:right w:val="single" w:color="auto" w:sz="4" w:space="0"/>
            </w:tcBorders>
          </w:tcPr>
          <w:p w:rsidRPr="005F055E" w:rsidR="008D2F23" w:rsidP="00180EEB" w:rsidRDefault="008D2F23" w14:paraId="6908E492" w14:textId="77777777">
            <w:pPr>
              <w:suppressAutoHyphens/>
              <w:spacing w:after="0"/>
              <w:rPr>
                <w:color w:val="000000"/>
                <w:sz w:val="20"/>
                <w:szCs w:val="20"/>
                <w:lang w:eastAsia="nl-NL"/>
              </w:rPr>
            </w:pPr>
            <w:r w:rsidRPr="005F055E">
              <w:rPr>
                <w:color w:val="000000"/>
                <w:sz w:val="20"/>
                <w:szCs w:val="20"/>
                <w:lang w:eastAsia="nl-NL"/>
              </w:rPr>
              <w:t>3,1</w:t>
            </w:r>
          </w:p>
        </w:tc>
      </w:tr>
      <w:tr w:rsidRPr="005F055E" w:rsidR="008D2F23" w:rsidTr="005E2643" w14:paraId="281C4599" w14:textId="77777777">
        <w:trPr>
          <w:trHeight w:val="300"/>
        </w:trPr>
        <w:tc>
          <w:tcPr>
            <w:tcW w:w="960" w:type="dxa"/>
            <w:tcBorders>
              <w:left w:val="single" w:color="auto" w:sz="4" w:space="0"/>
              <w:bottom w:val="single" w:color="auto" w:sz="4" w:space="0"/>
              <w:right w:val="nil"/>
            </w:tcBorders>
            <w:shd w:val="clear" w:color="auto" w:fill="auto"/>
            <w:noWrap/>
            <w:vAlign w:val="center"/>
          </w:tcPr>
          <w:p w:rsidRPr="005F055E" w:rsidR="008D2F23" w:rsidP="00180EEB" w:rsidRDefault="008D2F23" w14:paraId="46E18F6E" w14:textId="77777777">
            <w:pPr>
              <w:suppressAutoHyphens/>
              <w:spacing w:after="0"/>
              <w:rPr>
                <w:color w:val="000000"/>
                <w:sz w:val="20"/>
                <w:szCs w:val="20"/>
                <w:lang w:eastAsia="nl-NL"/>
              </w:rPr>
            </w:pPr>
            <w:r w:rsidRPr="005F055E">
              <w:rPr>
                <w:color w:val="000000"/>
                <w:sz w:val="20"/>
                <w:szCs w:val="20"/>
                <w:lang w:eastAsia="nl-NL"/>
              </w:rPr>
              <w:t>0 jaar</w:t>
            </w:r>
          </w:p>
        </w:tc>
        <w:tc>
          <w:tcPr>
            <w:tcW w:w="960" w:type="dxa"/>
            <w:tcBorders>
              <w:left w:val="nil"/>
              <w:bottom w:val="single" w:color="auto" w:sz="4" w:space="0"/>
              <w:right w:val="nil"/>
            </w:tcBorders>
            <w:shd w:val="clear" w:color="auto" w:fill="auto"/>
            <w:noWrap/>
            <w:vAlign w:val="center"/>
          </w:tcPr>
          <w:p w:rsidRPr="005F055E" w:rsidR="008D2F23" w:rsidP="00180EEB" w:rsidRDefault="008D2F23" w14:paraId="56484DF8" w14:textId="77777777">
            <w:pPr>
              <w:suppressAutoHyphens/>
              <w:spacing w:after="0"/>
              <w:rPr>
                <w:color w:val="000000"/>
                <w:sz w:val="20"/>
                <w:szCs w:val="20"/>
                <w:lang w:eastAsia="nl-NL"/>
              </w:rPr>
            </w:pPr>
            <w:r w:rsidRPr="005F055E">
              <w:rPr>
                <w:color w:val="000000"/>
                <w:sz w:val="20"/>
                <w:szCs w:val="20"/>
                <w:lang w:eastAsia="nl-NL"/>
              </w:rPr>
              <w:t>2070</w:t>
            </w:r>
          </w:p>
        </w:tc>
        <w:tc>
          <w:tcPr>
            <w:tcW w:w="1341" w:type="dxa"/>
            <w:tcBorders>
              <w:left w:val="single" w:color="auto" w:sz="4" w:space="0"/>
              <w:bottom w:val="single" w:color="auto" w:sz="4" w:space="0"/>
              <w:right w:val="single" w:color="auto" w:sz="4" w:space="0"/>
            </w:tcBorders>
            <w:shd w:val="clear" w:color="auto" w:fill="auto"/>
            <w:noWrap/>
          </w:tcPr>
          <w:p w:rsidRPr="005F055E" w:rsidR="008D2F23" w:rsidP="00180EEB" w:rsidRDefault="008D2F23" w14:paraId="2EE40939" w14:textId="77777777">
            <w:pPr>
              <w:suppressAutoHyphens/>
              <w:spacing w:after="0"/>
              <w:rPr>
                <w:color w:val="000000"/>
                <w:sz w:val="20"/>
                <w:szCs w:val="20"/>
                <w:lang w:eastAsia="nl-NL"/>
              </w:rPr>
            </w:pPr>
            <w:r w:rsidRPr="005F055E">
              <w:rPr>
                <w:color w:val="000000"/>
                <w:sz w:val="20"/>
                <w:szCs w:val="20"/>
                <w:lang w:eastAsia="nl-NL"/>
              </w:rPr>
              <w:t>87,5</w:t>
            </w:r>
          </w:p>
        </w:tc>
        <w:tc>
          <w:tcPr>
            <w:tcW w:w="1842" w:type="dxa"/>
            <w:tcBorders>
              <w:left w:val="nil"/>
              <w:bottom w:val="single" w:color="auto" w:sz="4" w:space="0"/>
              <w:right w:val="single" w:color="auto" w:sz="4" w:space="0"/>
            </w:tcBorders>
            <w:shd w:val="clear" w:color="auto" w:fill="auto"/>
            <w:noWrap/>
          </w:tcPr>
          <w:p w:rsidRPr="005F055E" w:rsidR="008D2F23" w:rsidP="00180EEB" w:rsidRDefault="008D2F23" w14:paraId="7D429948" w14:textId="77777777">
            <w:pPr>
              <w:suppressAutoHyphens/>
              <w:spacing w:after="0"/>
              <w:rPr>
                <w:color w:val="000000"/>
                <w:sz w:val="20"/>
                <w:szCs w:val="20"/>
                <w:lang w:eastAsia="nl-NL"/>
              </w:rPr>
            </w:pPr>
            <w:r w:rsidRPr="005F055E">
              <w:rPr>
                <w:color w:val="000000"/>
                <w:sz w:val="20"/>
                <w:szCs w:val="20"/>
                <w:lang w:eastAsia="nl-NL"/>
              </w:rPr>
              <w:t>90,6</w:t>
            </w:r>
          </w:p>
        </w:tc>
        <w:tc>
          <w:tcPr>
            <w:tcW w:w="1701" w:type="dxa"/>
            <w:tcBorders>
              <w:left w:val="nil"/>
              <w:bottom w:val="single" w:color="auto" w:sz="4" w:space="0"/>
              <w:right w:val="single" w:color="auto" w:sz="4" w:space="0"/>
            </w:tcBorders>
          </w:tcPr>
          <w:p w:rsidRPr="005F055E" w:rsidR="008D2F23" w:rsidP="00180EEB" w:rsidRDefault="008D2F23" w14:paraId="7EFF6D97" w14:textId="77777777">
            <w:pPr>
              <w:suppressAutoHyphens/>
              <w:spacing w:after="0"/>
              <w:rPr>
                <w:color w:val="000000"/>
                <w:sz w:val="20"/>
                <w:szCs w:val="20"/>
                <w:lang w:eastAsia="nl-NL"/>
              </w:rPr>
            </w:pPr>
            <w:r w:rsidRPr="005F055E">
              <w:rPr>
                <w:color w:val="000000"/>
                <w:sz w:val="20"/>
                <w:szCs w:val="20"/>
                <w:lang w:eastAsia="nl-NL"/>
              </w:rPr>
              <w:t>3,1</w:t>
            </w:r>
          </w:p>
        </w:tc>
      </w:tr>
      <w:tr w:rsidRPr="005F055E" w:rsidR="008D2F23" w:rsidTr="005E2643" w14:paraId="766DBE7A" w14:textId="77777777">
        <w:trPr>
          <w:trHeight w:val="300"/>
        </w:trPr>
        <w:tc>
          <w:tcPr>
            <w:tcW w:w="960" w:type="dxa"/>
            <w:tcBorders>
              <w:top w:val="nil"/>
              <w:left w:val="single" w:color="auto" w:sz="4" w:space="0"/>
              <w:bottom w:val="nil"/>
              <w:right w:val="nil"/>
            </w:tcBorders>
            <w:shd w:val="clear" w:color="auto" w:fill="auto"/>
            <w:noWrap/>
            <w:vAlign w:val="center"/>
            <w:hideMark/>
          </w:tcPr>
          <w:p w:rsidRPr="005F055E" w:rsidR="008D2F23" w:rsidP="00180EEB" w:rsidRDefault="008D2F23" w14:paraId="5FA6CF47" w14:textId="77777777">
            <w:pPr>
              <w:suppressAutoHyphens/>
              <w:spacing w:after="0"/>
              <w:rPr>
                <w:color w:val="000000"/>
                <w:sz w:val="20"/>
                <w:szCs w:val="20"/>
                <w:lang w:eastAsia="nl-NL"/>
              </w:rPr>
            </w:pPr>
            <w:r w:rsidRPr="005F055E">
              <w:rPr>
                <w:color w:val="000000"/>
                <w:sz w:val="20"/>
                <w:szCs w:val="20"/>
                <w:lang w:eastAsia="nl-NL"/>
              </w:rPr>
              <w:t>65 jaar</w:t>
            </w:r>
          </w:p>
        </w:tc>
        <w:tc>
          <w:tcPr>
            <w:tcW w:w="960" w:type="dxa"/>
            <w:tcBorders>
              <w:top w:val="nil"/>
              <w:left w:val="nil"/>
              <w:bottom w:val="nil"/>
              <w:right w:val="nil"/>
            </w:tcBorders>
            <w:shd w:val="clear" w:color="auto" w:fill="auto"/>
            <w:noWrap/>
            <w:vAlign w:val="center"/>
            <w:hideMark/>
          </w:tcPr>
          <w:p w:rsidRPr="005F055E" w:rsidR="008D2F23" w:rsidP="00180EEB" w:rsidRDefault="008D2F23" w14:paraId="1D6AC8B0" w14:textId="77777777">
            <w:pPr>
              <w:suppressAutoHyphens/>
              <w:spacing w:after="0"/>
              <w:rPr>
                <w:color w:val="000000"/>
                <w:sz w:val="20"/>
                <w:szCs w:val="20"/>
                <w:lang w:eastAsia="nl-NL"/>
              </w:rPr>
            </w:pPr>
            <w:r w:rsidRPr="005F055E">
              <w:rPr>
                <w:color w:val="000000"/>
                <w:sz w:val="20"/>
                <w:szCs w:val="20"/>
                <w:lang w:eastAsia="nl-NL"/>
              </w:rPr>
              <w:t>1950</w:t>
            </w:r>
          </w:p>
        </w:tc>
        <w:tc>
          <w:tcPr>
            <w:tcW w:w="1341" w:type="dxa"/>
            <w:tcBorders>
              <w:top w:val="nil"/>
              <w:left w:val="single" w:color="auto" w:sz="4" w:space="0"/>
              <w:bottom w:val="nil"/>
              <w:right w:val="single" w:color="auto" w:sz="4" w:space="0"/>
            </w:tcBorders>
            <w:shd w:val="clear" w:color="auto" w:fill="auto"/>
            <w:noWrap/>
            <w:vAlign w:val="center"/>
            <w:hideMark/>
          </w:tcPr>
          <w:p w:rsidRPr="005F055E" w:rsidR="008D2F23" w:rsidP="00180EEB" w:rsidRDefault="008D2F23" w14:paraId="24A1BF03" w14:textId="77777777">
            <w:pPr>
              <w:suppressAutoHyphens/>
              <w:spacing w:after="0"/>
              <w:rPr>
                <w:color w:val="000000"/>
                <w:sz w:val="20"/>
                <w:szCs w:val="20"/>
                <w:lang w:eastAsia="nl-NL"/>
              </w:rPr>
            </w:pPr>
            <w:r w:rsidRPr="005F055E">
              <w:rPr>
                <w:color w:val="000000"/>
                <w:sz w:val="20"/>
                <w:szCs w:val="20"/>
                <w:lang w:eastAsia="nl-NL"/>
              </w:rPr>
              <w:t>14,4</w:t>
            </w:r>
          </w:p>
        </w:tc>
        <w:tc>
          <w:tcPr>
            <w:tcW w:w="1842" w:type="dxa"/>
            <w:tcBorders>
              <w:top w:val="nil"/>
              <w:left w:val="nil"/>
              <w:bottom w:val="nil"/>
              <w:right w:val="single" w:color="auto" w:sz="4" w:space="0"/>
            </w:tcBorders>
            <w:shd w:val="clear" w:color="auto" w:fill="auto"/>
            <w:noWrap/>
            <w:vAlign w:val="center"/>
            <w:hideMark/>
          </w:tcPr>
          <w:p w:rsidRPr="005F055E" w:rsidR="008D2F23" w:rsidP="00180EEB" w:rsidRDefault="008D2F23" w14:paraId="6C299CF8" w14:textId="77777777">
            <w:pPr>
              <w:suppressAutoHyphens/>
              <w:spacing w:after="0"/>
              <w:rPr>
                <w:color w:val="000000"/>
                <w:sz w:val="20"/>
                <w:szCs w:val="20"/>
                <w:lang w:eastAsia="nl-NL"/>
              </w:rPr>
            </w:pPr>
            <w:r w:rsidRPr="005F055E">
              <w:rPr>
                <w:color w:val="000000"/>
                <w:sz w:val="20"/>
                <w:szCs w:val="20"/>
                <w:lang w:eastAsia="nl-NL"/>
              </w:rPr>
              <w:t>14,9</w:t>
            </w:r>
          </w:p>
        </w:tc>
        <w:tc>
          <w:tcPr>
            <w:tcW w:w="1701" w:type="dxa"/>
            <w:tcBorders>
              <w:top w:val="nil"/>
              <w:left w:val="nil"/>
              <w:bottom w:val="nil"/>
              <w:right w:val="single" w:color="auto" w:sz="4" w:space="0"/>
            </w:tcBorders>
            <w:vAlign w:val="center"/>
          </w:tcPr>
          <w:p w:rsidRPr="005F055E" w:rsidR="008D2F23" w:rsidP="00180EEB" w:rsidRDefault="008D2F23" w14:paraId="1377CFDB" w14:textId="77777777">
            <w:pPr>
              <w:suppressAutoHyphens/>
              <w:spacing w:after="0"/>
              <w:rPr>
                <w:color w:val="000000"/>
                <w:sz w:val="20"/>
                <w:szCs w:val="20"/>
                <w:lang w:eastAsia="nl-NL"/>
              </w:rPr>
            </w:pPr>
            <w:r w:rsidRPr="005F055E">
              <w:rPr>
                <w:color w:val="000000"/>
                <w:sz w:val="20"/>
                <w:szCs w:val="20"/>
                <w:lang w:eastAsia="nl-NL"/>
              </w:rPr>
              <w:t>0,5</w:t>
            </w:r>
          </w:p>
        </w:tc>
      </w:tr>
      <w:tr w:rsidRPr="005F055E" w:rsidR="008D2F23" w:rsidTr="005E2643" w14:paraId="07032E9D" w14:textId="77777777">
        <w:trPr>
          <w:trHeight w:val="300"/>
        </w:trPr>
        <w:tc>
          <w:tcPr>
            <w:tcW w:w="960" w:type="dxa"/>
            <w:tcBorders>
              <w:top w:val="nil"/>
              <w:left w:val="single" w:color="auto" w:sz="4" w:space="0"/>
              <w:bottom w:val="nil"/>
              <w:right w:val="nil"/>
            </w:tcBorders>
            <w:shd w:val="clear" w:color="auto" w:fill="auto"/>
            <w:noWrap/>
            <w:vAlign w:val="center"/>
            <w:hideMark/>
          </w:tcPr>
          <w:p w:rsidRPr="005F055E" w:rsidR="008D2F23" w:rsidP="00180EEB" w:rsidRDefault="008D2F23" w14:paraId="6B3137D1" w14:textId="77777777">
            <w:pPr>
              <w:suppressAutoHyphens/>
              <w:spacing w:after="0"/>
              <w:rPr>
                <w:color w:val="000000"/>
                <w:sz w:val="20"/>
                <w:szCs w:val="20"/>
                <w:lang w:eastAsia="nl-NL"/>
              </w:rPr>
            </w:pPr>
            <w:r w:rsidRPr="005F055E">
              <w:rPr>
                <w:color w:val="000000"/>
                <w:sz w:val="20"/>
                <w:szCs w:val="20"/>
                <w:lang w:eastAsia="nl-NL"/>
              </w:rPr>
              <w:t>65 jaar</w:t>
            </w:r>
          </w:p>
        </w:tc>
        <w:tc>
          <w:tcPr>
            <w:tcW w:w="960" w:type="dxa"/>
            <w:tcBorders>
              <w:top w:val="nil"/>
              <w:left w:val="nil"/>
              <w:bottom w:val="nil"/>
              <w:right w:val="nil"/>
            </w:tcBorders>
            <w:shd w:val="clear" w:color="auto" w:fill="auto"/>
            <w:noWrap/>
            <w:vAlign w:val="center"/>
            <w:hideMark/>
          </w:tcPr>
          <w:p w:rsidRPr="005F055E" w:rsidR="008D2F23" w:rsidP="00180EEB" w:rsidRDefault="008D2F23" w14:paraId="5A374389" w14:textId="77777777">
            <w:pPr>
              <w:suppressAutoHyphens/>
              <w:spacing w:after="0"/>
              <w:rPr>
                <w:color w:val="000000"/>
                <w:sz w:val="20"/>
                <w:szCs w:val="20"/>
                <w:lang w:eastAsia="nl-NL"/>
              </w:rPr>
            </w:pPr>
            <w:r w:rsidRPr="005F055E">
              <w:rPr>
                <w:color w:val="000000"/>
                <w:sz w:val="20"/>
                <w:szCs w:val="20"/>
                <w:lang w:eastAsia="nl-NL"/>
              </w:rPr>
              <w:t>1980</w:t>
            </w:r>
          </w:p>
        </w:tc>
        <w:tc>
          <w:tcPr>
            <w:tcW w:w="1341" w:type="dxa"/>
            <w:tcBorders>
              <w:top w:val="nil"/>
              <w:left w:val="single" w:color="auto" w:sz="4" w:space="0"/>
              <w:bottom w:val="nil"/>
              <w:right w:val="single" w:color="auto" w:sz="4" w:space="0"/>
            </w:tcBorders>
            <w:shd w:val="clear" w:color="auto" w:fill="auto"/>
            <w:noWrap/>
            <w:vAlign w:val="center"/>
            <w:hideMark/>
          </w:tcPr>
          <w:p w:rsidRPr="005F055E" w:rsidR="008D2F23" w:rsidP="00180EEB" w:rsidRDefault="008D2F23" w14:paraId="1526CD4B" w14:textId="77777777">
            <w:pPr>
              <w:suppressAutoHyphens/>
              <w:spacing w:after="0"/>
              <w:rPr>
                <w:color w:val="000000"/>
                <w:sz w:val="20"/>
                <w:szCs w:val="20"/>
                <w:lang w:eastAsia="nl-NL"/>
              </w:rPr>
            </w:pPr>
            <w:r w:rsidRPr="005F055E">
              <w:rPr>
                <w:color w:val="000000"/>
                <w:sz w:val="20"/>
                <w:szCs w:val="20"/>
                <w:lang w:eastAsia="nl-NL"/>
              </w:rPr>
              <w:t>14,3</w:t>
            </w:r>
          </w:p>
        </w:tc>
        <w:tc>
          <w:tcPr>
            <w:tcW w:w="1842" w:type="dxa"/>
            <w:tcBorders>
              <w:top w:val="nil"/>
              <w:left w:val="nil"/>
              <w:bottom w:val="nil"/>
              <w:right w:val="single" w:color="auto" w:sz="4" w:space="0"/>
            </w:tcBorders>
            <w:shd w:val="clear" w:color="auto" w:fill="auto"/>
            <w:noWrap/>
            <w:vAlign w:val="center"/>
            <w:hideMark/>
          </w:tcPr>
          <w:p w:rsidRPr="005F055E" w:rsidR="008D2F23" w:rsidP="00180EEB" w:rsidRDefault="008D2F23" w14:paraId="0C9E66A7" w14:textId="77777777">
            <w:pPr>
              <w:suppressAutoHyphens/>
              <w:spacing w:after="0"/>
              <w:rPr>
                <w:color w:val="000000"/>
                <w:sz w:val="20"/>
                <w:szCs w:val="20"/>
                <w:lang w:eastAsia="nl-NL"/>
              </w:rPr>
            </w:pPr>
            <w:r w:rsidRPr="005F055E">
              <w:rPr>
                <w:color w:val="000000"/>
                <w:sz w:val="20"/>
                <w:szCs w:val="20"/>
                <w:lang w:eastAsia="nl-NL"/>
              </w:rPr>
              <w:t>18,8</w:t>
            </w:r>
          </w:p>
        </w:tc>
        <w:tc>
          <w:tcPr>
            <w:tcW w:w="1701" w:type="dxa"/>
            <w:tcBorders>
              <w:top w:val="nil"/>
              <w:left w:val="nil"/>
              <w:bottom w:val="nil"/>
              <w:right w:val="single" w:color="auto" w:sz="4" w:space="0"/>
            </w:tcBorders>
            <w:vAlign w:val="center"/>
          </w:tcPr>
          <w:p w:rsidRPr="005F055E" w:rsidR="008D2F23" w:rsidP="00180EEB" w:rsidRDefault="008D2F23" w14:paraId="33D4D52F" w14:textId="77777777">
            <w:pPr>
              <w:suppressAutoHyphens/>
              <w:spacing w:after="0"/>
              <w:rPr>
                <w:color w:val="000000"/>
                <w:sz w:val="20"/>
                <w:szCs w:val="20"/>
                <w:lang w:eastAsia="nl-NL"/>
              </w:rPr>
            </w:pPr>
            <w:r w:rsidRPr="005F055E">
              <w:rPr>
                <w:color w:val="000000"/>
                <w:sz w:val="20"/>
                <w:szCs w:val="20"/>
                <w:lang w:eastAsia="nl-NL"/>
              </w:rPr>
              <w:t>4,5</w:t>
            </w:r>
          </w:p>
        </w:tc>
      </w:tr>
      <w:tr w:rsidRPr="005F055E" w:rsidR="008D2F23" w:rsidTr="005E2643" w14:paraId="484F8C10" w14:textId="77777777">
        <w:trPr>
          <w:trHeight w:val="300"/>
        </w:trPr>
        <w:tc>
          <w:tcPr>
            <w:tcW w:w="960" w:type="dxa"/>
            <w:tcBorders>
              <w:top w:val="nil"/>
              <w:left w:val="single" w:color="auto" w:sz="4" w:space="0"/>
              <w:bottom w:val="nil"/>
              <w:right w:val="nil"/>
            </w:tcBorders>
            <w:shd w:val="clear" w:color="auto" w:fill="auto"/>
            <w:noWrap/>
            <w:vAlign w:val="center"/>
            <w:hideMark/>
          </w:tcPr>
          <w:p w:rsidRPr="005F055E" w:rsidR="008D2F23" w:rsidP="00180EEB" w:rsidRDefault="008D2F23" w14:paraId="201FFBE7" w14:textId="77777777">
            <w:pPr>
              <w:suppressAutoHyphens/>
              <w:spacing w:after="0"/>
              <w:rPr>
                <w:color w:val="000000"/>
                <w:sz w:val="20"/>
                <w:szCs w:val="20"/>
                <w:lang w:eastAsia="nl-NL"/>
              </w:rPr>
            </w:pPr>
            <w:r w:rsidRPr="005F055E">
              <w:rPr>
                <w:color w:val="000000"/>
                <w:sz w:val="20"/>
                <w:szCs w:val="20"/>
                <w:lang w:eastAsia="nl-NL"/>
              </w:rPr>
              <w:t>65 jaar</w:t>
            </w:r>
          </w:p>
        </w:tc>
        <w:tc>
          <w:tcPr>
            <w:tcW w:w="960" w:type="dxa"/>
            <w:tcBorders>
              <w:top w:val="nil"/>
              <w:left w:val="nil"/>
              <w:bottom w:val="nil"/>
              <w:right w:val="nil"/>
            </w:tcBorders>
            <w:shd w:val="clear" w:color="auto" w:fill="auto"/>
            <w:noWrap/>
            <w:vAlign w:val="center"/>
            <w:hideMark/>
          </w:tcPr>
          <w:p w:rsidRPr="005F055E" w:rsidR="008D2F23" w:rsidP="00180EEB" w:rsidRDefault="008D2F23" w14:paraId="060F8F9C" w14:textId="77777777">
            <w:pPr>
              <w:suppressAutoHyphens/>
              <w:spacing w:after="0"/>
              <w:rPr>
                <w:color w:val="000000"/>
                <w:sz w:val="20"/>
                <w:szCs w:val="20"/>
                <w:lang w:eastAsia="nl-NL"/>
              </w:rPr>
            </w:pPr>
            <w:r w:rsidRPr="005F055E">
              <w:rPr>
                <w:color w:val="000000"/>
                <w:sz w:val="20"/>
                <w:szCs w:val="20"/>
                <w:lang w:eastAsia="nl-NL"/>
              </w:rPr>
              <w:t>2024</w:t>
            </w:r>
          </w:p>
        </w:tc>
        <w:tc>
          <w:tcPr>
            <w:tcW w:w="1341" w:type="dxa"/>
            <w:tcBorders>
              <w:top w:val="nil"/>
              <w:left w:val="single" w:color="auto" w:sz="4" w:space="0"/>
              <w:bottom w:val="nil"/>
              <w:right w:val="single" w:color="auto" w:sz="4" w:space="0"/>
            </w:tcBorders>
            <w:shd w:val="clear" w:color="auto" w:fill="auto"/>
            <w:noWrap/>
            <w:vAlign w:val="center"/>
            <w:hideMark/>
          </w:tcPr>
          <w:p w:rsidRPr="005F055E" w:rsidR="008D2F23" w:rsidP="00180EEB" w:rsidRDefault="008D2F23" w14:paraId="1E04FA1D" w14:textId="77777777">
            <w:pPr>
              <w:suppressAutoHyphens/>
              <w:spacing w:after="0"/>
              <w:rPr>
                <w:color w:val="000000"/>
                <w:sz w:val="20"/>
                <w:szCs w:val="20"/>
                <w:lang w:eastAsia="nl-NL"/>
              </w:rPr>
            </w:pPr>
            <w:r w:rsidRPr="005F055E">
              <w:rPr>
                <w:color w:val="000000"/>
                <w:sz w:val="20"/>
                <w:szCs w:val="20"/>
                <w:lang w:eastAsia="nl-NL"/>
              </w:rPr>
              <w:t>19,3</w:t>
            </w:r>
          </w:p>
        </w:tc>
        <w:tc>
          <w:tcPr>
            <w:tcW w:w="1842" w:type="dxa"/>
            <w:tcBorders>
              <w:top w:val="nil"/>
              <w:left w:val="nil"/>
              <w:bottom w:val="nil"/>
              <w:right w:val="single" w:color="auto" w:sz="4" w:space="0"/>
            </w:tcBorders>
            <w:shd w:val="clear" w:color="auto" w:fill="auto"/>
            <w:noWrap/>
            <w:vAlign w:val="center"/>
            <w:hideMark/>
          </w:tcPr>
          <w:p w:rsidRPr="005F055E" w:rsidR="008D2F23" w:rsidP="00180EEB" w:rsidRDefault="008D2F23" w14:paraId="3FFBE4FB" w14:textId="77777777">
            <w:pPr>
              <w:suppressAutoHyphens/>
              <w:spacing w:after="0"/>
              <w:rPr>
                <w:color w:val="000000"/>
                <w:sz w:val="20"/>
                <w:szCs w:val="20"/>
                <w:lang w:eastAsia="nl-NL"/>
              </w:rPr>
            </w:pPr>
            <w:r w:rsidRPr="005F055E">
              <w:rPr>
                <w:color w:val="000000"/>
                <w:sz w:val="20"/>
                <w:szCs w:val="20"/>
                <w:lang w:eastAsia="nl-NL"/>
              </w:rPr>
              <w:t>21,3</w:t>
            </w:r>
          </w:p>
        </w:tc>
        <w:tc>
          <w:tcPr>
            <w:tcW w:w="1701" w:type="dxa"/>
            <w:tcBorders>
              <w:top w:val="nil"/>
              <w:left w:val="nil"/>
              <w:bottom w:val="nil"/>
              <w:right w:val="single" w:color="auto" w:sz="4" w:space="0"/>
            </w:tcBorders>
            <w:vAlign w:val="center"/>
          </w:tcPr>
          <w:p w:rsidRPr="005F055E" w:rsidR="008D2F23" w:rsidP="00180EEB" w:rsidRDefault="008D2F23" w14:paraId="3D8C3EBC" w14:textId="77777777">
            <w:pPr>
              <w:suppressAutoHyphens/>
              <w:spacing w:after="0"/>
              <w:rPr>
                <w:color w:val="000000"/>
                <w:sz w:val="20"/>
                <w:szCs w:val="20"/>
                <w:lang w:eastAsia="nl-NL"/>
              </w:rPr>
            </w:pPr>
            <w:r w:rsidRPr="005F055E">
              <w:rPr>
                <w:color w:val="000000"/>
                <w:sz w:val="20"/>
                <w:szCs w:val="20"/>
                <w:lang w:eastAsia="nl-NL"/>
              </w:rPr>
              <w:t>2,0</w:t>
            </w:r>
          </w:p>
        </w:tc>
      </w:tr>
      <w:tr w:rsidRPr="005F055E" w:rsidR="008D2F23" w:rsidTr="005E2643" w14:paraId="148E6784" w14:textId="77777777">
        <w:trPr>
          <w:trHeight w:val="300"/>
        </w:trPr>
        <w:tc>
          <w:tcPr>
            <w:tcW w:w="960" w:type="dxa"/>
            <w:tcBorders>
              <w:top w:val="nil"/>
              <w:left w:val="single" w:color="auto" w:sz="4" w:space="0"/>
              <w:bottom w:val="nil"/>
              <w:right w:val="nil"/>
            </w:tcBorders>
            <w:shd w:val="clear" w:color="auto" w:fill="auto"/>
            <w:noWrap/>
            <w:vAlign w:val="center"/>
          </w:tcPr>
          <w:p w:rsidRPr="005F055E" w:rsidR="008D2F23" w:rsidP="00180EEB" w:rsidRDefault="008D2F23" w14:paraId="2EBD0C84" w14:textId="77777777">
            <w:pPr>
              <w:suppressAutoHyphens/>
              <w:spacing w:after="0"/>
              <w:rPr>
                <w:color w:val="000000"/>
                <w:sz w:val="20"/>
                <w:szCs w:val="20"/>
                <w:lang w:eastAsia="nl-NL"/>
              </w:rPr>
            </w:pPr>
            <w:r w:rsidRPr="005F055E">
              <w:rPr>
                <w:color w:val="000000"/>
                <w:sz w:val="20"/>
                <w:szCs w:val="20"/>
                <w:lang w:eastAsia="nl-NL"/>
              </w:rPr>
              <w:t>65 jaar</w:t>
            </w:r>
          </w:p>
        </w:tc>
        <w:tc>
          <w:tcPr>
            <w:tcW w:w="960" w:type="dxa"/>
            <w:tcBorders>
              <w:top w:val="nil"/>
              <w:left w:val="nil"/>
              <w:bottom w:val="nil"/>
              <w:right w:val="nil"/>
            </w:tcBorders>
            <w:shd w:val="clear" w:color="auto" w:fill="auto"/>
            <w:noWrap/>
            <w:vAlign w:val="center"/>
          </w:tcPr>
          <w:p w:rsidRPr="005F055E" w:rsidR="008D2F23" w:rsidP="00180EEB" w:rsidRDefault="008D2F23" w14:paraId="25960177" w14:textId="77777777">
            <w:pPr>
              <w:suppressAutoHyphens/>
              <w:spacing w:after="0"/>
              <w:rPr>
                <w:color w:val="000000"/>
                <w:sz w:val="20"/>
                <w:szCs w:val="20"/>
                <w:lang w:eastAsia="nl-NL"/>
              </w:rPr>
            </w:pPr>
            <w:r w:rsidRPr="005F055E">
              <w:rPr>
                <w:color w:val="000000"/>
                <w:sz w:val="20"/>
                <w:szCs w:val="20"/>
                <w:lang w:eastAsia="nl-NL"/>
              </w:rPr>
              <w:t>2050</w:t>
            </w:r>
          </w:p>
        </w:tc>
        <w:tc>
          <w:tcPr>
            <w:tcW w:w="1341" w:type="dxa"/>
            <w:tcBorders>
              <w:top w:val="nil"/>
              <w:left w:val="single" w:color="auto" w:sz="4" w:space="0"/>
              <w:bottom w:val="nil"/>
              <w:right w:val="single" w:color="auto" w:sz="4" w:space="0"/>
            </w:tcBorders>
            <w:shd w:val="clear" w:color="auto" w:fill="auto"/>
            <w:noWrap/>
          </w:tcPr>
          <w:p w:rsidRPr="005F055E" w:rsidR="008D2F23" w:rsidP="00180EEB" w:rsidRDefault="008D2F23" w14:paraId="06C30016" w14:textId="77777777">
            <w:pPr>
              <w:suppressAutoHyphens/>
              <w:spacing w:after="0"/>
              <w:rPr>
                <w:color w:val="000000"/>
                <w:sz w:val="20"/>
                <w:szCs w:val="20"/>
                <w:lang w:eastAsia="nl-NL"/>
              </w:rPr>
            </w:pPr>
            <w:r w:rsidRPr="005F055E">
              <w:rPr>
                <w:color w:val="000000"/>
                <w:sz w:val="20"/>
                <w:szCs w:val="20"/>
                <w:lang w:eastAsia="nl-NL"/>
              </w:rPr>
              <w:t>22,6</w:t>
            </w:r>
          </w:p>
        </w:tc>
        <w:tc>
          <w:tcPr>
            <w:tcW w:w="1842" w:type="dxa"/>
            <w:tcBorders>
              <w:top w:val="nil"/>
              <w:left w:val="nil"/>
              <w:bottom w:val="nil"/>
              <w:right w:val="single" w:color="auto" w:sz="4" w:space="0"/>
            </w:tcBorders>
            <w:shd w:val="clear" w:color="auto" w:fill="auto"/>
            <w:noWrap/>
          </w:tcPr>
          <w:p w:rsidRPr="005F055E" w:rsidR="008D2F23" w:rsidP="00180EEB" w:rsidRDefault="008D2F23" w14:paraId="01E6F4E8" w14:textId="77777777">
            <w:pPr>
              <w:suppressAutoHyphens/>
              <w:spacing w:after="0"/>
              <w:rPr>
                <w:color w:val="000000"/>
                <w:sz w:val="20"/>
                <w:szCs w:val="20"/>
                <w:lang w:eastAsia="nl-NL"/>
              </w:rPr>
            </w:pPr>
            <w:r w:rsidRPr="005F055E">
              <w:rPr>
                <w:color w:val="000000"/>
                <w:sz w:val="20"/>
                <w:szCs w:val="20"/>
                <w:lang w:eastAsia="nl-NL"/>
              </w:rPr>
              <w:t>24,9</w:t>
            </w:r>
          </w:p>
        </w:tc>
        <w:tc>
          <w:tcPr>
            <w:tcW w:w="1701" w:type="dxa"/>
            <w:tcBorders>
              <w:top w:val="nil"/>
              <w:left w:val="nil"/>
              <w:bottom w:val="nil"/>
              <w:right w:val="single" w:color="auto" w:sz="4" w:space="0"/>
            </w:tcBorders>
          </w:tcPr>
          <w:p w:rsidRPr="005F055E" w:rsidR="008D2F23" w:rsidP="00180EEB" w:rsidRDefault="008D2F23" w14:paraId="144E2281" w14:textId="77777777">
            <w:pPr>
              <w:suppressAutoHyphens/>
              <w:spacing w:after="0"/>
              <w:rPr>
                <w:color w:val="000000"/>
                <w:sz w:val="20"/>
                <w:szCs w:val="20"/>
                <w:lang w:eastAsia="nl-NL"/>
              </w:rPr>
            </w:pPr>
            <w:r w:rsidRPr="005F055E">
              <w:rPr>
                <w:color w:val="000000"/>
                <w:sz w:val="20"/>
                <w:szCs w:val="20"/>
                <w:lang w:eastAsia="nl-NL"/>
              </w:rPr>
              <w:t>2,4</w:t>
            </w:r>
          </w:p>
        </w:tc>
      </w:tr>
      <w:tr w:rsidRPr="005F055E" w:rsidR="008D2F23" w:rsidTr="005E2643" w14:paraId="480E59AD" w14:textId="77777777">
        <w:trPr>
          <w:trHeight w:val="300"/>
        </w:trPr>
        <w:tc>
          <w:tcPr>
            <w:tcW w:w="960" w:type="dxa"/>
            <w:tcBorders>
              <w:top w:val="nil"/>
              <w:left w:val="single" w:color="auto" w:sz="4" w:space="0"/>
              <w:bottom w:val="single" w:color="auto" w:sz="4" w:space="0"/>
              <w:right w:val="nil"/>
            </w:tcBorders>
            <w:shd w:val="clear" w:color="auto" w:fill="auto"/>
            <w:noWrap/>
            <w:vAlign w:val="center"/>
          </w:tcPr>
          <w:p w:rsidRPr="005F055E" w:rsidR="008D2F23" w:rsidP="00180EEB" w:rsidRDefault="008D2F23" w14:paraId="3625E35C" w14:textId="77777777">
            <w:pPr>
              <w:suppressAutoHyphens/>
              <w:spacing w:after="0"/>
              <w:rPr>
                <w:color w:val="000000"/>
                <w:sz w:val="20"/>
                <w:szCs w:val="20"/>
                <w:lang w:eastAsia="nl-NL"/>
              </w:rPr>
            </w:pPr>
            <w:r w:rsidRPr="005F055E">
              <w:rPr>
                <w:color w:val="000000"/>
                <w:sz w:val="20"/>
                <w:szCs w:val="20"/>
                <w:lang w:eastAsia="nl-NL"/>
              </w:rPr>
              <w:t>65 jaar</w:t>
            </w:r>
          </w:p>
        </w:tc>
        <w:tc>
          <w:tcPr>
            <w:tcW w:w="960" w:type="dxa"/>
            <w:tcBorders>
              <w:top w:val="nil"/>
              <w:left w:val="nil"/>
              <w:bottom w:val="single" w:color="auto" w:sz="4" w:space="0"/>
              <w:right w:val="nil"/>
            </w:tcBorders>
            <w:shd w:val="clear" w:color="auto" w:fill="auto"/>
            <w:noWrap/>
            <w:vAlign w:val="center"/>
          </w:tcPr>
          <w:p w:rsidRPr="005F055E" w:rsidR="008D2F23" w:rsidP="00180EEB" w:rsidRDefault="008D2F23" w14:paraId="669000EF" w14:textId="77777777">
            <w:pPr>
              <w:suppressAutoHyphens/>
              <w:spacing w:after="0"/>
              <w:rPr>
                <w:color w:val="000000"/>
                <w:sz w:val="20"/>
                <w:szCs w:val="20"/>
                <w:lang w:eastAsia="nl-NL"/>
              </w:rPr>
            </w:pPr>
            <w:r w:rsidRPr="005F055E">
              <w:rPr>
                <w:color w:val="000000"/>
                <w:sz w:val="20"/>
                <w:szCs w:val="20"/>
                <w:lang w:eastAsia="nl-NL"/>
              </w:rPr>
              <w:t>2070</w:t>
            </w:r>
          </w:p>
        </w:tc>
        <w:tc>
          <w:tcPr>
            <w:tcW w:w="1341" w:type="dxa"/>
            <w:tcBorders>
              <w:top w:val="nil"/>
              <w:left w:val="single" w:color="auto" w:sz="4" w:space="0"/>
              <w:bottom w:val="single" w:color="auto" w:sz="4" w:space="0"/>
              <w:right w:val="single" w:color="auto" w:sz="4" w:space="0"/>
            </w:tcBorders>
            <w:shd w:val="clear" w:color="auto" w:fill="auto"/>
            <w:noWrap/>
          </w:tcPr>
          <w:p w:rsidRPr="005F055E" w:rsidR="008D2F23" w:rsidP="00180EEB" w:rsidRDefault="008D2F23" w14:paraId="3D80B9B9" w14:textId="77777777">
            <w:pPr>
              <w:suppressAutoHyphens/>
              <w:spacing w:after="0"/>
              <w:rPr>
                <w:color w:val="000000"/>
                <w:sz w:val="20"/>
                <w:szCs w:val="20"/>
                <w:lang w:eastAsia="nl-NL"/>
              </w:rPr>
            </w:pPr>
            <w:r w:rsidRPr="005F055E">
              <w:rPr>
                <w:color w:val="000000"/>
                <w:sz w:val="20"/>
                <w:szCs w:val="20"/>
                <w:lang w:eastAsia="nl-NL"/>
              </w:rPr>
              <w:t>24,6</w:t>
            </w:r>
          </w:p>
        </w:tc>
        <w:tc>
          <w:tcPr>
            <w:tcW w:w="1842" w:type="dxa"/>
            <w:tcBorders>
              <w:top w:val="nil"/>
              <w:left w:val="nil"/>
              <w:bottom w:val="single" w:color="auto" w:sz="4" w:space="0"/>
              <w:right w:val="single" w:color="auto" w:sz="4" w:space="0"/>
            </w:tcBorders>
            <w:shd w:val="clear" w:color="auto" w:fill="auto"/>
            <w:noWrap/>
          </w:tcPr>
          <w:p w:rsidRPr="005F055E" w:rsidR="008D2F23" w:rsidP="00180EEB" w:rsidRDefault="008D2F23" w14:paraId="0E61D370" w14:textId="77777777">
            <w:pPr>
              <w:suppressAutoHyphens/>
              <w:spacing w:after="0"/>
              <w:rPr>
                <w:color w:val="000000"/>
                <w:sz w:val="20"/>
                <w:szCs w:val="20"/>
                <w:lang w:eastAsia="nl-NL"/>
              </w:rPr>
            </w:pPr>
            <w:r w:rsidRPr="005F055E">
              <w:rPr>
                <w:color w:val="000000"/>
                <w:sz w:val="20"/>
                <w:szCs w:val="20"/>
                <w:lang w:eastAsia="nl-NL"/>
              </w:rPr>
              <w:t>27,0</w:t>
            </w:r>
          </w:p>
        </w:tc>
        <w:tc>
          <w:tcPr>
            <w:tcW w:w="1701" w:type="dxa"/>
            <w:tcBorders>
              <w:top w:val="nil"/>
              <w:left w:val="nil"/>
              <w:bottom w:val="single" w:color="auto" w:sz="4" w:space="0"/>
              <w:right w:val="single" w:color="auto" w:sz="4" w:space="0"/>
            </w:tcBorders>
          </w:tcPr>
          <w:p w:rsidRPr="005F055E" w:rsidR="008D2F23" w:rsidP="00180EEB" w:rsidRDefault="008D2F23" w14:paraId="59F9325F" w14:textId="77777777">
            <w:pPr>
              <w:suppressAutoHyphens/>
              <w:spacing w:after="0"/>
              <w:rPr>
                <w:color w:val="000000"/>
                <w:sz w:val="20"/>
                <w:szCs w:val="20"/>
                <w:lang w:eastAsia="nl-NL"/>
              </w:rPr>
            </w:pPr>
            <w:r w:rsidRPr="005F055E">
              <w:rPr>
                <w:color w:val="000000"/>
                <w:sz w:val="20"/>
                <w:szCs w:val="20"/>
                <w:lang w:eastAsia="nl-NL"/>
              </w:rPr>
              <w:t>2,4</w:t>
            </w:r>
          </w:p>
        </w:tc>
      </w:tr>
    </w:tbl>
    <w:p w:rsidRPr="00056279" w:rsidR="008D2F23" w:rsidP="00180EEB" w:rsidRDefault="008D2F23" w14:paraId="699322A7" w14:textId="77777777">
      <w:pPr>
        <w:suppressAutoHyphens/>
        <w:spacing w:line="240" w:lineRule="atLeast"/>
        <w:rPr>
          <w:sz w:val="14"/>
          <w:szCs w:val="14"/>
          <w:lang w:val="es-ES" w:eastAsia="nl-NL"/>
        </w:rPr>
      </w:pPr>
      <w:r w:rsidRPr="00056279">
        <w:rPr>
          <w:sz w:val="14"/>
          <w:szCs w:val="14"/>
          <w:lang w:val="es-ES" w:eastAsia="nl-NL"/>
        </w:rPr>
        <w:t xml:space="preserve">Bron: </w:t>
      </w:r>
      <w:hyperlink w:history="1" w:anchor="/CBS/nl/dataset/37360ned/table?dl=C86AB" r:id="rId37">
        <w:r w:rsidRPr="00056279">
          <w:rPr>
            <w:color w:val="0000FF"/>
            <w:sz w:val="14"/>
            <w:szCs w:val="14"/>
            <w:u w:val="single"/>
            <w:lang w:val="es-ES" w:eastAsia="nl-NL"/>
          </w:rPr>
          <w:t>https://opendata.cbs.nl/#/CBS/nl/dataset/37360ned/table?dl=C86AB</w:t>
        </w:r>
      </w:hyperlink>
      <w:r w:rsidRPr="00056279">
        <w:rPr>
          <w:sz w:val="14"/>
          <w:szCs w:val="14"/>
          <w:lang w:val="es-ES" w:eastAsia="nl-NL"/>
        </w:rPr>
        <w:t xml:space="preserve"> en </w:t>
      </w:r>
      <w:hyperlink w:history="1" w:anchor="/CBS/nl/dataset/86042NED/table?dl=C86B9" r:id="rId38">
        <w:r w:rsidRPr="00056279">
          <w:rPr>
            <w:color w:val="0000FF"/>
            <w:sz w:val="14"/>
            <w:szCs w:val="14"/>
            <w:u w:val="single"/>
            <w:lang w:val="es-ES" w:eastAsia="nl-NL"/>
          </w:rPr>
          <w:t>https://opendata.cbs.nl/#/CBS/nl/dataset/86042NED/table?dl=C86B9</w:t>
        </w:r>
      </w:hyperlink>
      <w:r w:rsidRPr="00056279">
        <w:rPr>
          <w:sz w:val="14"/>
          <w:szCs w:val="14"/>
          <w:lang w:val="es-ES" w:eastAsia="nl-NL"/>
        </w:rPr>
        <w:t xml:space="preserve"> </w:t>
      </w:r>
    </w:p>
    <w:p w:rsidRPr="005F055E" w:rsidR="008D2F23" w:rsidP="00180EEB" w:rsidRDefault="008D2F23" w14:paraId="7DAAB1E4" w14:textId="67835726">
      <w:pPr>
        <w:suppressAutoHyphens/>
        <w:spacing w:line="240" w:lineRule="atLeast"/>
        <w:rPr>
          <w:rFonts w:cs="Calibri"/>
          <w:color w:val="000000"/>
          <w:szCs w:val="18"/>
          <w:lang w:eastAsia="nl-NL"/>
        </w:rPr>
      </w:pPr>
      <w:r w:rsidRPr="005F055E">
        <w:rPr>
          <w:szCs w:val="18"/>
          <w:lang w:eastAsia="nl-NL"/>
        </w:rPr>
        <w:t xml:space="preserve">De cijfers zijn </w:t>
      </w:r>
      <w:r w:rsidRPr="005F055E">
        <w:rPr>
          <w:rFonts w:cs="Calibri"/>
          <w:color w:val="000000"/>
          <w:szCs w:val="18"/>
          <w:lang w:eastAsia="nl-NL"/>
        </w:rPr>
        <w:t>per 28 mei 2025. Er zijn geen methodische wijzigingen geweest.</w:t>
      </w:r>
    </w:p>
    <w:p w:rsidRPr="005F055E" w:rsidR="008D2F23" w:rsidP="00180EEB" w:rsidRDefault="008D2F23" w14:paraId="37FFF6C7" w14:textId="0AE3FD91">
      <w:pPr>
        <w:suppressAutoHyphens/>
        <w:spacing w:line="240" w:lineRule="atLeast"/>
        <w:rPr>
          <w:rFonts w:cs="Calibri"/>
          <w:color w:val="000000"/>
          <w:szCs w:val="18"/>
          <w:lang w:eastAsia="nl-NL"/>
        </w:rPr>
      </w:pPr>
      <w:r w:rsidRPr="005F055E">
        <w:rPr>
          <w:rFonts w:cs="Calibri"/>
          <w:color w:val="000000"/>
          <w:szCs w:val="18"/>
          <w:lang w:eastAsia="nl-NL"/>
        </w:rPr>
        <w:t>Eén van de belangrijkste oorzaken van het afgenomen verschil in levensverwachting tussen mannen en vrouwen in de periode 1980-2024 is de afname van het verschil tussen het aantal </w:t>
      </w:r>
      <w:hyperlink w:history="1" r:id="rId39">
        <w:r w:rsidRPr="005F055E">
          <w:rPr>
            <w:rFonts w:cs="Calibri"/>
            <w:color w:val="000000"/>
            <w:szCs w:val="18"/>
            <w:lang w:eastAsia="nl-NL"/>
          </w:rPr>
          <w:t>rokende mannen en rokende vrouwen</w:t>
        </w:r>
      </w:hyperlink>
      <w:r w:rsidRPr="005F055E">
        <w:rPr>
          <w:rFonts w:cs="Calibri"/>
          <w:color w:val="000000"/>
          <w:szCs w:val="18"/>
          <w:lang w:eastAsia="nl-NL"/>
        </w:rPr>
        <w:footnoteReference w:id="151"/>
      </w:r>
      <w:r w:rsidRPr="005F055E">
        <w:rPr>
          <w:rFonts w:cs="Calibri"/>
          <w:color w:val="000000"/>
          <w:szCs w:val="18"/>
          <w:lang w:eastAsia="nl-NL"/>
        </w:rPr>
        <w:t>. Het percentage mannen dat rookt, is sinds de jaren vijftig van de vorige eeuw gedaald. Het percentage rokende vrouwen is toegenomen tussen 1958 en 1970 en daarna weer gedaald. Door de afname van de verschillen tussen mannen en vrouwen in rookgedrag nemen ook sekseverschillen in sterfte aan roken-gerelateerde ziekten, zoals </w:t>
      </w:r>
      <w:hyperlink w:history="1" r:id="rId40">
        <w:r w:rsidRPr="005F055E">
          <w:rPr>
            <w:rFonts w:cs="Calibri"/>
            <w:szCs w:val="18"/>
            <w:lang w:eastAsia="nl-NL"/>
          </w:rPr>
          <w:t>longkanker</w:t>
        </w:r>
      </w:hyperlink>
      <w:r w:rsidRPr="005F055E">
        <w:rPr>
          <w:szCs w:val="20"/>
          <w:vertAlign w:val="superscript"/>
          <w:lang w:eastAsia="nl-NL"/>
        </w:rPr>
        <w:footnoteReference w:id="152"/>
      </w:r>
      <w:r w:rsidRPr="005F055E">
        <w:rPr>
          <w:rFonts w:cs="Calibri"/>
          <w:color w:val="000000"/>
          <w:szCs w:val="18"/>
          <w:lang w:eastAsia="nl-NL"/>
        </w:rPr>
        <w:t> en </w:t>
      </w:r>
      <w:hyperlink w:history="1" r:id="rId41">
        <w:r w:rsidRPr="005F055E">
          <w:rPr>
            <w:rFonts w:cs="Calibri"/>
            <w:szCs w:val="18"/>
            <w:lang w:eastAsia="nl-NL"/>
          </w:rPr>
          <w:t>hart- en vaatziekten</w:t>
        </w:r>
      </w:hyperlink>
      <w:r w:rsidRPr="005F055E">
        <w:rPr>
          <w:szCs w:val="20"/>
          <w:vertAlign w:val="superscript"/>
          <w:lang w:eastAsia="nl-NL"/>
        </w:rPr>
        <w:footnoteReference w:id="153"/>
      </w:r>
      <w:r w:rsidRPr="005F055E">
        <w:rPr>
          <w:rFonts w:cs="Calibri"/>
          <w:color w:val="000000"/>
          <w:szCs w:val="18"/>
          <w:lang w:eastAsia="nl-NL"/>
        </w:rPr>
        <w:t xml:space="preserve">, af. </w:t>
      </w:r>
    </w:p>
    <w:p w:rsidRPr="005F055E" w:rsidR="008D2F23" w:rsidP="00180EEB" w:rsidRDefault="008D2F23" w14:paraId="71AB051C" w14:textId="77777777">
      <w:pPr>
        <w:suppressAutoHyphens/>
        <w:spacing w:line="240" w:lineRule="atLeast"/>
        <w:rPr>
          <w:szCs w:val="18"/>
          <w:lang w:eastAsia="nl-NL"/>
        </w:rPr>
      </w:pPr>
      <w:r w:rsidRPr="005F055E">
        <w:rPr>
          <w:rFonts w:cs="Calibri"/>
          <w:color w:val="000000"/>
          <w:szCs w:val="18"/>
          <w:lang w:eastAsia="nl-NL"/>
        </w:rPr>
        <w:t xml:space="preserve">Het CBS verwacht op basis van analyses van sterftetrends uit het verleden dat de levensverwachting </w:t>
      </w:r>
      <w:r w:rsidRPr="005F055E">
        <w:rPr>
          <w:rFonts w:cs="Calibri"/>
          <w:color w:val="000000"/>
          <w:szCs w:val="18"/>
          <w:bdr w:val="none" w:color="auto" w:sz="0" w:space="0" w:frame="1"/>
          <w:lang w:eastAsia="nl-NL"/>
        </w:rPr>
        <w:t>(het gemiddeld aantal nog te verwachten levensjaren op een bepaalde leeftijd)</w:t>
      </w:r>
      <w:r w:rsidRPr="005F055E">
        <w:rPr>
          <w:rFonts w:cs="Calibri"/>
          <w:color w:val="000000"/>
          <w:szCs w:val="18"/>
          <w:lang w:eastAsia="nl-NL"/>
        </w:rPr>
        <w:t> verder zal toenemen voor zowel mannen als vrouwen. Het CBS verwacht in 2070 een levensverwachting van 87,5 jaar voor mannen en 90,6 jaar voor vrouwen. Het verschil in levensverwachting bij geboorte tussen mannen en vrouwen zal naar verwachting iets toenemen van 2,8 jaar in 2024 naar 3,1 in 2070.</w:t>
      </w:r>
    </w:p>
    <w:p w:rsidRPr="005F055E" w:rsidR="00506A68" w:rsidP="00180EEB" w:rsidRDefault="00506A68" w14:paraId="1FE9540D" w14:textId="77777777">
      <w:pPr>
        <w:suppressAutoHyphens/>
      </w:pPr>
    </w:p>
    <w:p w:rsidRPr="005F055E" w:rsidR="00506A68" w:rsidP="00180EEB" w:rsidRDefault="003E7003" w14:paraId="438A32E7" w14:textId="77777777">
      <w:pPr>
        <w:suppressAutoHyphens/>
      </w:pPr>
      <w:r w:rsidRPr="005F055E">
        <w:t>Vraag 408</w:t>
      </w:r>
    </w:p>
    <w:p w:rsidRPr="005F055E" w:rsidR="00506A68" w:rsidP="00180EEB" w:rsidRDefault="003E7003" w14:paraId="0770DBFE" w14:textId="77777777">
      <w:pPr>
        <w:suppressAutoHyphens/>
      </w:pPr>
      <w:r w:rsidRPr="005F055E">
        <w:t>Wat houdt de ondersteuning vanuit de VNG om gemeenten te ondersteunen bij hun nieuwe taak om een integraal suïcidepreventie lokaal vorm te geven in?</w:t>
      </w:r>
    </w:p>
    <w:p w:rsidRPr="005F055E" w:rsidR="003E7003" w:rsidP="00180EEB" w:rsidRDefault="003E7003" w14:paraId="3B22E029" w14:textId="62E50800">
      <w:pPr>
        <w:suppressAutoHyphens/>
      </w:pPr>
      <w:r w:rsidRPr="005F055E">
        <w:t>Antwoord</w:t>
      </w:r>
    </w:p>
    <w:p w:rsidRPr="005F055E" w:rsidR="007E044A" w:rsidP="00180EEB" w:rsidRDefault="007E044A" w14:paraId="54F45A29" w14:textId="77777777">
      <w:pPr>
        <w:suppressAutoHyphens/>
        <w:spacing w:line="240" w:lineRule="atLeast"/>
        <w:rPr>
          <w:szCs w:val="18"/>
          <w:lang w:eastAsia="nl-NL"/>
        </w:rPr>
      </w:pPr>
      <w:r w:rsidRPr="005F055E">
        <w:rPr>
          <w:szCs w:val="18"/>
          <w:lang w:eastAsia="nl-NL"/>
        </w:rPr>
        <w:t xml:space="preserve">Met dit ondersteuningsprogramma wordt door partijen bijgedragen aan een sterke basis voor suïcidepreventie in heel Nederland. Na afloop van het ondersteuningsprogramma hebben gemeenten kennis over de nieuwe wetgeving en beschikken ze over de adequate handvatten en een versterkt netwerk in de regio om beleid op te stellen en (regionaal) te implementeren. </w:t>
      </w:r>
    </w:p>
    <w:p w:rsidRPr="005F055E" w:rsidR="00506A68" w:rsidP="00180EEB" w:rsidRDefault="007E044A" w14:paraId="14DFD587" w14:textId="7781F8DC">
      <w:pPr>
        <w:suppressAutoHyphens/>
        <w:spacing w:line="240" w:lineRule="atLeast"/>
        <w:rPr>
          <w:szCs w:val="18"/>
          <w:lang w:eastAsia="nl-NL"/>
        </w:rPr>
      </w:pPr>
      <w:r w:rsidRPr="005F055E">
        <w:rPr>
          <w:szCs w:val="18"/>
          <w:lang w:eastAsia="nl-NL"/>
        </w:rPr>
        <w:t>Vanuit het programma worden producten, tools, trainingen en kennis aangeboden en wordt onderlinge uitwisseling tussen gemeenten - goede voorbeelden en ervaringen - gefaciliteerd. Het betreft hier een project waarbij de VNG penvoerder is van het ondersteuningsprogramma en als opdrachtgever fungeert richting de voornaamste uitvoeringspartners, te weten GGD GHOR Nederland en Stichting 113 Zelfmoordpreventie.</w:t>
      </w:r>
      <w:r w:rsidRPr="005F055E" w:rsidR="00D73F76">
        <w:rPr>
          <w:szCs w:val="18"/>
          <w:lang w:eastAsia="nl-NL"/>
        </w:rPr>
        <w:t xml:space="preserve"> </w:t>
      </w:r>
    </w:p>
    <w:p w:rsidRPr="005F055E" w:rsidR="007E044A" w:rsidP="00180EEB" w:rsidRDefault="007E044A" w14:paraId="6E96AD60" w14:textId="77777777">
      <w:pPr>
        <w:suppressAutoHyphens/>
      </w:pPr>
    </w:p>
    <w:p w:rsidRPr="005F055E" w:rsidR="00506A68" w:rsidP="00180EEB" w:rsidRDefault="003E7003" w14:paraId="19A48366" w14:textId="77777777">
      <w:pPr>
        <w:suppressAutoHyphens/>
      </w:pPr>
      <w:r w:rsidRPr="005F055E">
        <w:t>Vraag 409</w:t>
      </w:r>
    </w:p>
    <w:p w:rsidRPr="005F055E" w:rsidR="00506A68" w:rsidP="00180EEB" w:rsidRDefault="003E7003" w14:paraId="62E65C14" w14:textId="77777777">
      <w:pPr>
        <w:suppressAutoHyphens/>
      </w:pPr>
      <w:r w:rsidRPr="005F055E">
        <w:t xml:space="preserve">Welke specifieke programma's binnen </w:t>
      </w:r>
      <w:proofErr w:type="spellStart"/>
      <w:r w:rsidRPr="005F055E">
        <w:t>ZonMw</w:t>
      </w:r>
      <w:proofErr w:type="spellEnd"/>
      <w:r w:rsidRPr="005F055E">
        <w:t xml:space="preserve"> uit tabel 12 worden gekort?</w:t>
      </w:r>
    </w:p>
    <w:p w:rsidRPr="005F055E" w:rsidR="003E7003" w:rsidP="00180EEB" w:rsidRDefault="003E7003" w14:paraId="43FE5B23" w14:textId="70E02B34">
      <w:pPr>
        <w:suppressAutoHyphens/>
      </w:pPr>
      <w:r w:rsidRPr="005F055E">
        <w:t>Antwoord</w:t>
      </w:r>
    </w:p>
    <w:p w:rsidRPr="005F055E" w:rsidR="009E2BC0" w:rsidP="00180EEB" w:rsidRDefault="009E2BC0" w14:paraId="788E619A" w14:textId="583EA491">
      <w:pPr>
        <w:suppressAutoHyphens/>
        <w:spacing w:line="240" w:lineRule="atLeast"/>
        <w:rPr>
          <w:szCs w:val="18"/>
          <w:lang w:eastAsia="nl-NL"/>
        </w:rPr>
      </w:pPr>
      <w:proofErr w:type="spellStart"/>
      <w:r w:rsidRPr="005F055E">
        <w:rPr>
          <w:szCs w:val="18"/>
          <w:lang w:eastAsia="nl-NL"/>
        </w:rPr>
        <w:t>ZonMw</w:t>
      </w:r>
      <w:proofErr w:type="spellEnd"/>
      <w:r w:rsidRPr="005F055E">
        <w:rPr>
          <w:szCs w:val="18"/>
          <w:lang w:eastAsia="nl-NL"/>
        </w:rPr>
        <w:t xml:space="preserve"> werkt programmatisch. Daarbij lopen programma’s voor een aantal jaren. Na afloop van die periode staat het budget niet meer in de begroting bij artikel 1. Het programma kan een vervolg krijgen van uit het budget van de </w:t>
      </w:r>
      <w:proofErr w:type="spellStart"/>
      <w:r w:rsidRPr="005F055E">
        <w:rPr>
          <w:szCs w:val="18"/>
          <w:lang w:eastAsia="nl-NL"/>
        </w:rPr>
        <w:t>opdrachtgevende</w:t>
      </w:r>
      <w:proofErr w:type="spellEnd"/>
      <w:r w:rsidRPr="005F055E">
        <w:rPr>
          <w:szCs w:val="18"/>
          <w:lang w:eastAsia="nl-NL"/>
        </w:rPr>
        <w:t xml:space="preserve"> beleidsdirectie. Het budget wordt pas overgeheveld bij officiële verlenging van het programma. Vandaar dat de budgetten in de meerjarige reeks aflopen. Er is soms ook sprake van programma’s met een tijdelijke financiering. Deze krijgen geen vervolg. </w:t>
      </w:r>
    </w:p>
    <w:p w:rsidRPr="005F055E" w:rsidR="009E2BC0" w:rsidP="00180EEB" w:rsidRDefault="009E2BC0" w14:paraId="739052F3" w14:textId="763C3CF8">
      <w:pPr>
        <w:suppressAutoHyphens/>
        <w:spacing w:line="240" w:lineRule="atLeast"/>
        <w:rPr>
          <w:szCs w:val="18"/>
          <w:lang w:eastAsia="nl-NL"/>
        </w:rPr>
      </w:pPr>
      <w:r w:rsidRPr="005F055E">
        <w:rPr>
          <w:szCs w:val="18"/>
          <w:lang w:eastAsia="nl-NL"/>
        </w:rPr>
        <w:t>Daarnaast is in bijlage 1 bij de Nota van Wijziging op de ontwerpbegroting 2025 te zien dat er gekort wordt op de volgende programma’s:</w:t>
      </w:r>
    </w:p>
    <w:tbl>
      <w:tblPr>
        <w:tblW w:w="0" w:type="auto"/>
        <w:tblCellMar>
          <w:left w:w="0" w:type="dxa"/>
          <w:right w:w="0" w:type="dxa"/>
        </w:tblCellMar>
        <w:tblLook w:val="04A0" w:firstRow="1" w:lastRow="0" w:firstColumn="1" w:lastColumn="0" w:noHBand="0" w:noVBand="1"/>
      </w:tblPr>
      <w:tblGrid>
        <w:gridCol w:w="2524"/>
        <w:gridCol w:w="1609"/>
        <w:gridCol w:w="1654"/>
        <w:gridCol w:w="1610"/>
        <w:gridCol w:w="1610"/>
      </w:tblGrid>
      <w:tr w:rsidRPr="005F055E" w:rsidR="009E2BC0" w:rsidTr="00EC7257" w14:paraId="46BC9EA4" w14:textId="77777777">
        <w:tc>
          <w:tcPr>
            <w:tcW w:w="25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F055E" w:rsidR="009E2BC0" w:rsidP="00180EEB" w:rsidRDefault="009E2BC0" w14:paraId="02CB2AAB" w14:textId="77777777">
            <w:pPr>
              <w:suppressAutoHyphens/>
              <w:spacing w:line="240" w:lineRule="atLeast"/>
              <w:rPr>
                <w:szCs w:val="18"/>
                <w:lang w:eastAsia="nl-NL"/>
              </w:rPr>
            </w:pPr>
          </w:p>
        </w:tc>
        <w:tc>
          <w:tcPr>
            <w:tcW w:w="190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4730954C" w14:textId="77777777">
            <w:pPr>
              <w:suppressAutoHyphens/>
              <w:spacing w:line="240" w:lineRule="atLeast"/>
              <w:rPr>
                <w:szCs w:val="18"/>
                <w:lang w:eastAsia="nl-NL"/>
              </w:rPr>
            </w:pPr>
            <w:r w:rsidRPr="005F055E">
              <w:rPr>
                <w:szCs w:val="18"/>
                <w:lang w:eastAsia="nl-NL"/>
              </w:rPr>
              <w:t>2026</w:t>
            </w:r>
          </w:p>
        </w:tc>
        <w:tc>
          <w:tcPr>
            <w:tcW w:w="190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2DDC60C6" w14:textId="77777777">
            <w:pPr>
              <w:suppressAutoHyphens/>
              <w:spacing w:line="240" w:lineRule="atLeast"/>
              <w:rPr>
                <w:szCs w:val="18"/>
                <w:lang w:eastAsia="nl-NL"/>
              </w:rPr>
            </w:pPr>
            <w:r w:rsidRPr="005F055E">
              <w:rPr>
                <w:szCs w:val="18"/>
                <w:lang w:eastAsia="nl-NL"/>
              </w:rPr>
              <w:t>2027</w:t>
            </w:r>
          </w:p>
        </w:tc>
        <w:tc>
          <w:tcPr>
            <w:tcW w:w="190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7A796671" w14:textId="77777777">
            <w:pPr>
              <w:suppressAutoHyphens/>
              <w:spacing w:line="240" w:lineRule="atLeast"/>
              <w:rPr>
                <w:szCs w:val="18"/>
                <w:lang w:eastAsia="nl-NL"/>
              </w:rPr>
            </w:pPr>
            <w:r w:rsidRPr="005F055E">
              <w:rPr>
                <w:szCs w:val="18"/>
                <w:lang w:eastAsia="nl-NL"/>
              </w:rPr>
              <w:t>2028</w:t>
            </w:r>
          </w:p>
        </w:tc>
        <w:tc>
          <w:tcPr>
            <w:tcW w:w="190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1E5BE714" w14:textId="77777777">
            <w:pPr>
              <w:suppressAutoHyphens/>
              <w:spacing w:line="240" w:lineRule="atLeast"/>
              <w:rPr>
                <w:szCs w:val="18"/>
                <w:lang w:eastAsia="nl-NL"/>
              </w:rPr>
            </w:pPr>
            <w:r w:rsidRPr="005F055E">
              <w:rPr>
                <w:szCs w:val="18"/>
                <w:lang w:eastAsia="nl-NL"/>
              </w:rPr>
              <w:t>2029</w:t>
            </w:r>
          </w:p>
        </w:tc>
      </w:tr>
      <w:tr w:rsidRPr="005F055E" w:rsidR="009E2BC0" w:rsidTr="00EC7257" w14:paraId="7517D1CD" w14:textId="77777777">
        <w:tc>
          <w:tcPr>
            <w:tcW w:w="25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4D1ED225" w14:textId="5651D4C1">
            <w:pPr>
              <w:suppressAutoHyphens/>
              <w:spacing w:line="240" w:lineRule="atLeast"/>
              <w:rPr>
                <w:szCs w:val="18"/>
                <w:lang w:eastAsia="nl-NL"/>
              </w:rPr>
            </w:pPr>
            <w:r w:rsidRPr="005F055E">
              <w:rPr>
                <w:szCs w:val="18"/>
                <w:lang w:eastAsia="nl-NL"/>
              </w:rPr>
              <w:t xml:space="preserve">Personen met verward gedrag en onderzoek </w:t>
            </w:r>
            <w:r w:rsidR="00D55762">
              <w:rPr>
                <w:szCs w:val="18"/>
                <w:lang w:eastAsia="nl-NL"/>
              </w:rPr>
              <w:t>GGZ</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3270A3BE" w14:textId="77777777">
            <w:pPr>
              <w:suppressAutoHyphens/>
              <w:spacing w:line="240" w:lineRule="atLeast"/>
              <w:rPr>
                <w:szCs w:val="18"/>
                <w:lang w:eastAsia="nl-NL"/>
              </w:rPr>
            </w:pPr>
            <w:r w:rsidRPr="005F055E">
              <w:rPr>
                <w:szCs w:val="18"/>
                <w:lang w:eastAsia="nl-NL"/>
              </w:rPr>
              <w:t>-2.120.000</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264682BF" w14:textId="77777777">
            <w:pPr>
              <w:suppressAutoHyphens/>
              <w:spacing w:line="240" w:lineRule="atLeast"/>
              <w:rPr>
                <w:szCs w:val="18"/>
                <w:lang w:eastAsia="nl-NL"/>
              </w:rPr>
            </w:pPr>
            <w:r w:rsidRPr="005F055E">
              <w:rPr>
                <w:szCs w:val="18"/>
                <w:lang w:eastAsia="nl-NL"/>
              </w:rPr>
              <w:t>-2.270.000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7A12A13D" w14:textId="77777777">
            <w:pPr>
              <w:suppressAutoHyphens/>
              <w:spacing w:line="240" w:lineRule="atLeast"/>
              <w:rPr>
                <w:szCs w:val="18"/>
                <w:lang w:eastAsia="nl-NL"/>
              </w:rPr>
            </w:pPr>
            <w:r w:rsidRPr="005F055E">
              <w:rPr>
                <w:szCs w:val="18"/>
                <w:lang w:eastAsia="nl-NL"/>
              </w:rPr>
              <w:t>-2.270.000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37C0A8C8" w14:textId="77777777">
            <w:pPr>
              <w:suppressAutoHyphens/>
              <w:spacing w:line="240" w:lineRule="atLeast"/>
              <w:rPr>
                <w:szCs w:val="18"/>
                <w:lang w:eastAsia="nl-NL"/>
              </w:rPr>
            </w:pPr>
            <w:r w:rsidRPr="005F055E">
              <w:rPr>
                <w:szCs w:val="18"/>
                <w:lang w:eastAsia="nl-NL"/>
              </w:rPr>
              <w:t>-2.270.000</w:t>
            </w:r>
          </w:p>
        </w:tc>
      </w:tr>
      <w:tr w:rsidRPr="005F055E" w:rsidR="009E2BC0" w:rsidTr="00EC7257" w14:paraId="7C842B77" w14:textId="77777777">
        <w:tc>
          <w:tcPr>
            <w:tcW w:w="25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2DD89AD0" w14:textId="77777777">
            <w:pPr>
              <w:suppressAutoHyphens/>
              <w:spacing w:line="240" w:lineRule="atLeast"/>
              <w:rPr>
                <w:szCs w:val="18"/>
                <w:lang w:eastAsia="nl-NL"/>
              </w:rPr>
            </w:pPr>
            <w:r w:rsidRPr="005F055E">
              <w:rPr>
                <w:szCs w:val="18"/>
                <w:lang w:eastAsia="nl-NL"/>
              </w:rPr>
              <w:t>Kwaliteitsgelden</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69B7E26B" w14:textId="77777777">
            <w:pPr>
              <w:suppressAutoHyphens/>
              <w:spacing w:line="240" w:lineRule="atLeast"/>
              <w:rPr>
                <w:szCs w:val="18"/>
                <w:lang w:eastAsia="nl-NL"/>
              </w:rPr>
            </w:pPr>
            <w:r w:rsidRPr="005F055E">
              <w:rPr>
                <w:szCs w:val="18"/>
                <w:lang w:eastAsia="nl-NL"/>
              </w:rPr>
              <w:t>0</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4E76204D" w14:textId="77777777">
            <w:pPr>
              <w:suppressAutoHyphens/>
              <w:spacing w:line="240" w:lineRule="atLeast"/>
              <w:rPr>
                <w:szCs w:val="18"/>
                <w:lang w:eastAsia="nl-NL"/>
              </w:rPr>
            </w:pPr>
            <w:r w:rsidRPr="005F055E">
              <w:rPr>
                <w:szCs w:val="18"/>
                <w:lang w:eastAsia="nl-NL"/>
              </w:rPr>
              <w:t>-4.730.000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24C2065C" w14:textId="77777777">
            <w:pPr>
              <w:suppressAutoHyphens/>
              <w:spacing w:line="240" w:lineRule="atLeast"/>
              <w:rPr>
                <w:szCs w:val="18"/>
                <w:lang w:eastAsia="nl-NL"/>
              </w:rPr>
            </w:pPr>
            <w:r w:rsidRPr="005F055E">
              <w:rPr>
                <w:szCs w:val="18"/>
                <w:lang w:eastAsia="nl-NL"/>
              </w:rPr>
              <w:t>-4.730.000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427ACFD6" w14:textId="77777777">
            <w:pPr>
              <w:suppressAutoHyphens/>
              <w:spacing w:line="240" w:lineRule="atLeast"/>
              <w:rPr>
                <w:szCs w:val="18"/>
                <w:lang w:eastAsia="nl-NL"/>
              </w:rPr>
            </w:pPr>
            <w:r w:rsidRPr="005F055E">
              <w:rPr>
                <w:szCs w:val="18"/>
                <w:lang w:eastAsia="nl-NL"/>
              </w:rPr>
              <w:t>-4.730.000</w:t>
            </w:r>
          </w:p>
        </w:tc>
      </w:tr>
      <w:tr w:rsidRPr="005F055E" w:rsidR="009E2BC0" w:rsidTr="00EC7257" w14:paraId="7DC19831" w14:textId="77777777">
        <w:tc>
          <w:tcPr>
            <w:tcW w:w="25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7584758E" w14:textId="77777777">
            <w:pPr>
              <w:suppressAutoHyphens/>
              <w:spacing w:line="240" w:lineRule="atLeast"/>
              <w:rPr>
                <w:szCs w:val="18"/>
                <w:lang w:eastAsia="nl-NL"/>
              </w:rPr>
            </w:pPr>
            <w:r w:rsidRPr="005F055E">
              <w:rPr>
                <w:szCs w:val="18"/>
                <w:lang w:eastAsia="nl-NL"/>
              </w:rPr>
              <w:t>Doelmatigheid, passende zorg, ZEGG en doelmatigheidsonderzoek</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759EB634" w14:textId="77777777">
            <w:pPr>
              <w:suppressAutoHyphens/>
              <w:spacing w:line="240" w:lineRule="atLeast"/>
              <w:rPr>
                <w:szCs w:val="18"/>
                <w:lang w:eastAsia="nl-NL"/>
              </w:rPr>
            </w:pPr>
            <w:r w:rsidRPr="005F055E">
              <w:rPr>
                <w:szCs w:val="18"/>
                <w:lang w:eastAsia="nl-NL"/>
              </w:rPr>
              <w:t>-654.000</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64C0DF33" w14:textId="77777777">
            <w:pPr>
              <w:suppressAutoHyphens/>
              <w:spacing w:line="240" w:lineRule="atLeast"/>
              <w:rPr>
                <w:szCs w:val="18"/>
                <w:lang w:eastAsia="nl-NL"/>
              </w:rPr>
            </w:pPr>
            <w:r w:rsidRPr="005F055E">
              <w:rPr>
                <w:szCs w:val="18"/>
                <w:lang w:eastAsia="nl-NL"/>
              </w:rPr>
              <w:t>-20.275.000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563FA089" w14:textId="77777777">
            <w:pPr>
              <w:suppressAutoHyphens/>
              <w:spacing w:line="240" w:lineRule="atLeast"/>
              <w:rPr>
                <w:szCs w:val="18"/>
                <w:lang w:eastAsia="nl-NL"/>
              </w:rPr>
            </w:pPr>
            <w:r w:rsidRPr="005F055E">
              <w:rPr>
                <w:szCs w:val="18"/>
                <w:lang w:eastAsia="nl-NL"/>
              </w:rPr>
              <w:t>-6.541.000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61FE8F05" w14:textId="77777777">
            <w:pPr>
              <w:suppressAutoHyphens/>
              <w:spacing w:line="240" w:lineRule="atLeast"/>
              <w:rPr>
                <w:szCs w:val="18"/>
                <w:lang w:eastAsia="nl-NL"/>
              </w:rPr>
            </w:pPr>
            <w:r w:rsidRPr="005F055E">
              <w:rPr>
                <w:szCs w:val="18"/>
                <w:lang w:eastAsia="nl-NL"/>
              </w:rPr>
              <w:t>-9.407.000</w:t>
            </w:r>
          </w:p>
        </w:tc>
      </w:tr>
      <w:tr w:rsidRPr="005F055E" w:rsidR="009E2BC0" w:rsidTr="00EC7257" w14:paraId="33C5DC70" w14:textId="77777777">
        <w:tc>
          <w:tcPr>
            <w:tcW w:w="25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06F886CA" w14:textId="77777777">
            <w:pPr>
              <w:suppressAutoHyphens/>
              <w:spacing w:line="240" w:lineRule="atLeast"/>
              <w:rPr>
                <w:szCs w:val="18"/>
                <w:lang w:eastAsia="nl-NL"/>
              </w:rPr>
            </w:pPr>
            <w:r w:rsidRPr="005F055E">
              <w:rPr>
                <w:szCs w:val="18"/>
                <w:lang w:eastAsia="nl-NL"/>
              </w:rPr>
              <w:t>Basisbudget (incidenteel niet uitkeren)</w:t>
            </w:r>
          </w:p>
        </w:tc>
        <w:tc>
          <w:tcPr>
            <w:tcW w:w="1901" w:type="dxa"/>
            <w:tcBorders>
              <w:top w:val="nil"/>
              <w:left w:val="nil"/>
              <w:bottom w:val="single" w:color="auto" w:sz="8" w:space="0"/>
              <w:right w:val="single" w:color="auto" w:sz="8" w:space="0"/>
            </w:tcBorders>
            <w:tcMar>
              <w:top w:w="0" w:type="dxa"/>
              <w:left w:w="108" w:type="dxa"/>
              <w:bottom w:w="0" w:type="dxa"/>
              <w:right w:w="108" w:type="dxa"/>
            </w:tcMar>
          </w:tcPr>
          <w:p w:rsidRPr="005F055E" w:rsidR="009E2BC0" w:rsidP="00180EEB" w:rsidRDefault="009E2BC0" w14:paraId="0757B7F2" w14:textId="77777777">
            <w:pPr>
              <w:suppressAutoHyphens/>
              <w:spacing w:line="240" w:lineRule="atLeast"/>
              <w:rPr>
                <w:szCs w:val="18"/>
                <w:lang w:eastAsia="nl-NL"/>
              </w:rPr>
            </w:pP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5F055E" w:rsidR="009E2BC0" w:rsidP="00180EEB" w:rsidRDefault="009E2BC0" w14:paraId="4B387A1B" w14:textId="77777777">
            <w:pPr>
              <w:suppressAutoHyphens/>
              <w:spacing w:line="240" w:lineRule="atLeast"/>
              <w:rPr>
                <w:szCs w:val="18"/>
                <w:lang w:eastAsia="nl-NL"/>
              </w:rPr>
            </w:pPr>
            <w:r w:rsidRPr="005F055E">
              <w:rPr>
                <w:szCs w:val="18"/>
                <w:lang w:eastAsia="nl-NL"/>
              </w:rPr>
              <w:t>-5.872.000</w:t>
            </w:r>
          </w:p>
        </w:tc>
        <w:tc>
          <w:tcPr>
            <w:tcW w:w="1902" w:type="dxa"/>
            <w:tcBorders>
              <w:top w:val="nil"/>
              <w:left w:val="nil"/>
              <w:bottom w:val="single" w:color="auto" w:sz="8" w:space="0"/>
              <w:right w:val="single" w:color="auto" w:sz="8" w:space="0"/>
            </w:tcBorders>
            <w:tcMar>
              <w:top w:w="0" w:type="dxa"/>
              <w:left w:w="108" w:type="dxa"/>
              <w:bottom w:w="0" w:type="dxa"/>
              <w:right w:w="108" w:type="dxa"/>
            </w:tcMar>
          </w:tcPr>
          <w:p w:rsidRPr="005F055E" w:rsidR="009E2BC0" w:rsidP="00180EEB" w:rsidRDefault="009E2BC0" w14:paraId="50B14AAE" w14:textId="77777777">
            <w:pPr>
              <w:suppressAutoHyphens/>
              <w:spacing w:line="240" w:lineRule="atLeast"/>
              <w:rPr>
                <w:szCs w:val="18"/>
                <w:lang w:eastAsia="nl-NL"/>
              </w:rPr>
            </w:pPr>
          </w:p>
        </w:tc>
        <w:tc>
          <w:tcPr>
            <w:tcW w:w="1902" w:type="dxa"/>
            <w:tcBorders>
              <w:top w:val="nil"/>
              <w:left w:val="nil"/>
              <w:bottom w:val="single" w:color="auto" w:sz="8" w:space="0"/>
              <w:right w:val="single" w:color="auto" w:sz="8" w:space="0"/>
            </w:tcBorders>
            <w:tcMar>
              <w:top w:w="0" w:type="dxa"/>
              <w:left w:w="108" w:type="dxa"/>
              <w:bottom w:w="0" w:type="dxa"/>
              <w:right w:w="108" w:type="dxa"/>
            </w:tcMar>
          </w:tcPr>
          <w:p w:rsidRPr="005F055E" w:rsidR="009E2BC0" w:rsidP="00180EEB" w:rsidRDefault="009E2BC0" w14:paraId="3C8ACC21" w14:textId="77777777">
            <w:pPr>
              <w:suppressAutoHyphens/>
              <w:spacing w:line="240" w:lineRule="atLeast"/>
              <w:rPr>
                <w:szCs w:val="18"/>
                <w:lang w:eastAsia="nl-NL"/>
              </w:rPr>
            </w:pPr>
          </w:p>
        </w:tc>
      </w:tr>
    </w:tbl>
    <w:p w:rsidR="009E2BC0" w:rsidP="00180EEB" w:rsidRDefault="009E2BC0" w14:paraId="48A69558" w14:textId="77777777">
      <w:pPr>
        <w:suppressAutoHyphens/>
        <w:spacing w:line="240" w:lineRule="atLeast"/>
        <w:rPr>
          <w:szCs w:val="18"/>
          <w:lang w:eastAsia="nl-NL"/>
        </w:rPr>
      </w:pPr>
    </w:p>
    <w:p w:rsidR="00D544B0" w:rsidP="00180EEB" w:rsidRDefault="00D544B0" w14:paraId="27E27BF9" w14:textId="77777777">
      <w:pPr>
        <w:suppressAutoHyphens/>
        <w:spacing w:line="240" w:lineRule="atLeast"/>
        <w:rPr>
          <w:szCs w:val="18"/>
          <w:lang w:eastAsia="nl-NL"/>
        </w:rPr>
      </w:pPr>
    </w:p>
    <w:p w:rsidR="00D544B0" w:rsidP="00180EEB" w:rsidRDefault="00D544B0" w14:paraId="385D33B9" w14:textId="77777777">
      <w:pPr>
        <w:suppressAutoHyphens/>
        <w:spacing w:line="240" w:lineRule="atLeast"/>
        <w:rPr>
          <w:szCs w:val="18"/>
          <w:lang w:eastAsia="nl-NL"/>
        </w:rPr>
      </w:pPr>
    </w:p>
    <w:p w:rsidRPr="005F055E" w:rsidR="00D544B0" w:rsidP="00180EEB" w:rsidRDefault="00D544B0" w14:paraId="1A77FB49" w14:textId="77777777">
      <w:pPr>
        <w:suppressAutoHyphens/>
        <w:spacing w:line="240" w:lineRule="atLeast"/>
        <w:rPr>
          <w:szCs w:val="18"/>
          <w:lang w:eastAsia="nl-NL"/>
        </w:rPr>
      </w:pPr>
    </w:p>
    <w:p w:rsidRPr="005F055E" w:rsidR="00506A68" w:rsidP="00180EEB" w:rsidRDefault="00506A68" w14:paraId="2B8A382A" w14:textId="77777777">
      <w:pPr>
        <w:suppressAutoHyphens/>
      </w:pPr>
    </w:p>
    <w:p w:rsidRPr="005F055E" w:rsidR="00506A68" w:rsidP="00180EEB" w:rsidRDefault="003E7003" w14:paraId="7432EDB7" w14:textId="77777777">
      <w:pPr>
        <w:suppressAutoHyphens/>
      </w:pPr>
      <w:r w:rsidRPr="005F055E">
        <w:t>Vraag 410</w:t>
      </w:r>
    </w:p>
    <w:p w:rsidRPr="005F055E" w:rsidR="00506A68" w:rsidP="00180EEB" w:rsidRDefault="003E7003" w14:paraId="2120F8E8" w14:textId="77777777">
      <w:pPr>
        <w:suppressAutoHyphens/>
      </w:pPr>
      <w:r w:rsidRPr="005F055E">
        <w:t>Wat zijn de resultaten van onderzoek gericht op (post-)covid en op welke wijze worden deze benut in beleidswegingen rondom expertisezorg en pandemische paraatheid?</w:t>
      </w:r>
      <w:r w:rsidRPr="005F055E">
        <w:tab/>
      </w:r>
    </w:p>
    <w:p w:rsidRPr="005F055E" w:rsidR="003E7003" w:rsidP="00180EEB" w:rsidRDefault="003E7003" w14:paraId="0FFB2A2E" w14:textId="60D687B4">
      <w:pPr>
        <w:suppressAutoHyphens/>
      </w:pPr>
      <w:r w:rsidRPr="005F055E">
        <w:t>Antwoord</w:t>
      </w:r>
    </w:p>
    <w:p w:rsidRPr="005F055E" w:rsidR="005C1E1E" w:rsidP="00180EEB" w:rsidRDefault="005C1E1E" w14:paraId="5EEDA8B9" w14:textId="2223BEFE">
      <w:pPr>
        <w:suppressAutoHyphens/>
        <w:rPr>
          <w:szCs w:val="18"/>
        </w:rPr>
      </w:pPr>
      <w:r w:rsidRPr="005F055E">
        <w:rPr>
          <w:szCs w:val="18"/>
        </w:rPr>
        <w:t xml:space="preserve">Sinds de start van de pandemie zijn bij kennisinstellingen zoals het RIVM, TNO en </w:t>
      </w:r>
      <w:proofErr w:type="spellStart"/>
      <w:r w:rsidRPr="005F055E">
        <w:rPr>
          <w:szCs w:val="18"/>
        </w:rPr>
        <w:t>ZonMw</w:t>
      </w:r>
      <w:proofErr w:type="spellEnd"/>
      <w:r w:rsidRPr="005F055E">
        <w:rPr>
          <w:szCs w:val="18"/>
        </w:rPr>
        <w:t xml:space="preserve"> veel onderzoeken gefinancierd. Bij </w:t>
      </w:r>
      <w:proofErr w:type="spellStart"/>
      <w:r w:rsidRPr="005F055E">
        <w:rPr>
          <w:szCs w:val="18"/>
        </w:rPr>
        <w:t>ZonMw</w:t>
      </w:r>
      <w:proofErr w:type="spellEnd"/>
      <w:r w:rsidRPr="005F055E">
        <w:rPr>
          <w:szCs w:val="18"/>
        </w:rPr>
        <w:t xml:space="preserve"> gebeur</w:t>
      </w:r>
      <w:r w:rsidRPr="005F055E" w:rsidR="00683154">
        <w:rPr>
          <w:szCs w:val="18"/>
        </w:rPr>
        <w:t>t</w:t>
      </w:r>
      <w:r w:rsidRPr="005F055E">
        <w:rPr>
          <w:szCs w:val="18"/>
        </w:rPr>
        <w:t xml:space="preserve"> dat binnen het COVID-19 onderzoeksprogramma</w:t>
      </w:r>
      <w:r w:rsidRPr="005F055E" w:rsidR="00683154">
        <w:rPr>
          <w:szCs w:val="18"/>
        </w:rPr>
        <w:t>.</w:t>
      </w:r>
      <w:r w:rsidRPr="005F055E">
        <w:rPr>
          <w:szCs w:val="18"/>
        </w:rPr>
        <w:t xml:space="preserve"> </w:t>
      </w:r>
      <w:r w:rsidRPr="005F055E" w:rsidR="00683154">
        <w:rPr>
          <w:szCs w:val="18"/>
        </w:rPr>
        <w:t>E</w:t>
      </w:r>
      <w:r w:rsidRPr="005F055E">
        <w:rPr>
          <w:szCs w:val="18"/>
        </w:rPr>
        <w:t>en</w:t>
      </w:r>
      <w:r w:rsidRPr="005F055E" w:rsidR="00683154">
        <w:rPr>
          <w:szCs w:val="18"/>
        </w:rPr>
        <w:t xml:space="preserve"> volledig</w:t>
      </w:r>
      <w:r w:rsidRPr="005F055E">
        <w:rPr>
          <w:szCs w:val="18"/>
        </w:rPr>
        <w:t xml:space="preserve"> overzicht staat op de </w:t>
      </w:r>
      <w:proofErr w:type="spellStart"/>
      <w:r w:rsidRPr="005F055E">
        <w:rPr>
          <w:szCs w:val="18"/>
        </w:rPr>
        <w:t>ZonMw</w:t>
      </w:r>
      <w:proofErr w:type="spellEnd"/>
      <w:r w:rsidRPr="005F055E">
        <w:rPr>
          <w:szCs w:val="18"/>
        </w:rPr>
        <w:t xml:space="preserve"> website</w:t>
      </w:r>
      <w:r w:rsidRPr="005F055E">
        <w:rPr>
          <w:rStyle w:val="Voetnootmarkering"/>
          <w:szCs w:val="18"/>
        </w:rPr>
        <w:footnoteReference w:id="154"/>
      </w:r>
      <w:r w:rsidRPr="005F055E">
        <w:rPr>
          <w:szCs w:val="18"/>
        </w:rPr>
        <w:t xml:space="preserve">. </w:t>
      </w:r>
    </w:p>
    <w:p w:rsidRPr="005F055E" w:rsidR="005C1E1E" w:rsidP="00180EEB" w:rsidRDefault="005C1E1E" w14:paraId="5E6EB38C" w14:textId="77777777">
      <w:pPr>
        <w:suppressAutoHyphens/>
        <w:rPr>
          <w:szCs w:val="18"/>
        </w:rPr>
      </w:pPr>
      <w:r w:rsidRPr="005F055E">
        <w:rPr>
          <w:szCs w:val="18"/>
        </w:rPr>
        <w:t>Een deel van deze resultaten is direct toegepast tijdens de Corona pandemie, bijvoorbeeld resultaten van vaccinstudies (o.a. de SWITCH studie</w:t>
      </w:r>
      <w:r w:rsidRPr="005F055E">
        <w:rPr>
          <w:rStyle w:val="Voetnootmarkering"/>
          <w:szCs w:val="18"/>
        </w:rPr>
        <w:footnoteReference w:id="155"/>
      </w:r>
      <w:r w:rsidRPr="005F055E">
        <w:rPr>
          <w:szCs w:val="18"/>
        </w:rPr>
        <w:t>). Medische kennis uit de onderzoeken is tijdens de pandemie geïmplementeerd in ziekenhuizen (o.a. de TURN-COVID studie</w:t>
      </w:r>
      <w:r w:rsidRPr="005F055E">
        <w:rPr>
          <w:rStyle w:val="Voetnootmarkering"/>
          <w:szCs w:val="18"/>
        </w:rPr>
        <w:footnoteReference w:id="156"/>
      </w:r>
      <w:r w:rsidRPr="005F055E">
        <w:rPr>
          <w:szCs w:val="18"/>
        </w:rPr>
        <w:t>). Meer onderzoek is uitgezet naar het bevorderen van optimale zorg voor COVID-19 patiënten</w:t>
      </w:r>
      <w:r w:rsidRPr="005F055E">
        <w:rPr>
          <w:rStyle w:val="Voetnootmarkering"/>
          <w:szCs w:val="18"/>
        </w:rPr>
        <w:footnoteReference w:id="157"/>
      </w:r>
      <w:r w:rsidRPr="005F055E">
        <w:rPr>
          <w:szCs w:val="18"/>
        </w:rPr>
        <w:t>.</w:t>
      </w:r>
    </w:p>
    <w:p w:rsidRPr="005F055E" w:rsidR="005C1E1E" w:rsidP="00180EEB" w:rsidRDefault="005C1E1E" w14:paraId="57EAE2BE" w14:textId="7E072130">
      <w:pPr>
        <w:suppressAutoHyphens/>
        <w:rPr>
          <w:szCs w:val="18"/>
        </w:rPr>
      </w:pPr>
      <w:r w:rsidRPr="005F055E">
        <w:rPr>
          <w:szCs w:val="18"/>
        </w:rPr>
        <w:t>De onderzoeken vormden daarnaast een basis voor het kennisprogramma Pandemische Paraatheid</w:t>
      </w:r>
      <w:r w:rsidRPr="005F055E">
        <w:rPr>
          <w:rStyle w:val="Voetnootmarkering"/>
          <w:szCs w:val="18"/>
        </w:rPr>
        <w:footnoteReference w:id="158"/>
      </w:r>
      <w:r w:rsidRPr="005F055E">
        <w:rPr>
          <w:szCs w:val="18"/>
        </w:rPr>
        <w:t>.</w:t>
      </w:r>
      <w:r w:rsidRPr="005F055E" w:rsidR="00DE1EAC">
        <w:rPr>
          <w:szCs w:val="18"/>
        </w:rPr>
        <w:t xml:space="preserve"> </w:t>
      </w:r>
      <w:r w:rsidRPr="005F055E">
        <w:rPr>
          <w:szCs w:val="18"/>
        </w:rPr>
        <w:t>Voor dit lopende kennisprogramma is ingezet op duurzaam beleid dat multidisciplinaire samenwerkingen en investeringen voor de lange termijn stimuleert. Dit vraagt ook om intersectorale samenwerkingen, nationaal en internationaal. Een voorbeeld hiervan is het onderzoek naar overstijgende analyses van COVID-vaccin immuunrespons</w:t>
      </w:r>
      <w:r w:rsidRPr="005F055E">
        <w:rPr>
          <w:rStyle w:val="Voetnootmarkering"/>
          <w:szCs w:val="18"/>
        </w:rPr>
        <w:footnoteReference w:id="159"/>
      </w:r>
      <w:r w:rsidRPr="005F055E">
        <w:rPr>
          <w:szCs w:val="18"/>
        </w:rPr>
        <w:t xml:space="preserve">. VWS zet hier op in door het financieren van consortia op het gebied van pandemische paraatheid, namelijk </w:t>
      </w:r>
      <w:proofErr w:type="spellStart"/>
      <w:r w:rsidRPr="005F055E">
        <w:rPr>
          <w:szCs w:val="18"/>
        </w:rPr>
        <w:t>BePrepared</w:t>
      </w:r>
      <w:proofErr w:type="spellEnd"/>
      <w:r w:rsidRPr="005F055E">
        <w:rPr>
          <w:szCs w:val="18"/>
        </w:rPr>
        <w:t xml:space="preserve"> en NCOH</w:t>
      </w:r>
      <w:r w:rsidRPr="005F055E">
        <w:rPr>
          <w:rStyle w:val="Voetnootmarkering"/>
          <w:szCs w:val="18"/>
        </w:rPr>
        <w:footnoteReference w:id="160"/>
      </w:r>
      <w:r w:rsidRPr="005F055E">
        <w:rPr>
          <w:szCs w:val="18"/>
        </w:rPr>
        <w:t>. Op internationaal gebied draagt VWS bij aan het Europees partnerschap voor pandemische paraatheid: BE READY NOW</w:t>
      </w:r>
      <w:r w:rsidRPr="005F055E">
        <w:rPr>
          <w:rStyle w:val="Voetnootmarkering"/>
          <w:szCs w:val="18"/>
        </w:rPr>
        <w:footnoteReference w:id="161"/>
      </w:r>
      <w:r w:rsidRPr="005F055E">
        <w:rPr>
          <w:szCs w:val="18"/>
        </w:rPr>
        <w:t xml:space="preserve">. </w:t>
      </w:r>
    </w:p>
    <w:p w:rsidRPr="005F055E" w:rsidR="005C1E1E" w:rsidP="00180EEB" w:rsidRDefault="005C1E1E" w14:paraId="6909678A" w14:textId="69298485">
      <w:pPr>
        <w:suppressAutoHyphens/>
        <w:rPr>
          <w:szCs w:val="18"/>
        </w:rPr>
      </w:pPr>
      <w:r w:rsidRPr="005F055E">
        <w:rPr>
          <w:szCs w:val="18"/>
        </w:rPr>
        <w:t xml:space="preserve">Binnen het COVID-19 onderzoeksprogramma werden ook onderzoeken naar post-COVID gefinancierd. Daarnaast bestaat het </w:t>
      </w:r>
      <w:proofErr w:type="spellStart"/>
      <w:r w:rsidRPr="005F055E">
        <w:rPr>
          <w:szCs w:val="18"/>
        </w:rPr>
        <w:t>ZonMw</w:t>
      </w:r>
      <w:proofErr w:type="spellEnd"/>
      <w:r w:rsidRPr="005F055E">
        <w:rPr>
          <w:szCs w:val="18"/>
        </w:rPr>
        <w:t xml:space="preserve"> programma post-COVID</w:t>
      </w:r>
      <w:r w:rsidRPr="005F055E">
        <w:rPr>
          <w:rStyle w:val="Voetnootmarkering"/>
          <w:szCs w:val="18"/>
        </w:rPr>
        <w:footnoteReference w:id="162"/>
      </w:r>
      <w:r w:rsidRPr="005F055E">
        <w:rPr>
          <w:szCs w:val="18"/>
        </w:rPr>
        <w:t xml:space="preserve"> (2023-2028), met daarin een meerjarige onderzoeksprogrammalijn en een programmalijn voor </w:t>
      </w:r>
      <w:proofErr w:type="spellStart"/>
      <w:r w:rsidRPr="005F055E">
        <w:rPr>
          <w:szCs w:val="18"/>
        </w:rPr>
        <w:t>onderzoeksinfrastructuur</w:t>
      </w:r>
      <w:proofErr w:type="spellEnd"/>
      <w:r w:rsidRPr="005F055E">
        <w:rPr>
          <w:szCs w:val="18"/>
        </w:rPr>
        <w:t xml:space="preserve"> en samenwerking voor de vorming van een nationaal expertisenetwerk (post-COVID Netwerk Nederland/PCNN). In totaal is binnen dit programma ruim €</w:t>
      </w:r>
      <w:r w:rsidRPr="005F055E" w:rsidR="00C723B4">
        <w:rPr>
          <w:szCs w:val="18"/>
        </w:rPr>
        <w:t xml:space="preserve"> </w:t>
      </w:r>
      <w:r w:rsidRPr="005F055E">
        <w:rPr>
          <w:szCs w:val="18"/>
        </w:rPr>
        <w:t>40 miljoen beschikbaar.</w:t>
      </w:r>
    </w:p>
    <w:p w:rsidRPr="005F055E" w:rsidR="00506A68" w:rsidP="00180EEB" w:rsidRDefault="00506A68" w14:paraId="6BA4D946" w14:textId="77777777">
      <w:pPr>
        <w:suppressAutoHyphens/>
      </w:pPr>
    </w:p>
    <w:p w:rsidRPr="005F055E" w:rsidR="00506A68" w:rsidP="00180EEB" w:rsidRDefault="003E7003" w14:paraId="614C1051" w14:textId="77777777">
      <w:pPr>
        <w:suppressAutoHyphens/>
      </w:pPr>
      <w:r w:rsidRPr="005F055E">
        <w:t>Vraag 411</w:t>
      </w:r>
    </w:p>
    <w:p w:rsidRPr="005F055E" w:rsidR="00506A68" w:rsidP="00180EEB" w:rsidRDefault="003E7003" w14:paraId="47EADF8E" w14:textId="77777777">
      <w:pPr>
        <w:suppressAutoHyphens/>
      </w:pPr>
      <w:r w:rsidRPr="005F055E">
        <w:t>Hoeveel geld is er in 2026 en 2027 (en daarna) gereserveerd voor post-covidonderzoek?</w:t>
      </w:r>
    </w:p>
    <w:p w:rsidRPr="005F055E" w:rsidR="003E7003" w:rsidP="00180EEB" w:rsidRDefault="003E7003" w14:paraId="318DDFBC" w14:textId="288315DF">
      <w:pPr>
        <w:suppressAutoHyphens/>
      </w:pPr>
      <w:r w:rsidRPr="005F055E">
        <w:t>Antwoord</w:t>
      </w:r>
    </w:p>
    <w:p w:rsidRPr="005F055E" w:rsidR="00E57EFE" w:rsidP="00180EEB" w:rsidRDefault="00E57EFE" w14:paraId="45F480DE" w14:textId="1F455E0A">
      <w:pPr>
        <w:suppressAutoHyphens/>
        <w:rPr>
          <w:szCs w:val="18"/>
        </w:rPr>
      </w:pPr>
      <w:r w:rsidRPr="005F055E">
        <w:rPr>
          <w:szCs w:val="18"/>
        </w:rPr>
        <w:t xml:space="preserve">Het </w:t>
      </w:r>
      <w:proofErr w:type="spellStart"/>
      <w:r w:rsidRPr="005F055E">
        <w:rPr>
          <w:szCs w:val="18"/>
        </w:rPr>
        <w:t>ZonMw</w:t>
      </w:r>
      <w:proofErr w:type="spellEnd"/>
      <w:r w:rsidRPr="005F055E">
        <w:rPr>
          <w:szCs w:val="18"/>
        </w:rPr>
        <w:t xml:space="preserve"> post-COVID programma loopt van 2023 t/m 2028 en heeft een totaalbudget van ruim € 40 miljoen. Van dit budget is € 36 miljoen gereserveerd voor onderzoek. In de periode 2023 tot nu is € 31 miljoen toegekend aan 30 onderzoeken. 22 onderzoeken lopen tot eind 2026. De overige onderzoeken worden nog tot maart 2028 gefinancierd. Er is nog ruim € 5 miljoen beschikbaar voor drie subsidierondes die in 2025 open gaan en starten in 2026. De toegekende projecten in die ronde worden tot medio 2028 gefinancierd.</w:t>
      </w:r>
      <w:r w:rsidRPr="005F055E" w:rsidR="00D73F76">
        <w:rPr>
          <w:szCs w:val="18"/>
        </w:rPr>
        <w:t xml:space="preserve"> </w:t>
      </w:r>
    </w:p>
    <w:p w:rsidRPr="005F055E" w:rsidR="00D544B0" w:rsidP="00180EEB" w:rsidRDefault="00D544B0" w14:paraId="1869DC32" w14:textId="77777777">
      <w:pPr>
        <w:suppressAutoHyphens/>
      </w:pPr>
    </w:p>
    <w:p w:rsidR="00180EEB" w:rsidP="00180EEB" w:rsidRDefault="00180EEB" w14:paraId="555BDE5D" w14:textId="77777777">
      <w:pPr>
        <w:suppressAutoHyphens/>
      </w:pPr>
    </w:p>
    <w:p w:rsidR="00180EEB" w:rsidP="00180EEB" w:rsidRDefault="00180EEB" w14:paraId="680ABB4E" w14:textId="77777777">
      <w:pPr>
        <w:suppressAutoHyphens/>
      </w:pPr>
    </w:p>
    <w:p w:rsidRPr="005F055E" w:rsidR="00506A68" w:rsidP="00180EEB" w:rsidRDefault="003E7003" w14:paraId="453CE3AF" w14:textId="406E71A6">
      <w:pPr>
        <w:suppressAutoHyphens/>
      </w:pPr>
      <w:r w:rsidRPr="005F055E">
        <w:t>Vraag 412</w:t>
      </w:r>
    </w:p>
    <w:p w:rsidRPr="005F055E" w:rsidR="00506A68" w:rsidP="00180EEB" w:rsidRDefault="003E7003" w14:paraId="2B03DB83" w14:textId="77777777">
      <w:pPr>
        <w:suppressAutoHyphens/>
      </w:pPr>
      <w:r w:rsidRPr="005F055E">
        <w:t xml:space="preserve">Wat zijn de resultaten van het onderzoek van/via </w:t>
      </w:r>
      <w:proofErr w:type="spellStart"/>
      <w:r w:rsidRPr="005F055E">
        <w:t>ZonMw</w:t>
      </w:r>
      <w:proofErr w:type="spellEnd"/>
      <w:r w:rsidRPr="005F055E">
        <w:t xml:space="preserve"> gericht op Covid en op welke wijze deze benut wordt in beleidswegingen rond expertisezorg en pandemische paraatheid?</w:t>
      </w:r>
    </w:p>
    <w:p w:rsidRPr="005F055E" w:rsidR="003E7003" w:rsidP="00180EEB" w:rsidRDefault="003E7003" w14:paraId="2ACCEB8A" w14:textId="72FE90BF">
      <w:pPr>
        <w:suppressAutoHyphens/>
      </w:pPr>
      <w:r w:rsidRPr="005F055E">
        <w:t>Antwoord</w:t>
      </w:r>
    </w:p>
    <w:p w:rsidRPr="005F055E" w:rsidR="00E57EFE" w:rsidP="00180EEB" w:rsidRDefault="00E57EFE" w14:paraId="2F678A41" w14:textId="77777777">
      <w:pPr>
        <w:suppressAutoHyphens/>
        <w:rPr>
          <w:szCs w:val="18"/>
        </w:rPr>
      </w:pPr>
      <w:r w:rsidRPr="005F055E">
        <w:rPr>
          <w:szCs w:val="18"/>
        </w:rPr>
        <w:t xml:space="preserve">Bij </w:t>
      </w:r>
      <w:proofErr w:type="spellStart"/>
      <w:r w:rsidRPr="005F055E">
        <w:rPr>
          <w:szCs w:val="18"/>
        </w:rPr>
        <w:t>ZonMw</w:t>
      </w:r>
      <w:proofErr w:type="spellEnd"/>
      <w:r w:rsidRPr="005F055E">
        <w:rPr>
          <w:szCs w:val="18"/>
        </w:rPr>
        <w:t xml:space="preserve"> zijn sinds de start van de pandemie veel onderzoeken gefinancierd binnen het COVID-19 onderzoeksprogramma op uiteenlopende onderwerpen. Een overzicht hiervan staat op de </w:t>
      </w:r>
      <w:proofErr w:type="spellStart"/>
      <w:r w:rsidRPr="005F055E">
        <w:rPr>
          <w:szCs w:val="18"/>
        </w:rPr>
        <w:t>ZonMw</w:t>
      </w:r>
      <w:proofErr w:type="spellEnd"/>
      <w:r w:rsidRPr="005F055E">
        <w:rPr>
          <w:szCs w:val="18"/>
        </w:rPr>
        <w:t xml:space="preserve"> website</w:t>
      </w:r>
      <w:r w:rsidRPr="005F055E">
        <w:rPr>
          <w:rStyle w:val="Voetnootmarkering"/>
          <w:szCs w:val="18"/>
        </w:rPr>
        <w:footnoteReference w:id="163"/>
      </w:r>
      <w:r w:rsidRPr="005F055E">
        <w:rPr>
          <w:szCs w:val="18"/>
        </w:rPr>
        <w:t xml:space="preserve">. </w:t>
      </w:r>
    </w:p>
    <w:p w:rsidRPr="005F055E" w:rsidR="00E57EFE" w:rsidP="00180EEB" w:rsidRDefault="00E57EFE" w14:paraId="6BAE0B87" w14:textId="06E51673">
      <w:pPr>
        <w:suppressAutoHyphens/>
        <w:rPr>
          <w:szCs w:val="18"/>
        </w:rPr>
      </w:pPr>
      <w:r w:rsidRPr="005F055E">
        <w:rPr>
          <w:szCs w:val="18"/>
        </w:rPr>
        <w:t>Een deel van deze resultaten is direct toegepast tijdens de Corona pandemie, bijvoorbeeld resultaten van vaccinstudies (o.a. de SWITCH studie</w:t>
      </w:r>
      <w:r w:rsidRPr="005F055E">
        <w:rPr>
          <w:rStyle w:val="Voetnootmarkering"/>
          <w:szCs w:val="18"/>
        </w:rPr>
        <w:footnoteReference w:id="164"/>
      </w:r>
      <w:r w:rsidRPr="005F055E">
        <w:rPr>
          <w:szCs w:val="18"/>
        </w:rPr>
        <w:t>). Medische kennis uit de onderzoeken is tijdens de pandemie geïmplementeerd in ziekenhuizen (o.a. de TURN-COVID studie</w:t>
      </w:r>
      <w:r w:rsidRPr="005F055E">
        <w:rPr>
          <w:rStyle w:val="Voetnootmarkering"/>
          <w:szCs w:val="18"/>
        </w:rPr>
        <w:footnoteReference w:id="165"/>
      </w:r>
      <w:r w:rsidRPr="005F055E">
        <w:rPr>
          <w:szCs w:val="18"/>
        </w:rPr>
        <w:t>). Ook is onderzoek uitgezet naar het bevorderen van optimale zorg voor COVID-19 patiënten</w:t>
      </w:r>
      <w:r w:rsidRPr="005F055E">
        <w:rPr>
          <w:rStyle w:val="Voetnootmarkering"/>
          <w:szCs w:val="18"/>
        </w:rPr>
        <w:footnoteReference w:id="166"/>
      </w:r>
      <w:r w:rsidRPr="005F055E">
        <w:rPr>
          <w:szCs w:val="18"/>
        </w:rPr>
        <w:t>.</w:t>
      </w:r>
    </w:p>
    <w:p w:rsidRPr="005F055E" w:rsidR="00E57EFE" w:rsidP="00180EEB" w:rsidRDefault="00E57EFE" w14:paraId="0EFD1D40" w14:textId="77777777">
      <w:pPr>
        <w:suppressAutoHyphens/>
        <w:rPr>
          <w:szCs w:val="18"/>
        </w:rPr>
      </w:pPr>
      <w:r w:rsidRPr="005F055E">
        <w:rPr>
          <w:szCs w:val="18"/>
        </w:rPr>
        <w:t>De onderzoeken vormden daarnaast een basis voor het kennisprogramma Pandemische Paraatheid</w:t>
      </w:r>
      <w:r w:rsidRPr="005F055E">
        <w:rPr>
          <w:rStyle w:val="Voetnootmarkering"/>
          <w:szCs w:val="18"/>
        </w:rPr>
        <w:footnoteReference w:id="167"/>
      </w:r>
      <w:r w:rsidRPr="005F055E">
        <w:rPr>
          <w:szCs w:val="18"/>
        </w:rPr>
        <w:t xml:space="preserve">. Voor pandemische paraatheid is duurzaam beleid nodig dat multidisciplinaire samenwerkingen stimuleert en investeringen voor de lange termijn identificeert. Dit vraagt om intersectorale samenwerkingen, nationaal en internationaal. VWS zet hier op in door het financieren van consortia op het gebied van pandemische paraatheid, namelijk </w:t>
      </w:r>
      <w:proofErr w:type="spellStart"/>
      <w:r w:rsidRPr="005F055E">
        <w:rPr>
          <w:szCs w:val="18"/>
        </w:rPr>
        <w:t>BePrepared</w:t>
      </w:r>
      <w:proofErr w:type="spellEnd"/>
      <w:r w:rsidRPr="005F055E">
        <w:rPr>
          <w:szCs w:val="18"/>
        </w:rPr>
        <w:t xml:space="preserve"> en NCOH</w:t>
      </w:r>
      <w:r w:rsidRPr="005F055E">
        <w:rPr>
          <w:rStyle w:val="Voetnootmarkering"/>
          <w:szCs w:val="18"/>
        </w:rPr>
        <w:footnoteReference w:id="168"/>
      </w:r>
      <w:r w:rsidRPr="005F055E">
        <w:rPr>
          <w:szCs w:val="18"/>
        </w:rPr>
        <w:t>. Op internationaal gebied draagt VWS bij aan het Europees partnerschap voor pandemische paraatheid: BE READY NOW</w:t>
      </w:r>
      <w:r w:rsidRPr="005F055E">
        <w:rPr>
          <w:rStyle w:val="Voetnootmarkering"/>
          <w:szCs w:val="18"/>
        </w:rPr>
        <w:footnoteReference w:id="169"/>
      </w:r>
      <w:r w:rsidRPr="005F055E">
        <w:rPr>
          <w:szCs w:val="18"/>
        </w:rPr>
        <w:t xml:space="preserve">. </w:t>
      </w:r>
    </w:p>
    <w:p w:rsidRPr="005F055E" w:rsidR="00506A68" w:rsidP="00180EEB" w:rsidRDefault="00506A68" w14:paraId="46C32A9B" w14:textId="77777777">
      <w:pPr>
        <w:suppressAutoHyphens/>
      </w:pPr>
    </w:p>
    <w:p w:rsidRPr="005F055E" w:rsidR="00506A68" w:rsidP="00180EEB" w:rsidRDefault="003E7003" w14:paraId="7F28743D" w14:textId="77777777">
      <w:pPr>
        <w:suppressAutoHyphens/>
      </w:pPr>
      <w:r w:rsidRPr="005F055E">
        <w:t>Vraag 413</w:t>
      </w:r>
    </w:p>
    <w:p w:rsidRPr="005F055E" w:rsidR="00506A68" w:rsidP="00180EEB" w:rsidRDefault="003E7003" w14:paraId="2BFFB53D" w14:textId="77777777">
      <w:pPr>
        <w:suppressAutoHyphens/>
      </w:pPr>
      <w:r w:rsidRPr="005F055E">
        <w:t>Wordt er bij het Rijksvaccinatieprogramma ook rekening gehouden met de aanbevelingen in de leidraad vaccineren van de LAN over de RS-vaccinatie voor chronisch zieken?</w:t>
      </w:r>
    </w:p>
    <w:p w:rsidRPr="005F055E" w:rsidR="003E7003" w:rsidP="00180EEB" w:rsidRDefault="003E7003" w14:paraId="1274E879" w14:textId="795E26B4">
      <w:pPr>
        <w:suppressAutoHyphens/>
      </w:pPr>
      <w:r w:rsidRPr="005F055E">
        <w:t>Antwoord</w:t>
      </w:r>
    </w:p>
    <w:p w:rsidRPr="005F055E" w:rsidR="00506A68" w:rsidP="00180EEB" w:rsidRDefault="00575A49" w14:paraId="110DE3C0" w14:textId="283D58BC">
      <w:pPr>
        <w:suppressAutoHyphens/>
        <w:spacing w:line="240" w:lineRule="atLeast"/>
        <w:rPr>
          <w:szCs w:val="18"/>
          <w:lang w:eastAsia="nl-NL"/>
        </w:rPr>
      </w:pPr>
      <w:r w:rsidRPr="005F055E">
        <w:rPr>
          <w:szCs w:val="18"/>
          <w:lang w:eastAsia="nl-NL"/>
        </w:rPr>
        <w:t>Het Rijksvaccinatieprogramma (RVP) richt zich primair op de vaccinatie van kinderen tot 18 jaar. De aanbevelingen in de leidraad Vaccineren van volwassenen met een chronische aandoening van de Landelijke Adviesgroep Nationaal Programma Grieppreventie (LAN) hebben betrekking op volwassenen met een verhoogd risico op ernstige ziekte door infectieziekten, zoals RSV. Deze aanbevelingen vallen buiten het bereik van het RVP. Wel werkt het ministerie van VWS aan het verbeteren van de toegankelijkheid van vaccinaties voor volwassenen.</w:t>
      </w:r>
    </w:p>
    <w:p w:rsidRPr="005F055E" w:rsidR="00575A49" w:rsidP="00180EEB" w:rsidRDefault="00575A49" w14:paraId="69D01E39" w14:textId="77777777">
      <w:pPr>
        <w:suppressAutoHyphens/>
        <w:spacing w:line="240" w:lineRule="atLeast"/>
      </w:pPr>
    </w:p>
    <w:p w:rsidRPr="005F055E" w:rsidR="00506A68" w:rsidP="00180EEB" w:rsidRDefault="003E7003" w14:paraId="746F0361" w14:textId="77777777">
      <w:pPr>
        <w:suppressAutoHyphens/>
      </w:pPr>
      <w:r w:rsidRPr="005F055E">
        <w:t>Vraag 414</w:t>
      </w:r>
    </w:p>
    <w:p w:rsidRPr="005F055E" w:rsidR="00506A68" w:rsidP="00180EEB" w:rsidRDefault="003E7003" w14:paraId="7B64B822" w14:textId="77777777">
      <w:pPr>
        <w:suppressAutoHyphens/>
      </w:pPr>
      <w:r w:rsidRPr="005F055E">
        <w:t>Hoe is de zorg voor mensen met post-covid en Q-koorts na 2027 geregeld? Klopt het dat hier na 2027 geen budget meer voor is vrijgemaakt? Op welke wijze zijn patiëntenorganisaties betrokken bij dit besluit?</w:t>
      </w:r>
    </w:p>
    <w:p w:rsidR="00D544B0" w:rsidP="00180EEB" w:rsidRDefault="00D544B0" w14:paraId="6ADA2540" w14:textId="77777777">
      <w:pPr>
        <w:suppressAutoHyphens/>
      </w:pPr>
    </w:p>
    <w:p w:rsidRPr="005F055E" w:rsidR="003E7003" w:rsidP="00180EEB" w:rsidRDefault="003E7003" w14:paraId="2A072D8B" w14:textId="30313565">
      <w:pPr>
        <w:suppressAutoHyphens/>
      </w:pPr>
      <w:r w:rsidRPr="005F055E">
        <w:t>Antwoord</w:t>
      </w:r>
    </w:p>
    <w:p w:rsidRPr="005F055E" w:rsidR="00E57EFE" w:rsidP="00180EEB" w:rsidRDefault="00E57EFE" w14:paraId="7E91E696" w14:textId="15F484F2">
      <w:pPr>
        <w:suppressAutoHyphens/>
      </w:pPr>
      <w:r w:rsidRPr="005F055E">
        <w:t>In de begroting is een structurele reeks opgenomen van 2,44 miljoen euro voor het borgen van kennis, onder andere over nazorg voor patiënten met Q-koorts en post-COVID</w:t>
      </w:r>
      <w:r w:rsidR="006D64FF">
        <w:t>, dit bedrag staat ook voor na 2027 voor dit doel gereserveerd</w:t>
      </w:r>
      <w:r w:rsidRPr="00C26DF8" w:rsidR="006D64FF">
        <w:t>.</w:t>
      </w:r>
      <w:r w:rsidRPr="005F055E">
        <w:t xml:space="preserve">. Het is belangrijk dat patiënten met post-COVID, Q-koorts vermoeidheidssyndroom (QVS) en andere postinfectieuze aandoeningen zo snel mogelijk terecht kunnen in de reguliere structuren van zorg en welzijn. </w:t>
      </w:r>
      <w:r w:rsidR="006D64FF">
        <w:t>De reguliere structuren van zorg en welzijn kennen</w:t>
      </w:r>
      <w:r w:rsidRPr="005F055E" w:rsidDel="006D64FF" w:rsidR="006D64FF">
        <w:t xml:space="preserve"> </w:t>
      </w:r>
      <w:r w:rsidRPr="005F055E">
        <w:t>instellingen wiens taak het is om deze mensen te behandelen alsook te ondersteunen</w:t>
      </w:r>
      <w:r w:rsidR="006D64FF">
        <w:t>; denk hierbij aan de huisarts, medisch specialist, maar ook aan het sociaal domein</w:t>
      </w:r>
      <w:r w:rsidRPr="005F055E">
        <w:t>. De huidige initiatieven (post-COVID expertisecentra, Q-koortsambassadeur en post-COVID onderzoeksprogramma) zijn ook nadrukkelijk gericht op het inbedden van deze patiënten in de reguliere</w:t>
      </w:r>
      <w:r w:rsidR="006D64FF">
        <w:t xml:space="preserve"> structuren van</w:t>
      </w:r>
      <w:r w:rsidRPr="005F055E">
        <w:t xml:space="preserve"> zorg en ondersteuning, zodat zij direct goed geholpen worden. De patiëntenorganisaties worden</w:t>
      </w:r>
      <w:r w:rsidR="006D64FF">
        <w:t xml:space="preserve"> hierover</w:t>
      </w:r>
      <w:r w:rsidRPr="005F055E">
        <w:t xml:space="preserve"> in de reguliere contacten regelmatig geïnformeerd. </w:t>
      </w:r>
    </w:p>
    <w:p w:rsidRPr="005F055E" w:rsidR="00506A68" w:rsidP="00180EEB" w:rsidRDefault="00506A68" w14:paraId="276D7B1C" w14:textId="77777777">
      <w:pPr>
        <w:suppressAutoHyphens/>
      </w:pPr>
    </w:p>
    <w:p w:rsidRPr="005F055E" w:rsidR="00506A68" w:rsidP="00180EEB" w:rsidRDefault="003E7003" w14:paraId="4A82AF6B" w14:textId="77777777">
      <w:pPr>
        <w:suppressAutoHyphens/>
      </w:pPr>
      <w:r w:rsidRPr="005F055E">
        <w:t>Vraag 415</w:t>
      </w:r>
    </w:p>
    <w:p w:rsidRPr="005F055E" w:rsidR="00506A68" w:rsidP="00180EEB" w:rsidRDefault="003E7003" w14:paraId="79DB410B" w14:textId="1D35F076">
      <w:pPr>
        <w:suppressAutoHyphens/>
      </w:pPr>
      <w:r w:rsidRPr="005F055E">
        <w:t>Hoeveel van het totale ziekte</w:t>
      </w:r>
      <w:r w:rsidRPr="005F055E" w:rsidR="00506A68">
        <w:t xml:space="preserve"> </w:t>
      </w:r>
      <w:r w:rsidRPr="005F055E">
        <w:t>preventiebudget van €27,5 miljoen in 2026 is specifiek bestemd voor het Lyme-expertisecentrum?</w:t>
      </w:r>
    </w:p>
    <w:p w:rsidRPr="005F055E" w:rsidR="003E7003" w:rsidP="00180EEB" w:rsidRDefault="003E7003" w14:paraId="706B0130" w14:textId="4DACD103">
      <w:pPr>
        <w:suppressAutoHyphens/>
      </w:pPr>
      <w:r w:rsidRPr="005F055E">
        <w:t>Antwoord</w:t>
      </w:r>
    </w:p>
    <w:p w:rsidRPr="005F055E" w:rsidR="008D2F23" w:rsidP="00180EEB" w:rsidRDefault="008D2F23" w14:paraId="5C64C57E" w14:textId="77777777">
      <w:pPr>
        <w:suppressAutoHyphens/>
        <w:spacing w:line="240" w:lineRule="atLeast"/>
        <w:rPr>
          <w:szCs w:val="18"/>
          <w:lang w:eastAsia="nl-NL"/>
        </w:rPr>
      </w:pPr>
      <w:r w:rsidRPr="005F055E">
        <w:rPr>
          <w:szCs w:val="18"/>
          <w:lang w:eastAsia="nl-NL"/>
        </w:rPr>
        <w:t xml:space="preserve">Het Lyme-expertisecentrum ontvangt in 2026 </w:t>
      </w:r>
      <w:r w:rsidRPr="005F055E">
        <w:rPr>
          <w:szCs w:val="20"/>
          <w:lang w:eastAsia="nl-NL"/>
        </w:rPr>
        <w:t>€ 800.000.</w:t>
      </w:r>
    </w:p>
    <w:p w:rsidR="008C3510" w:rsidP="00180EEB" w:rsidRDefault="008C3510" w14:paraId="7D3DD2F2" w14:textId="77777777">
      <w:pPr>
        <w:suppressAutoHyphens/>
      </w:pPr>
    </w:p>
    <w:p w:rsidRPr="005F055E" w:rsidR="00506A68" w:rsidP="00180EEB" w:rsidRDefault="003E7003" w14:paraId="289386BC" w14:textId="090E1B66">
      <w:pPr>
        <w:suppressAutoHyphens/>
      </w:pPr>
      <w:r w:rsidRPr="005F055E">
        <w:t>Vraag 416</w:t>
      </w:r>
    </w:p>
    <w:p w:rsidRPr="005F055E" w:rsidR="00506A68" w:rsidP="00180EEB" w:rsidRDefault="003E7003" w14:paraId="4D7D4CF5" w14:textId="77777777">
      <w:pPr>
        <w:suppressAutoHyphens/>
      </w:pPr>
      <w:r w:rsidRPr="005F055E">
        <w:t>Welke middelen zijn in 2026 voorzien voor RS-vaccinatie en pandemische paraatheid binnen het totale vaccinatiebudget, inclusief de verhouding subsidies vs. RIVM-uitvoering?</w:t>
      </w:r>
      <w:r w:rsidRPr="005F055E">
        <w:tab/>
      </w:r>
    </w:p>
    <w:p w:rsidRPr="005F055E" w:rsidR="003E7003" w:rsidP="00180EEB" w:rsidRDefault="003E7003" w14:paraId="54198A85" w14:textId="3EA4A5E6">
      <w:pPr>
        <w:suppressAutoHyphens/>
      </w:pPr>
      <w:r w:rsidRPr="005F055E">
        <w:t>Antwoord</w:t>
      </w:r>
    </w:p>
    <w:p w:rsidRPr="005F055E" w:rsidR="00B90292" w:rsidP="00180EEB" w:rsidRDefault="00B90292" w14:paraId="10BEB66E" w14:textId="77777777">
      <w:pPr>
        <w:suppressAutoHyphens/>
        <w:rPr>
          <w:rFonts w:eastAsia="Calibri" w:cs="Aptos"/>
          <w:szCs w:val="20"/>
          <w:lang w:eastAsia="nl-NL"/>
        </w:rPr>
      </w:pPr>
      <w:r w:rsidRPr="005F055E">
        <w:rPr>
          <w:szCs w:val="20"/>
          <w:lang w:eastAsia="nl-NL"/>
        </w:rPr>
        <w:t>Voor de RSV-immunisatie is in 2026 € 52,1 miljoen beschikbaar. Deze middelen staan volledig op het instrument Bijdrage Agentschappen RIVM. De nog beschikbare middelen voor pandemische paraatheid maken geen deel uit van de vaccinatiebudgetten. Voor de maatregelen ter versterking van de publieke gezondheid van het beleidsprogramma pandemische paraatheid is vooralsnog geen alternatieve dekking gevonden</w:t>
      </w:r>
      <w:r w:rsidRPr="005F055E">
        <w:rPr>
          <w:rFonts w:eastAsia="Calibri" w:cs="Aptos"/>
          <w:szCs w:val="20"/>
          <w:lang w:eastAsia="nl-NL"/>
        </w:rPr>
        <w:t>.</w:t>
      </w:r>
    </w:p>
    <w:p w:rsidRPr="005F055E" w:rsidR="00506A68" w:rsidP="00180EEB" w:rsidRDefault="00506A68" w14:paraId="665591C2" w14:textId="77777777">
      <w:pPr>
        <w:suppressAutoHyphens/>
      </w:pPr>
    </w:p>
    <w:p w:rsidRPr="005F055E" w:rsidR="00506A68" w:rsidP="00180EEB" w:rsidRDefault="003E7003" w14:paraId="3D0D7251" w14:textId="77777777">
      <w:pPr>
        <w:suppressAutoHyphens/>
      </w:pPr>
      <w:r w:rsidRPr="005F055E">
        <w:t>Vraag 417</w:t>
      </w:r>
    </w:p>
    <w:p w:rsidRPr="005F055E" w:rsidR="00506A68" w:rsidP="00180EEB" w:rsidRDefault="003E7003" w14:paraId="151E4F71" w14:textId="77777777">
      <w:pPr>
        <w:suppressAutoHyphens/>
      </w:pPr>
      <w:r w:rsidRPr="005F055E">
        <w:t>Kan nader worden gespecificeerd waar de bezuinigingen op subsidies en ZBO's landen?</w:t>
      </w:r>
    </w:p>
    <w:p w:rsidRPr="005F055E" w:rsidR="003E7003" w:rsidP="00180EEB" w:rsidRDefault="003E7003" w14:paraId="72E3E25C" w14:textId="13D608DA">
      <w:pPr>
        <w:suppressAutoHyphens/>
      </w:pPr>
      <w:r w:rsidRPr="005F055E">
        <w:t>Antwoord</w:t>
      </w:r>
    </w:p>
    <w:p w:rsidRPr="005F055E" w:rsidR="00E57EFE" w:rsidP="00180EEB" w:rsidRDefault="00E57EFE" w14:paraId="7A51931B" w14:textId="77777777">
      <w:pPr>
        <w:suppressAutoHyphens/>
        <w:rPr>
          <w:szCs w:val="18"/>
        </w:rPr>
      </w:pPr>
      <w:r w:rsidRPr="005F055E">
        <w:rPr>
          <w:szCs w:val="18"/>
        </w:rPr>
        <w:t xml:space="preserve">In de eerste suppletoire begroting 2025 van VWS, samenhangende met de Voorjaarsnota 2025, is toegelicht dat een deel van de </w:t>
      </w:r>
      <w:proofErr w:type="spellStart"/>
      <w:r w:rsidRPr="005F055E">
        <w:rPr>
          <w:szCs w:val="18"/>
        </w:rPr>
        <w:t>loonbĳstelling</w:t>
      </w:r>
      <w:proofErr w:type="spellEnd"/>
      <w:r w:rsidRPr="005F055E">
        <w:rPr>
          <w:szCs w:val="18"/>
        </w:rPr>
        <w:t xml:space="preserve"> wordt ingezet ter dekking van verschillende intensiveringen op de VWS-begroting, waaronder de inzet van </w:t>
      </w:r>
      <w:proofErr w:type="spellStart"/>
      <w:r w:rsidRPr="005F055E">
        <w:rPr>
          <w:szCs w:val="18"/>
        </w:rPr>
        <w:t>vrĳwilligers</w:t>
      </w:r>
      <w:proofErr w:type="spellEnd"/>
      <w:r w:rsidRPr="005F055E">
        <w:rPr>
          <w:szCs w:val="18"/>
        </w:rPr>
        <w:t xml:space="preserve"> in de palliatieve terminale zorg, de aanpassing van de regeling dienstverlening aan huis en het alternatief invullen van de aanvullende apparaatstaakstelling uit amendement Bontenbal c.s.. Vanaf de beleidsartikelen van VWS worden wel verschillende organisaties door VWS gesubsidieerd, waardoor deze korting wel gesubsidieerde organisaties raakt. Het niet of slechts gedeeltelijk corrigeren voor inflatie leidt tot relatief minder financiële ruimte bij gesubsidieerde instellingen, omdat de betrokken instellingen wel geconfronteerd worden met hogere lonen en prijzen. </w:t>
      </w:r>
    </w:p>
    <w:p w:rsidRPr="005F055E" w:rsidR="00E57EFE" w:rsidP="00180EEB" w:rsidRDefault="00E57EFE" w14:paraId="26855A83" w14:textId="76A300C1">
      <w:pPr>
        <w:suppressAutoHyphens/>
        <w:rPr>
          <w:szCs w:val="18"/>
        </w:rPr>
      </w:pPr>
      <w:r w:rsidRPr="005F055E">
        <w:rPr>
          <w:szCs w:val="18"/>
        </w:rPr>
        <w:t>Voor de ZBO’s</w:t>
      </w:r>
      <w:r w:rsidR="00913AA3">
        <w:rPr>
          <w:szCs w:val="18"/>
        </w:rPr>
        <w:t xml:space="preserve"> (zelfstandige bestuursorganen)</w:t>
      </w:r>
      <w:r w:rsidRPr="005F055E">
        <w:rPr>
          <w:szCs w:val="18"/>
        </w:rPr>
        <w:t xml:space="preserve"> geldt dat deze via de halfjaarlijkse </w:t>
      </w:r>
      <w:proofErr w:type="spellStart"/>
      <w:r w:rsidRPr="005F055E">
        <w:rPr>
          <w:szCs w:val="18"/>
        </w:rPr>
        <w:t>midtermreview</w:t>
      </w:r>
      <w:proofErr w:type="spellEnd"/>
      <w:r w:rsidRPr="005F055E">
        <w:rPr>
          <w:szCs w:val="18"/>
        </w:rPr>
        <w:t xml:space="preserve"> inzicht geven in de kosten voor het lopende jaar. Dat is ook het moment om te kijken of er voldoende budget voorhanden is.</w:t>
      </w:r>
      <w:r w:rsidRPr="005F055E">
        <w:t xml:space="preserve"> </w:t>
      </w:r>
      <w:r w:rsidRPr="005F055E">
        <w:rPr>
          <w:szCs w:val="18"/>
        </w:rPr>
        <w:t>Voor de APK taakstelling zijn opdrachtgevers en ZBO’s in gesprek over welke opdrachten en taken anders kunnen worden ingevuld om zo de taakstelling in te vullen.</w:t>
      </w:r>
    </w:p>
    <w:p w:rsidR="00506A68" w:rsidP="00180EEB" w:rsidRDefault="00506A68" w14:paraId="41496B21" w14:textId="59F6403B">
      <w:pPr>
        <w:suppressAutoHyphens/>
      </w:pPr>
    </w:p>
    <w:p w:rsidR="00180EEB" w:rsidP="00180EEB" w:rsidRDefault="00180EEB" w14:paraId="3976DF33" w14:textId="77777777">
      <w:pPr>
        <w:suppressAutoHyphens/>
      </w:pPr>
    </w:p>
    <w:p w:rsidR="00180EEB" w:rsidP="00180EEB" w:rsidRDefault="00180EEB" w14:paraId="3F1EBA79" w14:textId="77777777">
      <w:pPr>
        <w:suppressAutoHyphens/>
      </w:pPr>
    </w:p>
    <w:p w:rsidRPr="005F055E" w:rsidR="00506A68" w:rsidP="00180EEB" w:rsidRDefault="003E7003" w14:paraId="71EE464A" w14:textId="205D875D">
      <w:pPr>
        <w:suppressAutoHyphens/>
      </w:pPr>
      <w:r w:rsidRPr="005F055E">
        <w:t>Vraag 418</w:t>
      </w:r>
    </w:p>
    <w:p w:rsidRPr="005F055E" w:rsidR="00506A68" w:rsidP="00180EEB" w:rsidRDefault="003E7003" w14:paraId="49FD1CAF" w14:textId="77777777">
      <w:pPr>
        <w:suppressAutoHyphens/>
      </w:pPr>
      <w:r w:rsidRPr="005F055E">
        <w:t>Hoe reflecteert u op de vraag of een bedrag van €9,6 miljoen in 2026 voldoende is om antimicrobiële resistentie effectief terug te dringen, gezien de omvang van het probleem en de structurele inzet die nodig is?</w:t>
      </w:r>
    </w:p>
    <w:p w:rsidRPr="005F055E" w:rsidR="003E7003" w:rsidP="00180EEB" w:rsidRDefault="003E7003" w14:paraId="2B6FDFA8" w14:textId="1D6515AC">
      <w:pPr>
        <w:suppressAutoHyphens/>
      </w:pPr>
      <w:r w:rsidRPr="005F055E">
        <w:t>Antwoord</w:t>
      </w:r>
    </w:p>
    <w:p w:rsidRPr="005F055E" w:rsidR="008D2F23" w:rsidP="00180EEB" w:rsidRDefault="008D2F23" w14:paraId="15633004" w14:textId="2C995B97">
      <w:pPr>
        <w:suppressAutoHyphens/>
        <w:spacing w:line="240" w:lineRule="atLeast"/>
        <w:rPr>
          <w:szCs w:val="20"/>
          <w:lang w:eastAsia="nl-NL"/>
        </w:rPr>
      </w:pPr>
      <w:r w:rsidRPr="005F055E">
        <w:rPr>
          <w:szCs w:val="20"/>
          <w:lang w:eastAsia="nl-NL"/>
        </w:rPr>
        <w:t xml:space="preserve">De €9,6 miljoen in 2026 wordt gebruikt om een extra voorraad van 4 weken aan te leggen van essentiële antibiotica en salbutamol </w:t>
      </w:r>
      <w:proofErr w:type="spellStart"/>
      <w:r w:rsidRPr="005F055E">
        <w:rPr>
          <w:szCs w:val="20"/>
          <w:lang w:eastAsia="nl-NL"/>
        </w:rPr>
        <w:t>aerosolen</w:t>
      </w:r>
      <w:proofErr w:type="spellEnd"/>
      <w:r w:rsidRPr="005F055E">
        <w:rPr>
          <w:szCs w:val="20"/>
          <w:lang w:eastAsia="nl-NL"/>
        </w:rPr>
        <w:t xml:space="preserve">. Deze extra voorraad van essentiële antibiotica is niet primair bedoeld om antimicrobiële resistentie te voorkomen en/of terug te dringen, hoewel de minister van VWS het met de leden eens is dat dit op zichzelf een belangrijk doel is. Het aanleggen van de extra voorraad zorgt voor minder leveringsonderbrekingen en tekorten voor patiënten. Hierdoor kan zo vaak mogelijk het eerste keus middel ingezet worden bij een behandeling. Bij de behandeling van een infectie is de inzet van het eerste keus middel extra van belang, omdat dit resistentievorming tegengaat. Het voorschrijven van bijvoorbeeld een breedspectrum antibioticum in plaats van een smalspectrum middel zou kunnen leiden tot verhoogde resistentievorming. Een secundair beleidseffect van het aanleggen van extra voorraden van antibiotica is dan ook het tegengaan van resistentievorming. </w:t>
      </w:r>
    </w:p>
    <w:p w:rsidRPr="005F055E" w:rsidR="008D2F23" w:rsidP="00180EEB" w:rsidRDefault="008D2F23" w14:paraId="3F587438" w14:textId="125B7145">
      <w:pPr>
        <w:suppressAutoHyphens/>
        <w:spacing w:line="240" w:lineRule="atLeast"/>
        <w:rPr>
          <w:szCs w:val="20"/>
          <w:lang w:eastAsia="nl-NL"/>
        </w:rPr>
      </w:pPr>
      <w:r w:rsidRPr="005F055E">
        <w:rPr>
          <w:szCs w:val="20"/>
          <w:lang w:eastAsia="nl-NL"/>
        </w:rPr>
        <w:t>Dit geldt ook zo voor het 2-jarig experiment dat 1 augustus is gestart om antimicrobiële geneesmiddelen (zoals antibiotica) beter beschikbaar te maken. In dit experiment wordt deze groep geneesmiddelen uitgezonderd van de vergoedingslimieten die gelden in het geneesmiddelenvergoedingssysteem (GVS). Doordat deze prijsdruk vervalt, verwacht de minister van VWS dat antimicrobiële middelen beter beschikbaar zullen zijn. Ook zorgt het opheffen van de GVS-vergoedingslimieten voor deze groep geneesmiddelen ervoor dat patiënten die deze middelen nodig hebben, geen eigen bijdrage voor hun geneesmiddelen meer hoeven te betalen. Dat zorgt ervoor dat ze niet om financiële redenen hoeven te wisselen naar een niet-optimaal geneesmiddel voor hun situatie. Ook dit experiment heeft dus als secundair beleidseffect dat antimicrobiële resistentie wordt tegengegaan.</w:t>
      </w:r>
    </w:p>
    <w:p w:rsidRPr="005F055E" w:rsidR="008D2F23" w:rsidP="00180EEB" w:rsidRDefault="008D2F23" w14:paraId="3F6F4CE7" w14:textId="77777777">
      <w:pPr>
        <w:suppressAutoHyphens/>
        <w:spacing w:line="240" w:lineRule="atLeast"/>
        <w:rPr>
          <w:szCs w:val="20"/>
          <w:lang w:eastAsia="nl-NL"/>
        </w:rPr>
      </w:pPr>
      <w:r w:rsidRPr="005F055E">
        <w:rPr>
          <w:szCs w:val="20"/>
          <w:lang w:eastAsia="nl-NL"/>
        </w:rPr>
        <w:t>De minister van VWS doet daarnaast nog veel meer om antimicrobiële resistentie het hoofd te bieden. Zijn acties op dit terrein zijn samengevat in het ‘Nationaal Actieplan Antimicrobiële Resistentie 2024-2030’</w:t>
      </w:r>
      <w:r w:rsidRPr="005F055E">
        <w:rPr>
          <w:szCs w:val="20"/>
          <w:vertAlign w:val="superscript"/>
          <w:lang w:eastAsia="nl-NL"/>
        </w:rPr>
        <w:footnoteReference w:id="170"/>
      </w:r>
      <w:r w:rsidRPr="005F055E">
        <w:rPr>
          <w:szCs w:val="20"/>
          <w:lang w:eastAsia="nl-NL"/>
        </w:rPr>
        <w:t xml:space="preserve"> dat zijn voorganger samen met de voormalig minister van Landbouw, Natuur en Voedselkwaliteit in 2024 aan uw Kamer heeft gestuurd.</w:t>
      </w:r>
    </w:p>
    <w:p w:rsidRPr="005F055E" w:rsidR="00506A68" w:rsidP="00180EEB" w:rsidRDefault="00506A68" w14:paraId="1E53D983" w14:textId="77777777">
      <w:pPr>
        <w:suppressAutoHyphens/>
      </w:pPr>
    </w:p>
    <w:p w:rsidRPr="005F055E" w:rsidR="00506A68" w:rsidP="00180EEB" w:rsidRDefault="003E7003" w14:paraId="06DE9599" w14:textId="77777777">
      <w:pPr>
        <w:suppressAutoHyphens/>
      </w:pPr>
      <w:r w:rsidRPr="005F055E">
        <w:t>Vraag 419</w:t>
      </w:r>
    </w:p>
    <w:p w:rsidRPr="005F055E" w:rsidR="00506A68" w:rsidP="00180EEB" w:rsidRDefault="003E7003" w14:paraId="5ED6EE7C" w14:textId="77777777">
      <w:pPr>
        <w:suppressAutoHyphens/>
      </w:pPr>
      <w:r w:rsidRPr="005F055E">
        <w:t xml:space="preserve">Hoe is het bedrag van €24,6 miljoen, beschikbaar voor het verstrekken van subsidies ter bevordering van de kwaliteit, </w:t>
      </w:r>
      <w:proofErr w:type="spellStart"/>
      <w:r w:rsidRPr="005F055E">
        <w:t>toegankelĳkheid</w:t>
      </w:r>
      <w:proofErr w:type="spellEnd"/>
      <w:r w:rsidRPr="005F055E">
        <w:t xml:space="preserve"> en betaalbaarheid van de curatieve </w:t>
      </w:r>
      <w:proofErr w:type="spellStart"/>
      <w:r w:rsidRPr="005F055E">
        <w:t>geestelĳke</w:t>
      </w:r>
      <w:proofErr w:type="spellEnd"/>
      <w:r w:rsidRPr="005F055E">
        <w:t xml:space="preserve"> gezondheidszorg, samengesteld? Waarvoor zijn middelen gereserveerd?</w:t>
      </w:r>
    </w:p>
    <w:p w:rsidRPr="005F055E" w:rsidR="003E7003" w:rsidP="00180EEB" w:rsidRDefault="003E7003" w14:paraId="7DE3E9CC" w14:textId="266DD6D2">
      <w:pPr>
        <w:suppressAutoHyphens/>
      </w:pPr>
      <w:r w:rsidRPr="005F055E">
        <w:t>Antwoord</w:t>
      </w:r>
    </w:p>
    <w:p w:rsidRPr="005F055E" w:rsidR="00E57EFE" w:rsidP="00180EEB" w:rsidRDefault="00E57EFE" w14:paraId="17952B79" w14:textId="3160C797">
      <w:pPr>
        <w:suppressAutoHyphens/>
        <w:rPr>
          <w:szCs w:val="18"/>
        </w:rPr>
      </w:pPr>
      <w:r w:rsidRPr="005F055E">
        <w:rPr>
          <w:szCs w:val="18"/>
        </w:rPr>
        <w:t xml:space="preserve">De € 24,6 miljoen die door het ministerie van VWS beschikbaar is gesteld voor het verstrekken van subsidies ter bevordering van de kwaliteit, </w:t>
      </w:r>
      <w:proofErr w:type="spellStart"/>
      <w:r w:rsidRPr="005F055E">
        <w:rPr>
          <w:szCs w:val="18"/>
        </w:rPr>
        <w:t>toegankelĳkheid</w:t>
      </w:r>
      <w:proofErr w:type="spellEnd"/>
      <w:r w:rsidRPr="005F055E">
        <w:rPr>
          <w:szCs w:val="18"/>
        </w:rPr>
        <w:t xml:space="preserve"> en betaalbaarheid van de curatieve </w:t>
      </w:r>
      <w:proofErr w:type="spellStart"/>
      <w:r w:rsidRPr="005F055E">
        <w:rPr>
          <w:szCs w:val="18"/>
        </w:rPr>
        <w:t>geestelĳke</w:t>
      </w:r>
      <w:proofErr w:type="spellEnd"/>
      <w:r w:rsidRPr="005F055E">
        <w:rPr>
          <w:szCs w:val="18"/>
        </w:rPr>
        <w:t xml:space="preserve"> gezondheidszorg bestaat uit de volgende posten.</w:t>
      </w:r>
    </w:p>
    <w:p w:rsidRPr="005F055E" w:rsidR="00E57EFE" w:rsidP="00180EEB" w:rsidRDefault="00E57EFE" w14:paraId="460E327E" w14:textId="6F366965">
      <w:pPr>
        <w:suppressAutoHyphens/>
        <w:rPr>
          <w:szCs w:val="18"/>
        </w:rPr>
      </w:pPr>
      <w:r w:rsidRPr="005F055E">
        <w:rPr>
          <w:szCs w:val="18"/>
        </w:rPr>
        <w:t>Zoals vermeld in de begroting van het ministerie van VWS voor 2026, is voor het ondersteunen van de afronding van de implementatie en de uitvoering van de Wet verplichte geestelijke gezondheidszorg (</w:t>
      </w:r>
      <w:proofErr w:type="spellStart"/>
      <w:r w:rsidRPr="005F055E">
        <w:rPr>
          <w:szCs w:val="18"/>
        </w:rPr>
        <w:t>Wv</w:t>
      </w:r>
      <w:r w:rsidR="00D55762">
        <w:rPr>
          <w:szCs w:val="18"/>
        </w:rPr>
        <w:t>GGZ</w:t>
      </w:r>
      <w:proofErr w:type="spellEnd"/>
      <w:r w:rsidRPr="005F055E">
        <w:rPr>
          <w:szCs w:val="18"/>
        </w:rPr>
        <w:t xml:space="preserve">) in 2026 € 11,8 miljoen beschikbaar. Een groot deel van deze middelen is gereserveerd voor de instellingssubsidies voor vertrouwenspersonen. Dit zorgt voor borging van vertrouwenswerk in de </w:t>
      </w:r>
      <w:r w:rsidR="00D55762">
        <w:rPr>
          <w:szCs w:val="18"/>
        </w:rPr>
        <w:t>GGZ</w:t>
      </w:r>
      <w:r w:rsidRPr="005F055E">
        <w:rPr>
          <w:szCs w:val="18"/>
        </w:rPr>
        <w:t xml:space="preserve"> conform de </w:t>
      </w:r>
      <w:proofErr w:type="spellStart"/>
      <w:r w:rsidRPr="005F055E">
        <w:rPr>
          <w:szCs w:val="18"/>
        </w:rPr>
        <w:t>Wv</w:t>
      </w:r>
      <w:r w:rsidR="00D55762">
        <w:rPr>
          <w:szCs w:val="18"/>
        </w:rPr>
        <w:t>GGZ</w:t>
      </w:r>
      <w:proofErr w:type="spellEnd"/>
      <w:r w:rsidRPr="005F055E">
        <w:rPr>
          <w:szCs w:val="18"/>
        </w:rPr>
        <w:t>.</w:t>
      </w:r>
    </w:p>
    <w:p w:rsidRPr="005F055E" w:rsidR="00E57EFE" w:rsidP="00180EEB" w:rsidRDefault="00E57EFE" w14:paraId="748B1491" w14:textId="3A27940E">
      <w:pPr>
        <w:suppressAutoHyphens/>
        <w:rPr>
          <w:szCs w:val="18"/>
        </w:rPr>
      </w:pPr>
      <w:r w:rsidRPr="005F055E">
        <w:rPr>
          <w:szCs w:val="18"/>
        </w:rPr>
        <w:t xml:space="preserve">Verder is voor de aanpak van personen met verward gedrag in 2026 in totaal € 5,7 miljoen beschikbaar. Hieronder valt onder andere de bijdrage aan de aanpak van problematiek van mensen die het meest kwetsbaar zijn binnen de groep van verwarde personen, genaamd de levensloopaanpak. Daarnaast wordt er vanuit de curatieve </w:t>
      </w:r>
      <w:r w:rsidR="00D55762">
        <w:rPr>
          <w:szCs w:val="18"/>
        </w:rPr>
        <w:t>GGZ</w:t>
      </w:r>
      <w:r w:rsidRPr="005F055E">
        <w:rPr>
          <w:szCs w:val="18"/>
        </w:rPr>
        <w:t xml:space="preserve"> middelen beschikbaar gesteld voor complexe casuïstiek binnen het dossier van verwarde personen.</w:t>
      </w:r>
    </w:p>
    <w:p w:rsidRPr="005F055E" w:rsidR="00E57EFE" w:rsidP="00180EEB" w:rsidRDefault="00E57EFE" w14:paraId="39700EB6" w14:textId="609D04B7">
      <w:pPr>
        <w:suppressAutoHyphens/>
        <w:rPr>
          <w:szCs w:val="18"/>
        </w:rPr>
      </w:pPr>
      <w:r w:rsidRPr="005F055E">
        <w:rPr>
          <w:szCs w:val="18"/>
        </w:rPr>
        <w:t xml:space="preserve">Daarnaast zijn middelen gereserveerd voor projecten. Voor Nemesis 3 is € 1,3 miljoen beschikbaar. Dit is de derde uitvoering van een meerjarige studie gericht op het verkrijgen van actuele informatie over de prevalentie, incidentie en het beloop van psychische aandoeningen van personen tussen 18-75 jaar en om aan te tonen wat investeren in de psychische gezondheid oplevert voor de maatschappij. Ten behoeve van de afspraken die zijn gemaakt in het IZA ter versterking van de samenwerking tussen het sociaal domein, de huisartsen en de </w:t>
      </w:r>
      <w:r w:rsidR="00D55762">
        <w:rPr>
          <w:szCs w:val="18"/>
        </w:rPr>
        <w:t>GGZ</w:t>
      </w:r>
      <w:r w:rsidRPr="005F055E">
        <w:rPr>
          <w:szCs w:val="18"/>
        </w:rPr>
        <w:t xml:space="preserve"> is een bedrag van € 1,2 miljoen gereserveerd. Ook is er € 1 miljoen beschikbaar voor een project in het kader van de re-integratiemethode Individuele Plaatsing en Steun, </w:t>
      </w:r>
      <w:proofErr w:type="spellStart"/>
      <w:r w:rsidRPr="005F055E">
        <w:rPr>
          <w:szCs w:val="18"/>
        </w:rPr>
        <w:t>waarbĳ</w:t>
      </w:r>
      <w:proofErr w:type="spellEnd"/>
      <w:r w:rsidRPr="005F055E">
        <w:rPr>
          <w:szCs w:val="18"/>
        </w:rPr>
        <w:t xml:space="preserve"> mensen met ernstige psychische aandoeningen, en ook mensen met mildere psychische aandoeningen, begeleid worden </w:t>
      </w:r>
      <w:proofErr w:type="spellStart"/>
      <w:r w:rsidRPr="005F055E">
        <w:rPr>
          <w:szCs w:val="18"/>
        </w:rPr>
        <w:t>bĳ</w:t>
      </w:r>
      <w:proofErr w:type="spellEnd"/>
      <w:r w:rsidRPr="005F055E">
        <w:rPr>
          <w:szCs w:val="18"/>
        </w:rPr>
        <w:t xml:space="preserve"> het </w:t>
      </w:r>
      <w:proofErr w:type="spellStart"/>
      <w:r w:rsidRPr="005F055E">
        <w:rPr>
          <w:szCs w:val="18"/>
        </w:rPr>
        <w:t>verkrĳgen</w:t>
      </w:r>
      <w:proofErr w:type="spellEnd"/>
      <w:r w:rsidRPr="005F055E">
        <w:rPr>
          <w:szCs w:val="18"/>
        </w:rPr>
        <w:t xml:space="preserve"> en behouden van betaald werk.</w:t>
      </w:r>
    </w:p>
    <w:p w:rsidRPr="005F055E" w:rsidR="00E57EFE" w:rsidP="00180EEB" w:rsidRDefault="00E57EFE" w14:paraId="2FF5491A" w14:textId="6683B66D">
      <w:pPr>
        <w:suppressAutoHyphens/>
        <w:rPr>
          <w:szCs w:val="18"/>
        </w:rPr>
      </w:pPr>
      <w:r w:rsidRPr="005F055E">
        <w:rPr>
          <w:szCs w:val="18"/>
        </w:rPr>
        <w:t xml:space="preserve">De overige middelen zijn gereserveerd voor onder andere het in beeld brengen van de vraag en aanbod naar </w:t>
      </w:r>
      <w:r w:rsidR="00D55762">
        <w:rPr>
          <w:szCs w:val="18"/>
        </w:rPr>
        <w:t>GGZ</w:t>
      </w:r>
      <w:r w:rsidRPr="005F055E">
        <w:rPr>
          <w:szCs w:val="18"/>
        </w:rPr>
        <w:t xml:space="preserve"> op regionaal en landelijk niveau, sturing op wachttijden in de </w:t>
      </w:r>
      <w:r w:rsidR="00D55762">
        <w:rPr>
          <w:szCs w:val="18"/>
        </w:rPr>
        <w:t>GGZ</w:t>
      </w:r>
      <w:r w:rsidRPr="005F055E">
        <w:rPr>
          <w:szCs w:val="18"/>
        </w:rPr>
        <w:t xml:space="preserve"> en borging van het aanbod van complexe </w:t>
      </w:r>
      <w:r w:rsidR="00D55762">
        <w:rPr>
          <w:szCs w:val="18"/>
        </w:rPr>
        <w:t>GGZ</w:t>
      </w:r>
      <w:r w:rsidRPr="005F055E">
        <w:rPr>
          <w:szCs w:val="18"/>
        </w:rPr>
        <w:t>.</w:t>
      </w:r>
    </w:p>
    <w:p w:rsidRPr="005F055E" w:rsidR="00A653C6" w:rsidP="00180EEB" w:rsidRDefault="00A653C6" w14:paraId="1BF085B0" w14:textId="77777777">
      <w:pPr>
        <w:suppressAutoHyphens/>
      </w:pPr>
    </w:p>
    <w:p w:rsidRPr="005F055E" w:rsidR="00A653C6" w:rsidP="00180EEB" w:rsidRDefault="003E7003" w14:paraId="36F0E762" w14:textId="77777777">
      <w:pPr>
        <w:suppressAutoHyphens/>
      </w:pPr>
      <w:r w:rsidRPr="005F055E">
        <w:t>Vraag 420</w:t>
      </w:r>
    </w:p>
    <w:p w:rsidRPr="005F055E" w:rsidR="00A653C6" w:rsidP="00180EEB" w:rsidRDefault="003E7003" w14:paraId="5DA12D33" w14:textId="77777777">
      <w:pPr>
        <w:suppressAutoHyphens/>
      </w:pPr>
      <w:r w:rsidRPr="005F055E">
        <w:t>Waarom worden er geen extra middelen voor een interdepartementale aanpak personen onbegrepen gedrag (waarbij het ministerie van BZK regiehouder is) vrijgemaakt, gezien op de begrotingen van BZK, J&amp;V en VRO ook geen budget wordt vrijgemaakt om deze aanpak uit te rollen? Hoe zal met deze aanpak aan de slag worden gegaan zonder middelen?</w:t>
      </w:r>
    </w:p>
    <w:p w:rsidRPr="005F055E" w:rsidR="003E7003" w:rsidP="00180EEB" w:rsidRDefault="003E7003" w14:paraId="2B8D3909" w14:textId="0B4FEED3">
      <w:pPr>
        <w:suppressAutoHyphens/>
      </w:pPr>
      <w:r w:rsidRPr="005F055E">
        <w:t>Antwoord</w:t>
      </w:r>
    </w:p>
    <w:p w:rsidRPr="005F055E" w:rsidR="00E57EFE" w:rsidP="00180EEB" w:rsidRDefault="00E57EFE" w14:paraId="1CE5AC73" w14:textId="158A1DAA">
      <w:pPr>
        <w:suppressAutoHyphens/>
      </w:pPr>
      <w:r w:rsidRPr="005F055E">
        <w:t>De interdepartementale aanpak personen onbegrepen gedrag waarvan het ministerie van BZK regiehouder is, heeft geen extra middelen omdat de departementen die deel uitmaken van deze aanpak zelf verantwoordelijk zijn voor het beleid en de middelen die hiervoor worden ingezet.</w:t>
      </w:r>
    </w:p>
    <w:p w:rsidRPr="005F055E" w:rsidR="00E57EFE" w:rsidP="00180EEB" w:rsidRDefault="00E57EFE" w14:paraId="32158721" w14:textId="77777777">
      <w:pPr>
        <w:suppressAutoHyphens/>
      </w:pPr>
      <w:r w:rsidRPr="005F055E">
        <w:t>Zo is bij brief van 28 maart jl. de Kamer</w:t>
      </w:r>
      <w:r w:rsidRPr="005F055E">
        <w:rPr>
          <w:rStyle w:val="Voetnootmarkering"/>
        </w:rPr>
        <w:footnoteReference w:id="171"/>
      </w:r>
      <w:r w:rsidRPr="005F055E">
        <w:t xml:space="preserve"> inzicht gegeven over de financieringsstromen met betrekking tot de aanpak van personen met verward en/of onbegrepen gedrag. Deze hebben betrekking op de middelen die het ministerie van Volksgezondheid, Welzijn en Sport als het ministerie van Justitie en Veiligheid hiervoor hebben ingezet en de komende tijd zullen blijven inzetten. </w:t>
      </w:r>
    </w:p>
    <w:p w:rsidRPr="005F055E" w:rsidR="00A653C6" w:rsidP="00180EEB" w:rsidRDefault="00A653C6" w14:paraId="02BE8376" w14:textId="77777777">
      <w:pPr>
        <w:suppressAutoHyphens/>
      </w:pPr>
    </w:p>
    <w:p w:rsidRPr="005F055E" w:rsidR="00A653C6" w:rsidP="00180EEB" w:rsidRDefault="003E7003" w14:paraId="3D5B43BF" w14:textId="77777777">
      <w:pPr>
        <w:suppressAutoHyphens/>
      </w:pPr>
      <w:r w:rsidRPr="005F055E">
        <w:t>Vraag 421</w:t>
      </w:r>
    </w:p>
    <w:p w:rsidRPr="005F055E" w:rsidR="00A653C6" w:rsidP="00180EEB" w:rsidRDefault="003E7003" w14:paraId="2C8E4EF2" w14:textId="77777777">
      <w:pPr>
        <w:suppressAutoHyphens/>
      </w:pPr>
      <w:r w:rsidRPr="005F055E">
        <w:t>Waar wordt de €5,7 miljoen, vrijgemaakt voor de aanpak verward gedrag, precies aan besteed? Is een deel van dit bedrag bedoeld voor de interdepartementale aanpak personen met onbegrepen gedrag?</w:t>
      </w:r>
      <w:r w:rsidRPr="005F055E">
        <w:tab/>
      </w:r>
    </w:p>
    <w:p w:rsidRPr="005F055E" w:rsidR="00E57EFE" w:rsidP="00180EEB" w:rsidRDefault="003E7003" w14:paraId="301F6020" w14:textId="69977BB8">
      <w:pPr>
        <w:suppressAutoHyphens/>
      </w:pPr>
      <w:r w:rsidRPr="005F055E">
        <w:t>Antwoord</w:t>
      </w:r>
    </w:p>
    <w:p w:rsidRPr="005F055E" w:rsidR="00E57EFE" w:rsidP="00180EEB" w:rsidRDefault="00E57EFE" w14:paraId="1F9C6E05" w14:textId="2AD93373">
      <w:pPr>
        <w:suppressAutoHyphens/>
      </w:pPr>
      <w:r w:rsidRPr="005F055E">
        <w:t xml:space="preserve">Het ministerie van VWS stelt € 5,7 miljoen beschikbaar voor het verstrekken van subsidies voor de aanpak van personen met verward en/of onbegrepen gedrag als onderdeel van het budget van de curatieve geestelijke gezondheidszorg. Deze middelen bestaan onder andere uit de coördinatiekosten van de levensloopaanpak en een bijdrage aan het ministerie van </w:t>
      </w:r>
      <w:proofErr w:type="spellStart"/>
      <w:r w:rsidRPr="005F055E">
        <w:t>JenV</w:t>
      </w:r>
      <w:proofErr w:type="spellEnd"/>
      <w:r w:rsidRPr="005F055E">
        <w:t xml:space="preserve"> voor doeleinden ter bevordering van de aanpak van personen met verward en/of onbegrepen gedrag. Hieronder vallen bijvoorbeeld het landelijk bureau van Zorg- en Veiligheidshuizen en het coördinatiepunt van beveiligde bedden.</w:t>
      </w:r>
    </w:p>
    <w:p w:rsidRPr="005F055E" w:rsidR="00E57EFE" w:rsidP="00180EEB" w:rsidRDefault="00E57EFE" w14:paraId="4F357701" w14:textId="74824C7B">
      <w:pPr>
        <w:suppressAutoHyphens/>
      </w:pPr>
      <w:r w:rsidRPr="005F055E">
        <w:t>Voor de interdepartementale aanpak zelf zijn geen extra middelen vrijgemaakt, maar zetten de departementen bestaande middelen in voor de maatregelen waarvoor zij beleidsmatig verantwoordelijk zijn. Dat geldt ook voor deze € 5,7 miljoen.</w:t>
      </w:r>
      <w:r w:rsidRPr="005F055E" w:rsidR="00D73F76">
        <w:t xml:space="preserve"> </w:t>
      </w:r>
    </w:p>
    <w:p w:rsidRPr="005F055E" w:rsidR="00A653C6" w:rsidP="00180EEB" w:rsidRDefault="003E7003" w14:paraId="71F9E431" w14:textId="77777777">
      <w:pPr>
        <w:suppressAutoHyphens/>
      </w:pPr>
      <w:r w:rsidRPr="005F055E">
        <w:t>Vraag 422</w:t>
      </w:r>
    </w:p>
    <w:p w:rsidRPr="005F055E" w:rsidR="00A653C6" w:rsidP="00180EEB" w:rsidRDefault="003E7003" w14:paraId="4FB79164" w14:textId="77777777">
      <w:pPr>
        <w:suppressAutoHyphens/>
      </w:pPr>
      <w:r w:rsidRPr="005F055E">
        <w:t xml:space="preserve">Zijn er middelen gereserveerd om passende woonzorg plekken te realiseren voor mensen met onbegrepen gedrag die nu vaak op straat verblijven of in de daklozenopvang? Zijn er middelen geserveerd voor het Actieplan Passende zorg voor dakloze mensen met een </w:t>
      </w:r>
      <w:proofErr w:type="spellStart"/>
      <w:r w:rsidRPr="005F055E">
        <w:t>Wlz</w:t>
      </w:r>
      <w:proofErr w:type="spellEnd"/>
      <w:r w:rsidRPr="005F055E">
        <w:t>-indicatie op de VWS begroting of op een andere begroting?</w:t>
      </w:r>
    </w:p>
    <w:p w:rsidRPr="005F055E" w:rsidR="003E7003" w:rsidP="00180EEB" w:rsidRDefault="003E7003" w14:paraId="06944DEB" w14:textId="08A226CF">
      <w:pPr>
        <w:suppressAutoHyphens/>
      </w:pPr>
      <w:r w:rsidRPr="005F055E">
        <w:t>Antwoord</w:t>
      </w:r>
    </w:p>
    <w:p w:rsidRPr="005F055E" w:rsidR="008D2F23" w:rsidP="00180EEB" w:rsidRDefault="008D2F23" w14:paraId="0CB521D7" w14:textId="70AC5F4A">
      <w:pPr>
        <w:suppressAutoHyphens/>
        <w:spacing w:line="240" w:lineRule="atLeast"/>
        <w:rPr>
          <w:szCs w:val="18"/>
          <w:lang w:eastAsia="nl-NL"/>
        </w:rPr>
      </w:pPr>
      <w:r w:rsidRPr="005F055E">
        <w:rPr>
          <w:szCs w:val="18"/>
          <w:lang w:eastAsia="nl-NL"/>
        </w:rPr>
        <w:t xml:space="preserve">Het ministerie van VWS stelt jaarlijks middelen beschikbaar aan gemeenten voor beschermd wonen en maatschappelijke opvang op grond van de Wet maatschappelijke ondersteuning 2015 en aan zorgkantoren voor mensen met een indicatie voor de Wet langdurige zorg. Gemeenten en zorgkantoren kunnen hiermee ondersteuning en zorg inkopen bij aanbieders die woonzorg leveren aan mensen met een langdurige psychische aandoening, waaronder mensen met onbegrepen gedrag. </w:t>
      </w:r>
    </w:p>
    <w:p w:rsidRPr="005F055E" w:rsidR="008D2F23" w:rsidP="00180EEB" w:rsidRDefault="008D2F23" w14:paraId="77607401" w14:textId="691671B4">
      <w:pPr>
        <w:suppressAutoHyphens/>
        <w:spacing w:line="240" w:lineRule="atLeast"/>
        <w:rPr>
          <w:szCs w:val="18"/>
          <w:lang w:eastAsia="nl-NL"/>
        </w:rPr>
      </w:pPr>
      <w:r w:rsidRPr="005F055E">
        <w:rPr>
          <w:szCs w:val="18"/>
          <w:lang w:eastAsia="nl-NL"/>
        </w:rPr>
        <w:t xml:space="preserve">Het ministerie van Volkshuisvesting en Ruimtelijke Ordening heeft in 2025 via de Regeling Huisvesting </w:t>
      </w:r>
      <w:proofErr w:type="spellStart"/>
      <w:r w:rsidRPr="005F055E">
        <w:rPr>
          <w:szCs w:val="18"/>
          <w:lang w:eastAsia="nl-NL"/>
        </w:rPr>
        <w:t>aandacht</w:t>
      </w:r>
      <w:r w:rsidRPr="005F055E" w:rsidR="00912F4A">
        <w:rPr>
          <w:szCs w:val="18"/>
          <w:lang w:eastAsia="nl-NL"/>
        </w:rPr>
        <w:t>s</w:t>
      </w:r>
      <w:r w:rsidRPr="005F055E">
        <w:rPr>
          <w:szCs w:val="18"/>
          <w:lang w:eastAsia="nl-NL"/>
        </w:rPr>
        <w:t>groepen</w:t>
      </w:r>
      <w:proofErr w:type="spellEnd"/>
      <w:r w:rsidRPr="005F055E">
        <w:rPr>
          <w:szCs w:val="18"/>
          <w:lang w:eastAsia="nl-NL"/>
        </w:rPr>
        <w:t xml:space="preserve"> middelen beschikbaar gesteld voor gemeenten die woonruimte willen financieren voor </w:t>
      </w:r>
      <w:proofErr w:type="spellStart"/>
      <w:r w:rsidRPr="005F055E">
        <w:rPr>
          <w:szCs w:val="18"/>
          <w:lang w:eastAsia="nl-NL"/>
        </w:rPr>
        <w:t>aandachtsgroepen</w:t>
      </w:r>
      <w:proofErr w:type="spellEnd"/>
      <w:r w:rsidRPr="005F055E">
        <w:rPr>
          <w:szCs w:val="18"/>
          <w:lang w:eastAsia="nl-NL"/>
        </w:rPr>
        <w:t xml:space="preserve">, zoals dakloze mensen of mensen die uitstromen uit een zorginstelling. </w:t>
      </w:r>
    </w:p>
    <w:p w:rsidRPr="005F055E" w:rsidR="008D2F23" w:rsidP="00180EEB" w:rsidRDefault="008D2F23" w14:paraId="4A4F501C" w14:textId="77777777">
      <w:pPr>
        <w:suppressAutoHyphens/>
        <w:spacing w:line="240" w:lineRule="atLeast"/>
        <w:rPr>
          <w:szCs w:val="18"/>
          <w:lang w:eastAsia="nl-NL"/>
        </w:rPr>
      </w:pPr>
      <w:r w:rsidRPr="005F055E">
        <w:rPr>
          <w:szCs w:val="18"/>
          <w:lang w:eastAsia="nl-NL"/>
        </w:rPr>
        <w:t>Specifiek voor het Actieplan passende langdurige zorg voor dakloze mensen zijn geen additionele middelen gereserveerd op de VWS begroting.</w:t>
      </w:r>
    </w:p>
    <w:p w:rsidRPr="005F055E" w:rsidR="00A653C6" w:rsidP="00180EEB" w:rsidRDefault="00A653C6" w14:paraId="60C32A12" w14:textId="77777777">
      <w:pPr>
        <w:suppressAutoHyphens/>
      </w:pPr>
    </w:p>
    <w:p w:rsidRPr="005F055E" w:rsidR="00A653C6" w:rsidP="00180EEB" w:rsidRDefault="003E7003" w14:paraId="58E00EC9" w14:textId="77777777">
      <w:pPr>
        <w:suppressAutoHyphens/>
      </w:pPr>
      <w:r w:rsidRPr="005F055E">
        <w:t>Vraag 423</w:t>
      </w:r>
    </w:p>
    <w:p w:rsidRPr="005F055E" w:rsidR="00A653C6" w:rsidP="00180EEB" w:rsidRDefault="003E7003" w14:paraId="4B21CC50" w14:textId="6B7AD513">
      <w:pPr>
        <w:suppressAutoHyphens/>
      </w:pPr>
      <w:r w:rsidRPr="005F055E">
        <w:t xml:space="preserve">Hoeveel mensen staan momenteel op de wachtlijst voor de </w:t>
      </w:r>
      <w:r w:rsidR="00D55762">
        <w:t>GGZ</w:t>
      </w:r>
      <w:r w:rsidRPr="005F055E">
        <w:t>?</w:t>
      </w:r>
    </w:p>
    <w:p w:rsidRPr="005F055E" w:rsidR="003E7003" w:rsidP="00180EEB" w:rsidRDefault="003E7003" w14:paraId="027DD89D" w14:textId="7FCF3499">
      <w:pPr>
        <w:suppressAutoHyphens/>
      </w:pPr>
      <w:r w:rsidRPr="005F055E">
        <w:t>Antwoord</w:t>
      </w:r>
    </w:p>
    <w:p w:rsidRPr="005F055E" w:rsidR="00E57EFE" w:rsidP="00180EEB" w:rsidRDefault="00E57EFE" w14:paraId="362656D7" w14:textId="15F258F6">
      <w:pPr>
        <w:suppressAutoHyphens/>
        <w:rPr>
          <w:szCs w:val="18"/>
        </w:rPr>
      </w:pPr>
      <w:r w:rsidRPr="005F055E">
        <w:rPr>
          <w:szCs w:val="18"/>
        </w:rPr>
        <w:t xml:space="preserve">Volgens de laatste cijfers die de </w:t>
      </w:r>
      <w:proofErr w:type="spellStart"/>
      <w:r w:rsidRPr="005F055E">
        <w:rPr>
          <w:szCs w:val="18"/>
        </w:rPr>
        <w:t>NZa</w:t>
      </w:r>
      <w:proofErr w:type="spellEnd"/>
      <w:r w:rsidRPr="005F055E">
        <w:rPr>
          <w:szCs w:val="18"/>
        </w:rPr>
        <w:t xml:space="preserve"> heeft gepubliceerd waren er 1 oktober 2024 108.878 wacht</w:t>
      </w:r>
      <w:r w:rsidRPr="005F055E">
        <w:rPr>
          <w:szCs w:val="18"/>
          <w:u w:val="single"/>
        </w:rPr>
        <w:t>plekken</w:t>
      </w:r>
      <w:r w:rsidRPr="005F055E">
        <w:rPr>
          <w:szCs w:val="18"/>
        </w:rPr>
        <w:t xml:space="preserve"> (Informatiekaart Wachttijden en wachtplekken </w:t>
      </w:r>
      <w:r w:rsidR="00D55762">
        <w:rPr>
          <w:szCs w:val="18"/>
        </w:rPr>
        <w:t>GGZ</w:t>
      </w:r>
      <w:r w:rsidRPr="005F055E">
        <w:rPr>
          <w:szCs w:val="18"/>
        </w:rPr>
        <w:t xml:space="preserve"> – oktober 2024 – Nederlandse Zorgautoriteit). Hierbij gaat het om 62.598 wachtplekken buiten de treeknorm. Omdat mensen op meerdere wachtlijsten kunnen staan, is het aantal wachtplekken niet gelijk aan het aantal unieke personen dat wacht op </w:t>
      </w:r>
      <w:r w:rsidR="00D55762">
        <w:rPr>
          <w:szCs w:val="18"/>
        </w:rPr>
        <w:t>GGZ</w:t>
      </w:r>
      <w:r w:rsidRPr="005F055E">
        <w:rPr>
          <w:szCs w:val="18"/>
        </w:rPr>
        <w:t xml:space="preserve">. Dit jaar publiceert de </w:t>
      </w:r>
      <w:proofErr w:type="spellStart"/>
      <w:r w:rsidRPr="005F055E">
        <w:rPr>
          <w:szCs w:val="18"/>
        </w:rPr>
        <w:t>NZa</w:t>
      </w:r>
      <w:proofErr w:type="spellEnd"/>
      <w:r w:rsidRPr="005F055E">
        <w:rPr>
          <w:szCs w:val="18"/>
        </w:rPr>
        <w:t xml:space="preserve"> een openbaar dashboard dat actuele </w:t>
      </w:r>
      <w:r w:rsidR="00D55762">
        <w:rPr>
          <w:szCs w:val="18"/>
        </w:rPr>
        <w:t>GGZ</w:t>
      </w:r>
      <w:r w:rsidRPr="005F055E">
        <w:rPr>
          <w:szCs w:val="18"/>
        </w:rPr>
        <w:t>-wachttijdgegevens op één plek samenbrengt</w:t>
      </w:r>
      <w:r w:rsidRPr="005F055E">
        <w:t>. D</w:t>
      </w:r>
      <w:r w:rsidRPr="005F055E">
        <w:rPr>
          <w:szCs w:val="18"/>
        </w:rPr>
        <w:t>it dashboard gaat voorzien in een frequent, completer en actueler inzicht in wachttijden en instroomaantallen dan de huidige informatiekaarten. Wachtplekken worden hierin niet meer geregistreerd en gepubliceerd.</w:t>
      </w:r>
    </w:p>
    <w:p w:rsidRPr="005F055E" w:rsidR="00A653C6" w:rsidP="00180EEB" w:rsidRDefault="00A653C6" w14:paraId="4B2C366A" w14:textId="77777777">
      <w:pPr>
        <w:suppressAutoHyphens/>
      </w:pPr>
    </w:p>
    <w:p w:rsidRPr="005F055E" w:rsidR="00A653C6" w:rsidP="00180EEB" w:rsidRDefault="003E7003" w14:paraId="497162A7" w14:textId="77777777">
      <w:pPr>
        <w:suppressAutoHyphens/>
      </w:pPr>
      <w:r w:rsidRPr="005F055E">
        <w:t>Vraag 424</w:t>
      </w:r>
    </w:p>
    <w:p w:rsidRPr="005F055E" w:rsidR="00A653C6" w:rsidP="00180EEB" w:rsidRDefault="003E7003" w14:paraId="20D41E71" w14:textId="01294EB3">
      <w:pPr>
        <w:suppressAutoHyphens/>
      </w:pPr>
      <w:r w:rsidRPr="005F055E">
        <w:t>Welke definitie voor kritieke geneesmiddelen wordt gehanteerd en welke</w:t>
      </w:r>
      <w:r w:rsidRPr="005F055E" w:rsidR="00D73F76">
        <w:t xml:space="preserve"> </w:t>
      </w:r>
      <w:r w:rsidRPr="005F055E">
        <w:t>middelen vallen daaronder?</w:t>
      </w:r>
    </w:p>
    <w:p w:rsidRPr="005F055E" w:rsidR="003E7003" w:rsidP="00180EEB" w:rsidRDefault="003E7003" w14:paraId="30EBA0E7" w14:textId="17A49AD2">
      <w:pPr>
        <w:suppressAutoHyphens/>
      </w:pPr>
      <w:r w:rsidRPr="005F055E">
        <w:t>Antwoord</w:t>
      </w:r>
    </w:p>
    <w:p w:rsidRPr="005F055E" w:rsidR="008D2F23" w:rsidP="00180EEB" w:rsidRDefault="008D2F23" w14:paraId="3166AEC5" w14:textId="77777777">
      <w:pPr>
        <w:suppressAutoHyphens/>
        <w:spacing w:line="240" w:lineRule="atLeast"/>
        <w:rPr>
          <w:szCs w:val="20"/>
          <w:lang w:eastAsia="nl-NL"/>
        </w:rPr>
      </w:pPr>
      <w:r w:rsidRPr="005F055E">
        <w:rPr>
          <w:szCs w:val="20"/>
          <w:lang w:eastAsia="nl-NL"/>
        </w:rPr>
        <w:t>De term kritieke geneesmiddelen verwijst naar de Nederlandse lijst kritieke geneesmiddelen 2025 die opgesteld is door het Landelijke Coördinatiecentrum Geneesmiddelen, samen met zorgverleners.</w:t>
      </w:r>
      <w:r w:rsidRPr="005F055E">
        <w:rPr>
          <w:szCs w:val="20"/>
          <w:vertAlign w:val="superscript"/>
          <w:lang w:eastAsia="nl-NL"/>
        </w:rPr>
        <w:footnoteReference w:id="172"/>
      </w:r>
      <w:r w:rsidRPr="005F055E">
        <w:rPr>
          <w:szCs w:val="20"/>
          <w:lang w:eastAsia="nl-NL"/>
        </w:rPr>
        <w:t xml:space="preserve"> "Kritiek" wordt in deze context gedefinieerd op basis van de termijn waarop patiënten ernstige gezondheidsschade ondervinden als een geneesmiddel niet beschikbaar is. Hiervoor worden drie categorieën gehanteerd:</w:t>
      </w:r>
    </w:p>
    <w:p w:rsidRPr="005F055E" w:rsidR="008D2F23" w:rsidP="00180EEB" w:rsidRDefault="008D2F23" w14:paraId="4B4B999A" w14:textId="77777777">
      <w:pPr>
        <w:suppressAutoHyphens/>
        <w:spacing w:line="240" w:lineRule="atLeast"/>
        <w:rPr>
          <w:szCs w:val="20"/>
          <w:lang w:eastAsia="nl-NL"/>
        </w:rPr>
      </w:pPr>
    </w:p>
    <w:p w:rsidRPr="005F055E" w:rsidR="008D2F23" w:rsidP="00180EEB" w:rsidRDefault="008D2F23" w14:paraId="2E508136" w14:textId="77777777">
      <w:pPr>
        <w:numPr>
          <w:ilvl w:val="0"/>
          <w:numId w:val="9"/>
        </w:numPr>
        <w:suppressAutoHyphens/>
        <w:spacing w:after="0" w:line="240" w:lineRule="auto"/>
        <w:rPr>
          <w:szCs w:val="20"/>
          <w:lang w:eastAsia="nl-NL"/>
        </w:rPr>
      </w:pPr>
      <w:r w:rsidRPr="005F055E">
        <w:rPr>
          <w:b/>
          <w:bCs/>
          <w:szCs w:val="20"/>
          <w:lang w:eastAsia="nl-NL"/>
        </w:rPr>
        <w:t>Rood</w:t>
      </w:r>
      <w:r w:rsidRPr="005F055E">
        <w:rPr>
          <w:szCs w:val="20"/>
          <w:lang w:eastAsia="nl-NL"/>
        </w:rPr>
        <w:t xml:space="preserve">: Geneesmiddelen die onmiddellijk (binnen enkele uren) of op korte termijn (binnen 48 uur) nodig zijn, anders leidt dit tot mortaliteit. Voorbeelden zijn bepaalde soorten pijnmedicatie, antibiotica die breed inzetbaar zijn, astmamedicatie. </w:t>
      </w:r>
    </w:p>
    <w:p w:rsidRPr="005F055E" w:rsidR="008D2F23" w:rsidP="00180EEB" w:rsidRDefault="008D2F23" w14:paraId="6179CD68" w14:textId="77777777">
      <w:pPr>
        <w:numPr>
          <w:ilvl w:val="0"/>
          <w:numId w:val="9"/>
        </w:numPr>
        <w:suppressAutoHyphens/>
        <w:spacing w:after="0" w:line="240" w:lineRule="auto"/>
        <w:rPr>
          <w:szCs w:val="20"/>
          <w:lang w:eastAsia="nl-NL"/>
        </w:rPr>
      </w:pPr>
      <w:r w:rsidRPr="005F055E">
        <w:rPr>
          <w:b/>
          <w:bCs/>
          <w:szCs w:val="20"/>
          <w:lang w:eastAsia="nl-NL"/>
        </w:rPr>
        <w:t>Oranje</w:t>
      </w:r>
      <w:r w:rsidRPr="005F055E">
        <w:rPr>
          <w:szCs w:val="20"/>
          <w:lang w:eastAsia="nl-NL"/>
        </w:rPr>
        <w:t>: Het ontbreken van deze middelen leidt binnen 3 dagen tot 3 maanden tot mortaliteit of sterk verhoogde ziektelast in de algemene bevolking of voor een patiënt(</w:t>
      </w:r>
      <w:proofErr w:type="spellStart"/>
      <w:r w:rsidRPr="005F055E">
        <w:rPr>
          <w:szCs w:val="20"/>
          <w:lang w:eastAsia="nl-NL"/>
        </w:rPr>
        <w:t>engroep</w:t>
      </w:r>
      <w:proofErr w:type="spellEnd"/>
      <w:r w:rsidRPr="005F055E">
        <w:rPr>
          <w:szCs w:val="20"/>
          <w:lang w:eastAsia="nl-NL"/>
        </w:rPr>
        <w:t xml:space="preserve">). Voorbeelden zijn antistollingsmiddelen, oncolytica, andere soorten antibiotica. </w:t>
      </w:r>
    </w:p>
    <w:p w:rsidRPr="005F055E" w:rsidR="008D2F23" w:rsidP="00180EEB" w:rsidRDefault="008D2F23" w14:paraId="16553D45" w14:textId="12AF0E12">
      <w:pPr>
        <w:numPr>
          <w:ilvl w:val="0"/>
          <w:numId w:val="9"/>
        </w:numPr>
        <w:suppressAutoHyphens/>
        <w:spacing w:after="0" w:line="240" w:lineRule="auto"/>
        <w:rPr>
          <w:szCs w:val="20"/>
          <w:lang w:eastAsia="nl-NL"/>
        </w:rPr>
      </w:pPr>
      <w:r w:rsidRPr="005F055E">
        <w:rPr>
          <w:b/>
          <w:bCs/>
          <w:szCs w:val="20"/>
          <w:lang w:eastAsia="nl-NL"/>
        </w:rPr>
        <w:t>Geel</w:t>
      </w:r>
      <w:r w:rsidRPr="005F055E">
        <w:rPr>
          <w:szCs w:val="20"/>
          <w:lang w:eastAsia="nl-NL"/>
        </w:rPr>
        <w:t xml:space="preserve">: Geneesmiddelen die nodig zijn om het maatschappelijk verkeer binnen Nederland te waarborgen. Voorbeelden zijn diabetesmiddelen, medicatie voor hart- en vaatziekten, anesthetica. </w:t>
      </w:r>
    </w:p>
    <w:p w:rsidRPr="005F055E" w:rsidR="00A653C6" w:rsidP="00180EEB" w:rsidRDefault="00A653C6" w14:paraId="200F58C8" w14:textId="77777777">
      <w:pPr>
        <w:suppressAutoHyphens/>
      </w:pPr>
    </w:p>
    <w:p w:rsidRPr="005F055E" w:rsidR="00A653C6" w:rsidP="00180EEB" w:rsidRDefault="003E7003" w14:paraId="1267CD9E" w14:textId="77777777">
      <w:pPr>
        <w:suppressAutoHyphens/>
      </w:pPr>
      <w:r w:rsidRPr="005F055E">
        <w:t>Vraag 425</w:t>
      </w:r>
    </w:p>
    <w:p w:rsidRPr="005F055E" w:rsidR="00A653C6" w:rsidP="00180EEB" w:rsidRDefault="003E7003" w14:paraId="6B3D5AC2" w14:textId="77777777">
      <w:pPr>
        <w:suppressAutoHyphens/>
      </w:pPr>
      <w:r w:rsidRPr="005F055E">
        <w:t xml:space="preserve">Hoe zit de impuls aan de voorraadopbouw van kritieke geneesmiddelen bij de </w:t>
      </w:r>
      <w:proofErr w:type="spellStart"/>
      <w:r w:rsidRPr="005F055E">
        <w:t>volgesorteerde</w:t>
      </w:r>
      <w:proofErr w:type="spellEnd"/>
      <w:r w:rsidRPr="005F055E">
        <w:t xml:space="preserve"> farmaceutische groothandels eruit?</w:t>
      </w:r>
    </w:p>
    <w:p w:rsidRPr="005F055E" w:rsidR="003E7003" w:rsidP="00180EEB" w:rsidRDefault="003E7003" w14:paraId="5A889BA8" w14:textId="6A160EA9">
      <w:pPr>
        <w:suppressAutoHyphens/>
      </w:pPr>
      <w:r w:rsidRPr="005F055E">
        <w:t>Antwoord</w:t>
      </w:r>
    </w:p>
    <w:p w:rsidRPr="005F055E" w:rsidR="008D2F23" w:rsidP="00180EEB" w:rsidRDefault="008D2F23" w14:paraId="740D87DD" w14:textId="77777777">
      <w:pPr>
        <w:suppressAutoHyphens/>
        <w:spacing w:line="240" w:lineRule="atLeast"/>
        <w:rPr>
          <w:szCs w:val="20"/>
          <w:lang w:eastAsia="nl-NL"/>
        </w:rPr>
      </w:pPr>
      <w:r w:rsidRPr="005F055E">
        <w:rPr>
          <w:szCs w:val="20"/>
          <w:lang w:eastAsia="nl-NL"/>
        </w:rPr>
        <w:t>Zoals de minister van VWS uw Kamer heeft geïnformeerd</w:t>
      </w:r>
      <w:r w:rsidRPr="005F055E">
        <w:rPr>
          <w:szCs w:val="20"/>
          <w:vertAlign w:val="superscript"/>
          <w:lang w:eastAsia="nl-NL"/>
        </w:rPr>
        <w:footnoteReference w:id="173"/>
      </w:r>
      <w:r w:rsidRPr="005F055E">
        <w:rPr>
          <w:szCs w:val="20"/>
          <w:lang w:eastAsia="nl-NL"/>
        </w:rPr>
        <w:t xml:space="preserve"> gaat hij bovenop de bestaande voorraadverplichting van in totaal 8 weken een extra voorraad aan (laten) leggen. Dit gaat om 4 weken van geneesmiddelen uit categorie rood van de Nederlandse lijst kritieke geneesmiddelen met een apotheekinkoopprijs (AIP) onder € 15, en 3 weken van geneesmiddelen uit categorie oranje van de Nederlandse lijst kritieke geneesmiddelen met een AIP onder € 15. Voor het aanleggen van deze voorraden hebben de </w:t>
      </w:r>
      <w:proofErr w:type="spellStart"/>
      <w:r w:rsidRPr="005F055E">
        <w:rPr>
          <w:szCs w:val="20"/>
          <w:lang w:eastAsia="nl-NL"/>
        </w:rPr>
        <w:t>volgesorteerde</w:t>
      </w:r>
      <w:proofErr w:type="spellEnd"/>
      <w:r w:rsidRPr="005F055E">
        <w:rPr>
          <w:szCs w:val="20"/>
          <w:lang w:eastAsia="nl-NL"/>
        </w:rPr>
        <w:t xml:space="preserve"> groothandels inmiddels een herzieningsaanvraag voor de huidige subsidie, die gold voor de aanleg van extra voorraden essentiële antibiotica en salbutamol, ingediend. Deze wordt met grote prioriteit behandeld.</w:t>
      </w:r>
    </w:p>
    <w:p w:rsidRPr="005F055E" w:rsidR="00A653C6" w:rsidP="00180EEB" w:rsidRDefault="00A653C6" w14:paraId="5BB384A6" w14:textId="77777777">
      <w:pPr>
        <w:suppressAutoHyphens/>
      </w:pPr>
    </w:p>
    <w:p w:rsidRPr="005F055E" w:rsidR="00A653C6" w:rsidP="00180EEB" w:rsidRDefault="003E7003" w14:paraId="5EA9542C" w14:textId="77777777">
      <w:pPr>
        <w:suppressAutoHyphens/>
      </w:pPr>
      <w:r w:rsidRPr="005F055E">
        <w:t>Vraag 426</w:t>
      </w:r>
    </w:p>
    <w:p w:rsidRPr="005F055E" w:rsidR="00A653C6" w:rsidP="00180EEB" w:rsidRDefault="003E7003" w14:paraId="161A89AE" w14:textId="77777777">
      <w:pPr>
        <w:suppressAutoHyphens/>
      </w:pPr>
      <w:r w:rsidRPr="005F055E">
        <w:t>Wat is het doel en de huidige status van de opbouw van de voorraden van kritieke geneesmiddelen?</w:t>
      </w:r>
    </w:p>
    <w:p w:rsidRPr="005F055E" w:rsidR="003E7003" w:rsidP="00180EEB" w:rsidRDefault="003E7003" w14:paraId="45C84F6D" w14:textId="58F04F2E">
      <w:pPr>
        <w:suppressAutoHyphens/>
      </w:pPr>
      <w:r w:rsidRPr="005F055E">
        <w:t>Antwoord</w:t>
      </w:r>
    </w:p>
    <w:p w:rsidRPr="005F055E" w:rsidR="008D2F23" w:rsidP="00180EEB" w:rsidRDefault="008D2F23" w14:paraId="098F2F84" w14:textId="77777777">
      <w:pPr>
        <w:suppressAutoHyphens/>
        <w:spacing w:line="240" w:lineRule="atLeast"/>
        <w:rPr>
          <w:szCs w:val="20"/>
          <w:lang w:eastAsia="nl-NL"/>
        </w:rPr>
      </w:pPr>
      <w:r w:rsidRPr="005F055E">
        <w:rPr>
          <w:szCs w:val="20"/>
          <w:lang w:eastAsia="nl-NL"/>
        </w:rPr>
        <w:t xml:space="preserve">Het doel van het aanleggen van extra voorraden van kritieke geneesmiddelen is om leveringsonderbrekingen van geneesmiddelen te kunnen overbruggen die langer duren dan de 2 maanden waarvoor nu al voorraadverplichting geldt. Ook kan er tijdens deze periode gezocht worden naar alternatieve oplossingen om een potentieel tekort te voorkomen. Zo zorgen de extra voorraden van kritieke geneesmiddelen op verschillende manieren voor minder tekorten voor de patiënt. De extra voorraden laat de minister van VWS aanleggen van geneesmiddelen uit categorie rood en oranje van de Nederlandse lijst kritieke geneesmiddelen met een apotheekinkoopprijs (AIP) onder € 15. Voor het aanleggen van deze voorraden hebben de </w:t>
      </w:r>
      <w:proofErr w:type="spellStart"/>
      <w:r w:rsidRPr="005F055E">
        <w:rPr>
          <w:szCs w:val="20"/>
          <w:lang w:eastAsia="nl-NL"/>
        </w:rPr>
        <w:t>volgesorteerde</w:t>
      </w:r>
      <w:proofErr w:type="spellEnd"/>
      <w:r w:rsidRPr="005F055E">
        <w:rPr>
          <w:szCs w:val="20"/>
          <w:lang w:eastAsia="nl-NL"/>
        </w:rPr>
        <w:t xml:space="preserve"> groothandels inmiddels een herzieningsaanvraag voor de huidige subsidie, die gold voor de aanleg van extra voorraden essentiële antibiotica en salbutamol, ingediend. Deze wordt met grote prioriteit behandeld.</w:t>
      </w:r>
    </w:p>
    <w:p w:rsidRPr="005F055E" w:rsidR="00A653C6" w:rsidP="00180EEB" w:rsidRDefault="00A653C6" w14:paraId="6430FE5F" w14:textId="77777777">
      <w:pPr>
        <w:suppressAutoHyphens/>
      </w:pPr>
    </w:p>
    <w:p w:rsidRPr="005F055E" w:rsidR="00A653C6" w:rsidP="00180EEB" w:rsidRDefault="003E7003" w14:paraId="4AB0C86A" w14:textId="77777777">
      <w:pPr>
        <w:suppressAutoHyphens/>
      </w:pPr>
      <w:r w:rsidRPr="005F055E">
        <w:t>Vraag 427</w:t>
      </w:r>
    </w:p>
    <w:p w:rsidRPr="005F055E" w:rsidR="00A653C6" w:rsidP="00180EEB" w:rsidRDefault="003E7003" w14:paraId="56593126" w14:textId="26641A56">
      <w:pPr>
        <w:suppressAutoHyphens/>
      </w:pPr>
      <w:r w:rsidRPr="005F055E">
        <w:t xml:space="preserve">Klopt het dat </w:t>
      </w:r>
      <w:r w:rsidR="00D55762">
        <w:t>GGZ</w:t>
      </w:r>
      <w:r w:rsidRPr="005F055E">
        <w:t>-aanbieders nog geen gebruik kunnen maken van de ondersteuning van het programma Met Spoed Beschikbaar 2.0?</w:t>
      </w:r>
    </w:p>
    <w:p w:rsidRPr="005F055E" w:rsidR="003E7003" w:rsidP="00180EEB" w:rsidRDefault="003E7003" w14:paraId="309BE8CF" w14:textId="185D8237">
      <w:pPr>
        <w:suppressAutoHyphens/>
      </w:pPr>
      <w:r w:rsidRPr="005F055E">
        <w:t>Antwoord</w:t>
      </w:r>
    </w:p>
    <w:p w:rsidRPr="005F055E" w:rsidR="009E2BC0" w:rsidP="00180EEB" w:rsidRDefault="009E2BC0" w14:paraId="3F809B14" w14:textId="3FFDA667">
      <w:pPr>
        <w:suppressAutoHyphens/>
        <w:spacing w:line="240" w:lineRule="atLeast"/>
        <w:rPr>
          <w:szCs w:val="20"/>
          <w:lang w:eastAsia="nl-NL"/>
        </w:rPr>
      </w:pPr>
      <w:r w:rsidRPr="005F055E">
        <w:rPr>
          <w:szCs w:val="20"/>
          <w:lang w:eastAsia="nl-NL"/>
        </w:rPr>
        <w:t xml:space="preserve">Het klopt dat </w:t>
      </w:r>
      <w:r w:rsidR="00D55762">
        <w:rPr>
          <w:szCs w:val="20"/>
          <w:lang w:eastAsia="nl-NL"/>
        </w:rPr>
        <w:t>GGZ</w:t>
      </w:r>
      <w:r w:rsidRPr="005F055E">
        <w:rPr>
          <w:szCs w:val="20"/>
          <w:lang w:eastAsia="nl-NL"/>
        </w:rPr>
        <w:t xml:space="preserve">-aanbieders op dit moment niet meedoen aan het programma Met Spoed Beschikbaar 2.0. Dit programma heeft als doel om de Richtlijn gegevensuitwisseling acute zorg te implementeren. De (acute) </w:t>
      </w:r>
      <w:r w:rsidR="00D55762">
        <w:rPr>
          <w:szCs w:val="20"/>
          <w:lang w:eastAsia="nl-NL"/>
        </w:rPr>
        <w:t>GGZ</w:t>
      </w:r>
      <w:r w:rsidRPr="005F055E">
        <w:rPr>
          <w:szCs w:val="20"/>
          <w:lang w:eastAsia="nl-NL"/>
        </w:rPr>
        <w:t xml:space="preserve"> valt momenteel niet onder deze Richtlijn. In het IZA is afgesproken dat </w:t>
      </w:r>
      <w:proofErr w:type="spellStart"/>
      <w:r w:rsidRPr="005F055E">
        <w:rPr>
          <w:szCs w:val="20"/>
          <w:lang w:eastAsia="nl-NL"/>
        </w:rPr>
        <w:t>Nictiz</w:t>
      </w:r>
      <w:proofErr w:type="spellEnd"/>
      <w:r w:rsidRPr="005F055E">
        <w:rPr>
          <w:szCs w:val="20"/>
          <w:lang w:eastAsia="nl-NL"/>
        </w:rPr>
        <w:t xml:space="preserve"> een verkenning uitvoert over het mogelijk opnemen van de acute verpleging, verzorging, thuiszorg (VVT), </w:t>
      </w:r>
      <w:r w:rsidR="00D55762">
        <w:rPr>
          <w:szCs w:val="20"/>
          <w:lang w:eastAsia="nl-NL"/>
        </w:rPr>
        <w:t>GGZ</w:t>
      </w:r>
      <w:r w:rsidRPr="005F055E">
        <w:rPr>
          <w:szCs w:val="20"/>
          <w:lang w:eastAsia="nl-NL"/>
        </w:rPr>
        <w:t xml:space="preserve"> en geplande ambulancezorg in de Richtlijn. De resultaten van deze verkenning wachten we momenteel af.</w:t>
      </w:r>
    </w:p>
    <w:p w:rsidRPr="005F055E" w:rsidR="00A653C6" w:rsidP="00180EEB" w:rsidRDefault="003E7003" w14:paraId="06B4F94A" w14:textId="77777777">
      <w:pPr>
        <w:suppressAutoHyphens/>
      </w:pPr>
      <w:r w:rsidRPr="005F055E">
        <w:t>Vraag 428</w:t>
      </w:r>
    </w:p>
    <w:p w:rsidRPr="005F055E" w:rsidR="00A653C6" w:rsidP="00180EEB" w:rsidRDefault="003E7003" w14:paraId="2217990D" w14:textId="77777777">
      <w:pPr>
        <w:suppressAutoHyphens/>
      </w:pPr>
      <w:r w:rsidRPr="005F055E">
        <w:t>Hoeveel van de €8,6 miljoen voor het programma weerbare zorg in 2026 wordt besteed aan de Nationale Zorgreserve en de gevolgen van de conflicten in Oekraïne en Gaza? En hoeveel blijft over voor andere onderwerpen zoals de voorbereiding op een gewapend conflict, hybride dreiging, grote uitbraken van infectieziekten of extreme weersomstandigheden?</w:t>
      </w:r>
      <w:r w:rsidRPr="005F055E">
        <w:tab/>
      </w:r>
    </w:p>
    <w:p w:rsidRPr="005F055E" w:rsidR="003E7003" w:rsidP="00180EEB" w:rsidRDefault="003E7003" w14:paraId="683F095D" w14:textId="67CC4247">
      <w:pPr>
        <w:suppressAutoHyphens/>
      </w:pPr>
      <w:r w:rsidRPr="005F055E">
        <w:t>Antwoord</w:t>
      </w:r>
    </w:p>
    <w:p w:rsidRPr="005F055E" w:rsidR="00E57EFE" w:rsidP="00180EEB" w:rsidRDefault="00E57EFE" w14:paraId="5C014929" w14:textId="77777777">
      <w:pPr>
        <w:suppressAutoHyphens/>
      </w:pPr>
      <w:r w:rsidRPr="005F055E">
        <w:t xml:space="preserve">In 2026 is er € 5,2 miljoen gereserveerd voor het beheer, de uitbreiding en inrichting van de Nationale Zorgreserve. Daarnaast is € 3,4 miljoen beschikbaar voor de inzet op huidige crises – zoals medische evacuaties van patiënten uit oorlogsgebieden naar Nederland – en voor de versterking van de weerbaarheid van de zorg bij toekomstige crises. </w:t>
      </w:r>
    </w:p>
    <w:p w:rsidRPr="005F055E" w:rsidR="00A653C6" w:rsidP="00180EEB" w:rsidRDefault="00A653C6" w14:paraId="781E904D" w14:textId="77777777">
      <w:pPr>
        <w:suppressAutoHyphens/>
      </w:pPr>
    </w:p>
    <w:p w:rsidRPr="005F055E" w:rsidR="00A653C6" w:rsidP="00180EEB" w:rsidRDefault="003E7003" w14:paraId="2B7E8804" w14:textId="77777777">
      <w:pPr>
        <w:suppressAutoHyphens/>
      </w:pPr>
      <w:r w:rsidRPr="005F055E">
        <w:t>Vraag 429</w:t>
      </w:r>
    </w:p>
    <w:p w:rsidRPr="005F055E" w:rsidR="00A653C6" w:rsidP="00180EEB" w:rsidRDefault="003E7003" w14:paraId="21EF256B" w14:textId="77777777">
      <w:pPr>
        <w:suppressAutoHyphens/>
      </w:pPr>
      <w:r w:rsidRPr="005F055E">
        <w:t>Kan worden toegelicht waar de €2,5 miljoen die gereserveerd is voor de beoordeling van erkenningen van expertisecentra voor zeldzame aandoeningen precies voor bedoeld is?</w:t>
      </w:r>
    </w:p>
    <w:p w:rsidRPr="005F055E" w:rsidR="003E7003" w:rsidP="00180EEB" w:rsidRDefault="003E7003" w14:paraId="55572F84" w14:textId="760466F8">
      <w:pPr>
        <w:suppressAutoHyphens/>
      </w:pPr>
      <w:r w:rsidRPr="005F055E">
        <w:t>Antwoord</w:t>
      </w:r>
    </w:p>
    <w:p w:rsidR="008D2F23" w:rsidP="00180EEB" w:rsidRDefault="008D2F23" w14:paraId="45D847F5" w14:textId="77777777">
      <w:pPr>
        <w:suppressAutoHyphens/>
        <w:spacing w:line="240" w:lineRule="atLeast"/>
        <w:rPr>
          <w:szCs w:val="18"/>
          <w:lang w:eastAsia="nl-NL"/>
        </w:rPr>
      </w:pPr>
      <w:r w:rsidRPr="005F055E">
        <w:rPr>
          <w:szCs w:val="18"/>
          <w:lang w:eastAsia="nl-NL"/>
        </w:rPr>
        <w:t xml:space="preserve">Het bedrag is gereserveerd voor de uitvoering van het beoordelingsproces voor expertisecentra voor zeldzame aandoeningen. Het gaat daarbij onder meer om de ondersteuning van het beoordelingscomité, het benodigde ICT-systeem, de vergoeding voor de betrokkenheid van patiëntenorganisaties en juridische kosten. </w:t>
      </w:r>
    </w:p>
    <w:p w:rsidR="000C57A9" w:rsidP="00180EEB" w:rsidRDefault="000C57A9" w14:paraId="6A442E6C" w14:textId="77777777">
      <w:pPr>
        <w:suppressAutoHyphens/>
        <w:spacing w:line="240" w:lineRule="atLeast"/>
        <w:rPr>
          <w:szCs w:val="18"/>
          <w:lang w:eastAsia="nl-NL"/>
        </w:rPr>
      </w:pPr>
    </w:p>
    <w:p w:rsidRPr="005F055E" w:rsidR="000C57A9" w:rsidP="00180EEB" w:rsidRDefault="000C57A9" w14:paraId="0EF93B51" w14:textId="77777777">
      <w:pPr>
        <w:suppressAutoHyphens/>
        <w:spacing w:line="240" w:lineRule="atLeast"/>
        <w:rPr>
          <w:szCs w:val="18"/>
          <w:lang w:eastAsia="nl-NL"/>
        </w:rPr>
      </w:pPr>
    </w:p>
    <w:p w:rsidRPr="005F055E" w:rsidR="00A653C6" w:rsidP="00180EEB" w:rsidRDefault="003E7003" w14:paraId="2356B218" w14:textId="77777777">
      <w:pPr>
        <w:suppressAutoHyphens/>
      </w:pPr>
      <w:r w:rsidRPr="005F055E">
        <w:t>Vraag 430</w:t>
      </w:r>
    </w:p>
    <w:p w:rsidRPr="005F055E" w:rsidR="00A653C6" w:rsidP="00180EEB" w:rsidRDefault="003E7003" w14:paraId="43D349E8" w14:textId="77777777">
      <w:pPr>
        <w:suppressAutoHyphens/>
      </w:pPr>
      <w:r w:rsidRPr="005F055E">
        <w:t>Kunt u aangeven waar in de VWS-begroting de middelen voor de uitwerking en implementatie van het Nationaal Plan Zeldzame Aandoeningen zijn terug te vinden?</w:t>
      </w:r>
    </w:p>
    <w:p w:rsidRPr="005F055E" w:rsidR="003E7003" w:rsidP="00180EEB" w:rsidRDefault="003E7003" w14:paraId="0CC6C907" w14:textId="6BD775E9">
      <w:pPr>
        <w:suppressAutoHyphens/>
      </w:pPr>
      <w:r w:rsidRPr="005F055E">
        <w:t>Antwoord</w:t>
      </w:r>
    </w:p>
    <w:p w:rsidRPr="005F055E" w:rsidR="008D2F23" w:rsidP="00180EEB" w:rsidRDefault="008D2F23" w14:paraId="2C1DA361" w14:textId="77777777">
      <w:pPr>
        <w:suppressAutoHyphens/>
        <w:spacing w:line="240" w:lineRule="atLeast"/>
        <w:rPr>
          <w:szCs w:val="18"/>
          <w:lang w:eastAsia="nl-NL"/>
        </w:rPr>
      </w:pPr>
      <w:r w:rsidRPr="005F055E">
        <w:rPr>
          <w:szCs w:val="18"/>
          <w:lang w:eastAsia="nl-NL"/>
        </w:rPr>
        <w:t xml:space="preserve">De middelen staan gereserveerd op artikel 2 curatieve zorg. Onder het instrument subsidies medisch specialistische zorg. Het gereserveerde bedrag is lager dan de norm voor eigenstandige toelichting in de begroting. De middelen zijn gereserveerd voor de uitwerking van het nationaal plan. Voor specifiek de implementatie zijn niet apart middelen gereserveerd. </w:t>
      </w:r>
    </w:p>
    <w:p w:rsidRPr="005F055E" w:rsidR="00A653C6" w:rsidP="00180EEB" w:rsidRDefault="00A653C6" w14:paraId="3EC6CE86" w14:textId="77777777">
      <w:pPr>
        <w:suppressAutoHyphens/>
      </w:pPr>
    </w:p>
    <w:p w:rsidRPr="005F055E" w:rsidR="00A653C6" w:rsidP="00180EEB" w:rsidRDefault="003E7003" w14:paraId="42157305" w14:textId="60BB889A">
      <w:pPr>
        <w:suppressAutoHyphens/>
      </w:pPr>
      <w:r w:rsidRPr="005F055E">
        <w:t>Vraag 431</w:t>
      </w:r>
    </w:p>
    <w:p w:rsidRPr="005F055E" w:rsidR="00A653C6" w:rsidP="00180EEB" w:rsidRDefault="003E7003" w14:paraId="797C7F59" w14:textId="77777777">
      <w:pPr>
        <w:suppressAutoHyphens/>
      </w:pPr>
      <w:r w:rsidRPr="005F055E">
        <w:t>Kan nader worden toegelicht hoe de €2,5 miljoen euro wordt ingezet die is bedoeld voor het verbeteren van de organisatiegraad in de farmaceutische zorg?</w:t>
      </w:r>
    </w:p>
    <w:p w:rsidRPr="005F055E" w:rsidR="003E7003" w:rsidP="00180EEB" w:rsidRDefault="003E7003" w14:paraId="411ABE80" w14:textId="673ECDDE">
      <w:pPr>
        <w:suppressAutoHyphens/>
      </w:pPr>
      <w:r w:rsidRPr="005F055E">
        <w:t>Antwoord</w:t>
      </w:r>
    </w:p>
    <w:p w:rsidRPr="005F055E" w:rsidR="007E044A" w:rsidP="00180EEB" w:rsidRDefault="007E044A" w14:paraId="42C5A6E1" w14:textId="539B211D">
      <w:pPr>
        <w:suppressAutoHyphens/>
        <w:spacing w:line="240" w:lineRule="atLeast"/>
        <w:rPr>
          <w:szCs w:val="18"/>
          <w:lang w:eastAsia="nl-NL"/>
        </w:rPr>
      </w:pPr>
      <w:r w:rsidRPr="005F055E">
        <w:rPr>
          <w:szCs w:val="18"/>
          <w:lang w:eastAsia="nl-NL"/>
        </w:rPr>
        <w:t xml:space="preserve">Voor het bevorderen van de organisatiegraad in de farmaceutische zorg is in totaal €6 miljoen euro beschikbaar gesteld. De inzet van deze middelen verloopt via een subsidieronde van </w:t>
      </w:r>
      <w:proofErr w:type="spellStart"/>
      <w:r w:rsidRPr="005F055E">
        <w:rPr>
          <w:szCs w:val="18"/>
          <w:lang w:eastAsia="nl-NL"/>
        </w:rPr>
        <w:t>ZonMw</w:t>
      </w:r>
      <w:proofErr w:type="spellEnd"/>
      <w:r w:rsidRPr="005F055E">
        <w:rPr>
          <w:szCs w:val="18"/>
          <w:lang w:eastAsia="nl-NL"/>
        </w:rPr>
        <w:t xml:space="preserve">. De €2,5 miljoen euro in 2026 is onderdeel van een meerjarig traject. </w:t>
      </w:r>
    </w:p>
    <w:p w:rsidRPr="005F055E" w:rsidR="007E044A" w:rsidP="00180EEB" w:rsidRDefault="007E044A" w14:paraId="17BE3D87" w14:textId="015228C9">
      <w:pPr>
        <w:suppressAutoHyphens/>
        <w:spacing w:line="240" w:lineRule="atLeast"/>
        <w:rPr>
          <w:szCs w:val="18"/>
          <w:lang w:eastAsia="nl-NL"/>
        </w:rPr>
      </w:pPr>
      <w:r w:rsidRPr="005F055E">
        <w:rPr>
          <w:szCs w:val="18"/>
          <w:lang w:eastAsia="nl-NL"/>
        </w:rPr>
        <w:t xml:space="preserve">Het doel is om met deze IZA-middelen projecten en pilots mogelijk te maken die samenwerking en organisatie binnen en tussen beroepsgroepen verbeteren rond het leveren van eerstelijns apotheekzorg. Dit zodat zorgaanbieders gezamenlijk beter afgestemde zorg leveren en patiënten sneller op de juiste plek komen. </w:t>
      </w:r>
    </w:p>
    <w:p w:rsidRPr="005F055E" w:rsidR="00A653C6" w:rsidP="00180EEB" w:rsidRDefault="007E044A" w14:paraId="341F37F5" w14:textId="47F352ED">
      <w:pPr>
        <w:suppressAutoHyphens/>
        <w:spacing w:line="240" w:lineRule="atLeast"/>
        <w:rPr>
          <w:szCs w:val="18"/>
          <w:lang w:eastAsia="nl-NL"/>
        </w:rPr>
      </w:pPr>
      <w:r w:rsidRPr="005F055E">
        <w:rPr>
          <w:szCs w:val="18"/>
          <w:lang w:eastAsia="nl-NL"/>
        </w:rPr>
        <w:t>Projecten die in aanmerking komen moeten innovatief zijn, bijdragen aan de doelen van de ‘Visie Eerstelijnszorg 2030’ en een substantiële bijdrage leveren aan een betere en/of duurzamere inzet van farmaceutische zorg.</w:t>
      </w:r>
    </w:p>
    <w:p w:rsidR="007E044A" w:rsidP="00180EEB" w:rsidRDefault="007E044A" w14:paraId="6E2170D7" w14:textId="4214E0C5">
      <w:pPr>
        <w:suppressAutoHyphens/>
      </w:pPr>
    </w:p>
    <w:p w:rsidRPr="005F055E" w:rsidR="00D544B0" w:rsidP="00180EEB" w:rsidRDefault="00D544B0" w14:paraId="2D0BC53A" w14:textId="77777777">
      <w:pPr>
        <w:suppressAutoHyphens/>
      </w:pPr>
    </w:p>
    <w:p w:rsidRPr="005F055E" w:rsidR="00A653C6" w:rsidP="00180EEB" w:rsidRDefault="003E7003" w14:paraId="462C9888" w14:textId="77777777">
      <w:pPr>
        <w:suppressAutoHyphens/>
      </w:pPr>
      <w:r w:rsidRPr="005F055E">
        <w:t>Vraag 432</w:t>
      </w:r>
    </w:p>
    <w:p w:rsidRPr="005F055E" w:rsidR="00A653C6" w:rsidP="00180EEB" w:rsidRDefault="003E7003" w14:paraId="62BF72B0" w14:textId="77777777">
      <w:pPr>
        <w:suppressAutoHyphens/>
      </w:pPr>
      <w:r w:rsidRPr="005F055E">
        <w:t>Hoe zullen de middelen voor het verbeteren van pakketbeheer en voor opschaalbare productie van persoonlijke beschermingsmiddelen worden ingezet?</w:t>
      </w:r>
    </w:p>
    <w:p w:rsidRPr="005F055E" w:rsidR="003E7003" w:rsidP="00180EEB" w:rsidRDefault="003E7003" w14:paraId="3A0B0DBE" w14:textId="545F2FF3">
      <w:pPr>
        <w:suppressAutoHyphens/>
      </w:pPr>
      <w:r w:rsidRPr="005F055E">
        <w:t>Antwoord</w:t>
      </w:r>
    </w:p>
    <w:p w:rsidRPr="005F055E" w:rsidR="007E044A" w:rsidP="00180EEB" w:rsidRDefault="007E044A" w14:paraId="59B18A0D" w14:textId="33B9CBF1">
      <w:pPr>
        <w:suppressAutoHyphens/>
        <w:spacing w:line="240" w:lineRule="atLeast"/>
        <w:rPr>
          <w:szCs w:val="18"/>
          <w:lang w:eastAsia="nl-NL"/>
        </w:rPr>
      </w:pPr>
      <w:r w:rsidRPr="005F055E">
        <w:rPr>
          <w:szCs w:val="18"/>
          <w:lang w:eastAsia="nl-NL"/>
        </w:rPr>
        <w:t>In 2026 is er € 1,5 miljoen beschikbaar voor het verbeteren van het pakketbeheer van nieuwe geneesmiddelen. Dit budget gaat naar het Zorginstituut Nederland. Zij hebben verschillende projecten die samen ‘Toekomstig Stelsel Geneesmiddelen’ vormen. Ongeveer de helft van het budget is bedoeld om het informatiesysteem van de Horizonscan Geneesmiddelen te verbeteren. Het systeem gaat gebruikt worden door bijvoorbeeld het Zorginstituut en artsen, en farmaceutische bedrijven kunnen daarvoor informatie aanleveren. Met het verbeterde systeem kunnen risico’s voor het basispakket eerder in beeld worden gebracht, bijvoorbeeld het risico dat er niet genoeg bewijs is dat een geneesmiddel effectief is of dat een geneesmiddel een te hoge prijs heeft. Alle deelprojecten van TSG samen hebben als doel dat goede geneesmiddelen snel beschikbaar komen voor een redelijke prijs, en zal op 1 januari 2027 in werking treden.</w:t>
      </w:r>
    </w:p>
    <w:p w:rsidRPr="005F055E" w:rsidR="007E044A" w:rsidP="00180EEB" w:rsidRDefault="007E044A" w14:paraId="0B09F682" w14:textId="77777777">
      <w:pPr>
        <w:suppressAutoHyphens/>
        <w:spacing w:line="240" w:lineRule="atLeast"/>
        <w:rPr>
          <w:szCs w:val="18"/>
          <w:lang w:eastAsia="nl-NL"/>
        </w:rPr>
      </w:pPr>
      <w:r w:rsidRPr="005F055E">
        <w:rPr>
          <w:szCs w:val="18"/>
          <w:lang w:eastAsia="nl-NL"/>
        </w:rPr>
        <w:t xml:space="preserve">Voor wat betreft de € 1,1 miljoen voor de opschaalbare productie van persoonlijke beschermingsmiddelen heeft VWS eind 2023 voor vier jaar een overeenkomst afgesloten met een fabrikant van FFP2 mondmaskers. Dat gaat onder andere om het laten draaien en onderhouden van de machines waarmee de mondmaskers worden geproduceerd en het beschikbaar houden van getraind personeel. Daarnaast worden de middelen ingezet om een voorraad grondstoffen aan te houden zodat (ook bij dichte grenzen) een jaar lang op grote schaal kan worden geproduceerd. Verder beschikt de fabrikant over een kleine voorraad mondmaskers om bij schaarste de tijd te overbruggen die nodig is om de productie op te schalen. </w:t>
      </w:r>
    </w:p>
    <w:p w:rsidRPr="005F055E" w:rsidR="00A653C6" w:rsidP="00180EEB" w:rsidRDefault="00A653C6" w14:paraId="3BFB5131" w14:textId="77777777">
      <w:pPr>
        <w:suppressAutoHyphens/>
      </w:pPr>
    </w:p>
    <w:p w:rsidRPr="005F055E" w:rsidR="00A653C6" w:rsidP="00180EEB" w:rsidRDefault="003E7003" w14:paraId="33DDD159" w14:textId="77777777">
      <w:pPr>
        <w:suppressAutoHyphens/>
      </w:pPr>
      <w:r w:rsidRPr="005F055E">
        <w:t>Vraag 433</w:t>
      </w:r>
    </w:p>
    <w:p w:rsidRPr="005F055E" w:rsidR="00A653C6" w:rsidP="00180EEB" w:rsidRDefault="003E7003" w14:paraId="6ADA33E4" w14:textId="77777777">
      <w:pPr>
        <w:suppressAutoHyphens/>
      </w:pPr>
      <w:r w:rsidRPr="005F055E">
        <w:t xml:space="preserve">Kunt u de post 'toegang tot zorg en ondersteuning' voor de jaren 2026-2029 uitsplitsen in de verschillende onderliggende thema's (waaronder veilig thuis, </w:t>
      </w:r>
      <w:proofErr w:type="spellStart"/>
      <w:r w:rsidRPr="005F055E">
        <w:t>femicide</w:t>
      </w:r>
      <w:proofErr w:type="spellEnd"/>
      <w:r w:rsidRPr="005F055E">
        <w:t>, seksueel geweld, nationaal actieplan dakloosheid, Ethos in de regio)?</w:t>
      </w:r>
    </w:p>
    <w:p w:rsidRPr="005F055E" w:rsidR="003E7003" w:rsidP="00180EEB" w:rsidRDefault="003E7003" w14:paraId="551AF250" w14:textId="430D2892">
      <w:pPr>
        <w:suppressAutoHyphens/>
      </w:pPr>
      <w:r w:rsidRPr="005F055E">
        <w:t>Antwoord</w:t>
      </w:r>
    </w:p>
    <w:p w:rsidRPr="005F055E" w:rsidR="00E57EFE" w:rsidP="00180EEB" w:rsidRDefault="00E57EFE" w14:paraId="22545D4C" w14:textId="77777777">
      <w:pPr>
        <w:suppressAutoHyphens/>
      </w:pPr>
      <w:r w:rsidRPr="005F055E" w:rsidDel="004E346A">
        <w:t xml:space="preserve">De begrotingspost subsidies (regelingen) voor ‘toegang tot zorg en ondersteuning’ is een </w:t>
      </w:r>
      <w:r w:rsidRPr="005F055E">
        <w:t>(totaal)budget</w:t>
      </w:r>
      <w:r w:rsidRPr="005F055E" w:rsidDel="004E346A">
        <w:t xml:space="preserve"> </w:t>
      </w:r>
      <w:r w:rsidRPr="005F055E">
        <w:t>dat uit</w:t>
      </w:r>
      <w:r w:rsidRPr="005F055E" w:rsidDel="004E346A">
        <w:t xml:space="preserve"> veel verschillende subsidies voor uiteenlopende beleidsthema</w:t>
      </w:r>
      <w:r w:rsidRPr="005F055E">
        <w:t>’</w:t>
      </w:r>
      <w:r w:rsidRPr="005F055E" w:rsidDel="004E346A">
        <w:t>s</w:t>
      </w:r>
      <w:r w:rsidRPr="005F055E">
        <w:t xml:space="preserve"> bestaat</w:t>
      </w:r>
      <w:r w:rsidRPr="005F055E" w:rsidDel="004E346A">
        <w:t>.</w:t>
      </w:r>
      <w:r w:rsidRPr="005F055E">
        <w:t xml:space="preserve"> Er is niet sprake van een budget per thema.</w:t>
      </w:r>
      <w:r w:rsidRPr="005F055E" w:rsidDel="004E346A">
        <w:t xml:space="preserve"> </w:t>
      </w:r>
      <w:r w:rsidRPr="005F055E">
        <w:t>Voor het totale beleidsbudget op dit artikelonderdeel moet bovendien ook gekeken worden naar de andere begrotingsinstrumenten.</w:t>
      </w:r>
    </w:p>
    <w:p w:rsidR="00D71325" w:rsidP="00180EEB" w:rsidRDefault="00D71325" w14:paraId="06B4DD54" w14:textId="77777777">
      <w:pPr>
        <w:suppressAutoHyphens/>
      </w:pPr>
    </w:p>
    <w:p w:rsidRPr="005F055E" w:rsidR="00D535AF" w:rsidP="00180EEB" w:rsidRDefault="003E7003" w14:paraId="7D50AB4E" w14:textId="16278F65">
      <w:pPr>
        <w:suppressAutoHyphens/>
      </w:pPr>
      <w:r w:rsidRPr="005F055E">
        <w:t>Vraag 434</w:t>
      </w:r>
    </w:p>
    <w:p w:rsidRPr="005F055E" w:rsidR="00D535AF" w:rsidP="00180EEB" w:rsidRDefault="003E7003" w14:paraId="343C9775" w14:textId="77777777">
      <w:pPr>
        <w:suppressAutoHyphens/>
      </w:pPr>
      <w:r w:rsidRPr="005F055E">
        <w:t>Hoeveel wordt er in totaal bezuinigd op de subsidieregeling 'Toegang tot zorg en ondersteuning' en hoe is die bezuiniging uitgesplitst per thema's die onder deze subsidieregeling vallen? Hoeveel zal er per thema worden bezuinigd en ten koste van welke programma's en regelingen gaat dit?</w:t>
      </w:r>
    </w:p>
    <w:p w:rsidRPr="005F055E" w:rsidR="003E7003" w:rsidP="00180EEB" w:rsidRDefault="003E7003" w14:paraId="05CEBB10" w14:textId="2680BF6E">
      <w:pPr>
        <w:suppressAutoHyphens/>
      </w:pPr>
      <w:r w:rsidRPr="005F055E">
        <w:t>Antwoord</w:t>
      </w:r>
    </w:p>
    <w:p w:rsidRPr="005F055E" w:rsidR="00E57EFE" w:rsidP="00180EEB" w:rsidRDefault="00E57EFE" w14:paraId="359DBDC7" w14:textId="0E847C3A">
      <w:pPr>
        <w:suppressAutoHyphens/>
      </w:pPr>
      <w:r w:rsidRPr="005F055E">
        <w:rPr>
          <w:szCs w:val="18"/>
        </w:rPr>
        <w:t xml:space="preserve">De begrotingspost subsidies (regelingen) voor ‘toegang tot zorg en ondersteuning’ is een budget dat uit veel verschillende subsidies voor uiteenlopende beleidsthema’s bestaat. </w:t>
      </w:r>
      <w:r w:rsidRPr="005F055E" w:rsidDel="004E346A">
        <w:t xml:space="preserve">Zoals in de begroting al toegelicht vallen hieronder de volgende thema’s: aanpak mensenhandel, uitvoering </w:t>
      </w:r>
      <w:proofErr w:type="spellStart"/>
      <w:r w:rsidRPr="005F055E" w:rsidDel="004E346A">
        <w:t>meerjarenagenda</w:t>
      </w:r>
      <w:proofErr w:type="spellEnd"/>
      <w:r w:rsidRPr="005F055E" w:rsidDel="004E346A">
        <w:t xml:space="preserve"> Landelijk netwerk Veilig Thuis, aanpak </w:t>
      </w:r>
      <w:proofErr w:type="spellStart"/>
      <w:r w:rsidRPr="005F055E" w:rsidDel="004E346A">
        <w:t>femicide</w:t>
      </w:r>
      <w:proofErr w:type="spellEnd"/>
      <w:r w:rsidRPr="005F055E" w:rsidDel="004E346A">
        <w:t xml:space="preserve">, bestrijden seksueel geweld, Nationaal Actieplan Dakloosheid, Ethos in de regio, de gratis VOG regeling, aanpak huiselijk geweld en </w:t>
      </w:r>
      <w:proofErr w:type="spellStart"/>
      <w:r w:rsidRPr="005F055E" w:rsidDel="004E346A">
        <w:t>respĳtzorg</w:t>
      </w:r>
      <w:proofErr w:type="spellEnd"/>
      <w:r w:rsidRPr="005F055E" w:rsidDel="004E346A">
        <w:t>.</w:t>
      </w:r>
    </w:p>
    <w:p w:rsidRPr="005F055E" w:rsidR="00E57EFE" w:rsidP="00180EEB" w:rsidRDefault="00E57EFE" w14:paraId="7F86386E" w14:textId="77777777">
      <w:pPr>
        <w:suppressAutoHyphens/>
      </w:pPr>
      <w:r w:rsidRPr="005F055E">
        <w:t xml:space="preserve">Een afname in deze budgetten wil niet zeggen dat op het subsidiebudget bezuinigd is. </w:t>
      </w:r>
    </w:p>
    <w:p w:rsidRPr="005F055E" w:rsidR="00E57EFE" w:rsidP="00180EEB" w:rsidRDefault="00E57EFE" w14:paraId="5B2FDC8E" w14:textId="77777777">
      <w:pPr>
        <w:pStyle w:val="Lijstalinea"/>
        <w:numPr>
          <w:ilvl w:val="0"/>
          <w:numId w:val="26"/>
        </w:numPr>
        <w:suppressAutoHyphens/>
        <w:rPr>
          <w:rFonts w:eastAsia="Times New Roman" w:cs="Times New Roman"/>
          <w:szCs w:val="20"/>
          <w:lang w:eastAsia="nl-NL"/>
        </w:rPr>
      </w:pPr>
      <w:r w:rsidRPr="005F055E">
        <w:rPr>
          <w:rFonts w:eastAsia="Times New Roman" w:cs="Times New Roman"/>
          <w:szCs w:val="20"/>
          <w:lang w:eastAsia="nl-NL"/>
        </w:rPr>
        <w:t xml:space="preserve">Projecten zijn vaak van tijdelijke aard en stoppen op een gegeven moment </w:t>
      </w:r>
    </w:p>
    <w:p w:rsidRPr="005F055E" w:rsidR="00E57EFE" w:rsidP="00180EEB" w:rsidRDefault="00E57EFE" w14:paraId="562D1285" w14:textId="77777777">
      <w:pPr>
        <w:pStyle w:val="Lijstalinea"/>
        <w:numPr>
          <w:ilvl w:val="0"/>
          <w:numId w:val="26"/>
        </w:numPr>
        <w:suppressAutoHyphens/>
        <w:rPr>
          <w:rFonts w:eastAsia="Times New Roman" w:cs="Times New Roman"/>
          <w:szCs w:val="20"/>
          <w:lang w:eastAsia="nl-NL"/>
        </w:rPr>
      </w:pPr>
      <w:r w:rsidRPr="005F055E">
        <w:rPr>
          <w:rFonts w:eastAsia="Times New Roman" w:cs="Times New Roman"/>
          <w:szCs w:val="20"/>
          <w:lang w:eastAsia="nl-NL"/>
        </w:rPr>
        <w:t>Ook is het mogelijk dat de geprognotiseerde uitgaven voor projecten in een bepaald jaar lager zijn dan het voorafgaande jaar.</w:t>
      </w:r>
    </w:p>
    <w:p w:rsidRPr="005F055E" w:rsidR="00E57EFE" w:rsidP="00180EEB" w:rsidRDefault="00E57EFE" w14:paraId="1A2C577A" w14:textId="77777777">
      <w:pPr>
        <w:pStyle w:val="Lijstalinea"/>
        <w:numPr>
          <w:ilvl w:val="0"/>
          <w:numId w:val="26"/>
        </w:numPr>
        <w:suppressAutoHyphens/>
        <w:rPr>
          <w:rFonts w:eastAsia="Times New Roman" w:cs="Times New Roman"/>
          <w:szCs w:val="20"/>
          <w:lang w:eastAsia="nl-NL"/>
        </w:rPr>
      </w:pPr>
      <w:r w:rsidRPr="005F055E">
        <w:rPr>
          <w:rFonts w:eastAsia="Times New Roman" w:cs="Times New Roman"/>
          <w:szCs w:val="20"/>
          <w:lang w:eastAsia="nl-NL"/>
        </w:rPr>
        <w:t xml:space="preserve">Een deel van de uitgaven kan vanaf een bepaald jaar ook via een ander begrotingsinstrument zoals opdrachten of een bijdrage medeoverheden ingezet worden. </w:t>
      </w:r>
    </w:p>
    <w:p w:rsidRPr="005F055E" w:rsidR="00E57EFE" w:rsidP="00180EEB" w:rsidRDefault="00E57EFE" w14:paraId="3224B106" w14:textId="77777777">
      <w:pPr>
        <w:pStyle w:val="Lijstalinea"/>
        <w:numPr>
          <w:ilvl w:val="0"/>
          <w:numId w:val="26"/>
        </w:numPr>
        <w:suppressAutoHyphens/>
        <w:rPr>
          <w:rFonts w:eastAsia="Times New Roman" w:cs="Times New Roman"/>
          <w:szCs w:val="20"/>
          <w:lang w:eastAsia="nl-NL"/>
        </w:rPr>
      </w:pPr>
      <w:r w:rsidRPr="005F055E">
        <w:rPr>
          <w:rFonts w:eastAsia="Times New Roman" w:cs="Times New Roman"/>
          <w:szCs w:val="20"/>
          <w:lang w:eastAsia="nl-NL"/>
        </w:rPr>
        <w:t>Tevens is mogelijk dat vanuit andere begrotingsartikelen of departementen een ophoging/verlaging plaatsvindt wat nu nog niet in de begroting zichtbaar is.</w:t>
      </w:r>
    </w:p>
    <w:p w:rsidRPr="005F055E" w:rsidR="00E57EFE" w:rsidP="00180EEB" w:rsidRDefault="00E57EFE" w14:paraId="7A5C54C6" w14:textId="588CD9D0">
      <w:pPr>
        <w:suppressAutoHyphens/>
      </w:pPr>
      <w:r w:rsidRPr="005F055E">
        <w:t>Door de laatste twee redenen kan gesteld worden dat het subsidieonderdeel van een thema niet het volledige jaarbudget is voor het betreffende thema. De budgetten staan immers verspreid over verschillende begrotingsinstrumenten en mogelijk wordt hier nog op gemuteerd door bijdragen/afdrachten van/naar andere begrotingsartikelen of departementen.</w:t>
      </w:r>
    </w:p>
    <w:p w:rsidRPr="005F055E" w:rsidR="00E57EFE" w:rsidP="00180EEB" w:rsidRDefault="00E57EFE" w14:paraId="3845F28B" w14:textId="7291268B">
      <w:pPr>
        <w:suppressAutoHyphens/>
      </w:pPr>
      <w:r w:rsidRPr="005F055E">
        <w:t xml:space="preserve">Daarnaast worden subsidies soms op een </w:t>
      </w:r>
      <w:r w:rsidRPr="005F055E" w:rsidR="001B3826">
        <w:t>ander</w:t>
      </w:r>
      <w:r w:rsidRPr="005F055E">
        <w:t xml:space="preserve"> subsidiebudget geboekt. Het is daarom relevant om te kijken naar het geheel van verschillende begrotingsposten samen en daarbij de posten “inclusieve samenleving” en “kennis en informatiebeleid” te betrekken. Dit totaal laat een stijging zien van 3,1 </w:t>
      </w:r>
      <w:r w:rsidRPr="005F055E" w:rsidR="000D3B9D">
        <w:t>miljoen</w:t>
      </w:r>
      <w:r w:rsidRPr="005F055E">
        <w:t xml:space="preserve"> van 2025 naar 2026.</w:t>
      </w:r>
    </w:p>
    <w:p w:rsidRPr="005F055E" w:rsidR="00E57EFE" w:rsidP="00180EEB" w:rsidRDefault="00E57EFE" w14:paraId="6E7698DB" w14:textId="77777777">
      <w:pPr>
        <w:suppressAutoHyphens/>
      </w:pPr>
      <w:r w:rsidRPr="005F055E">
        <w:t xml:space="preserve">Dit maakt dat het niet mogelijk is een duidelijke verklaring te geven voor de geconstateerde daling. Hoewel er in 2026 veranderingen zullen plaatsvinden in (de samenstelling van) het totaal aan subsidies dat gekoppeld is aan deze begrotingspost is deze geconstateerde daling niet direct het volledige gevolg van bezuinigingen. </w:t>
      </w:r>
    </w:p>
    <w:p w:rsidRPr="005F055E" w:rsidR="00D535AF" w:rsidP="00180EEB" w:rsidRDefault="00D535AF" w14:paraId="1FDD4993" w14:textId="77777777">
      <w:pPr>
        <w:suppressAutoHyphens/>
      </w:pPr>
    </w:p>
    <w:p w:rsidRPr="005F055E" w:rsidR="00D535AF" w:rsidP="00180EEB" w:rsidRDefault="003E7003" w14:paraId="7D0C955F" w14:textId="66CB49DB">
      <w:pPr>
        <w:suppressAutoHyphens/>
      </w:pPr>
      <w:r w:rsidRPr="005F055E">
        <w:t>Vraag 435</w:t>
      </w:r>
    </w:p>
    <w:p w:rsidRPr="005F055E" w:rsidR="00D535AF" w:rsidP="00180EEB" w:rsidRDefault="003E7003" w14:paraId="438A21B9" w14:textId="77777777">
      <w:pPr>
        <w:suppressAutoHyphens/>
      </w:pPr>
      <w:r w:rsidRPr="005F055E">
        <w:t>Hoeveel pgb-houders worden geraakt door de verandering in de Regeling dienstverlening aan huis, waaruit voortvloeit dat pgb-houders twintig procent aan werkgeverslasten moeten gaan betalen?</w:t>
      </w:r>
    </w:p>
    <w:p w:rsidRPr="005F055E" w:rsidR="003E7003" w:rsidP="00180EEB" w:rsidRDefault="003E7003" w14:paraId="66EAF9AD" w14:textId="7DBFD638">
      <w:pPr>
        <w:suppressAutoHyphens/>
      </w:pPr>
      <w:r w:rsidRPr="005F055E">
        <w:t>Antwoord</w:t>
      </w:r>
    </w:p>
    <w:p w:rsidRPr="005F055E" w:rsidR="008D2F23" w:rsidP="00180EEB" w:rsidRDefault="008D2F23" w14:paraId="0713E912" w14:textId="77777777">
      <w:pPr>
        <w:suppressAutoHyphens/>
        <w:spacing w:line="240" w:lineRule="atLeast"/>
        <w:rPr>
          <w:szCs w:val="18"/>
          <w:lang w:eastAsia="nl-NL"/>
        </w:rPr>
      </w:pPr>
      <w:r w:rsidRPr="005F055E">
        <w:rPr>
          <w:szCs w:val="18"/>
          <w:lang w:eastAsia="nl-NL"/>
        </w:rPr>
        <w:t xml:space="preserve">Het gaat om ongeveer 16.000 budgethouders die een of meerdere overeenkomsten onder de Regeling dienstverlening aan huis hebben afgesloten. Totaal is dit ongeveer 30.000 overeenkomsten. Deze cijfers zijn door de SVB opgeleverd bij de uitvoeringstoets uit 2024. Ervaring leert dat budgethouders regelmatig overeenkomsten opzeggen en nieuwe aangaan met verschillende zorgverleners. Daarom kan ik geen exacte aantallen noemen. </w:t>
      </w:r>
    </w:p>
    <w:p w:rsidRPr="005F055E" w:rsidR="002B7541" w:rsidP="00180EEB" w:rsidRDefault="002B7541" w14:paraId="441A69BE" w14:textId="77777777">
      <w:pPr>
        <w:suppressAutoHyphens/>
      </w:pPr>
    </w:p>
    <w:p w:rsidRPr="005F055E" w:rsidR="00D535AF" w:rsidP="00180EEB" w:rsidRDefault="003E7003" w14:paraId="405FE0A5" w14:textId="2CC95DA6">
      <w:pPr>
        <w:suppressAutoHyphens/>
      </w:pPr>
      <w:r w:rsidRPr="005F055E">
        <w:t>Vraag 436</w:t>
      </w:r>
    </w:p>
    <w:p w:rsidRPr="005F055E" w:rsidR="00D535AF" w:rsidP="00180EEB" w:rsidRDefault="003E7003" w14:paraId="5FBEBEB2" w14:textId="77777777">
      <w:pPr>
        <w:suppressAutoHyphens/>
      </w:pPr>
      <w:r w:rsidRPr="005F055E">
        <w:t>Waarom worden op verschillende beleidsartikelen (bijvoorbeeld beleidsartikel 4) over bepaalde onderwerpen wel meetbare doelformuleringen gesteld en op andere niet?</w:t>
      </w:r>
    </w:p>
    <w:p w:rsidRPr="005F055E" w:rsidR="003E7003" w:rsidP="00180EEB" w:rsidRDefault="003E7003" w14:paraId="5F7949C6" w14:textId="7D41C8BC">
      <w:pPr>
        <w:suppressAutoHyphens/>
      </w:pPr>
      <w:r w:rsidRPr="005F055E">
        <w:t>Antwoord</w:t>
      </w:r>
    </w:p>
    <w:p w:rsidRPr="005F055E" w:rsidR="008D2F23" w:rsidP="00180EEB" w:rsidRDefault="008D2F23" w14:paraId="3C305802" w14:textId="72906FBD">
      <w:pPr>
        <w:suppressAutoHyphens/>
        <w:rPr>
          <w:szCs w:val="18"/>
          <w:lang w:eastAsia="nl-NL"/>
        </w:rPr>
      </w:pPr>
      <w:r w:rsidRPr="005F055E">
        <w:rPr>
          <w:szCs w:val="18"/>
          <w:lang w:eastAsia="nl-NL"/>
        </w:rPr>
        <w:t>De zorg is complex en uitkomsten van beleid zijn niet altijd direct meetbaar. Bij onderwerpen waarvoor duidelijke, kwantitatieve indicatoren beschikbaar zijn en de relatie tussen beleid en resultaten goed afgebakend is, kunnen concrete en meetbare doelen met een streefwaarde worden geformuleerd. In andere gevallen, zoals bij beleid gericht op preventie, welzijn of gezondheidsbevordering, is die relatie minder direct. De maatschappelijke effecten van beleid zijn daar vaak pas op langere termijn zichtbaar en worden mede beïnvloed door diverse externe factoren. In die gevallen wordt er vaak gekozen voor het opnemen van kengetallen.</w:t>
      </w:r>
    </w:p>
    <w:p w:rsidRPr="005F055E" w:rsidR="008D2F23" w:rsidP="00180EEB" w:rsidRDefault="008D2F23" w14:paraId="25AD2829" w14:textId="713BA8D6">
      <w:pPr>
        <w:suppressAutoHyphens/>
        <w:rPr>
          <w:szCs w:val="18"/>
          <w:lang w:eastAsia="nl-NL"/>
        </w:rPr>
      </w:pPr>
      <w:r w:rsidRPr="005F055E">
        <w:rPr>
          <w:szCs w:val="18"/>
          <w:lang w:eastAsia="nl-NL"/>
        </w:rPr>
        <w:t>Of er een indicator met een duidelijke streefwaarde of een kengetal die meer iets zegt over de richting waarop een doelstelling zich beweegt hangt dus</w:t>
      </w:r>
      <w:r w:rsidRPr="005F055E" w:rsidR="00D73F76">
        <w:rPr>
          <w:szCs w:val="18"/>
          <w:lang w:eastAsia="nl-NL"/>
        </w:rPr>
        <w:t xml:space="preserve"> </w:t>
      </w:r>
      <w:r w:rsidRPr="005F055E">
        <w:rPr>
          <w:szCs w:val="18"/>
          <w:lang w:eastAsia="nl-NL"/>
        </w:rPr>
        <w:t>samen met de aard van het beleidsterrein en de mate waarin resultaten rechtstreeks meetbaar of beïnvloedbaar zijn door het beleid van VWS.</w:t>
      </w:r>
    </w:p>
    <w:p w:rsidRPr="005F055E" w:rsidR="00D535AF" w:rsidP="00180EEB" w:rsidRDefault="00D535AF" w14:paraId="47D6A1BB" w14:textId="77777777">
      <w:pPr>
        <w:suppressAutoHyphens/>
      </w:pPr>
    </w:p>
    <w:p w:rsidR="00180EEB" w:rsidP="00180EEB" w:rsidRDefault="00180EEB" w14:paraId="156542A9" w14:textId="77777777">
      <w:pPr>
        <w:suppressAutoHyphens/>
      </w:pPr>
    </w:p>
    <w:p w:rsidRPr="005F055E" w:rsidR="00D535AF" w:rsidP="00180EEB" w:rsidRDefault="003E7003" w14:paraId="30AC3719" w14:textId="18E49CEF">
      <w:pPr>
        <w:suppressAutoHyphens/>
      </w:pPr>
      <w:r w:rsidRPr="005F055E">
        <w:t>Vraag 437</w:t>
      </w:r>
    </w:p>
    <w:p w:rsidRPr="005F055E" w:rsidR="00D535AF" w:rsidP="00180EEB" w:rsidRDefault="003E7003" w14:paraId="574131C1" w14:textId="232258A5">
      <w:pPr>
        <w:suppressAutoHyphens/>
      </w:pPr>
      <w:r w:rsidRPr="005F055E">
        <w:t xml:space="preserve">Kan gebruik gemaakt worden van subsidie bij de IZA-afspraken over het vergroten van transparantie in de </w:t>
      </w:r>
      <w:r w:rsidR="00D55762">
        <w:t>GGZ</w:t>
      </w:r>
      <w:r w:rsidRPr="005F055E">
        <w:t>?</w:t>
      </w:r>
    </w:p>
    <w:p w:rsidRPr="005F055E" w:rsidR="003E7003" w:rsidP="00180EEB" w:rsidRDefault="003E7003" w14:paraId="4B10084C" w14:textId="05598B49">
      <w:pPr>
        <w:suppressAutoHyphens/>
      </w:pPr>
      <w:r w:rsidRPr="005F055E">
        <w:t>Antwoord</w:t>
      </w:r>
    </w:p>
    <w:p w:rsidRPr="005F055E" w:rsidR="00E57EFE" w:rsidP="00180EEB" w:rsidRDefault="00E57EFE" w14:paraId="38D856CB" w14:textId="42EB80E7">
      <w:pPr>
        <w:suppressAutoHyphens/>
        <w:rPr>
          <w:szCs w:val="18"/>
        </w:rPr>
      </w:pPr>
      <w:r w:rsidRPr="005F055E">
        <w:rPr>
          <w:szCs w:val="18"/>
        </w:rPr>
        <w:t xml:space="preserve">In het kader van de gezamenlijke afspraken uit IZA geeft het Zorginstituut Nederland uitvoering aan het Programma Versterken kwaliteitstransparantie </w:t>
      </w:r>
      <w:r w:rsidR="00D55762">
        <w:rPr>
          <w:szCs w:val="18"/>
        </w:rPr>
        <w:t>GGZ</w:t>
      </w:r>
      <w:r w:rsidRPr="005F055E">
        <w:rPr>
          <w:szCs w:val="18"/>
        </w:rPr>
        <w:t xml:space="preserve">. Er bestaat geen losstaande subsidieregeling voor transparantie in de </w:t>
      </w:r>
      <w:r w:rsidR="00D55762">
        <w:rPr>
          <w:szCs w:val="18"/>
        </w:rPr>
        <w:t>GGZ</w:t>
      </w:r>
      <w:r w:rsidRPr="005F055E">
        <w:rPr>
          <w:szCs w:val="18"/>
        </w:rPr>
        <w:t xml:space="preserve">. </w:t>
      </w:r>
    </w:p>
    <w:p w:rsidRPr="005F055E" w:rsidR="00D535AF" w:rsidP="00180EEB" w:rsidRDefault="00D535AF" w14:paraId="623FC68C" w14:textId="77777777">
      <w:pPr>
        <w:suppressAutoHyphens/>
      </w:pPr>
    </w:p>
    <w:p w:rsidRPr="005F055E" w:rsidR="00D535AF" w:rsidP="00180EEB" w:rsidRDefault="003E7003" w14:paraId="15ECEF6F" w14:textId="77777777">
      <w:pPr>
        <w:suppressAutoHyphens/>
      </w:pPr>
      <w:r w:rsidRPr="005F055E">
        <w:t>Vraag 438</w:t>
      </w:r>
    </w:p>
    <w:p w:rsidRPr="005F055E" w:rsidR="00D535AF" w:rsidP="00180EEB" w:rsidRDefault="003E7003" w14:paraId="0DBFB4AD" w14:textId="77777777">
      <w:pPr>
        <w:suppressAutoHyphens/>
      </w:pPr>
      <w:r w:rsidRPr="005F055E">
        <w:t xml:space="preserve">Hoeveel opleidingsplekken voor </w:t>
      </w:r>
      <w:proofErr w:type="spellStart"/>
      <w:r w:rsidRPr="005F055E">
        <w:t>gz</w:t>
      </w:r>
      <w:proofErr w:type="spellEnd"/>
      <w:r w:rsidRPr="005F055E">
        <w:t xml:space="preserve">-psychologen waren er de afgelopen tien jaar? In hoeverre is per jaar de afgelopen tien jaar het advies van het Capaciteitsorgaan opgevolgd? Hoeveel opleidingsplekken voor </w:t>
      </w:r>
      <w:proofErr w:type="spellStart"/>
      <w:r w:rsidRPr="005F055E">
        <w:t>gz</w:t>
      </w:r>
      <w:proofErr w:type="spellEnd"/>
      <w:r w:rsidRPr="005F055E">
        <w:t>-psychologen zijn er komend jaar?</w:t>
      </w:r>
    </w:p>
    <w:p w:rsidRPr="005F055E" w:rsidR="003E7003" w:rsidP="00180EEB" w:rsidRDefault="003E7003" w14:paraId="411B1D82" w14:textId="42E95DC9">
      <w:pPr>
        <w:suppressAutoHyphens/>
      </w:pPr>
      <w:r w:rsidRPr="005F055E">
        <w:t>Antwoord</w:t>
      </w:r>
    </w:p>
    <w:p w:rsidRPr="005F055E" w:rsidR="00E57EFE" w:rsidP="00180EEB" w:rsidRDefault="00E57EFE" w14:paraId="5B77684F" w14:textId="718A0D83">
      <w:pPr>
        <w:suppressAutoHyphens/>
        <w:rPr>
          <w:rFonts w:cs="Calibri"/>
          <w:szCs w:val="18"/>
        </w:rPr>
      </w:pPr>
      <w:r w:rsidRPr="005F055E">
        <w:rPr>
          <w:rFonts w:cs="Calibri"/>
          <w:szCs w:val="18"/>
        </w:rPr>
        <w:t>De afgelopen tien jaar zijn in totaal 7443 gesubsidieerde opleidingsplekken voor de GZ-psycholoog beschikbaar gesteld.</w:t>
      </w:r>
      <w:r w:rsidRPr="005F055E" w:rsidR="00D73F76">
        <w:rPr>
          <w:rFonts w:cs="Calibri"/>
          <w:szCs w:val="18"/>
        </w:rPr>
        <w:t xml:space="preserve"> </w:t>
      </w:r>
    </w:p>
    <w:p w:rsidR="00E57EFE" w:rsidP="00180EEB" w:rsidRDefault="00E57EFE" w14:paraId="2F6B84AA" w14:textId="1E8AD902">
      <w:pPr>
        <w:suppressAutoHyphens/>
        <w:rPr>
          <w:rFonts w:cs="Calibri"/>
          <w:szCs w:val="18"/>
        </w:rPr>
      </w:pPr>
      <w:r w:rsidRPr="005F055E">
        <w:rPr>
          <w:rFonts w:cs="Calibri"/>
          <w:szCs w:val="18"/>
        </w:rPr>
        <w:t>Uit onderstaande tabel volgt in hoeverre de afgelopen tien jaar de adviezen van het Capaciteitsorgaan zijn opgevolgd. Voor de jaren 2024 – 2027 is niet voor het voorkeursadvies van het Capaciteitsorgaan gekozen, maar voor het scenario waar wel de groeiende zorgvraag wordt meegenomen, maar niet wordt meegegaan in de extra kwaliteitswens van de sector</w:t>
      </w:r>
      <w:r w:rsidRPr="005F055E">
        <w:rPr>
          <w:rStyle w:val="Voetnootmarkering"/>
          <w:rFonts w:cs="Calibri"/>
          <w:szCs w:val="18"/>
        </w:rPr>
        <w:footnoteReference w:id="174"/>
      </w:r>
      <w:r w:rsidRPr="005F055E">
        <w:rPr>
          <w:rFonts w:cs="Calibri"/>
          <w:szCs w:val="18"/>
        </w:rPr>
        <w:t xml:space="preserve">. Hierbij zijn het aantal opleidingsplekken met 16% verhoogd, van 832 instroomplekken naar 965. </w:t>
      </w:r>
    </w:p>
    <w:p w:rsidRPr="005F055E" w:rsidR="00D71325" w:rsidP="00180EEB" w:rsidRDefault="00D71325" w14:paraId="42D31474" w14:textId="77777777">
      <w:pPr>
        <w:suppressAutoHyphens/>
        <w:rPr>
          <w:rFonts w:cs="Calibri"/>
          <w:szCs w:val="18"/>
        </w:rPr>
      </w:pPr>
    </w:p>
    <w:tbl>
      <w:tblPr>
        <w:tblStyle w:val="Tabelraster"/>
        <w:tblW w:w="0" w:type="auto"/>
        <w:tblLook w:val="04A0" w:firstRow="1" w:lastRow="0" w:firstColumn="1" w:lastColumn="0" w:noHBand="0" w:noVBand="1"/>
      </w:tblPr>
      <w:tblGrid>
        <w:gridCol w:w="2250"/>
        <w:gridCol w:w="2250"/>
        <w:gridCol w:w="3575"/>
      </w:tblGrid>
      <w:tr w:rsidRPr="005F055E" w:rsidR="00E57EFE" w:rsidTr="005E2643" w14:paraId="72F092EA" w14:textId="77777777">
        <w:trPr>
          <w:trHeight w:val="252"/>
        </w:trPr>
        <w:tc>
          <w:tcPr>
            <w:tcW w:w="2250" w:type="dxa"/>
          </w:tcPr>
          <w:p w:rsidRPr="00C64B91" w:rsidR="00E57EFE" w:rsidP="00180EEB" w:rsidRDefault="00E57EFE" w14:paraId="4ACD4B0B" w14:textId="77777777">
            <w:pPr>
              <w:suppressAutoHyphens/>
              <w:rPr>
                <w:rFonts w:ascii="Verdana" w:hAnsi="Verdana" w:cs="Calibri"/>
                <w:b/>
                <w:bCs/>
                <w:sz w:val="18"/>
                <w:szCs w:val="18"/>
              </w:rPr>
            </w:pPr>
            <w:r w:rsidRPr="00C64B91">
              <w:rPr>
                <w:rFonts w:cs="Calibri"/>
                <w:b/>
                <w:bCs/>
                <w:sz w:val="18"/>
                <w:szCs w:val="18"/>
              </w:rPr>
              <w:t xml:space="preserve">Jaartal </w:t>
            </w:r>
          </w:p>
        </w:tc>
        <w:tc>
          <w:tcPr>
            <w:tcW w:w="2250" w:type="dxa"/>
          </w:tcPr>
          <w:p w:rsidRPr="00C64B91" w:rsidR="00E57EFE" w:rsidP="00180EEB" w:rsidRDefault="00E57EFE" w14:paraId="40C4C44E" w14:textId="77777777">
            <w:pPr>
              <w:suppressAutoHyphens/>
              <w:rPr>
                <w:rFonts w:ascii="Verdana" w:hAnsi="Verdana" w:cs="Calibri"/>
                <w:b/>
                <w:bCs/>
                <w:sz w:val="18"/>
                <w:szCs w:val="18"/>
              </w:rPr>
            </w:pPr>
            <w:r w:rsidRPr="00C64B91">
              <w:rPr>
                <w:rFonts w:cs="Calibri"/>
                <w:b/>
                <w:bCs/>
                <w:sz w:val="18"/>
                <w:szCs w:val="18"/>
              </w:rPr>
              <w:t>Advies Capaciteitsorgaan</w:t>
            </w:r>
          </w:p>
        </w:tc>
        <w:tc>
          <w:tcPr>
            <w:tcW w:w="3575" w:type="dxa"/>
          </w:tcPr>
          <w:p w:rsidRPr="00C64B91" w:rsidR="00E57EFE" w:rsidP="00180EEB" w:rsidRDefault="00E57EFE" w14:paraId="57ABBFF9" w14:textId="77777777">
            <w:pPr>
              <w:suppressAutoHyphens/>
              <w:rPr>
                <w:rFonts w:ascii="Verdana" w:hAnsi="Verdana" w:cs="Calibri"/>
                <w:b/>
                <w:bCs/>
                <w:sz w:val="18"/>
                <w:szCs w:val="18"/>
              </w:rPr>
            </w:pPr>
            <w:r w:rsidRPr="00C64B91">
              <w:rPr>
                <w:rFonts w:cs="Calibri"/>
                <w:b/>
                <w:bCs/>
                <w:sz w:val="18"/>
                <w:szCs w:val="18"/>
              </w:rPr>
              <w:t>Aantal gesubsidieerde opleidingsplekken</w:t>
            </w:r>
          </w:p>
        </w:tc>
      </w:tr>
      <w:tr w:rsidRPr="005F055E" w:rsidR="00E57EFE" w:rsidTr="005E2643" w14:paraId="0E76C050" w14:textId="77777777">
        <w:trPr>
          <w:trHeight w:val="252"/>
        </w:trPr>
        <w:tc>
          <w:tcPr>
            <w:tcW w:w="2250" w:type="dxa"/>
          </w:tcPr>
          <w:p w:rsidRPr="00C64B91" w:rsidR="00E57EFE" w:rsidP="00180EEB" w:rsidRDefault="00E57EFE" w14:paraId="12410496" w14:textId="77777777">
            <w:pPr>
              <w:suppressAutoHyphens/>
              <w:rPr>
                <w:rFonts w:ascii="Verdana" w:hAnsi="Verdana" w:cs="Calibri"/>
                <w:sz w:val="18"/>
                <w:szCs w:val="18"/>
              </w:rPr>
            </w:pPr>
            <w:r w:rsidRPr="00C64B91">
              <w:rPr>
                <w:rFonts w:cs="Calibri"/>
                <w:sz w:val="18"/>
                <w:szCs w:val="18"/>
              </w:rPr>
              <w:t>2015, 2016 en 2017</w:t>
            </w:r>
          </w:p>
        </w:tc>
        <w:tc>
          <w:tcPr>
            <w:tcW w:w="2250" w:type="dxa"/>
          </w:tcPr>
          <w:p w:rsidRPr="00C64B91" w:rsidR="00E57EFE" w:rsidP="00180EEB" w:rsidRDefault="00E57EFE" w14:paraId="63599F6B" w14:textId="77777777">
            <w:pPr>
              <w:suppressAutoHyphens/>
              <w:rPr>
                <w:rFonts w:ascii="Verdana" w:hAnsi="Verdana" w:cs="Calibri"/>
                <w:sz w:val="18"/>
                <w:szCs w:val="18"/>
              </w:rPr>
            </w:pPr>
            <w:r w:rsidRPr="00C64B91">
              <w:rPr>
                <w:rFonts w:cs="Calibri"/>
                <w:sz w:val="18"/>
                <w:szCs w:val="18"/>
              </w:rPr>
              <w:t>524</w:t>
            </w:r>
          </w:p>
        </w:tc>
        <w:tc>
          <w:tcPr>
            <w:tcW w:w="3575" w:type="dxa"/>
          </w:tcPr>
          <w:p w:rsidRPr="00C64B91" w:rsidR="00E57EFE" w:rsidP="00180EEB" w:rsidRDefault="00E57EFE" w14:paraId="0045BD2B" w14:textId="77777777">
            <w:pPr>
              <w:suppressAutoHyphens/>
              <w:rPr>
                <w:rFonts w:ascii="Verdana" w:hAnsi="Verdana" w:cs="Calibri"/>
                <w:sz w:val="18"/>
                <w:szCs w:val="18"/>
              </w:rPr>
            </w:pPr>
            <w:r w:rsidRPr="00C64B91">
              <w:rPr>
                <w:rFonts w:cs="Calibri"/>
                <w:sz w:val="18"/>
                <w:szCs w:val="18"/>
              </w:rPr>
              <w:t>500</w:t>
            </w:r>
          </w:p>
        </w:tc>
      </w:tr>
      <w:tr w:rsidRPr="005F055E" w:rsidR="00E57EFE" w:rsidTr="005E2643" w14:paraId="39825CB7" w14:textId="77777777">
        <w:trPr>
          <w:trHeight w:val="252"/>
        </w:trPr>
        <w:tc>
          <w:tcPr>
            <w:tcW w:w="2250" w:type="dxa"/>
          </w:tcPr>
          <w:p w:rsidRPr="00C64B91" w:rsidR="00E57EFE" w:rsidP="00180EEB" w:rsidRDefault="00E57EFE" w14:paraId="7CBC7E8C" w14:textId="77777777">
            <w:pPr>
              <w:suppressAutoHyphens/>
              <w:rPr>
                <w:rFonts w:ascii="Verdana" w:hAnsi="Verdana" w:cs="Calibri"/>
                <w:sz w:val="18"/>
                <w:szCs w:val="18"/>
              </w:rPr>
            </w:pPr>
            <w:r w:rsidRPr="00C64B91">
              <w:rPr>
                <w:rFonts w:cs="Calibri"/>
                <w:sz w:val="18"/>
                <w:szCs w:val="18"/>
              </w:rPr>
              <w:t>2018</w:t>
            </w:r>
          </w:p>
        </w:tc>
        <w:tc>
          <w:tcPr>
            <w:tcW w:w="2250" w:type="dxa"/>
          </w:tcPr>
          <w:p w:rsidRPr="00C64B91" w:rsidR="00E57EFE" w:rsidP="00180EEB" w:rsidRDefault="00E57EFE" w14:paraId="664FC5FC" w14:textId="77777777">
            <w:pPr>
              <w:suppressAutoHyphens/>
              <w:rPr>
                <w:rFonts w:ascii="Verdana" w:hAnsi="Verdana" w:cs="Calibri"/>
                <w:sz w:val="18"/>
                <w:szCs w:val="18"/>
              </w:rPr>
            </w:pPr>
            <w:r w:rsidRPr="00C64B91">
              <w:rPr>
                <w:rFonts w:cs="Calibri"/>
                <w:sz w:val="18"/>
                <w:szCs w:val="18"/>
              </w:rPr>
              <w:t>723</w:t>
            </w:r>
          </w:p>
        </w:tc>
        <w:tc>
          <w:tcPr>
            <w:tcW w:w="3575" w:type="dxa"/>
          </w:tcPr>
          <w:p w:rsidRPr="00C64B91" w:rsidR="00E57EFE" w:rsidP="00180EEB" w:rsidRDefault="00E57EFE" w14:paraId="1D6B5401" w14:textId="77777777">
            <w:pPr>
              <w:suppressAutoHyphens/>
              <w:rPr>
                <w:rFonts w:ascii="Verdana" w:hAnsi="Verdana" w:cs="Calibri"/>
                <w:sz w:val="18"/>
                <w:szCs w:val="18"/>
              </w:rPr>
            </w:pPr>
            <w:r w:rsidRPr="00C64B91">
              <w:rPr>
                <w:rFonts w:cs="Calibri"/>
                <w:sz w:val="18"/>
                <w:szCs w:val="18"/>
              </w:rPr>
              <w:t>611</w:t>
            </w:r>
          </w:p>
        </w:tc>
      </w:tr>
      <w:tr w:rsidRPr="005F055E" w:rsidR="00E57EFE" w:rsidTr="005E2643" w14:paraId="7277CDC3" w14:textId="77777777">
        <w:trPr>
          <w:trHeight w:val="252"/>
        </w:trPr>
        <w:tc>
          <w:tcPr>
            <w:tcW w:w="2250" w:type="dxa"/>
          </w:tcPr>
          <w:p w:rsidRPr="00C64B91" w:rsidR="00E57EFE" w:rsidP="00180EEB" w:rsidRDefault="00E57EFE" w14:paraId="592BB4B7" w14:textId="77777777">
            <w:pPr>
              <w:suppressAutoHyphens/>
              <w:rPr>
                <w:rFonts w:ascii="Verdana" w:hAnsi="Verdana" w:cs="Calibri"/>
                <w:sz w:val="18"/>
                <w:szCs w:val="18"/>
              </w:rPr>
            </w:pPr>
            <w:r w:rsidRPr="00C64B91">
              <w:rPr>
                <w:rFonts w:cs="Calibri"/>
                <w:sz w:val="18"/>
                <w:szCs w:val="18"/>
              </w:rPr>
              <w:t>2019</w:t>
            </w:r>
          </w:p>
        </w:tc>
        <w:tc>
          <w:tcPr>
            <w:tcW w:w="2250" w:type="dxa"/>
          </w:tcPr>
          <w:p w:rsidRPr="00C64B91" w:rsidR="00E57EFE" w:rsidP="00180EEB" w:rsidRDefault="00E57EFE" w14:paraId="7CC0C152" w14:textId="77777777">
            <w:pPr>
              <w:suppressAutoHyphens/>
              <w:rPr>
                <w:rFonts w:ascii="Verdana" w:hAnsi="Verdana" w:cs="Calibri"/>
                <w:sz w:val="18"/>
                <w:szCs w:val="18"/>
              </w:rPr>
            </w:pPr>
            <w:r w:rsidRPr="00C64B91">
              <w:rPr>
                <w:rFonts w:cs="Calibri"/>
                <w:sz w:val="18"/>
                <w:szCs w:val="18"/>
              </w:rPr>
              <w:t>723</w:t>
            </w:r>
          </w:p>
        </w:tc>
        <w:tc>
          <w:tcPr>
            <w:tcW w:w="3575" w:type="dxa"/>
          </w:tcPr>
          <w:p w:rsidRPr="00C64B91" w:rsidR="00E57EFE" w:rsidP="00180EEB" w:rsidRDefault="00E57EFE" w14:paraId="09C555C3" w14:textId="77777777">
            <w:pPr>
              <w:suppressAutoHyphens/>
              <w:rPr>
                <w:rFonts w:ascii="Verdana" w:hAnsi="Verdana" w:cs="Calibri"/>
                <w:sz w:val="18"/>
                <w:szCs w:val="18"/>
              </w:rPr>
            </w:pPr>
            <w:r w:rsidRPr="00C64B91">
              <w:rPr>
                <w:rFonts w:cs="Calibri"/>
                <w:sz w:val="18"/>
                <w:szCs w:val="18"/>
              </w:rPr>
              <w:t>760</w:t>
            </w:r>
          </w:p>
        </w:tc>
      </w:tr>
      <w:tr w:rsidRPr="005F055E" w:rsidR="00E57EFE" w:rsidTr="005E2643" w14:paraId="5A2670EA" w14:textId="77777777">
        <w:trPr>
          <w:trHeight w:val="252"/>
        </w:trPr>
        <w:tc>
          <w:tcPr>
            <w:tcW w:w="2250" w:type="dxa"/>
          </w:tcPr>
          <w:p w:rsidRPr="00C64B91" w:rsidR="00E57EFE" w:rsidP="00180EEB" w:rsidRDefault="00E57EFE" w14:paraId="791DAD52" w14:textId="77777777">
            <w:pPr>
              <w:suppressAutoHyphens/>
              <w:rPr>
                <w:rFonts w:ascii="Verdana" w:hAnsi="Verdana" w:cs="Calibri"/>
                <w:sz w:val="18"/>
                <w:szCs w:val="18"/>
              </w:rPr>
            </w:pPr>
            <w:r w:rsidRPr="00C64B91">
              <w:rPr>
                <w:rFonts w:cs="Calibri"/>
                <w:sz w:val="18"/>
                <w:szCs w:val="18"/>
              </w:rPr>
              <w:t>2020</w:t>
            </w:r>
          </w:p>
        </w:tc>
        <w:tc>
          <w:tcPr>
            <w:tcW w:w="2250" w:type="dxa"/>
          </w:tcPr>
          <w:p w:rsidRPr="00C64B91" w:rsidR="00E57EFE" w:rsidP="00180EEB" w:rsidRDefault="00E57EFE" w14:paraId="028F09D2" w14:textId="77777777">
            <w:pPr>
              <w:suppressAutoHyphens/>
              <w:rPr>
                <w:rFonts w:ascii="Verdana" w:hAnsi="Verdana" w:cs="Calibri"/>
                <w:sz w:val="18"/>
                <w:szCs w:val="18"/>
              </w:rPr>
            </w:pPr>
            <w:r w:rsidRPr="00C64B91">
              <w:rPr>
                <w:rFonts w:cs="Calibri"/>
                <w:sz w:val="18"/>
                <w:szCs w:val="18"/>
              </w:rPr>
              <w:t>723</w:t>
            </w:r>
          </w:p>
        </w:tc>
        <w:tc>
          <w:tcPr>
            <w:tcW w:w="3575" w:type="dxa"/>
          </w:tcPr>
          <w:p w:rsidRPr="00C64B91" w:rsidR="00E57EFE" w:rsidP="00180EEB" w:rsidRDefault="00E57EFE" w14:paraId="44786779" w14:textId="77777777">
            <w:pPr>
              <w:suppressAutoHyphens/>
              <w:rPr>
                <w:rFonts w:ascii="Verdana" w:hAnsi="Verdana" w:cs="Calibri"/>
                <w:sz w:val="18"/>
                <w:szCs w:val="18"/>
              </w:rPr>
            </w:pPr>
            <w:r w:rsidRPr="00C64B91">
              <w:rPr>
                <w:rFonts w:cs="Calibri"/>
                <w:sz w:val="18"/>
                <w:szCs w:val="18"/>
              </w:rPr>
              <w:t>906</w:t>
            </w:r>
          </w:p>
        </w:tc>
      </w:tr>
      <w:tr w:rsidRPr="005F055E" w:rsidR="00E57EFE" w:rsidTr="005E2643" w14:paraId="7FE0104E" w14:textId="77777777">
        <w:trPr>
          <w:trHeight w:val="252"/>
        </w:trPr>
        <w:tc>
          <w:tcPr>
            <w:tcW w:w="2250" w:type="dxa"/>
          </w:tcPr>
          <w:p w:rsidRPr="00C64B91" w:rsidR="00E57EFE" w:rsidP="00180EEB" w:rsidRDefault="00E57EFE" w14:paraId="0FC69754" w14:textId="77777777">
            <w:pPr>
              <w:suppressAutoHyphens/>
              <w:rPr>
                <w:rFonts w:ascii="Verdana" w:hAnsi="Verdana" w:cs="Calibri"/>
                <w:sz w:val="18"/>
                <w:szCs w:val="18"/>
              </w:rPr>
            </w:pPr>
            <w:r w:rsidRPr="00C64B91">
              <w:rPr>
                <w:rFonts w:cs="Calibri"/>
                <w:sz w:val="18"/>
                <w:szCs w:val="18"/>
              </w:rPr>
              <w:t>2021</w:t>
            </w:r>
          </w:p>
        </w:tc>
        <w:tc>
          <w:tcPr>
            <w:tcW w:w="2250" w:type="dxa"/>
          </w:tcPr>
          <w:p w:rsidRPr="00C64B91" w:rsidR="00E57EFE" w:rsidP="00180EEB" w:rsidRDefault="00E57EFE" w14:paraId="50A82E95" w14:textId="77777777">
            <w:pPr>
              <w:suppressAutoHyphens/>
              <w:rPr>
                <w:rFonts w:ascii="Verdana" w:hAnsi="Verdana" w:cs="Calibri"/>
                <w:sz w:val="18"/>
                <w:szCs w:val="18"/>
              </w:rPr>
            </w:pPr>
            <w:r w:rsidRPr="00C64B91">
              <w:rPr>
                <w:rFonts w:cs="Calibri"/>
                <w:sz w:val="18"/>
                <w:szCs w:val="18"/>
              </w:rPr>
              <w:t>723</w:t>
            </w:r>
          </w:p>
        </w:tc>
        <w:tc>
          <w:tcPr>
            <w:tcW w:w="3575" w:type="dxa"/>
          </w:tcPr>
          <w:p w:rsidRPr="00C64B91" w:rsidR="00E57EFE" w:rsidP="00180EEB" w:rsidRDefault="00E57EFE" w14:paraId="5F0FE564" w14:textId="77777777">
            <w:pPr>
              <w:suppressAutoHyphens/>
              <w:rPr>
                <w:rFonts w:ascii="Verdana" w:hAnsi="Verdana" w:cs="Calibri"/>
                <w:sz w:val="18"/>
                <w:szCs w:val="18"/>
              </w:rPr>
            </w:pPr>
            <w:r w:rsidRPr="00C64B91">
              <w:rPr>
                <w:rFonts w:cs="Calibri"/>
                <w:sz w:val="18"/>
                <w:szCs w:val="18"/>
              </w:rPr>
              <w:t>832</w:t>
            </w:r>
          </w:p>
        </w:tc>
      </w:tr>
      <w:tr w:rsidRPr="005F055E" w:rsidR="00E57EFE" w:rsidTr="005E2643" w14:paraId="54A318D2" w14:textId="77777777">
        <w:trPr>
          <w:trHeight w:val="252"/>
        </w:trPr>
        <w:tc>
          <w:tcPr>
            <w:tcW w:w="2250" w:type="dxa"/>
          </w:tcPr>
          <w:p w:rsidRPr="00C64B91" w:rsidR="00E57EFE" w:rsidP="00180EEB" w:rsidRDefault="00E57EFE" w14:paraId="51DE7E84" w14:textId="77777777">
            <w:pPr>
              <w:suppressAutoHyphens/>
              <w:rPr>
                <w:rFonts w:ascii="Verdana" w:hAnsi="Verdana" w:cs="Calibri"/>
                <w:sz w:val="18"/>
                <w:szCs w:val="18"/>
              </w:rPr>
            </w:pPr>
            <w:r w:rsidRPr="00C64B91">
              <w:rPr>
                <w:rFonts w:cs="Calibri"/>
                <w:sz w:val="18"/>
                <w:szCs w:val="18"/>
              </w:rPr>
              <w:t>2022 en 2023</w:t>
            </w:r>
          </w:p>
        </w:tc>
        <w:tc>
          <w:tcPr>
            <w:tcW w:w="2250" w:type="dxa"/>
          </w:tcPr>
          <w:p w:rsidRPr="00C64B91" w:rsidR="00E57EFE" w:rsidP="00180EEB" w:rsidRDefault="00E57EFE" w14:paraId="5FA8634B" w14:textId="77777777">
            <w:pPr>
              <w:suppressAutoHyphens/>
              <w:rPr>
                <w:rFonts w:ascii="Verdana" w:hAnsi="Verdana" w:cs="Calibri"/>
                <w:sz w:val="18"/>
                <w:szCs w:val="18"/>
              </w:rPr>
            </w:pPr>
            <w:r w:rsidRPr="00C64B91">
              <w:rPr>
                <w:rFonts w:cs="Calibri"/>
                <w:sz w:val="18"/>
                <w:szCs w:val="18"/>
              </w:rPr>
              <w:t>832</w:t>
            </w:r>
          </w:p>
        </w:tc>
        <w:tc>
          <w:tcPr>
            <w:tcW w:w="3575" w:type="dxa"/>
          </w:tcPr>
          <w:p w:rsidRPr="00C64B91" w:rsidR="00E57EFE" w:rsidP="00180EEB" w:rsidRDefault="00E57EFE" w14:paraId="59F6302D" w14:textId="77777777">
            <w:pPr>
              <w:suppressAutoHyphens/>
              <w:rPr>
                <w:rFonts w:ascii="Verdana" w:hAnsi="Verdana" w:cs="Calibri"/>
                <w:sz w:val="18"/>
                <w:szCs w:val="18"/>
              </w:rPr>
            </w:pPr>
            <w:r w:rsidRPr="00C64B91">
              <w:rPr>
                <w:rFonts w:cs="Calibri"/>
                <w:sz w:val="18"/>
                <w:szCs w:val="18"/>
              </w:rPr>
              <w:t>832</w:t>
            </w:r>
          </w:p>
        </w:tc>
      </w:tr>
      <w:tr w:rsidRPr="005F055E" w:rsidR="00E57EFE" w:rsidTr="005E2643" w14:paraId="2F3411CE" w14:textId="77777777">
        <w:trPr>
          <w:trHeight w:val="242"/>
        </w:trPr>
        <w:tc>
          <w:tcPr>
            <w:tcW w:w="2250" w:type="dxa"/>
          </w:tcPr>
          <w:p w:rsidRPr="00C64B91" w:rsidR="00E57EFE" w:rsidP="00180EEB" w:rsidRDefault="00E57EFE" w14:paraId="0FFC0E67" w14:textId="77777777">
            <w:pPr>
              <w:suppressAutoHyphens/>
              <w:rPr>
                <w:rFonts w:ascii="Verdana" w:hAnsi="Verdana" w:cs="Calibri"/>
                <w:sz w:val="18"/>
                <w:szCs w:val="18"/>
              </w:rPr>
            </w:pPr>
            <w:r w:rsidRPr="00C64B91">
              <w:rPr>
                <w:rFonts w:cs="Calibri"/>
                <w:sz w:val="18"/>
                <w:szCs w:val="18"/>
              </w:rPr>
              <w:t>2024 en 2025</w:t>
            </w:r>
          </w:p>
        </w:tc>
        <w:tc>
          <w:tcPr>
            <w:tcW w:w="2250" w:type="dxa"/>
          </w:tcPr>
          <w:p w:rsidRPr="00C64B91" w:rsidR="00E57EFE" w:rsidP="00180EEB" w:rsidRDefault="00E57EFE" w14:paraId="53C13E4A" w14:textId="77777777">
            <w:pPr>
              <w:suppressAutoHyphens/>
              <w:rPr>
                <w:rFonts w:ascii="Verdana" w:hAnsi="Verdana" w:cs="Calibri"/>
                <w:sz w:val="18"/>
                <w:szCs w:val="18"/>
              </w:rPr>
            </w:pPr>
            <w:r w:rsidRPr="00C64B91">
              <w:rPr>
                <w:rFonts w:cs="Calibri"/>
                <w:sz w:val="18"/>
                <w:szCs w:val="18"/>
              </w:rPr>
              <w:t xml:space="preserve">1.885 </w:t>
            </w:r>
          </w:p>
        </w:tc>
        <w:tc>
          <w:tcPr>
            <w:tcW w:w="3575" w:type="dxa"/>
          </w:tcPr>
          <w:p w:rsidRPr="00C64B91" w:rsidR="00E57EFE" w:rsidP="00180EEB" w:rsidRDefault="00E57EFE" w14:paraId="377F718D" w14:textId="77777777">
            <w:pPr>
              <w:suppressAutoHyphens/>
              <w:rPr>
                <w:rFonts w:ascii="Verdana" w:hAnsi="Verdana" w:cs="Calibri"/>
                <w:sz w:val="18"/>
                <w:szCs w:val="18"/>
              </w:rPr>
            </w:pPr>
            <w:r w:rsidRPr="00C64B91">
              <w:rPr>
                <w:rFonts w:cs="Calibri"/>
                <w:sz w:val="18"/>
                <w:szCs w:val="18"/>
              </w:rPr>
              <w:t>965</w:t>
            </w:r>
          </w:p>
        </w:tc>
      </w:tr>
    </w:tbl>
    <w:p w:rsidRPr="005F055E" w:rsidR="00E57EFE" w:rsidP="00180EEB" w:rsidRDefault="00E57EFE" w14:paraId="2354773A" w14:textId="438240FB">
      <w:pPr>
        <w:suppressAutoHyphens/>
        <w:rPr>
          <w:rFonts w:cs="Calibri"/>
          <w:szCs w:val="18"/>
        </w:rPr>
      </w:pPr>
      <w:r w:rsidRPr="005F055E">
        <w:rPr>
          <w:rFonts w:cs="Calibri"/>
          <w:szCs w:val="18"/>
        </w:rPr>
        <w:br/>
        <w:t xml:space="preserve">Voor 2026 worden net zoals in 2024 en 2025 965 gesubsidieerde opleidingsplekken beschikbaar gesteld voor </w:t>
      </w:r>
      <w:proofErr w:type="spellStart"/>
      <w:r w:rsidRPr="005F055E">
        <w:rPr>
          <w:rFonts w:cs="Calibri"/>
          <w:szCs w:val="18"/>
        </w:rPr>
        <w:t>gz</w:t>
      </w:r>
      <w:proofErr w:type="spellEnd"/>
      <w:r w:rsidRPr="005F055E">
        <w:rPr>
          <w:rFonts w:cs="Calibri"/>
          <w:szCs w:val="18"/>
        </w:rPr>
        <w:t>-psychologen. Eind 2025 wordt een nieuwe integrale raming van het Capaciteitsorgaan verwacht.</w:t>
      </w:r>
    </w:p>
    <w:p w:rsidRPr="005F055E" w:rsidR="00D535AF" w:rsidP="00180EEB" w:rsidRDefault="00D535AF" w14:paraId="523E61DA" w14:textId="77777777">
      <w:pPr>
        <w:suppressAutoHyphens/>
      </w:pPr>
    </w:p>
    <w:p w:rsidRPr="005F055E" w:rsidR="00D535AF" w:rsidP="00180EEB" w:rsidRDefault="003E7003" w14:paraId="4379FE25" w14:textId="77777777">
      <w:pPr>
        <w:suppressAutoHyphens/>
      </w:pPr>
      <w:r w:rsidRPr="005F055E">
        <w:t>Vraag 439</w:t>
      </w:r>
    </w:p>
    <w:p w:rsidRPr="005F055E" w:rsidR="00D535AF" w:rsidP="00180EEB" w:rsidRDefault="003E7003" w14:paraId="28D3535E" w14:textId="77777777">
      <w:pPr>
        <w:suppressAutoHyphens/>
      </w:pPr>
      <w:r w:rsidRPr="005F055E">
        <w:t xml:space="preserve">Hoeveel van het beschikbare budget van €44,6 miljoen in 2026 is specifiek gereserveerd voor de profielopleiding tot arts </w:t>
      </w:r>
      <w:proofErr w:type="spellStart"/>
      <w:r w:rsidRPr="005F055E">
        <w:t>infectieziektenbestrijding</w:t>
      </w:r>
      <w:proofErr w:type="spellEnd"/>
      <w:r w:rsidRPr="005F055E">
        <w:t>?</w:t>
      </w:r>
    </w:p>
    <w:p w:rsidRPr="005F055E" w:rsidR="00D535AF" w:rsidP="00180EEB" w:rsidRDefault="003E7003" w14:paraId="04E09877" w14:textId="3745BB50">
      <w:pPr>
        <w:suppressAutoHyphens/>
      </w:pPr>
      <w:r w:rsidRPr="005F055E">
        <w:t>Antwoord</w:t>
      </w:r>
    </w:p>
    <w:p w:rsidRPr="005F055E" w:rsidR="00E57EFE" w:rsidP="00180EEB" w:rsidRDefault="00E57EFE" w14:paraId="45F61A6C" w14:textId="77777777">
      <w:pPr>
        <w:suppressAutoHyphens/>
        <w:rPr>
          <w:szCs w:val="18"/>
        </w:rPr>
      </w:pPr>
      <w:r w:rsidRPr="005F055E">
        <w:rPr>
          <w:szCs w:val="18"/>
        </w:rPr>
        <w:t xml:space="preserve">Voor de profielopleiding tot arts </w:t>
      </w:r>
      <w:proofErr w:type="spellStart"/>
      <w:r w:rsidRPr="005F055E">
        <w:rPr>
          <w:szCs w:val="18"/>
        </w:rPr>
        <w:t>infectieziektenbestrijding</w:t>
      </w:r>
      <w:proofErr w:type="spellEnd"/>
      <w:r w:rsidRPr="005F055E">
        <w:rPr>
          <w:szCs w:val="18"/>
        </w:rPr>
        <w:t xml:space="preserve"> zijn er voor de 1e fase 23 plaatsen beschikbaar gesteld en in de 2e fase 23 plaatsen. Voor beide fasen is een tarief bepaald per fte. De werkelijke uitgaven zijn afhankelijk van de daadwerkelijke in- en doorstroom, de deeltijdfactor en ontwikkelingen in het werkveld. Op basis van voorgaande periode ging ca. 25% van het totale beschikbare budget naar plekken voor de opleiding tot arts </w:t>
      </w:r>
      <w:proofErr w:type="spellStart"/>
      <w:r w:rsidRPr="005F055E">
        <w:rPr>
          <w:szCs w:val="18"/>
        </w:rPr>
        <w:t>infectieziektenbestrijding</w:t>
      </w:r>
      <w:proofErr w:type="spellEnd"/>
      <w:r w:rsidRPr="005F055E">
        <w:rPr>
          <w:szCs w:val="18"/>
        </w:rPr>
        <w:t>. Op basis hiervan is het de verwachting dat in 2026 maximaal ca. € 11 miljoen aangevraagd zal worden voor plekken binnen deze opleiding.</w:t>
      </w:r>
    </w:p>
    <w:p w:rsidRPr="005F055E" w:rsidR="00D535AF" w:rsidP="00180EEB" w:rsidRDefault="00D535AF" w14:paraId="071BB3DD" w14:textId="77777777">
      <w:pPr>
        <w:suppressAutoHyphens/>
      </w:pPr>
    </w:p>
    <w:p w:rsidRPr="005F055E" w:rsidR="00D535AF" w:rsidP="00180EEB" w:rsidRDefault="003E7003" w14:paraId="55B7774E" w14:textId="77777777">
      <w:pPr>
        <w:suppressAutoHyphens/>
      </w:pPr>
      <w:r w:rsidRPr="005F055E">
        <w:t>Vraag 440</w:t>
      </w:r>
    </w:p>
    <w:p w:rsidRPr="005F055E" w:rsidR="00D535AF" w:rsidP="00180EEB" w:rsidRDefault="003E7003" w14:paraId="1B4E0CD1" w14:textId="0E2BBAA3">
      <w:pPr>
        <w:suppressAutoHyphens/>
      </w:pPr>
      <w:r w:rsidRPr="005F055E">
        <w:t>Wat is de reden voor de verlaging</w:t>
      </w:r>
      <w:r w:rsidRPr="005F055E" w:rsidR="00D73F76">
        <w:t xml:space="preserve"> </w:t>
      </w:r>
      <w:r w:rsidRPr="005F055E">
        <w:t xml:space="preserve">voor het extra opleiden van PA en VS in de huisartsenzorg, terwijl de vraag naar </w:t>
      </w:r>
      <w:proofErr w:type="spellStart"/>
      <w:r w:rsidRPr="005F055E">
        <w:t>PA’s</w:t>
      </w:r>
      <w:proofErr w:type="spellEnd"/>
      <w:r w:rsidRPr="005F055E">
        <w:t xml:space="preserve"> in de huisartsenzorg juist toeneemt?</w:t>
      </w:r>
    </w:p>
    <w:p w:rsidRPr="005F055E" w:rsidR="003E7003" w:rsidP="00180EEB" w:rsidRDefault="003E7003" w14:paraId="057002C3" w14:textId="243834CB">
      <w:pPr>
        <w:suppressAutoHyphens/>
      </w:pPr>
      <w:r w:rsidRPr="005F055E">
        <w:t>Antwoord</w:t>
      </w:r>
    </w:p>
    <w:p w:rsidRPr="005F055E" w:rsidR="00E57EFE" w:rsidP="00180EEB" w:rsidRDefault="00E57EFE" w14:paraId="675709A9" w14:textId="77777777">
      <w:pPr>
        <w:suppressAutoHyphens/>
        <w:rPr>
          <w:szCs w:val="18"/>
        </w:rPr>
      </w:pPr>
      <w:r w:rsidRPr="005F055E">
        <w:rPr>
          <w:szCs w:val="18"/>
        </w:rPr>
        <w:t>Er is geen verlaging voorzien van het budget voor het extra opleiden van PA en VS in de huisartsenzorg ten opzichte van eerdere jaren. Vanuit de middelen voor meer tijd voor de patiënt (MTVDP) zal er in 2026 en verder juist meer ruimte zijn om het opleiden van PA en VS in de huisartsenzorg te stimuleren.</w:t>
      </w:r>
    </w:p>
    <w:p w:rsidRPr="005F055E" w:rsidR="00E57EFE" w:rsidP="00180EEB" w:rsidRDefault="00E57EFE" w14:paraId="111A8C3D" w14:textId="77777777">
      <w:pPr>
        <w:suppressAutoHyphens/>
        <w:rPr>
          <w:szCs w:val="18"/>
        </w:rPr>
      </w:pPr>
      <w:r w:rsidRPr="005F055E">
        <w:rPr>
          <w:szCs w:val="18"/>
        </w:rPr>
        <w:t>In de begroting voor 2025 is gemeld dat er in totaal € 4 miljoen beschikbaar was voor de jaren 2023 tot en met 2025. Het bedrag van € 3 miljoen dat is vermeld in de ontwerpbegroting 2026 heeft enkel betrekking op dat begrotingsjaar. Gekeken naar het begrotingsjaar is er dus een stijging van het beschikbare budget ten opzichte van voorgaande periode.</w:t>
      </w:r>
    </w:p>
    <w:p w:rsidRPr="005F055E" w:rsidR="00D535AF" w:rsidP="00180EEB" w:rsidRDefault="00D535AF" w14:paraId="06321BA3" w14:textId="77777777">
      <w:pPr>
        <w:suppressAutoHyphens/>
      </w:pPr>
    </w:p>
    <w:p w:rsidRPr="005F055E" w:rsidR="00D535AF" w:rsidP="00180EEB" w:rsidRDefault="003E7003" w14:paraId="4BD240CC" w14:textId="77777777">
      <w:pPr>
        <w:suppressAutoHyphens/>
      </w:pPr>
      <w:r w:rsidRPr="005F055E">
        <w:t>Vraag 441</w:t>
      </w:r>
    </w:p>
    <w:p w:rsidR="00D71325" w:rsidP="00180EEB" w:rsidRDefault="003E7003" w14:paraId="0F9DAA29" w14:textId="3799FE2A">
      <w:pPr>
        <w:suppressAutoHyphens/>
      </w:pPr>
      <w:r w:rsidRPr="005F055E">
        <w:t xml:space="preserve">Klopt het dat ziekenhuizen een opleidingsbudget hebben voor </w:t>
      </w:r>
      <w:proofErr w:type="spellStart"/>
      <w:r w:rsidRPr="005F055E">
        <w:t>PA’s</w:t>
      </w:r>
      <w:proofErr w:type="spellEnd"/>
      <w:r w:rsidRPr="005F055E">
        <w:t>, terwijl huisartsen de opleidingskosten zelf moeten dragen? Zo ja, hoe wordt dit verschil verklaard en is het genoemde bedrag in de begroting (de €3 miljoen) specifiek bedoeld om deze kosten voor de huisartsenzorg te dekken?</w:t>
      </w:r>
    </w:p>
    <w:p w:rsidRPr="005F055E" w:rsidR="003E7003" w:rsidP="00180EEB" w:rsidRDefault="003E7003" w14:paraId="3526995B" w14:textId="737CA39D">
      <w:pPr>
        <w:suppressAutoHyphens/>
      </w:pPr>
      <w:r w:rsidRPr="005F055E">
        <w:t>Antwoord</w:t>
      </w:r>
    </w:p>
    <w:p w:rsidRPr="005F055E" w:rsidR="008D2F23" w:rsidP="00180EEB" w:rsidRDefault="008D2F23" w14:paraId="0285D7B9" w14:textId="77777777">
      <w:pPr>
        <w:suppressAutoHyphens/>
        <w:spacing w:line="240" w:lineRule="atLeast"/>
        <w:rPr>
          <w:szCs w:val="20"/>
          <w:lang w:eastAsia="nl-NL"/>
        </w:rPr>
      </w:pPr>
      <w:r w:rsidRPr="005F055E">
        <w:rPr>
          <w:szCs w:val="20"/>
          <w:lang w:eastAsia="nl-NL"/>
        </w:rPr>
        <w:t xml:space="preserve">Nee, er zijn binnen de begroting van VWS geen budgetten die specifiek zijn geoormerkt voor het opleiden van PA in ziekenhuizen. Vanuit de </w:t>
      </w:r>
      <w:r w:rsidRPr="005F055E">
        <w:rPr>
          <w:i/>
          <w:iCs/>
          <w:szCs w:val="20"/>
          <w:lang w:eastAsia="nl-NL"/>
        </w:rPr>
        <w:t xml:space="preserve">Subsidieregeling opleiding tot </w:t>
      </w:r>
      <w:proofErr w:type="spellStart"/>
      <w:r w:rsidRPr="005F055E">
        <w:rPr>
          <w:i/>
          <w:iCs/>
          <w:szCs w:val="20"/>
          <w:lang w:eastAsia="nl-NL"/>
        </w:rPr>
        <w:t>advanced</w:t>
      </w:r>
      <w:proofErr w:type="spellEnd"/>
      <w:r w:rsidRPr="005F055E">
        <w:rPr>
          <w:i/>
          <w:iCs/>
          <w:szCs w:val="20"/>
          <w:lang w:eastAsia="nl-NL"/>
        </w:rPr>
        <w:t xml:space="preserve"> nurse practitioner en </w:t>
      </w:r>
      <w:proofErr w:type="spellStart"/>
      <w:r w:rsidRPr="005F055E">
        <w:rPr>
          <w:i/>
          <w:iCs/>
          <w:szCs w:val="20"/>
          <w:lang w:eastAsia="nl-NL"/>
        </w:rPr>
        <w:t>physician</w:t>
      </w:r>
      <w:proofErr w:type="spellEnd"/>
      <w:r w:rsidRPr="005F055E">
        <w:rPr>
          <w:i/>
          <w:iCs/>
          <w:szCs w:val="20"/>
          <w:lang w:eastAsia="nl-NL"/>
        </w:rPr>
        <w:t xml:space="preserve"> </w:t>
      </w:r>
      <w:proofErr w:type="spellStart"/>
      <w:r w:rsidRPr="005F055E">
        <w:rPr>
          <w:i/>
          <w:iCs/>
          <w:szCs w:val="20"/>
          <w:lang w:eastAsia="nl-NL"/>
        </w:rPr>
        <w:t>assistant</w:t>
      </w:r>
      <w:proofErr w:type="spellEnd"/>
      <w:r w:rsidRPr="005F055E">
        <w:rPr>
          <w:szCs w:val="20"/>
          <w:lang w:eastAsia="nl-NL"/>
        </w:rPr>
        <w:t xml:space="preserve"> zijn middelen beschikbaar voor een tegemoetkoming in de werkgeverskosten van het opleiden van PA en VS, zonder onderscheid naar sector. In aanvulling hierop zijn er middelen beschikbaar om het opleiden in de huisartsenzorg een extra stimulans te geven. De reden hiervoor is dat de kosten voor het realiseren van een opleidingsplek in de huisartsenzorg hoger zijn door de kleinschalige context waarbinnen gewerkt wordt. Hierdoor bleek in de praktijk dat een relatief klein deel van de opleidingsplekken voor PA en VS werd aangevraagd door huisartsenpraktijken. Terwijl de vraag hiernaar toeneemt en juist ook in deze sector taakherschikking door middel van het inzetten van PA en VS belangrijk is.</w:t>
      </w:r>
    </w:p>
    <w:p w:rsidRPr="005F055E" w:rsidR="002B7541" w:rsidP="00180EEB" w:rsidRDefault="002B7541" w14:paraId="6CFCDC63" w14:textId="77777777">
      <w:pPr>
        <w:suppressAutoHyphens/>
      </w:pPr>
    </w:p>
    <w:p w:rsidRPr="005F055E" w:rsidR="00870809" w:rsidP="00180EEB" w:rsidRDefault="003E7003" w14:paraId="4EA3E565" w14:textId="0F9A915B">
      <w:pPr>
        <w:suppressAutoHyphens/>
      </w:pPr>
      <w:r w:rsidRPr="005F055E">
        <w:t>Vraag 442</w:t>
      </w:r>
    </w:p>
    <w:p w:rsidRPr="005F055E" w:rsidR="00D535AF" w:rsidP="00180EEB" w:rsidRDefault="003E7003" w14:paraId="43F97103" w14:textId="77777777">
      <w:pPr>
        <w:suppressAutoHyphens/>
      </w:pPr>
      <w:r w:rsidRPr="005F055E">
        <w:t>Gaat de €10,4 miljoen voor de ondersteuning van digitale en fysieke weerbaarheid in de zorgsector alleen ingezet worden ten behoeve van Z-</w:t>
      </w:r>
      <w:proofErr w:type="spellStart"/>
      <w:r w:rsidRPr="005F055E">
        <w:t>Cert</w:t>
      </w:r>
      <w:proofErr w:type="spellEnd"/>
      <w:r w:rsidRPr="005F055E">
        <w:t>, of kunnen zorginstellingen zelf ook een beroep doen op deze middelen?</w:t>
      </w:r>
    </w:p>
    <w:p w:rsidRPr="005F055E" w:rsidR="003E7003" w:rsidP="00180EEB" w:rsidRDefault="003E7003" w14:paraId="24D5F979" w14:textId="711B6B8A">
      <w:pPr>
        <w:suppressAutoHyphens/>
      </w:pPr>
      <w:r w:rsidRPr="005F055E">
        <w:t>Antwoord</w:t>
      </w:r>
    </w:p>
    <w:p w:rsidRPr="005F055E" w:rsidR="00B90292" w:rsidP="00180EEB" w:rsidRDefault="00B90292" w14:paraId="167737B0" w14:textId="77777777">
      <w:pPr>
        <w:suppressAutoHyphens/>
        <w:spacing w:line="240" w:lineRule="atLeast"/>
        <w:rPr>
          <w:b/>
          <w:bCs/>
          <w:szCs w:val="18"/>
          <w:u w:val="single"/>
          <w:lang w:eastAsia="nl-NL"/>
        </w:rPr>
      </w:pPr>
      <w:r w:rsidRPr="005F055E">
        <w:rPr>
          <w:szCs w:val="18"/>
          <w:lang w:eastAsia="nl-NL"/>
        </w:rPr>
        <w:t>De structurele reservering van €10,4 miljoen per jaar die VWS heeft gereserveerd is enkel voor Z-</w:t>
      </w:r>
      <w:proofErr w:type="spellStart"/>
      <w:r w:rsidRPr="005F055E">
        <w:rPr>
          <w:szCs w:val="18"/>
          <w:lang w:eastAsia="nl-NL"/>
        </w:rPr>
        <w:t>Cert</w:t>
      </w:r>
      <w:proofErr w:type="spellEnd"/>
      <w:r w:rsidRPr="005F055E">
        <w:rPr>
          <w:szCs w:val="18"/>
          <w:lang w:eastAsia="nl-NL"/>
        </w:rPr>
        <w:t xml:space="preserve">. Hierbij vervult Z-CERT met de inwerkingtreding van de Cyberbeveiligingswet een rol in de ondersteuning van de digitale weerbaarheid van het zorgveld. </w:t>
      </w:r>
    </w:p>
    <w:p w:rsidRPr="005F055E" w:rsidR="00D535AF" w:rsidP="00180EEB" w:rsidRDefault="00D535AF" w14:paraId="3F518899" w14:textId="77777777">
      <w:pPr>
        <w:suppressAutoHyphens/>
      </w:pPr>
    </w:p>
    <w:p w:rsidRPr="005F055E" w:rsidR="00D535AF" w:rsidP="00180EEB" w:rsidRDefault="003E7003" w14:paraId="1545025C" w14:textId="77777777">
      <w:pPr>
        <w:suppressAutoHyphens/>
      </w:pPr>
      <w:r w:rsidRPr="005F055E">
        <w:t>Vraag 443</w:t>
      </w:r>
    </w:p>
    <w:p w:rsidRPr="005F055E" w:rsidR="00D535AF" w:rsidP="00180EEB" w:rsidRDefault="003E7003" w14:paraId="1C0794DB" w14:textId="77777777">
      <w:pPr>
        <w:suppressAutoHyphens/>
      </w:pPr>
      <w:r w:rsidRPr="005F055E">
        <w:t>Kan nader worden toegelicht hoe het bedrag van €3 miljoen vanuit het AZWA, dat deels bestemd is om druk weg te nemen bij onder andere huisartsenpraktijken, precies wordt ingezet? Waar worden deze middelen aan besteed?</w:t>
      </w:r>
    </w:p>
    <w:p w:rsidRPr="005F055E" w:rsidR="003E7003" w:rsidP="00180EEB" w:rsidRDefault="003E7003" w14:paraId="3FD06063" w14:textId="06F5BAB0">
      <w:pPr>
        <w:suppressAutoHyphens/>
      </w:pPr>
      <w:r w:rsidRPr="005F055E">
        <w:t>Antwoord</w:t>
      </w:r>
    </w:p>
    <w:p w:rsidRPr="005F055E" w:rsidR="007E044A" w:rsidP="00180EEB" w:rsidRDefault="007E044A" w14:paraId="0D77ABF2" w14:textId="77777777">
      <w:pPr>
        <w:suppressAutoHyphens/>
        <w:spacing w:line="240" w:lineRule="atLeast"/>
        <w:rPr>
          <w:szCs w:val="18"/>
          <w:lang w:eastAsia="nl-NL"/>
        </w:rPr>
      </w:pPr>
      <w:r w:rsidRPr="005F055E">
        <w:rPr>
          <w:szCs w:val="18"/>
          <w:lang w:eastAsia="nl-NL"/>
        </w:rPr>
        <w:t>Deze genoemde middelen zijn onderdeel van de AZWA-afspraak om een landelijk dekkend netwerk voor digitale zorgondersteuning te realiseren: één centraal punt voor alle niet-medische vragen rondom toegang en gebruik van digitale zorg, dat nauw samenwerkt met lokale, fysieke ondersteuningspunten. Dit draagt bij aan een toekomstbestendige zorginfrastructuur, het verlicht de werkdruk van zorg- en welzijnsprofessionals, het vermindert digitale ongelijkheid en bevordert een inclusieve samenleving waarin (digitale) zorg voor iedereen toegankelijk is.</w:t>
      </w:r>
    </w:p>
    <w:p w:rsidRPr="005F055E" w:rsidR="00D535AF" w:rsidP="00180EEB" w:rsidRDefault="007E044A" w14:paraId="45AE2DD0" w14:textId="3B9FADB6">
      <w:pPr>
        <w:suppressAutoHyphens/>
        <w:spacing w:line="240" w:lineRule="atLeast"/>
        <w:rPr>
          <w:szCs w:val="18"/>
          <w:lang w:eastAsia="nl-NL"/>
        </w:rPr>
      </w:pPr>
      <w:r w:rsidRPr="005F055E">
        <w:rPr>
          <w:szCs w:val="18"/>
          <w:lang w:eastAsia="nl-NL"/>
        </w:rPr>
        <w:t>Als eerste stap is afgesproken dat AZWA-partijen de komende maanden een opdracht gaan formuleren om de scope, samenhang, borging en financiering in een businessplan uit te werken.</w:t>
      </w:r>
    </w:p>
    <w:p w:rsidRPr="005F055E" w:rsidR="007E044A" w:rsidP="00180EEB" w:rsidRDefault="007E044A" w14:paraId="7E4620E0" w14:textId="77777777">
      <w:pPr>
        <w:suppressAutoHyphens/>
      </w:pPr>
    </w:p>
    <w:p w:rsidRPr="005F055E" w:rsidR="00D535AF" w:rsidP="00180EEB" w:rsidRDefault="003E7003" w14:paraId="510B09DC" w14:textId="2F8613B1">
      <w:pPr>
        <w:suppressAutoHyphens/>
      </w:pPr>
      <w:r w:rsidRPr="005F055E">
        <w:t>Vraag 444</w:t>
      </w:r>
    </w:p>
    <w:p w:rsidRPr="005F055E" w:rsidR="00D535AF" w:rsidP="00180EEB" w:rsidRDefault="003E7003" w14:paraId="5212DAC4" w14:textId="77777777">
      <w:pPr>
        <w:suppressAutoHyphens/>
      </w:pPr>
      <w:r w:rsidRPr="005F055E">
        <w:t>Klopt het dat de Reikwijdtewet voor de jeugdzorg pas in het vierde kwartaal van 2026 naar de Kamer komt?</w:t>
      </w:r>
    </w:p>
    <w:p w:rsidRPr="005F055E" w:rsidR="003E7003" w:rsidP="00180EEB" w:rsidRDefault="003E7003" w14:paraId="380E901B" w14:textId="65142D18">
      <w:pPr>
        <w:suppressAutoHyphens/>
      </w:pPr>
      <w:r w:rsidRPr="005F055E">
        <w:t>Antwoord</w:t>
      </w:r>
    </w:p>
    <w:p w:rsidRPr="005F055E" w:rsidR="007E044A" w:rsidP="00180EEB" w:rsidRDefault="007E044A" w14:paraId="71DDC4D8" w14:textId="02CAC14B">
      <w:pPr>
        <w:suppressAutoHyphens/>
        <w:spacing w:line="240" w:lineRule="atLeast"/>
        <w:rPr>
          <w:szCs w:val="18"/>
          <w:lang w:eastAsia="nl-NL"/>
        </w:rPr>
      </w:pPr>
      <w:r w:rsidRPr="005F055E">
        <w:rPr>
          <w:szCs w:val="18"/>
          <w:lang w:eastAsia="nl-NL"/>
        </w:rPr>
        <w:t xml:space="preserve">Dit wetsvoorstel is complex en vraagt een zorgvuldig proces met </w:t>
      </w:r>
      <w:r w:rsidR="00BF5C87">
        <w:rPr>
          <w:szCs w:val="18"/>
          <w:lang w:eastAsia="nl-NL"/>
        </w:rPr>
        <w:t xml:space="preserve">gemeenten en </w:t>
      </w:r>
      <w:r w:rsidRPr="005F055E">
        <w:rPr>
          <w:szCs w:val="18"/>
          <w:lang w:eastAsia="nl-NL"/>
        </w:rPr>
        <w:t xml:space="preserve">alle </w:t>
      </w:r>
      <w:r w:rsidR="00BF5C87">
        <w:rPr>
          <w:szCs w:val="18"/>
          <w:lang w:eastAsia="nl-NL"/>
        </w:rPr>
        <w:t xml:space="preserve">andere </w:t>
      </w:r>
      <w:r w:rsidRPr="005F055E">
        <w:rPr>
          <w:szCs w:val="18"/>
          <w:lang w:eastAsia="nl-NL"/>
        </w:rPr>
        <w:t xml:space="preserve">betrokken partijen. Het is van belang de tijd te nemen voor een goede uitwerking en het toetsen van de effecten in de praktijk. Het wetsvoorstel zal later dit jaar in consultatie gaan en in 2026 aan de Tweede Kamer worden aangeboden. Wanneer dit precies zal zijn, hangt mede af van de reacties tijdens de internetconsultatie </w:t>
      </w:r>
      <w:r w:rsidR="00BF5C87">
        <w:rPr>
          <w:szCs w:val="18"/>
          <w:lang w:eastAsia="nl-NL"/>
        </w:rPr>
        <w:t xml:space="preserve">het advies van de Raad van State en volgens </w:t>
      </w:r>
      <w:r w:rsidRPr="005F055E">
        <w:rPr>
          <w:szCs w:val="18"/>
          <w:lang w:eastAsia="nl-NL"/>
        </w:rPr>
        <w:t>en behandeling in de Tweede Kamer.</w:t>
      </w:r>
    </w:p>
    <w:p w:rsidRPr="005F055E" w:rsidR="00D535AF" w:rsidP="00180EEB" w:rsidRDefault="00D535AF" w14:paraId="4365EAF5" w14:textId="77777777">
      <w:pPr>
        <w:suppressAutoHyphens/>
      </w:pPr>
    </w:p>
    <w:p w:rsidRPr="005F055E" w:rsidR="00D535AF" w:rsidP="00180EEB" w:rsidRDefault="003E7003" w14:paraId="39887A66" w14:textId="77777777">
      <w:pPr>
        <w:suppressAutoHyphens/>
      </w:pPr>
      <w:r w:rsidRPr="005F055E">
        <w:t>Vraag 445</w:t>
      </w:r>
    </w:p>
    <w:p w:rsidRPr="005F055E" w:rsidR="00D535AF" w:rsidP="00180EEB" w:rsidRDefault="003E7003" w14:paraId="4EFEAA51" w14:textId="77777777">
      <w:pPr>
        <w:suppressAutoHyphens/>
      </w:pPr>
      <w:r w:rsidRPr="005F055E">
        <w:t>Hoeveel subsidie gaat er in de komende jaren van 2026 t/m 2030 naar Jeugdstem? Wordt hierop bezuinigd? Zo ja, wat voor taken worden hierdoor geraakt?</w:t>
      </w:r>
    </w:p>
    <w:p w:rsidRPr="005F055E" w:rsidR="003E7003" w:rsidP="00180EEB" w:rsidRDefault="003E7003" w14:paraId="21BB22FE" w14:textId="163A2087">
      <w:pPr>
        <w:suppressAutoHyphens/>
      </w:pPr>
      <w:r w:rsidRPr="005F055E">
        <w:t>Antwoord</w:t>
      </w:r>
    </w:p>
    <w:p w:rsidRPr="005F055E" w:rsidR="00E57EFE" w:rsidP="00180EEB" w:rsidRDefault="00E57EFE" w14:paraId="6DB380E2" w14:textId="77777777">
      <w:pPr>
        <w:suppressAutoHyphens/>
        <w:rPr>
          <w:szCs w:val="18"/>
        </w:rPr>
      </w:pPr>
      <w:r w:rsidRPr="005F055E">
        <w:rPr>
          <w:szCs w:val="18"/>
        </w:rPr>
        <w:t>Jeugdstem ontvangt van 2026 t/m 2030 € 12,6 miljoen subsidie per jaar. Er is geen sprake van bezuinigingen. De middelen die in 2025 incidenteel beschikbaar zijn gesteld voor digitalisering en het bezoeken van nieuw aangemelde gezinshuizen zijn benut. Verdere digitalisering wordt bekostigd vanuit de subsidiereserves van Jeugdstem. Hiermee beogen we de groei van het vertrouwenswerk op te vangen.</w:t>
      </w:r>
    </w:p>
    <w:p w:rsidRPr="005F055E" w:rsidR="002B7541" w:rsidP="00180EEB" w:rsidRDefault="002B7541" w14:paraId="34A1933A" w14:textId="77777777">
      <w:pPr>
        <w:suppressAutoHyphens/>
      </w:pPr>
    </w:p>
    <w:p w:rsidRPr="005F055E" w:rsidR="00D535AF" w:rsidP="00180EEB" w:rsidRDefault="003E7003" w14:paraId="3BB5276D" w14:textId="2FB64A2E">
      <w:pPr>
        <w:suppressAutoHyphens/>
      </w:pPr>
      <w:r w:rsidRPr="005F055E">
        <w:t>Vraag 446</w:t>
      </w:r>
    </w:p>
    <w:p w:rsidRPr="005F055E" w:rsidR="00D535AF" w:rsidP="00180EEB" w:rsidRDefault="003E7003" w14:paraId="5A40A510" w14:textId="77777777">
      <w:pPr>
        <w:suppressAutoHyphens/>
      </w:pPr>
      <w:r w:rsidRPr="005F055E">
        <w:t>Welke subsidies op het thema jeugd worden geraakt door de subsidietaakstelling? Kunt u uiteenzetten hoeveel er wordt bezuinigd per jaar van 2026 t/m 2030 en per subsidie die wordt geraakt?</w:t>
      </w:r>
    </w:p>
    <w:p w:rsidRPr="005F055E" w:rsidR="003E7003" w:rsidP="00180EEB" w:rsidRDefault="003E7003" w14:paraId="233A332E" w14:textId="3A0483CA">
      <w:pPr>
        <w:suppressAutoHyphens/>
      </w:pPr>
      <w:r w:rsidRPr="005F055E">
        <w:t>Antwoord</w:t>
      </w:r>
    </w:p>
    <w:p w:rsidRPr="005F055E" w:rsidR="00E57EFE" w:rsidP="00180EEB" w:rsidRDefault="00E57EFE" w14:paraId="2C109F07" w14:textId="77777777">
      <w:pPr>
        <w:suppressAutoHyphens/>
      </w:pPr>
      <w:r w:rsidRPr="005F055E">
        <w:t xml:space="preserve">Het betreft hier een subsidietaakstelling ad. € 3,1 miljoen in 2026, die oploopt tot € 11,8 miljoen structureel vanaf 2027, en is ten laste gebracht van diverse subsidies, bijvoorbeeld in het kader van kennisdeling en ondersteuning clientraden. </w:t>
      </w:r>
    </w:p>
    <w:p w:rsidRPr="005F055E" w:rsidR="00D535AF" w:rsidP="00180EEB" w:rsidRDefault="00D535AF" w14:paraId="65B5FBAA" w14:textId="77777777">
      <w:pPr>
        <w:suppressAutoHyphens/>
      </w:pPr>
    </w:p>
    <w:p w:rsidRPr="005F055E" w:rsidR="00D535AF" w:rsidP="00180EEB" w:rsidRDefault="003E7003" w14:paraId="015AAA34" w14:textId="77777777">
      <w:pPr>
        <w:suppressAutoHyphens/>
      </w:pPr>
      <w:r w:rsidRPr="005F055E">
        <w:t>Vraag 447</w:t>
      </w:r>
    </w:p>
    <w:p w:rsidRPr="005F055E" w:rsidR="00D535AF" w:rsidP="00180EEB" w:rsidRDefault="003E7003" w14:paraId="4034F212" w14:textId="77777777">
      <w:pPr>
        <w:suppressAutoHyphens/>
      </w:pPr>
      <w:r w:rsidRPr="005F055E">
        <w:t>Dalen de uitgaven onder artikel 5 van €197,645 miljoen (2025) naar €188,298 miljoen (2026)? In hoeverre is dit beleidsmatig dan wel technisch? Kunt u een korte toelichting per instrument geven? Hoeveel gezinnen worden geraakt als gevolg van deze daling in uitgaven?</w:t>
      </w:r>
    </w:p>
    <w:p w:rsidRPr="005F055E" w:rsidR="00D535AF" w:rsidP="00180EEB" w:rsidRDefault="003E7003" w14:paraId="4D469317" w14:textId="2785B91E">
      <w:pPr>
        <w:suppressAutoHyphens/>
      </w:pPr>
      <w:r w:rsidRPr="005F055E">
        <w:t>Antwoord</w:t>
      </w:r>
    </w:p>
    <w:p w:rsidRPr="005F055E" w:rsidR="00E57EFE" w:rsidP="00180EEB" w:rsidRDefault="00E57EFE" w14:paraId="0D9BCA03" w14:textId="77777777">
      <w:pPr>
        <w:suppressAutoHyphens/>
      </w:pPr>
      <w:r w:rsidRPr="005F055E">
        <w:t xml:space="preserve">Het gaat hier inderdaad om een daling van de kasbudgetten. De daling wordt voornamelijk veroorzaakt door een subsidietaakstelling ad. € 3,1 miljoen en voor het overige deel door interne en interdepartementale overboekingen, voor diverse Jeugd gerelateerde subsidies en opdrachten. Deze daling heeft verder geen directe gevolgen voor gezinnen. </w:t>
      </w:r>
    </w:p>
    <w:p w:rsidRPr="005F055E" w:rsidR="00D535AF" w:rsidP="00180EEB" w:rsidRDefault="00D535AF" w14:paraId="4722D67E" w14:textId="77777777">
      <w:pPr>
        <w:suppressAutoHyphens/>
      </w:pPr>
    </w:p>
    <w:p w:rsidRPr="005F055E" w:rsidR="00D535AF" w:rsidP="00180EEB" w:rsidRDefault="003E7003" w14:paraId="794637E6" w14:textId="77777777">
      <w:pPr>
        <w:suppressAutoHyphens/>
      </w:pPr>
      <w:r w:rsidRPr="005F055E">
        <w:t>Vraag 448</w:t>
      </w:r>
    </w:p>
    <w:p w:rsidRPr="005F055E" w:rsidR="00D535AF" w:rsidP="00180EEB" w:rsidRDefault="003E7003" w14:paraId="775F90E5" w14:textId="77777777">
      <w:pPr>
        <w:suppressAutoHyphens/>
      </w:pPr>
      <w:r w:rsidRPr="005F055E">
        <w:t>Hoeveel wordt er bezuinigd op de bovenregionale expertisenetwerken (BEN) in de jaren 2026 t/m 2030? Welke taken worden hierdoor geraakt?</w:t>
      </w:r>
    </w:p>
    <w:p w:rsidRPr="005F055E" w:rsidR="003E7003" w:rsidP="00180EEB" w:rsidRDefault="003E7003" w14:paraId="0B56F55B" w14:textId="1F0AAB6F">
      <w:pPr>
        <w:suppressAutoHyphens/>
      </w:pPr>
      <w:r w:rsidRPr="005F055E">
        <w:t>Antwoord</w:t>
      </w:r>
    </w:p>
    <w:p w:rsidRPr="005F055E" w:rsidR="00E57EFE" w:rsidP="00180EEB" w:rsidRDefault="00E57EFE" w14:paraId="77641642" w14:textId="77777777">
      <w:pPr>
        <w:suppressAutoHyphens/>
        <w:rPr>
          <w:szCs w:val="18"/>
        </w:rPr>
      </w:pPr>
      <w:r w:rsidRPr="005F055E">
        <w:rPr>
          <w:szCs w:val="18"/>
        </w:rPr>
        <w:t xml:space="preserve">De Bovenregionale Expertisenetwerken worden gefinancierd middels een specifieke uitkering (SPUK). In het Regeerprogramma is opgenomen dat op </w:t>
      </w:r>
      <w:proofErr w:type="spellStart"/>
      <w:r w:rsidRPr="005F055E">
        <w:rPr>
          <w:szCs w:val="18"/>
        </w:rPr>
        <w:t>SPUK’s</w:t>
      </w:r>
      <w:proofErr w:type="spellEnd"/>
      <w:r w:rsidRPr="005F055E">
        <w:rPr>
          <w:szCs w:val="18"/>
        </w:rPr>
        <w:t xml:space="preserve"> een korting van 10% op het budget wordt doorgevoerd vanaf 2026. Het is aan de acht coördinerende gemeenten om met in achtneming van de behoefte in hun regio invulling te geven aan deze korting en te bepalen wat dat betekent voor de manier waarop zij hun taken uitvoeren. </w:t>
      </w:r>
    </w:p>
    <w:p w:rsidRPr="005F055E" w:rsidR="00D535AF" w:rsidP="00180EEB" w:rsidRDefault="00D535AF" w14:paraId="381AB7E8" w14:textId="77777777">
      <w:pPr>
        <w:suppressAutoHyphens/>
      </w:pPr>
    </w:p>
    <w:p w:rsidRPr="005F055E" w:rsidR="00D535AF" w:rsidP="00180EEB" w:rsidRDefault="003E7003" w14:paraId="7BEFF4FB" w14:textId="77777777">
      <w:pPr>
        <w:suppressAutoHyphens/>
      </w:pPr>
      <w:r w:rsidRPr="005F055E">
        <w:t>Vraag 449</w:t>
      </w:r>
    </w:p>
    <w:p w:rsidR="00D71325" w:rsidP="00180EEB" w:rsidRDefault="003E7003" w14:paraId="3CF0F8F1" w14:textId="29B85EA9">
      <w:pPr>
        <w:suppressAutoHyphens/>
      </w:pPr>
      <w:r w:rsidRPr="005F055E">
        <w:t>Op welke manier pakt u de regisseerrol in het bijeenbrengen van het bedrijfsleven om te komen tot een gezamenlijke beleidsagenda?</w:t>
      </w:r>
    </w:p>
    <w:p w:rsidRPr="005F055E" w:rsidR="003E7003" w:rsidP="00180EEB" w:rsidRDefault="003E7003" w14:paraId="220F6A58" w14:textId="2E959E91">
      <w:pPr>
        <w:suppressAutoHyphens/>
      </w:pPr>
      <w:r w:rsidRPr="005F055E">
        <w:t>Antwoord</w:t>
      </w:r>
    </w:p>
    <w:p w:rsidRPr="005F055E" w:rsidR="00E57EFE" w:rsidP="00180EEB" w:rsidRDefault="00E57EFE" w14:paraId="13A1D56E" w14:textId="3766016F">
      <w:pPr>
        <w:suppressAutoHyphens/>
      </w:pPr>
      <w:bookmarkStart w:name="_Hlk211346576" w:id="59"/>
      <w:r w:rsidRPr="005F055E">
        <w:t xml:space="preserve">Het Sportakkoord is het kader waarlangs de </w:t>
      </w:r>
      <w:r w:rsidR="00AC5F77">
        <w:t xml:space="preserve">staatssecretaris Jeugd, Preventie en Sport </w:t>
      </w:r>
      <w:r w:rsidRPr="005F055E">
        <w:t xml:space="preserve">in de periode 2023-2026 het sport- en beweegbeleid vormgeeft en uitwerkt. Lokaal en regionaal wordt het bedrijfsleven aangehaakt waar mogelijk en wenselijk. </w:t>
      </w:r>
    </w:p>
    <w:bookmarkEnd w:id="59"/>
    <w:p w:rsidRPr="005F055E" w:rsidR="00D535AF" w:rsidP="00180EEB" w:rsidRDefault="00D535AF" w14:paraId="26F9B413" w14:textId="77777777">
      <w:pPr>
        <w:suppressAutoHyphens/>
      </w:pPr>
    </w:p>
    <w:p w:rsidRPr="005F055E" w:rsidR="00D535AF" w:rsidP="00180EEB" w:rsidRDefault="003E7003" w14:paraId="0B5165F5" w14:textId="77777777">
      <w:pPr>
        <w:suppressAutoHyphens/>
      </w:pPr>
      <w:r w:rsidRPr="005F055E">
        <w:t>Vraag 450</w:t>
      </w:r>
    </w:p>
    <w:p w:rsidRPr="005F055E" w:rsidR="002B7541" w:rsidP="00180EEB" w:rsidRDefault="003E7003" w14:paraId="46CB2A92" w14:textId="038B0E58">
      <w:pPr>
        <w:suppressAutoHyphens/>
      </w:pPr>
      <w:r w:rsidRPr="005F055E">
        <w:t>Hoeveel organisaties, gemeenten en sportorganisaties, maken momenteel nog gebruik van de regeling Sportakkoord II?</w:t>
      </w:r>
    </w:p>
    <w:p w:rsidRPr="005F055E" w:rsidR="00D535AF" w:rsidP="00180EEB" w:rsidRDefault="003E7003" w14:paraId="1BE7F9A7" w14:textId="7BD573DF">
      <w:pPr>
        <w:suppressAutoHyphens/>
      </w:pPr>
      <w:r w:rsidRPr="005F055E">
        <w:t>Antwoord</w:t>
      </w:r>
    </w:p>
    <w:p w:rsidRPr="005F055E" w:rsidR="008020DE" w:rsidP="00180EEB" w:rsidRDefault="008020DE" w14:paraId="0AC4CCE4" w14:textId="4CBAB787">
      <w:pPr>
        <w:suppressAutoHyphens/>
      </w:pPr>
      <w:r w:rsidRPr="005F055E">
        <w:t>Onder de regeling Sportakkoord II wordt verstaan de budgetten die vanuit VWS naar gemeenten gaan, zowel voor de uitvoering van de lokale sportakkoorden, als de budgetten vanuit de SPUK BRC.</w:t>
      </w:r>
    </w:p>
    <w:p w:rsidRPr="005F055E" w:rsidR="008020DE" w:rsidP="00180EEB" w:rsidRDefault="008020DE" w14:paraId="641669CA" w14:textId="7A488F9F">
      <w:pPr>
        <w:suppressAutoHyphens/>
      </w:pPr>
      <w:r w:rsidRPr="005F055E">
        <w:t>In 2026 maken alle 342 gemeenten gebruik van de SPUK Sportakkoord en de SPUK BRC.</w:t>
      </w:r>
    </w:p>
    <w:p w:rsidRPr="005F055E" w:rsidR="008020DE" w:rsidP="00180EEB" w:rsidRDefault="008020DE" w14:paraId="5B59CF24" w14:textId="3AA9A644">
      <w:pPr>
        <w:suppressAutoHyphens/>
      </w:pPr>
      <w:r w:rsidRPr="005F055E">
        <w:t xml:space="preserve">Daarnaast verstaat de </w:t>
      </w:r>
      <w:r w:rsidR="00AC5F77">
        <w:t xml:space="preserve">staatssecretaris Jeugd, Preventie en Sport </w:t>
      </w:r>
      <w:r w:rsidRPr="005F055E">
        <w:t xml:space="preserve">onder de regeling Sportakkoord II de budgetten die van VWS via NOC*NSF naar de sportsector gaan. Ongeveer 71 sportbonden maken gebruik van deze regeling om hun bond te versterken. In 2023 hebben daarnaast 2.618 unieke sportaanbieders ondersteuning aangevraagd via deze regeling in de vorm van het afnemen van services. In 2024 waren dat 4.052 unieke sportaanbieders en in 2025 tot nu toe 1.251 unieke sportaanbieders. In 2025 is nog ruimte voor 350 sportaanbieders en in 2026 voor 1.000 sportaanbieders om gebruik te maken van ondersteuning. </w:t>
      </w:r>
    </w:p>
    <w:p w:rsidRPr="005F055E" w:rsidR="008020DE" w:rsidP="00180EEB" w:rsidRDefault="008020DE" w14:paraId="1F6C8088" w14:textId="77777777">
      <w:pPr>
        <w:suppressAutoHyphens/>
      </w:pPr>
      <w:r w:rsidRPr="005F055E">
        <w:t>Sportaanbieders hebben via NOC*NSF naast ondersteuning in de vorm van services ook kleine ondersteuningsbudgetten kunnen aanvragen via de regeling Sportakkoord II. In 2025 waren dat tot nog toe circa 3.000 sportaanbieders. In het resterende deel van 2025 is er nog ruimte voor 4.000 en in 2026 circa 2.000 sportaanbieders om ondersteuning aan te vragen.</w:t>
      </w:r>
    </w:p>
    <w:p w:rsidR="00D535AF" w:rsidP="00180EEB" w:rsidRDefault="00D535AF" w14:paraId="7E31D05C" w14:textId="77777777">
      <w:pPr>
        <w:suppressAutoHyphens/>
      </w:pPr>
    </w:p>
    <w:p w:rsidR="00D544B0" w:rsidP="00180EEB" w:rsidRDefault="00D544B0" w14:paraId="21B06EA8" w14:textId="77777777">
      <w:pPr>
        <w:suppressAutoHyphens/>
      </w:pPr>
    </w:p>
    <w:p w:rsidR="00D544B0" w:rsidP="00180EEB" w:rsidRDefault="00D544B0" w14:paraId="5E4F25DA" w14:textId="77777777">
      <w:pPr>
        <w:suppressAutoHyphens/>
      </w:pPr>
    </w:p>
    <w:p w:rsidRPr="005F055E" w:rsidR="00D544B0" w:rsidP="00180EEB" w:rsidRDefault="00D544B0" w14:paraId="5662340C" w14:textId="77777777">
      <w:pPr>
        <w:suppressAutoHyphens/>
      </w:pPr>
    </w:p>
    <w:p w:rsidRPr="005F055E" w:rsidR="00D535AF" w:rsidP="00180EEB" w:rsidRDefault="003E7003" w14:paraId="34E0566F" w14:textId="77777777">
      <w:pPr>
        <w:suppressAutoHyphens/>
      </w:pPr>
      <w:r w:rsidRPr="005F055E">
        <w:t>Vraag 451</w:t>
      </w:r>
    </w:p>
    <w:p w:rsidRPr="005F055E" w:rsidR="00D535AF" w:rsidP="00180EEB" w:rsidRDefault="003E7003" w14:paraId="1FD5C7E7" w14:textId="77777777">
      <w:pPr>
        <w:suppressAutoHyphens/>
      </w:pPr>
      <w:r w:rsidRPr="005F055E">
        <w:t>Wat is de planning en het budget voor de oprichting van het Integere Sport Nederland (ISN), dat vanaf 2026 meldingen van grensoverschrijdend gedrag moet gaan onderzoeken?</w:t>
      </w:r>
    </w:p>
    <w:p w:rsidRPr="005F055E" w:rsidR="003E7003" w:rsidP="00180EEB" w:rsidRDefault="003E7003" w14:paraId="02C13F00" w14:textId="1EEA5BF0">
      <w:pPr>
        <w:suppressAutoHyphens/>
      </w:pPr>
      <w:r w:rsidRPr="005F055E">
        <w:t>Antwoord</w:t>
      </w:r>
    </w:p>
    <w:p w:rsidRPr="005F055E" w:rsidR="008020DE" w:rsidP="00180EEB" w:rsidRDefault="008020DE" w14:paraId="6AA8D8D3" w14:textId="195C62A9">
      <w:pPr>
        <w:suppressAutoHyphens/>
      </w:pPr>
      <w:bookmarkStart w:name="_Hlk210722994" w:id="60"/>
      <w:r w:rsidRPr="005F055E">
        <w:t xml:space="preserve">De planning voor het oprichten van ISN is </w:t>
      </w:r>
      <w:r w:rsidR="00822588">
        <w:t>mede afhankelijk van omstandigheden</w:t>
      </w:r>
      <w:r w:rsidRPr="005F055E">
        <w:t>. De daadwerkelijke oprichting van ISN houdt sterk verband met de parlementaire behandeling van het wetsvoorstel.</w:t>
      </w:r>
    </w:p>
    <w:p w:rsidRPr="005F055E" w:rsidR="008020DE" w:rsidP="00180EEB" w:rsidRDefault="008020DE" w14:paraId="2684D0E1" w14:textId="4D382140">
      <w:pPr>
        <w:suppressAutoHyphens/>
      </w:pPr>
      <w:r w:rsidRPr="005F055E">
        <w:t xml:space="preserve">De enige datum die met zekerheid kan worden genoemd is 26 oktober 2025; het moment dat de internetconsultatie van het conceptwetsvoorstel sluit. In de periode daarna worden de binnengekomen reacties en adviezen bestudeerd en waar mogelijk verwerkt. </w:t>
      </w:r>
    </w:p>
    <w:p w:rsidRPr="005F055E" w:rsidR="008020DE" w:rsidP="00180EEB" w:rsidRDefault="008020DE" w14:paraId="6056DD57" w14:textId="7D607CC6">
      <w:pPr>
        <w:suppressAutoHyphens/>
      </w:pPr>
      <w:r w:rsidRPr="005F055E">
        <w:t xml:space="preserve">Vervolgens wordt een aangepast conceptwetsvoorstel na akkoord van de Ministerraad voor advies aangeboden aan de Raad van State. Na verwerking van het advies Raad van State wordt wetsvoorstel ingediend bij de Tweede Kamer. Nadat de Tweede Kamer het wetsvoorstel heeft aangenomen volgt indiening bij de Eerste Kamer. Nadat de Eerste Kamer wetsvoorstel heeft aangenomen volgt inwerkingtreding wet en oprichting ISN. </w:t>
      </w:r>
    </w:p>
    <w:p w:rsidRPr="005F055E" w:rsidR="008020DE" w:rsidP="00180EEB" w:rsidRDefault="008020DE" w14:paraId="77D55211" w14:textId="799FA0AD">
      <w:pPr>
        <w:suppressAutoHyphens/>
      </w:pPr>
      <w:r w:rsidRPr="005F055E">
        <w:t xml:space="preserve">Deze planning met onzekere doorlooptijd, maakt dat geen concrete uitspraak over de start van het ISN gedaan kan worden. </w:t>
      </w:r>
      <w:bookmarkEnd w:id="60"/>
      <w:r w:rsidRPr="005F055E">
        <w:t>Hetgeen zoals in de vraag gesteld “dat vanaf 2026 meldingen van grensoverschrijdend gedrag moet gaan onderzoeken?”, is dan ook onjuist.</w:t>
      </w:r>
    </w:p>
    <w:p w:rsidRPr="005F055E" w:rsidR="00D535AF" w:rsidP="00180EEB" w:rsidRDefault="008020DE" w14:paraId="4ECE6C93" w14:textId="7B2D06EA">
      <w:pPr>
        <w:suppressAutoHyphens/>
      </w:pPr>
      <w:r w:rsidRPr="005F055E">
        <w:t xml:space="preserve">Op de begroting van de directie Sport en Bewegen van het Ministerie van Volksgezondheid, Welzijn en Sport is budget gereserveerd voor de oprichting van ISN én om de huidige werkzaamheden van de Dopingautoriteit en het huidige Centrum Veilige Sport Nederland (CVSN) onder het dak van ISN voort te zetten. Aangezien gedeeltelijk sprake is van voortzetting van werkzaamheden blijven beschikbare middelen hiervoor onder de beleidsinstrumenten </w:t>
      </w:r>
      <w:r w:rsidRPr="005F055E">
        <w:rPr>
          <w:i/>
          <w:iCs/>
        </w:rPr>
        <w:t>Subsidies (regelingen)</w:t>
      </w:r>
      <w:r w:rsidRPr="005F055E">
        <w:t xml:space="preserve"> – Sportakkoord en </w:t>
      </w:r>
      <w:r w:rsidRPr="005F055E">
        <w:rPr>
          <w:i/>
          <w:iCs/>
        </w:rPr>
        <w:t>Bijdrage aan ZBO’s/</w:t>
      </w:r>
      <w:proofErr w:type="spellStart"/>
      <w:r w:rsidRPr="005F055E">
        <w:rPr>
          <w:i/>
          <w:iCs/>
        </w:rPr>
        <w:t>RWT’s</w:t>
      </w:r>
      <w:proofErr w:type="spellEnd"/>
      <w:r w:rsidRPr="005F055E">
        <w:t xml:space="preserve"> – Dopingautoriteit (€ 4,9 miljoen) vallen. Op het moment dat ISN daadwerkelijk is opgericht zal het budget volledig onder het beleidsinstrument </w:t>
      </w:r>
      <w:r w:rsidRPr="005F055E">
        <w:rPr>
          <w:i/>
          <w:iCs/>
        </w:rPr>
        <w:t>Bijdrage aan ZBO’s/</w:t>
      </w:r>
      <w:proofErr w:type="spellStart"/>
      <w:r w:rsidRPr="005F055E">
        <w:rPr>
          <w:i/>
          <w:iCs/>
        </w:rPr>
        <w:t>RWT’s</w:t>
      </w:r>
      <w:proofErr w:type="spellEnd"/>
      <w:r w:rsidRPr="005F055E">
        <w:t xml:space="preserve"> gaan vallen</w:t>
      </w:r>
      <w:r w:rsidRPr="005F055E">
        <w:rPr>
          <w:i/>
          <w:iCs/>
        </w:rPr>
        <w:t>.</w:t>
      </w:r>
    </w:p>
    <w:p w:rsidRPr="005F055E" w:rsidR="00CF1801" w:rsidP="00180EEB" w:rsidRDefault="00CF1801" w14:paraId="6A6B5EB8" w14:textId="77777777">
      <w:pPr>
        <w:suppressAutoHyphens/>
      </w:pPr>
    </w:p>
    <w:p w:rsidRPr="005F055E" w:rsidR="00D535AF" w:rsidP="00180EEB" w:rsidRDefault="003E7003" w14:paraId="6203579C" w14:textId="75F245C4">
      <w:pPr>
        <w:suppressAutoHyphens/>
      </w:pPr>
      <w:r w:rsidRPr="005F055E">
        <w:t>Vraag 452</w:t>
      </w:r>
    </w:p>
    <w:p w:rsidRPr="005F055E" w:rsidR="00D535AF" w:rsidP="00180EEB" w:rsidRDefault="003E7003" w14:paraId="00E05225" w14:textId="77777777">
      <w:pPr>
        <w:suppressAutoHyphens/>
      </w:pPr>
      <w:r w:rsidRPr="005F055E">
        <w:t>Op welke wijze wordt ingezet op een toekomstbestendige sportinfrastructuur voor (her)nieuwbouw van sportaccommodaties in 2026 en de komende jaren?</w:t>
      </w:r>
    </w:p>
    <w:p w:rsidRPr="005F055E" w:rsidR="003E7003" w:rsidP="00180EEB" w:rsidRDefault="003E7003" w14:paraId="4A9A9C2C" w14:textId="2F664135">
      <w:pPr>
        <w:suppressAutoHyphens/>
      </w:pPr>
      <w:r w:rsidRPr="005F055E">
        <w:t>Antwoord</w:t>
      </w:r>
    </w:p>
    <w:p w:rsidRPr="005F055E" w:rsidR="00CF4A75" w:rsidP="00180EEB" w:rsidRDefault="00CF4A75" w14:paraId="11B0A4D6" w14:textId="023DB660">
      <w:pPr>
        <w:suppressAutoHyphens/>
      </w:pPr>
      <w:r w:rsidRPr="005F055E">
        <w:t xml:space="preserve">Het </w:t>
      </w:r>
      <w:proofErr w:type="spellStart"/>
      <w:r w:rsidRPr="005F055E">
        <w:t>Rĳk</w:t>
      </w:r>
      <w:proofErr w:type="spellEnd"/>
      <w:r w:rsidRPr="005F055E">
        <w:t xml:space="preserve"> zet zich met gemeenten in om investeringen in sportaccommodaties en sportmaterialen te ondersteunen. Dat gaat onder andere via de subsidieregeling bouw en onderhoud sportaccommodaties. Amateursportorganisaties kunnen een subsidie aanvragen voor de bouw of het onderhoud van sportaccommodaties of voor de aanschaf of het onderhoud van sportmaterialen. </w:t>
      </w:r>
      <w:proofErr w:type="spellStart"/>
      <w:r w:rsidRPr="005F055E">
        <w:t>Hierbĳ</w:t>
      </w:r>
      <w:proofErr w:type="spellEnd"/>
      <w:r w:rsidRPr="005F055E">
        <w:t xml:space="preserve"> is in 2026 een </w:t>
      </w:r>
      <w:proofErr w:type="spellStart"/>
      <w:r w:rsidRPr="005F055E">
        <w:t>mogelĳkheid</w:t>
      </w:r>
      <w:proofErr w:type="spellEnd"/>
      <w:r w:rsidRPr="005F055E">
        <w:t xml:space="preserve"> tot een aanvullende subsidie voor investeringen in circulariteit, klimaatadaptatie en toegankelijkheid van sportaccommodaties. Hiervoor is in 2026 een bedrag van maximaal € 46,0 miljoen beschikbaar.</w:t>
      </w:r>
    </w:p>
    <w:p w:rsidRPr="005F055E" w:rsidR="00CF4A75" w:rsidP="00180EEB" w:rsidRDefault="00CF4A75" w14:paraId="49CE5A55" w14:textId="127A3A56">
      <w:pPr>
        <w:suppressAutoHyphens/>
      </w:pPr>
      <w:r w:rsidRPr="005F055E">
        <w:t>Daarnaast zet de staat</w:t>
      </w:r>
      <w:r w:rsidR="00A615DB">
        <w:t>s</w:t>
      </w:r>
      <w:r w:rsidRPr="005F055E">
        <w:t xml:space="preserve">secretaris </w:t>
      </w:r>
      <w:r w:rsidRPr="005F055E" w:rsidR="002830DA">
        <w:t>J</w:t>
      </w:r>
      <w:r w:rsidR="002830DA">
        <w:t>eugd, Preventie en Sport</w:t>
      </w:r>
      <w:r w:rsidRPr="005F055E" w:rsidR="002830DA">
        <w:t xml:space="preserve"> </w:t>
      </w:r>
      <w:r w:rsidRPr="005F055E">
        <w:t xml:space="preserve">in op het </w:t>
      </w:r>
      <w:proofErr w:type="spellStart"/>
      <w:r w:rsidRPr="005F055E">
        <w:t>toegankelĳk</w:t>
      </w:r>
      <w:proofErr w:type="spellEnd"/>
      <w:r w:rsidRPr="005F055E">
        <w:t xml:space="preserve"> maken van verduurzaming. Voor het vervolg van het </w:t>
      </w:r>
      <w:proofErr w:type="spellStart"/>
      <w:r w:rsidRPr="005F055E">
        <w:t>ontzorgingsprogramma</w:t>
      </w:r>
      <w:proofErr w:type="spellEnd"/>
      <w:r w:rsidRPr="005F055E">
        <w:t xml:space="preserve"> waarmee eigenaren van sportaccommodaties de </w:t>
      </w:r>
      <w:proofErr w:type="spellStart"/>
      <w:r w:rsidRPr="005F055E">
        <w:t>mogelĳkheid</w:t>
      </w:r>
      <w:proofErr w:type="spellEnd"/>
      <w:r w:rsidRPr="005F055E">
        <w:t xml:space="preserve"> krijgen voor begeleiding om kennis- en capaciteitsdrempels weg te nemen is in 2026 een bedrag van € 4,0 miljoen beschikbaar.</w:t>
      </w:r>
    </w:p>
    <w:p w:rsidRPr="005F055E" w:rsidR="00CF4A75" w:rsidP="00180EEB" w:rsidRDefault="00CF4A75" w14:paraId="31EF23DA" w14:textId="08B202D0">
      <w:pPr>
        <w:suppressAutoHyphens/>
      </w:pPr>
      <w:r w:rsidRPr="005F055E">
        <w:t xml:space="preserve">Via de Specifieke Uitkering Stimulering Sport is de afgelopen jaren beoogd om de ontwikkeling en instandhouding van sportaccommodaties en de aanschaf van sportmaterialen door gemeenten te stimuleren, daar waar de </w:t>
      </w:r>
      <w:proofErr w:type="spellStart"/>
      <w:r w:rsidRPr="005F055E">
        <w:t>mogelĳkheid</w:t>
      </w:r>
      <w:proofErr w:type="spellEnd"/>
      <w:r w:rsidRPr="005F055E">
        <w:t xml:space="preserve"> tot btw-aftrek is vervallen. Deze regeling wordt met een jaar verlengd en loopt daarmee tot en met 2026. In totaal is hiervoor in 2026 maximaal €177,7 miljoen beschikbaar.</w:t>
      </w:r>
    </w:p>
    <w:p w:rsidRPr="005F055E" w:rsidR="00CF4A75" w:rsidP="00180EEB" w:rsidRDefault="00CF4A75" w14:paraId="19BB64C8" w14:textId="7EC1E0DF">
      <w:pPr>
        <w:suppressAutoHyphens/>
      </w:pPr>
      <w:r w:rsidRPr="005F055E">
        <w:t xml:space="preserve">In de </w:t>
      </w:r>
      <w:proofErr w:type="spellStart"/>
      <w:r w:rsidRPr="005F055E">
        <w:t>Najaarsbrief</w:t>
      </w:r>
      <w:proofErr w:type="spellEnd"/>
      <w:r w:rsidRPr="005F055E">
        <w:t xml:space="preserve"> Sport en Bewegen 2024 is aangekondigd om medio 2025 te komen tot een plan gericht op een toekomstbestendige infrastructuur en ruimte voor sport en bewegen. In dit plan gaat de staatssecretaris </w:t>
      </w:r>
      <w:r w:rsidRPr="005F055E" w:rsidR="002830DA">
        <w:t>J</w:t>
      </w:r>
      <w:r w:rsidR="002830DA">
        <w:t xml:space="preserve">eugd, Preventie en Sport </w:t>
      </w:r>
      <w:r w:rsidRPr="005F055E">
        <w:t xml:space="preserve">in op de inzet op een toekomstbestendige sportinfrastructuur op langere termijn. De staatssecretaris </w:t>
      </w:r>
      <w:r w:rsidRPr="005F055E" w:rsidR="002830DA">
        <w:t>J</w:t>
      </w:r>
      <w:r w:rsidR="002830DA">
        <w:t>eugd, Preventie en Sport</w:t>
      </w:r>
      <w:r w:rsidRPr="005F055E">
        <w:t xml:space="preserve"> heeft dit plan in het najaar aan uw Kamer te doen toekomen.</w:t>
      </w:r>
    </w:p>
    <w:p w:rsidRPr="005F055E" w:rsidR="00D535AF" w:rsidP="00180EEB" w:rsidRDefault="00D535AF" w14:paraId="1E30CDC2" w14:textId="77777777">
      <w:pPr>
        <w:suppressAutoHyphens/>
      </w:pPr>
    </w:p>
    <w:p w:rsidRPr="005F055E" w:rsidR="00D535AF" w:rsidP="00180EEB" w:rsidRDefault="003E7003" w14:paraId="5CE8A8E8" w14:textId="77777777">
      <w:pPr>
        <w:suppressAutoHyphens/>
      </w:pPr>
      <w:r w:rsidRPr="005F055E">
        <w:t>Vraag 453</w:t>
      </w:r>
    </w:p>
    <w:p w:rsidRPr="005F055E" w:rsidR="00D535AF" w:rsidP="00180EEB" w:rsidRDefault="003E7003" w14:paraId="4E237570" w14:textId="77777777">
      <w:pPr>
        <w:suppressAutoHyphens/>
      </w:pPr>
      <w:r w:rsidRPr="005F055E">
        <w:t>Wanneer is de evaluatie van de sportakkoorden en Brede Regeling Combinatiefuncties, opdat er uiteindelijk een tijdig lokaal sportbeleid vanaf 2027 klaar is?</w:t>
      </w:r>
    </w:p>
    <w:p w:rsidRPr="005F055E" w:rsidR="003E7003" w:rsidP="00180EEB" w:rsidRDefault="003E7003" w14:paraId="28660E2B" w14:textId="1DA7EC5D">
      <w:pPr>
        <w:suppressAutoHyphens/>
      </w:pPr>
      <w:r w:rsidRPr="005F055E">
        <w:t>Antwoord</w:t>
      </w:r>
    </w:p>
    <w:p w:rsidRPr="005F055E" w:rsidR="00CF4A75" w:rsidP="00180EEB" w:rsidRDefault="00CF4A75" w14:paraId="21526005" w14:textId="474E19ED">
      <w:pPr>
        <w:suppressAutoHyphens/>
      </w:pPr>
      <w:r w:rsidRPr="005F055E">
        <w:t xml:space="preserve">De evaluatie wordt op dit moment uitgevoerd. In het eerste kwartaal van 2026 zal Berenschot het eindrapport opleveren. Zodra de staatssecretaris </w:t>
      </w:r>
      <w:r w:rsidRPr="005F055E" w:rsidR="002830DA">
        <w:t>J</w:t>
      </w:r>
      <w:r w:rsidR="002830DA">
        <w:t>eugd, Preventie en Sport</w:t>
      </w:r>
      <w:r w:rsidRPr="005F055E">
        <w:t xml:space="preserve"> het eindrapport heeft ontvangen, </w:t>
      </w:r>
      <w:r w:rsidR="002830DA">
        <w:t xml:space="preserve">wordt </w:t>
      </w:r>
      <w:r w:rsidRPr="005F055E">
        <w:t>deze naar uw Kamer gestuurd</w:t>
      </w:r>
      <w:r w:rsidR="002830DA">
        <w:t xml:space="preserve">. </w:t>
      </w:r>
    </w:p>
    <w:p w:rsidRPr="005F055E" w:rsidR="00D535AF" w:rsidP="00180EEB" w:rsidRDefault="00D535AF" w14:paraId="30563F1E" w14:textId="77777777">
      <w:pPr>
        <w:suppressAutoHyphens/>
      </w:pPr>
    </w:p>
    <w:p w:rsidRPr="005F055E" w:rsidR="00D535AF" w:rsidP="00180EEB" w:rsidRDefault="003E7003" w14:paraId="26D7B66A" w14:textId="77777777">
      <w:pPr>
        <w:suppressAutoHyphens/>
      </w:pPr>
      <w:r w:rsidRPr="005F055E">
        <w:t>Vraag 454</w:t>
      </w:r>
    </w:p>
    <w:p w:rsidRPr="005F055E" w:rsidR="00D535AF" w:rsidP="00180EEB" w:rsidRDefault="003E7003" w14:paraId="42230608" w14:textId="77777777">
      <w:pPr>
        <w:suppressAutoHyphens/>
      </w:pPr>
      <w:r w:rsidRPr="005F055E">
        <w:t>Wanneer ontvangt de Kamer de uitkomsten van het sportpasonderzoek en welke financiële bandbreedte wordt daarbij onderzocht?</w:t>
      </w:r>
      <w:r w:rsidRPr="005F055E">
        <w:tab/>
      </w:r>
    </w:p>
    <w:p w:rsidRPr="005F055E" w:rsidR="00D535AF" w:rsidP="00180EEB" w:rsidRDefault="003E7003" w14:paraId="47D9E47B" w14:textId="0D1F230B">
      <w:pPr>
        <w:suppressAutoHyphens/>
      </w:pPr>
      <w:r w:rsidRPr="005F055E">
        <w:t>Antwoord</w:t>
      </w:r>
    </w:p>
    <w:p w:rsidRPr="005F055E" w:rsidR="00CF4A75" w:rsidP="00180EEB" w:rsidRDefault="00CF4A75" w14:paraId="1B22EEFF" w14:textId="1A4561C8">
      <w:pPr>
        <w:suppressAutoHyphens/>
      </w:pPr>
      <w:r w:rsidRPr="005F055E">
        <w:t>Het onderzoek naar de effecten van het conceptsportpas verloopt gefaseerd en langs 4 lijnen, namelijk (1) een behoefteanalyse onder jongeren (reeds afgerond), (2) pilots in drie gemeenten, (3) onderzoek naar vergelijkbare trajecten en (4) onderzoek naar kosten voor een landelijke invoering van een sportpas.</w:t>
      </w:r>
    </w:p>
    <w:p w:rsidRPr="005F055E" w:rsidR="00CF4A75" w:rsidP="00180EEB" w:rsidRDefault="00CF4A75" w14:paraId="2637673C" w14:textId="72C4F079">
      <w:pPr>
        <w:suppressAutoHyphens/>
        <w:rPr>
          <w:szCs w:val="18"/>
        </w:rPr>
      </w:pPr>
      <w:r w:rsidRPr="005F055E">
        <w:t xml:space="preserve">Het rapport van de behoefteanalyse is inmiddels gereed en wordt gedeeld met uw Kamer via de verzamelbrief sport en bewegen ten behoeve van het </w:t>
      </w:r>
      <w:r w:rsidR="00A540D3">
        <w:t>wetgevingsoverleg</w:t>
      </w:r>
      <w:r w:rsidRPr="005F055E" w:rsidR="00A540D3">
        <w:t xml:space="preserve"> </w:t>
      </w:r>
      <w:r w:rsidRPr="005F055E">
        <w:t xml:space="preserve">februari 2026. De pilots in de drie gemeenten eindigen in het voorjaar van 2027. De eerste resultaten kunnen in het najaar van 2027 worden gedeeld met de Kamer. In het voorjaar en najaar van 2026 kunnen de (eerste) resultaten van het onderzoek naar vergelijkbare trajecten worden gedeeld met de Kamer. Bij het onderzoek naar de kosten van een sportpas worden verschillende doelgroepen in beeld gebracht om zo inzicht te krijgen in wat </w:t>
      </w:r>
      <w:r w:rsidR="00A540D3">
        <w:t xml:space="preserve">effectief is en welke </w:t>
      </w:r>
      <w:r w:rsidRPr="005F055E">
        <w:t xml:space="preserve">de verschillende financiële bandbreedtes </w:t>
      </w:r>
      <w:r w:rsidR="00A540D3">
        <w:t xml:space="preserve">mogelijk </w:t>
      </w:r>
      <w:r w:rsidRPr="005F055E">
        <w:t>zijn om een sportpas landelijk in te voeren. Het gaat dan bijvoorbeeld om jongeren van 12 t/m 23 jaar, alle jeugd en jongeren van 4 t/m 23 jaar, jeugd en jongeren in armoede. Uitkomsten van dit onderzoek worden medio 2026 verwacht.</w:t>
      </w:r>
    </w:p>
    <w:p w:rsidR="00D71325" w:rsidP="00180EEB" w:rsidRDefault="00D71325" w14:paraId="3D2A45B7" w14:textId="77777777">
      <w:pPr>
        <w:suppressAutoHyphens/>
      </w:pPr>
    </w:p>
    <w:p w:rsidRPr="005F055E" w:rsidR="00D535AF" w:rsidP="00180EEB" w:rsidRDefault="003E7003" w14:paraId="5FF361CA" w14:textId="3022ABEC">
      <w:pPr>
        <w:suppressAutoHyphens/>
      </w:pPr>
      <w:r w:rsidRPr="005F055E">
        <w:t>Vraag 455</w:t>
      </w:r>
    </w:p>
    <w:p w:rsidRPr="005F055E" w:rsidR="00D535AF" w:rsidP="00180EEB" w:rsidRDefault="003E7003" w14:paraId="3E028842" w14:textId="77777777">
      <w:pPr>
        <w:suppressAutoHyphens/>
      </w:pPr>
      <w:r w:rsidRPr="005F055E">
        <w:t>Wordt door de daling in de uitgaven aan het beleidsartikel Sport &amp; Bewegen nog steeds voldaan aan de ambitie van het kabinet om zich meer in te zetten voor (leefstijl)preventie?</w:t>
      </w:r>
    </w:p>
    <w:p w:rsidRPr="005F055E" w:rsidR="003E7003" w:rsidP="00180EEB" w:rsidRDefault="003E7003" w14:paraId="4D69C3B1" w14:textId="45F0B2A7">
      <w:pPr>
        <w:suppressAutoHyphens/>
      </w:pPr>
      <w:r w:rsidRPr="005F055E">
        <w:t>Antwoord</w:t>
      </w:r>
    </w:p>
    <w:p w:rsidRPr="005F055E" w:rsidR="00CF4A75" w:rsidP="00180EEB" w:rsidRDefault="00CF4A75" w14:paraId="2148473D" w14:textId="03A06B8E">
      <w:pPr>
        <w:suppressAutoHyphens/>
      </w:pPr>
      <w:r w:rsidRPr="005F055E">
        <w:t xml:space="preserve">In het hoofdlijnenakkoord is afgesproken dat preventie meer centraal komt te staan. Dit gebeurt onder meer met beleidsagenda ‘Gezondheid in alle beleidsterreinen’ en de Samenhangende preventiestrategie. Ook bijvoorbeeld het Aanvullend Zorg- en Welzijnsakkoord bevat afspraken om de verschuiving van zorg naar preventie te versterken. </w:t>
      </w:r>
    </w:p>
    <w:p w:rsidRPr="005F055E" w:rsidR="00CF4A75" w:rsidP="00180EEB" w:rsidRDefault="00CF4A75" w14:paraId="286B0A67" w14:textId="5D1374E5">
      <w:pPr>
        <w:suppressAutoHyphens/>
      </w:pPr>
      <w:r w:rsidRPr="005F055E">
        <w:t>Ondanks dat dit kabinet preventie centraal stelt, is tegelijkertijd de realiteit dat er minder middelen dan voorheen beschikbaar zijn, voornamelijk door het wegvallen van tijdelijke middelen. Dat betekent dat de staatssecretaris J</w:t>
      </w:r>
      <w:r w:rsidR="00A540D3">
        <w:t xml:space="preserve">eugd, </w:t>
      </w:r>
      <w:r w:rsidRPr="005F055E">
        <w:t>P</w:t>
      </w:r>
      <w:r w:rsidR="00A540D3">
        <w:t xml:space="preserve">reventie en </w:t>
      </w:r>
      <w:r w:rsidRPr="005F055E">
        <w:t>S</w:t>
      </w:r>
      <w:r w:rsidR="00A540D3">
        <w:t>port</w:t>
      </w:r>
      <w:r w:rsidRPr="005F055E">
        <w:t xml:space="preserve"> realistisch moet zijn in de ambities, prioriteiten moet stellen, middelen moet inzetten waar ze het meest effect hebben, creatiever moet zijn en meer focus moet aanbrengen. Dat doet de staatssecretaris J</w:t>
      </w:r>
      <w:r w:rsidR="00A540D3">
        <w:t xml:space="preserve">eugd, </w:t>
      </w:r>
      <w:r w:rsidRPr="005F055E">
        <w:t>P</w:t>
      </w:r>
      <w:r w:rsidR="00A540D3">
        <w:t xml:space="preserve">reventie en </w:t>
      </w:r>
      <w:r w:rsidRPr="005F055E">
        <w:t>S</w:t>
      </w:r>
      <w:r w:rsidR="00A540D3">
        <w:t>port</w:t>
      </w:r>
      <w:r w:rsidRPr="005F055E">
        <w:t xml:space="preserve"> bijvoorbeeld met de hierboven genoemde beleidsagenda, de strategie en het akkoord. Wel komen met het AZWA de komende jaren structureel aanvullende middelen beschikbaar voor gemeenten om de samenwerking met de zorgpartijen op het sociaal domein en gezondheid te kunnen intensiveren. Bijvoorbeeld waar het gaat om de aanpak overgewicht volwassenen, of de inzet op ‘Nu niet zwanger’ en integrale gezinspoli vanuit het programma Kansrijke Start. Ook zijn middelen voor gemeenten beschikbaar gesteld om een aantal aanpakken verder te kunnen ontwikkelen, zoals de ketenaanpak overgewicht kinderen of rookvrije start en nicotinevrij. Deze middelen zijn tijdelijk. </w:t>
      </w:r>
    </w:p>
    <w:p w:rsidRPr="005F055E" w:rsidR="00CF4A75" w:rsidP="00180EEB" w:rsidRDefault="00CF4A75" w14:paraId="2D7AE9C3" w14:textId="23E03BDB">
      <w:pPr>
        <w:suppressAutoHyphens/>
      </w:pPr>
      <w:r w:rsidRPr="005F055E">
        <w:t xml:space="preserve">Bovendien heeft het kabinet voor het stimuleren van bewegen €7,7 miljoen beschikbaar gesteld, waarvan €5,5 miljoen voor 2026. Met dit beschikbare budget voor 2026 kan een deel van de plannen uit het Actieplan </w:t>
      </w:r>
      <w:r w:rsidRPr="005F055E">
        <w:rPr>
          <w:i/>
          <w:iCs/>
        </w:rPr>
        <w:t xml:space="preserve">Nederland Beweegt </w:t>
      </w:r>
      <w:r w:rsidRPr="005F055E">
        <w:t>voor een extra jaar worden voortgezet</w:t>
      </w:r>
      <w:r w:rsidR="00A540D3">
        <w:t xml:space="preserve">. Hierbij </w:t>
      </w:r>
      <w:r w:rsidRPr="005F055E">
        <w:t>meer focus word</w:t>
      </w:r>
      <w:r w:rsidR="00A540D3">
        <w:t xml:space="preserve">t </w:t>
      </w:r>
      <w:r w:rsidRPr="005F055E">
        <w:t xml:space="preserve">aangebracht, zoals toegelicht met de Kamerbrief Commissiedebat Sport en Bewegen 2025 van 18 juni 2025. </w:t>
      </w:r>
    </w:p>
    <w:p w:rsidRPr="005F055E" w:rsidR="00D535AF" w:rsidP="00180EEB" w:rsidRDefault="00D535AF" w14:paraId="5AD2DE39" w14:textId="77777777">
      <w:pPr>
        <w:suppressAutoHyphens/>
      </w:pPr>
    </w:p>
    <w:p w:rsidRPr="005F055E" w:rsidR="00D535AF" w:rsidP="00180EEB" w:rsidRDefault="003E7003" w14:paraId="51404876" w14:textId="77777777">
      <w:pPr>
        <w:suppressAutoHyphens/>
      </w:pPr>
      <w:r w:rsidRPr="005F055E">
        <w:t>Vraag 456</w:t>
      </w:r>
    </w:p>
    <w:p w:rsidRPr="005F055E" w:rsidR="00D535AF" w:rsidP="00180EEB" w:rsidRDefault="003E7003" w14:paraId="749192A0" w14:textId="77777777">
      <w:pPr>
        <w:suppressAutoHyphens/>
      </w:pPr>
      <w:r w:rsidRPr="005F055E">
        <w:t>Hoeveel procent van de sportaccommodaties is in 2026 al verduurzaamd?</w:t>
      </w:r>
      <w:r w:rsidRPr="005F055E">
        <w:tab/>
      </w:r>
    </w:p>
    <w:p w:rsidRPr="005F055E" w:rsidR="003E7003" w:rsidP="00180EEB" w:rsidRDefault="003E7003" w14:paraId="6D852AD9" w14:textId="0FB2E888">
      <w:pPr>
        <w:suppressAutoHyphens/>
      </w:pPr>
      <w:r w:rsidRPr="005F055E">
        <w:t>Antwoord</w:t>
      </w:r>
    </w:p>
    <w:p w:rsidRPr="005F055E" w:rsidR="00CF4A75" w:rsidP="00180EEB" w:rsidRDefault="00CF4A75" w14:paraId="36AE3BDB" w14:textId="60408800">
      <w:pPr>
        <w:suppressAutoHyphens/>
      </w:pPr>
      <w:r w:rsidRPr="005F055E">
        <w:t xml:space="preserve">Het is moeilijk aan te geven hoeveel sportaccommodaties precies zijn verduurzaamd, en in welke mate. Het </w:t>
      </w:r>
      <w:proofErr w:type="spellStart"/>
      <w:r w:rsidRPr="005F055E">
        <w:t>Mulier</w:t>
      </w:r>
      <w:proofErr w:type="spellEnd"/>
      <w:r w:rsidRPr="005F055E">
        <w:t xml:space="preserve"> Instituut concludeert in het rapport Sportaccommodaties 2023 dat op basis van de </w:t>
      </w:r>
      <w:proofErr w:type="spellStart"/>
      <w:r w:rsidRPr="005F055E">
        <w:t>energieverbruikgegevens</w:t>
      </w:r>
      <w:proofErr w:type="spellEnd"/>
      <w:r w:rsidRPr="005F055E">
        <w:t xml:space="preserve"> van het CBS nog weinig inzicht is in de gerealiseerde energiebesparingen. Hoewel de </w:t>
      </w:r>
      <w:proofErr w:type="spellStart"/>
      <w:r w:rsidRPr="005F055E">
        <w:t>energielabels</w:t>
      </w:r>
      <w:proofErr w:type="spellEnd"/>
      <w:r w:rsidRPr="005F055E">
        <w:t xml:space="preserve"> de goede kant uit lijken te bewegen, vertegenwoordigen deze maar een klein deel van de sportaccommodaties in Nederland. Wel blijkt uit ditzelfde rapport dat de sportsector steeds meer aandacht heeft voor duurzaamheid, met jaarlijks toenemende investeringen van sportverenigingen en gemeenten in energiebesparing, circulariteit en klimaatadaptatie. Ook heeft de meerderheid van de gemeenten de afgelopen jaren geïnvesteerd in energiebesparende maatregelen bij gemeentelijke sportaccommodaties.</w:t>
      </w:r>
    </w:p>
    <w:p w:rsidRPr="005F055E" w:rsidR="00CF4A75" w:rsidP="00180EEB" w:rsidRDefault="00CF4A75" w14:paraId="553B01F8" w14:textId="77777777">
      <w:pPr>
        <w:suppressAutoHyphens/>
      </w:pPr>
      <w:r w:rsidRPr="005F055E">
        <w:t xml:space="preserve">Zo had tijdens de eerste meting van het </w:t>
      </w:r>
      <w:proofErr w:type="spellStart"/>
      <w:r w:rsidRPr="005F055E">
        <w:t>Mulier</w:t>
      </w:r>
      <w:proofErr w:type="spellEnd"/>
      <w:r w:rsidRPr="005F055E">
        <w:t xml:space="preserve"> Instituut in 2014 slechts 4% van de verenigingen zonnepanelen, terwijl dit inmiddels is opgelopen tot 33%. Ook heeft de helft van de verenigingen die door het </w:t>
      </w:r>
      <w:proofErr w:type="spellStart"/>
      <w:r w:rsidRPr="005F055E">
        <w:t>Mulier</w:t>
      </w:r>
      <w:proofErr w:type="spellEnd"/>
      <w:r w:rsidRPr="005F055E">
        <w:t xml:space="preserve"> Instituut bevraagd zijn geïnvesteerd in energiebesparende maatregelen. Dit is sinds juli 2022 gestegen van 36% naar 51%.</w:t>
      </w:r>
    </w:p>
    <w:p w:rsidR="00D71325" w:rsidP="00180EEB" w:rsidRDefault="00D71325" w14:paraId="28C6FBE5" w14:textId="77777777">
      <w:pPr>
        <w:suppressAutoHyphens/>
      </w:pPr>
    </w:p>
    <w:p w:rsidRPr="005F055E" w:rsidR="00D535AF" w:rsidP="00180EEB" w:rsidRDefault="003E7003" w14:paraId="78643B38" w14:textId="19C1542D">
      <w:pPr>
        <w:suppressAutoHyphens/>
      </w:pPr>
      <w:r w:rsidRPr="005F055E">
        <w:t>Vraag 457</w:t>
      </w:r>
    </w:p>
    <w:p w:rsidRPr="005F055E" w:rsidR="00D535AF" w:rsidP="00180EEB" w:rsidRDefault="003E7003" w14:paraId="517E0D42" w14:textId="77777777">
      <w:pPr>
        <w:suppressAutoHyphens/>
      </w:pPr>
      <w:r w:rsidRPr="005F055E">
        <w:t>Welke oorzaken zijn bekend over de afname van de hechting aan 4 en 5 mei?</w:t>
      </w:r>
    </w:p>
    <w:p w:rsidRPr="005F055E" w:rsidR="003E7003" w:rsidP="00180EEB" w:rsidRDefault="003E7003" w14:paraId="28C9C6F6" w14:textId="2620C04D">
      <w:pPr>
        <w:suppressAutoHyphens/>
      </w:pPr>
      <w:r w:rsidRPr="005F055E">
        <w:t>Antwoord</w:t>
      </w:r>
    </w:p>
    <w:p w:rsidRPr="005F055E" w:rsidR="008D2F23" w:rsidP="00180EEB" w:rsidRDefault="008D2F23" w14:paraId="502B8836" w14:textId="77777777">
      <w:pPr>
        <w:suppressAutoHyphens/>
        <w:spacing w:line="240" w:lineRule="atLeast"/>
        <w:rPr>
          <w:szCs w:val="18"/>
          <w:lang w:eastAsia="nl-NL"/>
        </w:rPr>
      </w:pPr>
      <w:r w:rsidRPr="005F055E">
        <w:rPr>
          <w:szCs w:val="18"/>
          <w:lang w:eastAsia="nl-NL"/>
        </w:rPr>
        <w:t xml:space="preserve">Het Nationaal Comité 4 en 5 mei (NC) onderzoekt jaarlijks de beleving van 4 en 5 mei onder inwoners. Uit het laatste onderzoek komt niet eenduidig naar voren dat er sprake is van een afname van de hechting van Nederlanders met 4 en 5 mei. Er is een toename te zien in de mate waarin men heeft stilgestaan bij de Nationale Herdenking en Bevrijdingsdag. Tegelijkertijd wordt er een meerjarige afname geconstateerd van de importantie die wordt gehecht aan de Nationale Herdenking. Over de resultaten van dit jaarlijks onderzoek – inclusief over hoe deze te duiden – blijft mijn ministerie in contact met het NC. Het is namelijk van groot belang dat het herdenken van de Tweede Wereldoorlog en het vieren van onze bevrijding vanuit een brede gezamenlijke betrokkenheid wordt beleefd. </w:t>
      </w:r>
    </w:p>
    <w:p w:rsidRPr="005F055E" w:rsidR="00D535AF" w:rsidP="00180EEB" w:rsidRDefault="00D535AF" w14:paraId="11B4BA1A" w14:textId="77777777">
      <w:pPr>
        <w:suppressAutoHyphens/>
      </w:pPr>
    </w:p>
    <w:p w:rsidR="00180EEB" w:rsidP="00180EEB" w:rsidRDefault="00180EEB" w14:paraId="6AC6A98B" w14:textId="77777777">
      <w:pPr>
        <w:suppressAutoHyphens/>
      </w:pPr>
    </w:p>
    <w:p w:rsidR="00180EEB" w:rsidP="00180EEB" w:rsidRDefault="00180EEB" w14:paraId="0E6DD60B" w14:textId="77777777">
      <w:pPr>
        <w:suppressAutoHyphens/>
      </w:pPr>
    </w:p>
    <w:p w:rsidRPr="005F055E" w:rsidR="00D535AF" w:rsidP="00180EEB" w:rsidRDefault="003E7003" w14:paraId="789331BA" w14:textId="626316C8">
      <w:pPr>
        <w:suppressAutoHyphens/>
      </w:pPr>
      <w:r w:rsidRPr="005F055E">
        <w:t>Vraag 458</w:t>
      </w:r>
    </w:p>
    <w:p w:rsidRPr="005F055E" w:rsidR="00D535AF" w:rsidP="00180EEB" w:rsidRDefault="003E7003" w14:paraId="08F5E2DB" w14:textId="77777777">
      <w:pPr>
        <w:suppressAutoHyphens/>
      </w:pPr>
      <w:r w:rsidRPr="005F055E">
        <w:t xml:space="preserve">Hoe wordt het resterende </w:t>
      </w:r>
      <w:proofErr w:type="spellStart"/>
      <w:r w:rsidRPr="005F055E">
        <w:t>financieringsgat</w:t>
      </w:r>
      <w:proofErr w:type="spellEnd"/>
      <w:r w:rsidRPr="005F055E">
        <w:t xml:space="preserve"> van kamp Westerbork gedicht? Welke reserves in de begroting zijn beschikbaar mocht het </w:t>
      </w:r>
      <w:proofErr w:type="spellStart"/>
      <w:r w:rsidRPr="005F055E">
        <w:t>financieringsgat</w:t>
      </w:r>
      <w:proofErr w:type="spellEnd"/>
      <w:r w:rsidRPr="005F055E">
        <w:t xml:space="preserve"> in de praktijk niet gedicht kunnen worden via particuliere financiering?</w:t>
      </w:r>
    </w:p>
    <w:p w:rsidRPr="005F055E" w:rsidR="003E7003" w:rsidP="00180EEB" w:rsidRDefault="003E7003" w14:paraId="5FE29638" w14:textId="6CEADB8F">
      <w:pPr>
        <w:suppressAutoHyphens/>
      </w:pPr>
      <w:r w:rsidRPr="005F055E">
        <w:t>Antwoord</w:t>
      </w:r>
    </w:p>
    <w:p w:rsidRPr="005F055E" w:rsidR="008D2F23" w:rsidP="00180EEB" w:rsidRDefault="008D2F23" w14:paraId="57DF71EE" w14:textId="77777777">
      <w:pPr>
        <w:suppressAutoHyphens/>
        <w:spacing w:line="240" w:lineRule="atLeast"/>
        <w:rPr>
          <w:szCs w:val="18"/>
          <w:lang w:eastAsia="nl-NL"/>
        </w:rPr>
      </w:pPr>
      <w:r w:rsidRPr="005F055E">
        <w:rPr>
          <w:szCs w:val="18"/>
          <w:lang w:eastAsia="nl-NL"/>
        </w:rPr>
        <w:t xml:space="preserve">Het Rijk heeft vanaf 2026 extra middelen beschikbaar gesteld aan Kamp Westerbork en de andere Nationale Herinneringscentra om de authentieke plekken waar de Tweede Wereldoorlog zich heeft afgespeeld toekomstbestendig te maken. Dit zodat dit verhaal wordt overgedragen aan volgende generaties. </w:t>
      </w:r>
    </w:p>
    <w:p w:rsidRPr="005F055E" w:rsidR="008D2F23" w:rsidP="00180EEB" w:rsidRDefault="008D2F23" w14:paraId="32228D7B" w14:textId="6C650D22">
      <w:pPr>
        <w:suppressAutoHyphens/>
        <w:spacing w:line="240" w:lineRule="atLeast"/>
        <w:rPr>
          <w:szCs w:val="18"/>
          <w:lang w:eastAsia="nl-NL"/>
        </w:rPr>
      </w:pPr>
      <w:r w:rsidRPr="005F055E">
        <w:rPr>
          <w:szCs w:val="18"/>
          <w:lang w:eastAsia="nl-NL"/>
        </w:rPr>
        <w:t xml:space="preserve">Het Rijk heeft € 15 miljoen </w:t>
      </w:r>
      <w:r w:rsidR="00A540D3">
        <w:rPr>
          <w:szCs w:val="18"/>
          <w:lang w:eastAsia="nl-NL"/>
        </w:rPr>
        <w:t>beschikbaar gemaakt</w:t>
      </w:r>
      <w:r w:rsidRPr="005F055E">
        <w:rPr>
          <w:szCs w:val="18"/>
          <w:lang w:eastAsia="nl-NL"/>
        </w:rPr>
        <w:t xml:space="preserve"> zodat de grootschalige vernieuwing van Herinneringscentrum Kamp Westerbork gefaseerd van start kan gaan. Kamp Westerbork is daarnaast druk bezig om ook andere financiers aan te trekken. Mede naar aanleiding van de inzet van het Rijk zijn de gesprekken met particuliere financiers en medeoverheden tot nu toe positief. Op dit moment zijn er geen middelen in de begroting beschikbaar voor een additionele bijdrage. Een besluit over eventuele vervolgfinanciering vanuit het Rijk voor de vernieuwing van Kamp Westerbork is in beginsel aan het volgende kabinet. </w:t>
      </w:r>
    </w:p>
    <w:p w:rsidRPr="005F055E" w:rsidR="00D535AF" w:rsidP="00180EEB" w:rsidRDefault="00D535AF" w14:paraId="024F19D3" w14:textId="77777777">
      <w:pPr>
        <w:suppressAutoHyphens/>
      </w:pPr>
    </w:p>
    <w:p w:rsidRPr="005F055E" w:rsidR="00D535AF" w:rsidP="00180EEB" w:rsidRDefault="003E7003" w14:paraId="2644AE31" w14:textId="33DB6219">
      <w:pPr>
        <w:suppressAutoHyphens/>
      </w:pPr>
      <w:r w:rsidRPr="005F055E">
        <w:t>Vraag 459</w:t>
      </w:r>
    </w:p>
    <w:p w:rsidRPr="005F055E" w:rsidR="00D535AF" w:rsidP="00180EEB" w:rsidRDefault="003E7003" w14:paraId="7928BD48" w14:textId="77777777">
      <w:pPr>
        <w:suppressAutoHyphens/>
      </w:pPr>
      <w:r w:rsidRPr="005F055E">
        <w:t>Hoe gaat de geraamde afname aan personele uitgaven bereikt worden?</w:t>
      </w:r>
    </w:p>
    <w:p w:rsidRPr="005F055E" w:rsidR="003E7003" w:rsidP="00180EEB" w:rsidRDefault="003E7003" w14:paraId="12A9CDCB" w14:textId="6A8B32CC">
      <w:pPr>
        <w:suppressAutoHyphens/>
      </w:pPr>
      <w:r w:rsidRPr="005F055E">
        <w:t>Antwoord</w:t>
      </w:r>
    </w:p>
    <w:p w:rsidRPr="005F055E" w:rsidR="00CF4A75" w:rsidP="00180EEB" w:rsidRDefault="00CF4A75" w14:paraId="70297CB4" w14:textId="77777777">
      <w:pPr>
        <w:suppressAutoHyphens/>
      </w:pPr>
      <w:r w:rsidRPr="005F055E">
        <w:t>De geraamde afname aan personele uitgaven is een gevolg van de invulling van de taakstelling. Deze is bij de Ontwerpbegroting 2025 verwerkt in het apparaatsartikel. De taakstelling is op twee manieren ingevuld binnen het departement. Zo is er een generieke korting doorgevoerd bij het gehele ministerie, inclusief de concernorganisaties. Deze loopt op tot 2,5% in 2029. Daarnaast zijn bewuste keuzes gemaakt om bepaalde taken niet meer te vervullen, inhuur daar waar mogelijk te beperken en versoberingen door te voeren in de bedrijfsvoering.</w:t>
      </w:r>
    </w:p>
    <w:p w:rsidRPr="005F055E" w:rsidR="00D71325" w:rsidP="00180EEB" w:rsidRDefault="00D71325" w14:paraId="293CD7B0" w14:textId="77777777">
      <w:pPr>
        <w:suppressAutoHyphens/>
      </w:pPr>
    </w:p>
    <w:p w:rsidRPr="005F055E" w:rsidR="00D535AF" w:rsidP="00180EEB" w:rsidRDefault="003E7003" w14:paraId="713AC10D" w14:textId="77777777">
      <w:pPr>
        <w:suppressAutoHyphens/>
      </w:pPr>
      <w:r w:rsidRPr="005F055E">
        <w:t>Vraag 460</w:t>
      </w:r>
    </w:p>
    <w:p w:rsidRPr="005F055E" w:rsidR="00D535AF" w:rsidP="00180EEB" w:rsidRDefault="003E7003" w14:paraId="5F2BFE35" w14:textId="77777777">
      <w:pPr>
        <w:suppressAutoHyphens/>
      </w:pPr>
      <w:r w:rsidRPr="005F055E">
        <w:t>Wat zijn de apparaatsuitgaven voor artikel 10 in 2026 (€615,331 miljoen) en wat is de uitsplitsing hiervan (personeel, materieel, inhuur externen e.d.), inclusief het aandeel externe inhuur in 2026 op basis van tabel 50? Wordt met deze uitgaven aan externe inhuur voldaan aan de Roemernorm volgens motie-De Korte?</w:t>
      </w:r>
    </w:p>
    <w:p w:rsidRPr="005F055E" w:rsidR="003E7003" w:rsidP="00180EEB" w:rsidRDefault="003E7003" w14:paraId="1748AA5B" w14:textId="6C965AF3">
      <w:pPr>
        <w:suppressAutoHyphens/>
      </w:pPr>
      <w:r w:rsidRPr="005F055E">
        <w:t>Antwoord</w:t>
      </w:r>
    </w:p>
    <w:p w:rsidRPr="005F055E" w:rsidR="00CF4A75" w:rsidP="00180EEB" w:rsidRDefault="00CF4A75" w14:paraId="5D1C981E" w14:textId="3D4D495B">
      <w:pPr>
        <w:suppressAutoHyphens/>
      </w:pPr>
      <w:bookmarkStart w:name="_Hlk211418215" w:id="61"/>
      <w:r w:rsidRPr="005F055E">
        <w:t>In onderstaande tabel zijn de geraamde apparaatsuitgaven opgenomen voor artikel 10, separaat zijn ook de geraamde apparaatsuitgaven van de agentschappen van het ministerie benoemd.</w:t>
      </w:r>
    </w:p>
    <w:tbl>
      <w:tblPr>
        <w:tblStyle w:val="Tabelraster"/>
        <w:tblW w:w="9316" w:type="dxa"/>
        <w:tblInd w:w="18" w:type="dxa"/>
        <w:tblLook w:val="04A0" w:firstRow="1" w:lastRow="0" w:firstColumn="1" w:lastColumn="0" w:noHBand="0" w:noVBand="1"/>
      </w:tblPr>
      <w:tblGrid>
        <w:gridCol w:w="2644"/>
        <w:gridCol w:w="2433"/>
        <w:gridCol w:w="2163"/>
        <w:gridCol w:w="2076"/>
      </w:tblGrid>
      <w:tr w:rsidRPr="005F055E" w:rsidR="00CF4A75" w:rsidTr="00CF4A75" w14:paraId="7E01D280" w14:textId="77777777">
        <w:trPr>
          <w:trHeight w:val="209"/>
        </w:trPr>
        <w:tc>
          <w:tcPr>
            <w:tcW w:w="2644" w:type="dxa"/>
          </w:tcPr>
          <w:p w:rsidRPr="005F055E" w:rsidR="00CF4A75" w:rsidP="00180EEB" w:rsidRDefault="00CF4A75" w14:paraId="2D04A99D" w14:textId="77777777">
            <w:pPr>
              <w:suppressAutoHyphens/>
              <w:rPr>
                <w:rFonts w:ascii="Verdana" w:hAnsi="Verdana"/>
                <w:b/>
                <w:bCs/>
                <w:sz w:val="18"/>
                <w:szCs w:val="18"/>
              </w:rPr>
            </w:pPr>
          </w:p>
        </w:tc>
        <w:tc>
          <w:tcPr>
            <w:tcW w:w="2433" w:type="dxa"/>
          </w:tcPr>
          <w:p w:rsidRPr="005F055E" w:rsidR="00CF4A75" w:rsidP="00180EEB" w:rsidRDefault="00CF4A75" w14:paraId="26EBC966" w14:textId="77777777">
            <w:pPr>
              <w:suppressAutoHyphens/>
              <w:rPr>
                <w:rFonts w:ascii="Verdana" w:hAnsi="Verdana"/>
                <w:b/>
                <w:bCs/>
                <w:sz w:val="18"/>
                <w:szCs w:val="18"/>
              </w:rPr>
            </w:pPr>
            <w:r w:rsidRPr="005F055E">
              <w:rPr>
                <w:rFonts w:ascii="Verdana" w:hAnsi="Verdana"/>
                <w:b/>
                <w:bCs/>
                <w:sz w:val="18"/>
                <w:szCs w:val="18"/>
              </w:rPr>
              <w:t xml:space="preserve">Kerndepartement </w:t>
            </w:r>
          </w:p>
        </w:tc>
        <w:tc>
          <w:tcPr>
            <w:tcW w:w="2163" w:type="dxa"/>
          </w:tcPr>
          <w:p w:rsidRPr="005F055E" w:rsidR="00CF4A75" w:rsidP="00180EEB" w:rsidRDefault="00CF4A75" w14:paraId="3E9A0DF8" w14:textId="77777777">
            <w:pPr>
              <w:suppressAutoHyphens/>
              <w:rPr>
                <w:rFonts w:ascii="Verdana" w:hAnsi="Verdana"/>
                <w:b/>
                <w:bCs/>
                <w:sz w:val="18"/>
                <w:szCs w:val="18"/>
              </w:rPr>
            </w:pPr>
            <w:r w:rsidRPr="005F055E">
              <w:rPr>
                <w:rFonts w:ascii="Verdana" w:hAnsi="Verdana"/>
                <w:b/>
                <w:bCs/>
                <w:sz w:val="18"/>
                <w:szCs w:val="18"/>
              </w:rPr>
              <w:t>Agentschappen</w:t>
            </w:r>
          </w:p>
        </w:tc>
        <w:tc>
          <w:tcPr>
            <w:tcW w:w="2076" w:type="dxa"/>
          </w:tcPr>
          <w:p w:rsidRPr="005F055E" w:rsidR="00CF4A75" w:rsidP="00180EEB" w:rsidRDefault="00CF4A75" w14:paraId="3716BA9C" w14:textId="77777777">
            <w:pPr>
              <w:suppressAutoHyphens/>
              <w:rPr>
                <w:rFonts w:ascii="Verdana" w:hAnsi="Verdana"/>
                <w:b/>
                <w:bCs/>
                <w:sz w:val="18"/>
                <w:szCs w:val="18"/>
              </w:rPr>
            </w:pPr>
            <w:r w:rsidRPr="005F055E">
              <w:rPr>
                <w:rFonts w:ascii="Verdana" w:hAnsi="Verdana"/>
                <w:b/>
                <w:bCs/>
                <w:sz w:val="18"/>
                <w:szCs w:val="18"/>
              </w:rPr>
              <w:t>Totaal</w:t>
            </w:r>
          </w:p>
        </w:tc>
      </w:tr>
      <w:tr w:rsidRPr="005F055E" w:rsidR="00CF4A75" w:rsidTr="00CF4A75" w14:paraId="41CE0747" w14:textId="77777777">
        <w:trPr>
          <w:trHeight w:val="209"/>
        </w:trPr>
        <w:tc>
          <w:tcPr>
            <w:tcW w:w="2644" w:type="dxa"/>
          </w:tcPr>
          <w:p w:rsidRPr="005F055E" w:rsidR="00CF4A75" w:rsidP="00180EEB" w:rsidRDefault="00CF4A75" w14:paraId="26F584EB" w14:textId="77777777">
            <w:pPr>
              <w:suppressAutoHyphens/>
              <w:rPr>
                <w:rFonts w:ascii="Verdana" w:hAnsi="Verdana"/>
                <w:sz w:val="18"/>
                <w:szCs w:val="18"/>
              </w:rPr>
            </w:pPr>
            <w:r w:rsidRPr="005F055E">
              <w:rPr>
                <w:rFonts w:ascii="Verdana" w:hAnsi="Verdana"/>
                <w:sz w:val="18"/>
                <w:szCs w:val="18"/>
              </w:rPr>
              <w:t>Apparaatsuitgaven totaal</w:t>
            </w:r>
          </w:p>
        </w:tc>
        <w:tc>
          <w:tcPr>
            <w:tcW w:w="2433" w:type="dxa"/>
          </w:tcPr>
          <w:p w:rsidRPr="005F055E" w:rsidR="00CF4A75" w:rsidP="00180EEB" w:rsidRDefault="00CF4A75" w14:paraId="33F8EE22" w14:textId="77777777">
            <w:pPr>
              <w:suppressAutoHyphens/>
              <w:rPr>
                <w:rFonts w:ascii="Verdana" w:hAnsi="Verdana"/>
                <w:sz w:val="18"/>
                <w:szCs w:val="18"/>
              </w:rPr>
            </w:pPr>
            <w:r w:rsidRPr="005F055E">
              <w:rPr>
                <w:rFonts w:ascii="Verdana" w:hAnsi="Verdana"/>
                <w:sz w:val="18"/>
                <w:szCs w:val="18"/>
              </w:rPr>
              <w:t>€ 615.3 miljoen</w:t>
            </w:r>
          </w:p>
        </w:tc>
        <w:tc>
          <w:tcPr>
            <w:tcW w:w="2163" w:type="dxa"/>
          </w:tcPr>
          <w:p w:rsidRPr="005F055E" w:rsidR="00CF4A75" w:rsidP="00180EEB" w:rsidRDefault="00CF4A75" w14:paraId="6FD4621E" w14:textId="77777777">
            <w:pPr>
              <w:suppressAutoHyphens/>
              <w:rPr>
                <w:rFonts w:ascii="Verdana" w:hAnsi="Verdana"/>
                <w:sz w:val="18"/>
                <w:szCs w:val="18"/>
              </w:rPr>
            </w:pPr>
            <w:r w:rsidRPr="005F055E">
              <w:rPr>
                <w:rFonts w:ascii="Verdana" w:hAnsi="Verdana"/>
                <w:sz w:val="18"/>
                <w:szCs w:val="18"/>
              </w:rPr>
              <w:t>€ 887,5 miljoen</w:t>
            </w:r>
          </w:p>
        </w:tc>
        <w:tc>
          <w:tcPr>
            <w:tcW w:w="2076" w:type="dxa"/>
          </w:tcPr>
          <w:p w:rsidRPr="005F055E" w:rsidR="00CF4A75" w:rsidP="00180EEB" w:rsidRDefault="00CF4A75" w14:paraId="41C51BF3" w14:textId="77777777">
            <w:pPr>
              <w:suppressAutoHyphens/>
              <w:rPr>
                <w:rFonts w:ascii="Verdana" w:hAnsi="Verdana"/>
                <w:sz w:val="18"/>
                <w:szCs w:val="18"/>
              </w:rPr>
            </w:pPr>
            <w:r w:rsidRPr="005F055E">
              <w:rPr>
                <w:rFonts w:ascii="Verdana" w:hAnsi="Verdana"/>
                <w:sz w:val="18"/>
                <w:szCs w:val="18"/>
              </w:rPr>
              <w:t>€ 1.502,8 miljoen</w:t>
            </w:r>
          </w:p>
        </w:tc>
      </w:tr>
      <w:tr w:rsidRPr="005F055E" w:rsidR="00CF4A75" w:rsidTr="00CF4A75" w14:paraId="0C7A244E" w14:textId="77777777">
        <w:trPr>
          <w:trHeight w:val="209"/>
        </w:trPr>
        <w:tc>
          <w:tcPr>
            <w:tcW w:w="2644" w:type="dxa"/>
          </w:tcPr>
          <w:p w:rsidRPr="005F055E" w:rsidR="00CF4A75" w:rsidP="00180EEB" w:rsidRDefault="00CF4A75" w14:paraId="17FA0C02" w14:textId="77777777">
            <w:pPr>
              <w:suppressAutoHyphens/>
              <w:rPr>
                <w:rFonts w:ascii="Verdana" w:hAnsi="Verdana"/>
                <w:sz w:val="18"/>
                <w:szCs w:val="18"/>
              </w:rPr>
            </w:pPr>
            <w:r w:rsidRPr="005F055E">
              <w:rPr>
                <w:rFonts w:ascii="Verdana" w:hAnsi="Verdana"/>
                <w:sz w:val="18"/>
                <w:szCs w:val="18"/>
              </w:rPr>
              <w:t>Waarvan personele uitgaven</w:t>
            </w:r>
          </w:p>
        </w:tc>
        <w:tc>
          <w:tcPr>
            <w:tcW w:w="2433" w:type="dxa"/>
          </w:tcPr>
          <w:p w:rsidRPr="005F055E" w:rsidR="00CF4A75" w:rsidP="00180EEB" w:rsidRDefault="00CF4A75" w14:paraId="6EAB5AB4" w14:textId="77777777">
            <w:pPr>
              <w:suppressAutoHyphens/>
              <w:rPr>
                <w:rFonts w:ascii="Verdana" w:hAnsi="Verdana"/>
                <w:sz w:val="18"/>
                <w:szCs w:val="18"/>
              </w:rPr>
            </w:pPr>
            <w:r w:rsidRPr="005F055E">
              <w:rPr>
                <w:rFonts w:ascii="Verdana" w:hAnsi="Verdana"/>
                <w:sz w:val="18"/>
                <w:szCs w:val="18"/>
              </w:rPr>
              <w:t>€ 491.2 miljoen</w:t>
            </w:r>
          </w:p>
        </w:tc>
        <w:tc>
          <w:tcPr>
            <w:tcW w:w="2163" w:type="dxa"/>
          </w:tcPr>
          <w:p w:rsidRPr="005F055E" w:rsidR="00CF4A75" w:rsidP="00180EEB" w:rsidRDefault="00CF4A75" w14:paraId="3EC38B26" w14:textId="77777777">
            <w:pPr>
              <w:suppressAutoHyphens/>
              <w:rPr>
                <w:rFonts w:ascii="Verdana" w:hAnsi="Verdana"/>
                <w:sz w:val="18"/>
                <w:szCs w:val="18"/>
              </w:rPr>
            </w:pPr>
            <w:r w:rsidRPr="005F055E">
              <w:rPr>
                <w:rFonts w:ascii="Verdana" w:hAnsi="Verdana"/>
                <w:sz w:val="18"/>
                <w:szCs w:val="18"/>
              </w:rPr>
              <w:t>€ 468,4 miljoen</w:t>
            </w:r>
          </w:p>
        </w:tc>
        <w:tc>
          <w:tcPr>
            <w:tcW w:w="2076" w:type="dxa"/>
          </w:tcPr>
          <w:p w:rsidRPr="005F055E" w:rsidR="00CF4A75" w:rsidP="00180EEB" w:rsidRDefault="00CF4A75" w14:paraId="6EBE1009" w14:textId="77777777">
            <w:pPr>
              <w:suppressAutoHyphens/>
              <w:rPr>
                <w:rFonts w:ascii="Verdana" w:hAnsi="Verdana"/>
                <w:sz w:val="18"/>
                <w:szCs w:val="18"/>
              </w:rPr>
            </w:pPr>
            <w:r w:rsidRPr="005F055E">
              <w:rPr>
                <w:rFonts w:ascii="Verdana" w:hAnsi="Verdana"/>
                <w:sz w:val="18"/>
                <w:szCs w:val="18"/>
              </w:rPr>
              <w:t>€ 959,6 miljoen</w:t>
            </w:r>
          </w:p>
        </w:tc>
      </w:tr>
      <w:tr w:rsidRPr="005F055E" w:rsidR="00CF4A75" w:rsidTr="00CF4A75" w14:paraId="13D8DC39" w14:textId="77777777">
        <w:trPr>
          <w:trHeight w:val="209"/>
        </w:trPr>
        <w:tc>
          <w:tcPr>
            <w:tcW w:w="2644" w:type="dxa"/>
          </w:tcPr>
          <w:p w:rsidRPr="005F055E" w:rsidR="00CF4A75" w:rsidP="00180EEB" w:rsidRDefault="00CF4A75" w14:paraId="44CF81B4" w14:textId="77777777">
            <w:pPr>
              <w:suppressAutoHyphens/>
              <w:rPr>
                <w:rFonts w:ascii="Verdana" w:hAnsi="Verdana"/>
                <w:sz w:val="18"/>
                <w:szCs w:val="18"/>
              </w:rPr>
            </w:pPr>
            <w:r w:rsidRPr="005F055E">
              <w:rPr>
                <w:rFonts w:ascii="Verdana" w:hAnsi="Verdana"/>
                <w:sz w:val="18"/>
                <w:szCs w:val="18"/>
              </w:rPr>
              <w:t>Waarvan materiële uitgaven</w:t>
            </w:r>
          </w:p>
        </w:tc>
        <w:tc>
          <w:tcPr>
            <w:tcW w:w="2433" w:type="dxa"/>
          </w:tcPr>
          <w:p w:rsidRPr="005F055E" w:rsidR="00CF4A75" w:rsidP="00180EEB" w:rsidRDefault="00CF4A75" w14:paraId="67AFA729" w14:textId="77777777">
            <w:pPr>
              <w:suppressAutoHyphens/>
              <w:rPr>
                <w:rFonts w:ascii="Verdana" w:hAnsi="Verdana"/>
                <w:sz w:val="18"/>
                <w:szCs w:val="18"/>
              </w:rPr>
            </w:pPr>
            <w:r w:rsidRPr="005F055E">
              <w:rPr>
                <w:rFonts w:ascii="Verdana" w:hAnsi="Verdana"/>
                <w:sz w:val="18"/>
                <w:szCs w:val="18"/>
              </w:rPr>
              <w:t>€ 124.1 miljoen</w:t>
            </w:r>
          </w:p>
        </w:tc>
        <w:tc>
          <w:tcPr>
            <w:tcW w:w="2163" w:type="dxa"/>
          </w:tcPr>
          <w:p w:rsidRPr="005F055E" w:rsidR="00CF4A75" w:rsidP="00180EEB" w:rsidRDefault="00CF4A75" w14:paraId="58ACC8C1" w14:textId="77777777">
            <w:pPr>
              <w:suppressAutoHyphens/>
              <w:rPr>
                <w:rFonts w:ascii="Verdana" w:hAnsi="Verdana"/>
                <w:sz w:val="18"/>
                <w:szCs w:val="18"/>
              </w:rPr>
            </w:pPr>
            <w:r w:rsidRPr="005F055E">
              <w:rPr>
                <w:rFonts w:ascii="Verdana" w:hAnsi="Verdana"/>
                <w:sz w:val="18"/>
                <w:szCs w:val="18"/>
              </w:rPr>
              <w:t>€ 419,1 miljoen</w:t>
            </w:r>
          </w:p>
        </w:tc>
        <w:tc>
          <w:tcPr>
            <w:tcW w:w="2076" w:type="dxa"/>
          </w:tcPr>
          <w:p w:rsidRPr="005F055E" w:rsidR="00CF4A75" w:rsidP="00180EEB" w:rsidRDefault="00CF4A75" w14:paraId="779E6D6D" w14:textId="77777777">
            <w:pPr>
              <w:suppressAutoHyphens/>
              <w:rPr>
                <w:rFonts w:ascii="Verdana" w:hAnsi="Verdana"/>
                <w:sz w:val="18"/>
                <w:szCs w:val="18"/>
              </w:rPr>
            </w:pPr>
            <w:r w:rsidRPr="005F055E">
              <w:rPr>
                <w:rFonts w:ascii="Verdana" w:hAnsi="Verdana"/>
                <w:sz w:val="18"/>
                <w:szCs w:val="18"/>
              </w:rPr>
              <w:t>€ 543,2 miljoen</w:t>
            </w:r>
          </w:p>
        </w:tc>
      </w:tr>
      <w:tr w:rsidRPr="005F055E" w:rsidR="00CF4A75" w:rsidTr="00CF4A75" w14:paraId="4E332751" w14:textId="77777777">
        <w:trPr>
          <w:trHeight w:val="209"/>
        </w:trPr>
        <w:tc>
          <w:tcPr>
            <w:tcW w:w="2644" w:type="dxa"/>
          </w:tcPr>
          <w:p w:rsidRPr="005F055E" w:rsidR="00CF4A75" w:rsidP="00180EEB" w:rsidRDefault="00CF4A75" w14:paraId="0185204C" w14:textId="77777777">
            <w:pPr>
              <w:suppressAutoHyphens/>
              <w:rPr>
                <w:rFonts w:ascii="Verdana" w:hAnsi="Verdana"/>
                <w:sz w:val="18"/>
                <w:szCs w:val="18"/>
              </w:rPr>
            </w:pPr>
          </w:p>
        </w:tc>
        <w:tc>
          <w:tcPr>
            <w:tcW w:w="2433" w:type="dxa"/>
          </w:tcPr>
          <w:p w:rsidRPr="005F055E" w:rsidR="00CF4A75" w:rsidP="00180EEB" w:rsidRDefault="00CF4A75" w14:paraId="6B34AFD1" w14:textId="77777777">
            <w:pPr>
              <w:suppressAutoHyphens/>
              <w:rPr>
                <w:rFonts w:ascii="Verdana" w:hAnsi="Verdana"/>
                <w:sz w:val="18"/>
                <w:szCs w:val="18"/>
              </w:rPr>
            </w:pPr>
          </w:p>
        </w:tc>
        <w:tc>
          <w:tcPr>
            <w:tcW w:w="2163" w:type="dxa"/>
          </w:tcPr>
          <w:p w:rsidRPr="005F055E" w:rsidR="00CF4A75" w:rsidP="00180EEB" w:rsidRDefault="00CF4A75" w14:paraId="5F49C535" w14:textId="77777777">
            <w:pPr>
              <w:suppressAutoHyphens/>
              <w:rPr>
                <w:rFonts w:ascii="Verdana" w:hAnsi="Verdana"/>
                <w:sz w:val="18"/>
                <w:szCs w:val="18"/>
              </w:rPr>
            </w:pPr>
          </w:p>
        </w:tc>
        <w:tc>
          <w:tcPr>
            <w:tcW w:w="2076" w:type="dxa"/>
          </w:tcPr>
          <w:p w:rsidRPr="005F055E" w:rsidR="00CF4A75" w:rsidP="00180EEB" w:rsidRDefault="00CF4A75" w14:paraId="2C1F775E" w14:textId="77777777">
            <w:pPr>
              <w:suppressAutoHyphens/>
              <w:rPr>
                <w:rFonts w:ascii="Verdana" w:hAnsi="Verdana"/>
                <w:sz w:val="18"/>
                <w:szCs w:val="18"/>
              </w:rPr>
            </w:pPr>
          </w:p>
        </w:tc>
      </w:tr>
      <w:tr w:rsidRPr="005F055E" w:rsidR="00CF4A75" w:rsidTr="00CF4A75" w14:paraId="6FB29EC1" w14:textId="77777777">
        <w:trPr>
          <w:trHeight w:val="209"/>
        </w:trPr>
        <w:tc>
          <w:tcPr>
            <w:tcW w:w="2644" w:type="dxa"/>
          </w:tcPr>
          <w:p w:rsidRPr="005F055E" w:rsidR="00CF4A75" w:rsidP="00180EEB" w:rsidRDefault="00CF4A75" w14:paraId="1B7823EC" w14:textId="77777777">
            <w:pPr>
              <w:suppressAutoHyphens/>
              <w:rPr>
                <w:rFonts w:ascii="Verdana" w:hAnsi="Verdana"/>
                <w:sz w:val="18"/>
                <w:szCs w:val="18"/>
              </w:rPr>
            </w:pPr>
            <w:r w:rsidRPr="005F055E">
              <w:rPr>
                <w:rFonts w:ascii="Verdana" w:hAnsi="Verdana"/>
                <w:sz w:val="18"/>
                <w:szCs w:val="18"/>
              </w:rPr>
              <w:t>Inhuur externen</w:t>
            </w:r>
          </w:p>
        </w:tc>
        <w:tc>
          <w:tcPr>
            <w:tcW w:w="2433" w:type="dxa"/>
          </w:tcPr>
          <w:p w:rsidRPr="005F055E" w:rsidR="00CF4A75" w:rsidP="00180EEB" w:rsidRDefault="00CF4A75" w14:paraId="6B06D1E0" w14:textId="77777777">
            <w:pPr>
              <w:suppressAutoHyphens/>
              <w:rPr>
                <w:rFonts w:ascii="Verdana" w:hAnsi="Verdana"/>
                <w:sz w:val="18"/>
                <w:szCs w:val="18"/>
              </w:rPr>
            </w:pPr>
            <w:r w:rsidRPr="005F055E">
              <w:rPr>
                <w:rFonts w:ascii="Verdana" w:hAnsi="Verdana"/>
                <w:sz w:val="18"/>
                <w:szCs w:val="18"/>
              </w:rPr>
              <w:t>€ 73.3 miljoen</w:t>
            </w:r>
          </w:p>
        </w:tc>
        <w:tc>
          <w:tcPr>
            <w:tcW w:w="2163" w:type="dxa"/>
          </w:tcPr>
          <w:p w:rsidRPr="005F055E" w:rsidR="00CF4A75" w:rsidP="00180EEB" w:rsidRDefault="00CF4A75" w14:paraId="7FAE609A" w14:textId="77777777">
            <w:pPr>
              <w:suppressAutoHyphens/>
              <w:rPr>
                <w:rFonts w:ascii="Verdana" w:hAnsi="Verdana"/>
                <w:sz w:val="18"/>
                <w:szCs w:val="18"/>
              </w:rPr>
            </w:pPr>
            <w:r w:rsidRPr="005F055E">
              <w:rPr>
                <w:rFonts w:ascii="Verdana" w:hAnsi="Verdana"/>
                <w:sz w:val="18"/>
                <w:szCs w:val="18"/>
              </w:rPr>
              <w:t>€ 79,6 miljoen</w:t>
            </w:r>
          </w:p>
        </w:tc>
        <w:tc>
          <w:tcPr>
            <w:tcW w:w="2076" w:type="dxa"/>
          </w:tcPr>
          <w:p w:rsidRPr="005F055E" w:rsidR="00CF4A75" w:rsidP="00180EEB" w:rsidRDefault="00CF4A75" w14:paraId="5FBCF93E" w14:textId="77777777">
            <w:pPr>
              <w:suppressAutoHyphens/>
              <w:rPr>
                <w:rFonts w:ascii="Verdana" w:hAnsi="Verdana"/>
                <w:sz w:val="18"/>
                <w:szCs w:val="18"/>
              </w:rPr>
            </w:pPr>
            <w:r w:rsidRPr="005F055E">
              <w:rPr>
                <w:rFonts w:ascii="Verdana" w:hAnsi="Verdana"/>
                <w:sz w:val="18"/>
                <w:szCs w:val="18"/>
              </w:rPr>
              <w:t>€ 152,9 miljoen</w:t>
            </w:r>
          </w:p>
        </w:tc>
      </w:tr>
    </w:tbl>
    <w:bookmarkEnd w:id="61"/>
    <w:p w:rsidRPr="005F055E" w:rsidR="00CF4A75" w:rsidP="00180EEB" w:rsidRDefault="00CF4A75" w14:paraId="25484C30" w14:textId="77777777">
      <w:pPr>
        <w:suppressAutoHyphens/>
      </w:pPr>
      <w:r w:rsidRPr="005F055E">
        <w:br/>
      </w:r>
      <w:bookmarkStart w:name="_Hlk211418191" w:id="62"/>
      <w:r w:rsidRPr="005F055E">
        <w:t>Op basis van bovenstaande tabel wordt zodoende een extern inhuur percentage verwacht van 15,9% voor het gehele departement in 2026. De ontwerpbegroting reflecteert hiermee nog niet de gewenste afbouw vanuit de motie-De Korte. Op basis van de apparaatstaakstelling werd al ingezet op een afname van externe inhuur. Elementen hierin zijn o.a. het opzetten van een ‘make-or-</w:t>
      </w:r>
      <w:proofErr w:type="spellStart"/>
      <w:r w:rsidRPr="005F055E">
        <w:t>buy</w:t>
      </w:r>
      <w:proofErr w:type="spellEnd"/>
      <w:r w:rsidRPr="005F055E">
        <w:t xml:space="preserve">’ kader, daarnaast wordt nagedacht over het inzetten op generalistische en specialistische poolcapaciteit. Deze ontwikkelingen zullen bijdragen aan de uitvoering van de motie-De Korte. </w:t>
      </w:r>
      <w:bookmarkEnd w:id="62"/>
    </w:p>
    <w:p w:rsidRPr="005F055E" w:rsidR="00D535AF" w:rsidP="00180EEB" w:rsidRDefault="00D535AF" w14:paraId="39F5E80B" w14:textId="77777777">
      <w:pPr>
        <w:suppressAutoHyphens/>
      </w:pPr>
    </w:p>
    <w:p w:rsidRPr="005F055E" w:rsidR="00D535AF" w:rsidP="00180EEB" w:rsidRDefault="003E7003" w14:paraId="683FE7A6" w14:textId="77777777">
      <w:pPr>
        <w:suppressAutoHyphens/>
      </w:pPr>
      <w:r w:rsidRPr="005F055E">
        <w:t>Vraag 46</w:t>
      </w:r>
      <w:r w:rsidRPr="005F055E" w:rsidR="00D535AF">
        <w:t>1</w:t>
      </w:r>
    </w:p>
    <w:p w:rsidRPr="005F055E" w:rsidR="00D535AF" w:rsidP="00180EEB" w:rsidRDefault="003E7003" w14:paraId="1987971D" w14:textId="77777777">
      <w:pPr>
        <w:suppressAutoHyphens/>
      </w:pPr>
      <w:r w:rsidRPr="005F055E">
        <w:t>Op welk moment bepaalt u of er in 2027 een nieuwe COVID-vaccinatieronde komt? En is Nederland daarbij tijdig genoeg om vaccins in te kopen, mede in het licht van het aflopende contract van een van de vaccinleveranciers?</w:t>
      </w:r>
    </w:p>
    <w:p w:rsidRPr="005F055E" w:rsidR="003E7003" w:rsidP="00180EEB" w:rsidRDefault="003E7003" w14:paraId="59BC3515" w14:textId="72CF65F7">
      <w:pPr>
        <w:suppressAutoHyphens/>
      </w:pPr>
      <w:r w:rsidRPr="005F055E">
        <w:t>Antwoord</w:t>
      </w:r>
    </w:p>
    <w:p w:rsidRPr="005F055E" w:rsidR="00575A49" w:rsidP="00180EEB" w:rsidRDefault="00575A49" w14:paraId="3F20E26E" w14:textId="77777777">
      <w:pPr>
        <w:suppressAutoHyphens/>
        <w:spacing w:line="240" w:lineRule="atLeast"/>
        <w:rPr>
          <w:szCs w:val="18"/>
          <w:lang w:eastAsia="nl-NL"/>
        </w:rPr>
      </w:pPr>
      <w:r w:rsidRPr="005F055E">
        <w:rPr>
          <w:szCs w:val="18"/>
          <w:lang w:eastAsia="nl-NL"/>
        </w:rPr>
        <w:t xml:space="preserve">Het besluit over een COVID-19-vaccinatieronde in 2027 is afhankelijk van de beschikbare financiering. Indien bij de voorjaarsbesluitvorming 2026 de benodigde middelen voor 2027 beschikbaar worden gesteld, zal aansluitend het besluit worden genomen over de COVID-19-vaccinatieronde 2027. Dit moment is tijdig genoeg om de voorbereidingen te treffen voor een </w:t>
      </w:r>
      <w:proofErr w:type="spellStart"/>
      <w:r w:rsidRPr="005F055E">
        <w:rPr>
          <w:szCs w:val="18"/>
          <w:lang w:eastAsia="nl-NL"/>
        </w:rPr>
        <w:t>najaarsronde</w:t>
      </w:r>
      <w:proofErr w:type="spellEnd"/>
      <w:r w:rsidRPr="005F055E">
        <w:rPr>
          <w:szCs w:val="18"/>
          <w:lang w:eastAsia="nl-NL"/>
        </w:rPr>
        <w:t xml:space="preserve"> in 2027. Dít omvat ook de inkoop van vaccins, zodat voldoende vaccins beschikbaar zijn voor het COVID-19-vaccinatieprogramma, mede gelet op het aflopen van bestaande contracten.</w:t>
      </w:r>
    </w:p>
    <w:p w:rsidRPr="005F055E" w:rsidR="00D535AF" w:rsidP="00180EEB" w:rsidRDefault="00D535AF" w14:paraId="49D14EEA" w14:textId="77777777">
      <w:pPr>
        <w:suppressAutoHyphens/>
      </w:pPr>
    </w:p>
    <w:p w:rsidRPr="005F055E" w:rsidR="00D535AF" w:rsidP="00180EEB" w:rsidRDefault="003E7003" w14:paraId="4D67453E" w14:textId="77777777">
      <w:pPr>
        <w:suppressAutoHyphens/>
      </w:pPr>
      <w:r w:rsidRPr="005F055E">
        <w:t>Vraag 462</w:t>
      </w:r>
    </w:p>
    <w:p w:rsidRPr="005F055E" w:rsidR="00D535AF" w:rsidP="00180EEB" w:rsidRDefault="003E7003" w14:paraId="35F5369B" w14:textId="77777777">
      <w:pPr>
        <w:suppressAutoHyphens/>
      </w:pPr>
      <w:r w:rsidRPr="005F055E">
        <w:t>Kan het budget voor COVID-vaccinaties worden opgeschaald vanaf 2027, wanneer ook het contract met de leveranciers van de vaccins verloopt, als dat noodzakelijk is gezien nieuwe varianten van COVID?</w:t>
      </w:r>
    </w:p>
    <w:p w:rsidRPr="005F055E" w:rsidR="003E7003" w:rsidP="00180EEB" w:rsidRDefault="003E7003" w14:paraId="244D402C" w14:textId="3CE846E9">
      <w:pPr>
        <w:suppressAutoHyphens/>
      </w:pPr>
      <w:r w:rsidRPr="005F055E">
        <w:t>Antwoord</w:t>
      </w:r>
    </w:p>
    <w:p w:rsidR="00D535AF" w:rsidP="00180EEB" w:rsidRDefault="00CF4A75" w14:paraId="01437C39" w14:textId="10738C3A">
      <w:pPr>
        <w:suppressAutoHyphens/>
      </w:pPr>
      <w:r w:rsidRPr="005F055E">
        <w:t xml:space="preserve">Er zijn voor COVID-19-vaccinatie geen structurele middelen beschikbaar gesteld, alleen incidenteel voor 2026. Tot nu toe is ieder jaar bij het opstellen van de begroting bepaald wat de noodzakelijke kosten voor het komende jaar zijn. Eventuele verdere ophoging van het budget zal meegewogen moeten worden in de gebruikelijke, integrale besluitvormingsmomenten. </w:t>
      </w:r>
    </w:p>
    <w:p w:rsidRPr="005F055E" w:rsidR="00D71325" w:rsidP="00180EEB" w:rsidRDefault="00D71325" w14:paraId="7C74C996" w14:textId="77777777">
      <w:pPr>
        <w:suppressAutoHyphens/>
      </w:pPr>
    </w:p>
    <w:p w:rsidRPr="005F055E" w:rsidR="00D535AF" w:rsidP="00180EEB" w:rsidRDefault="003E7003" w14:paraId="3CAF2D28" w14:textId="77777777">
      <w:pPr>
        <w:suppressAutoHyphens/>
      </w:pPr>
      <w:r w:rsidRPr="005F055E">
        <w:t>Vraag 463</w:t>
      </w:r>
    </w:p>
    <w:p w:rsidRPr="005F055E" w:rsidR="00D535AF" w:rsidP="00180EEB" w:rsidRDefault="003E7003" w14:paraId="6C95393F" w14:textId="77777777">
      <w:pPr>
        <w:suppressAutoHyphens/>
      </w:pPr>
      <w:r w:rsidRPr="005F055E">
        <w:t>Welke nominale premie kan men verbinden aan de geraamde uitgaven binnen de Zorgverzekeringswet (</w:t>
      </w:r>
      <w:proofErr w:type="spellStart"/>
      <w:r w:rsidRPr="005F055E">
        <w:t>Zvw</w:t>
      </w:r>
      <w:proofErr w:type="spellEnd"/>
      <w:r w:rsidRPr="005F055E">
        <w:t>) voor de jaren 2027 t/m 2030?</w:t>
      </w:r>
    </w:p>
    <w:p w:rsidRPr="005F055E" w:rsidR="003E7003" w:rsidP="00180EEB" w:rsidRDefault="003E7003" w14:paraId="42A38DC8" w14:textId="4B3C8A5F">
      <w:pPr>
        <w:suppressAutoHyphens/>
      </w:pPr>
      <w:r w:rsidRPr="005F055E">
        <w:t>Antwoord</w:t>
      </w:r>
    </w:p>
    <w:p w:rsidRPr="005F055E" w:rsidR="00CF4A75" w:rsidP="00180EEB" w:rsidRDefault="00CF4A75" w14:paraId="7BA26D46" w14:textId="77777777">
      <w:pPr>
        <w:suppressAutoHyphens/>
      </w:pPr>
      <w:r w:rsidRPr="005F055E">
        <w:t>Hoe de nominale premie zich na 2026 zal ontwikkelen is nog onzeker. Elk jaar komen er nieuwe realisatiegegevens beschikbaar over de zorguitgaven die ook doorwerken op de verwachte premies. Daarnaast speelt ook de ontwikkeling van de inkomsten en uitgaven van het zorgverzekeringsfonds, de verwachte reserves bij verzekeraars en de ontwikkeling van het aantal verzekerden een rol.</w:t>
      </w:r>
    </w:p>
    <w:p w:rsidRPr="005F055E" w:rsidR="00CF4A75" w:rsidP="00180EEB" w:rsidRDefault="00CF4A75" w14:paraId="21470D91" w14:textId="77777777">
      <w:pPr>
        <w:suppressAutoHyphens/>
      </w:pPr>
      <w:r w:rsidRPr="005F055E">
        <w:t>Op basis van de huidige en voorlopige beschikbare informatie ziet de premieontwikkeling er als volgt uit:</w:t>
      </w:r>
    </w:p>
    <w:p w:rsidRPr="005F055E" w:rsidR="00CF4A75" w:rsidP="00180EEB" w:rsidRDefault="00CF4A75" w14:paraId="3DE04652" w14:textId="77777777">
      <w:pPr>
        <w:suppressAutoHyphens/>
      </w:pPr>
    </w:p>
    <w:tbl>
      <w:tblPr>
        <w:tblW w:w="5680" w:type="dxa"/>
        <w:tblCellMar>
          <w:left w:w="70" w:type="dxa"/>
          <w:right w:w="70" w:type="dxa"/>
        </w:tblCellMar>
        <w:tblLook w:val="04A0" w:firstRow="1" w:lastRow="0" w:firstColumn="1" w:lastColumn="0" w:noHBand="0" w:noVBand="1"/>
      </w:tblPr>
      <w:tblGrid>
        <w:gridCol w:w="1840"/>
        <w:gridCol w:w="960"/>
        <w:gridCol w:w="960"/>
        <w:gridCol w:w="960"/>
        <w:gridCol w:w="960"/>
      </w:tblGrid>
      <w:tr w:rsidRPr="005F055E" w:rsidR="00CF4A75" w:rsidTr="005E2643" w14:paraId="4381CB4F" w14:textId="77777777">
        <w:trPr>
          <w:trHeight w:val="300"/>
        </w:trPr>
        <w:tc>
          <w:tcPr>
            <w:tcW w:w="1840" w:type="dxa"/>
            <w:tcBorders>
              <w:top w:val="nil"/>
              <w:left w:val="nil"/>
              <w:bottom w:val="nil"/>
              <w:right w:val="nil"/>
            </w:tcBorders>
            <w:shd w:val="clear" w:color="auto" w:fill="auto"/>
            <w:noWrap/>
            <w:vAlign w:val="bottom"/>
            <w:hideMark/>
          </w:tcPr>
          <w:p w:rsidRPr="00C64B91" w:rsidR="00CF4A75" w:rsidP="00180EEB" w:rsidRDefault="00CF4A75" w14:paraId="5FF69F0A" w14:textId="77777777">
            <w:pPr>
              <w:suppressAutoHyphens/>
              <w:spacing w:line="240" w:lineRule="auto"/>
              <w:rPr>
                <w:szCs w:val="18"/>
              </w:rPr>
            </w:pPr>
          </w:p>
        </w:tc>
        <w:tc>
          <w:tcPr>
            <w:tcW w:w="960" w:type="dxa"/>
            <w:tcBorders>
              <w:top w:val="nil"/>
              <w:left w:val="nil"/>
              <w:bottom w:val="nil"/>
              <w:right w:val="nil"/>
            </w:tcBorders>
            <w:shd w:val="clear" w:color="auto" w:fill="auto"/>
            <w:noWrap/>
            <w:vAlign w:val="bottom"/>
            <w:hideMark/>
          </w:tcPr>
          <w:p w:rsidRPr="00C64B91" w:rsidR="00CF4A75" w:rsidP="00180EEB" w:rsidRDefault="00CF4A75" w14:paraId="13402804" w14:textId="77777777">
            <w:pPr>
              <w:suppressAutoHyphens/>
              <w:spacing w:line="240" w:lineRule="auto"/>
              <w:rPr>
                <w:b/>
                <w:bCs/>
                <w:color w:val="000000"/>
                <w:szCs w:val="18"/>
              </w:rPr>
            </w:pPr>
            <w:r w:rsidRPr="00C64B91">
              <w:rPr>
                <w:b/>
                <w:bCs/>
                <w:color w:val="000000"/>
                <w:szCs w:val="18"/>
              </w:rPr>
              <w:t>2027</w:t>
            </w:r>
          </w:p>
        </w:tc>
        <w:tc>
          <w:tcPr>
            <w:tcW w:w="960" w:type="dxa"/>
            <w:tcBorders>
              <w:top w:val="nil"/>
              <w:left w:val="nil"/>
              <w:bottom w:val="nil"/>
              <w:right w:val="nil"/>
            </w:tcBorders>
            <w:shd w:val="clear" w:color="auto" w:fill="auto"/>
            <w:noWrap/>
            <w:vAlign w:val="bottom"/>
            <w:hideMark/>
          </w:tcPr>
          <w:p w:rsidRPr="00C64B91" w:rsidR="00CF4A75" w:rsidP="00180EEB" w:rsidRDefault="00CF4A75" w14:paraId="1F4BCBB7" w14:textId="77777777">
            <w:pPr>
              <w:suppressAutoHyphens/>
              <w:spacing w:line="240" w:lineRule="auto"/>
              <w:rPr>
                <w:b/>
                <w:bCs/>
                <w:color w:val="000000"/>
                <w:szCs w:val="18"/>
              </w:rPr>
            </w:pPr>
            <w:r w:rsidRPr="00C64B91">
              <w:rPr>
                <w:b/>
                <w:bCs/>
                <w:color w:val="000000"/>
                <w:szCs w:val="18"/>
              </w:rPr>
              <w:t>2028</w:t>
            </w:r>
          </w:p>
        </w:tc>
        <w:tc>
          <w:tcPr>
            <w:tcW w:w="960" w:type="dxa"/>
            <w:tcBorders>
              <w:top w:val="nil"/>
              <w:left w:val="nil"/>
              <w:bottom w:val="nil"/>
              <w:right w:val="nil"/>
            </w:tcBorders>
            <w:shd w:val="clear" w:color="auto" w:fill="auto"/>
            <w:noWrap/>
            <w:vAlign w:val="bottom"/>
            <w:hideMark/>
          </w:tcPr>
          <w:p w:rsidRPr="00C64B91" w:rsidR="00CF4A75" w:rsidP="00180EEB" w:rsidRDefault="00CF4A75" w14:paraId="39D2F00A" w14:textId="77777777">
            <w:pPr>
              <w:suppressAutoHyphens/>
              <w:spacing w:line="240" w:lineRule="auto"/>
              <w:rPr>
                <w:b/>
                <w:bCs/>
                <w:color w:val="000000"/>
                <w:szCs w:val="18"/>
              </w:rPr>
            </w:pPr>
            <w:r w:rsidRPr="00C64B91">
              <w:rPr>
                <w:b/>
                <w:bCs/>
                <w:color w:val="000000"/>
                <w:szCs w:val="18"/>
              </w:rPr>
              <w:t>2029</w:t>
            </w:r>
          </w:p>
        </w:tc>
        <w:tc>
          <w:tcPr>
            <w:tcW w:w="960" w:type="dxa"/>
            <w:tcBorders>
              <w:top w:val="nil"/>
              <w:left w:val="nil"/>
              <w:bottom w:val="nil"/>
              <w:right w:val="nil"/>
            </w:tcBorders>
            <w:shd w:val="clear" w:color="auto" w:fill="auto"/>
            <w:noWrap/>
            <w:vAlign w:val="bottom"/>
            <w:hideMark/>
          </w:tcPr>
          <w:p w:rsidRPr="00C64B91" w:rsidR="00CF4A75" w:rsidP="00180EEB" w:rsidRDefault="00CF4A75" w14:paraId="6C4F9130" w14:textId="77777777">
            <w:pPr>
              <w:suppressAutoHyphens/>
              <w:spacing w:line="240" w:lineRule="auto"/>
              <w:rPr>
                <w:b/>
                <w:bCs/>
                <w:color w:val="000000"/>
                <w:szCs w:val="18"/>
              </w:rPr>
            </w:pPr>
            <w:r w:rsidRPr="00C64B91">
              <w:rPr>
                <w:b/>
                <w:bCs/>
                <w:color w:val="000000"/>
                <w:szCs w:val="18"/>
              </w:rPr>
              <w:t>2030</w:t>
            </w:r>
          </w:p>
        </w:tc>
      </w:tr>
      <w:tr w:rsidRPr="005F055E" w:rsidR="00CF4A75" w:rsidTr="005E2643" w14:paraId="6117A151" w14:textId="77777777">
        <w:trPr>
          <w:trHeight w:val="300"/>
        </w:trPr>
        <w:tc>
          <w:tcPr>
            <w:tcW w:w="1840" w:type="dxa"/>
            <w:tcBorders>
              <w:top w:val="nil"/>
              <w:left w:val="nil"/>
              <w:bottom w:val="nil"/>
              <w:right w:val="nil"/>
            </w:tcBorders>
            <w:shd w:val="clear" w:color="auto" w:fill="auto"/>
            <w:noWrap/>
            <w:vAlign w:val="bottom"/>
            <w:hideMark/>
          </w:tcPr>
          <w:p w:rsidRPr="00C64B91" w:rsidR="00CF4A75" w:rsidP="00180EEB" w:rsidRDefault="00CF4A75" w14:paraId="65616CB0" w14:textId="77777777">
            <w:pPr>
              <w:suppressAutoHyphens/>
              <w:spacing w:line="240" w:lineRule="auto"/>
              <w:rPr>
                <w:color w:val="000000"/>
                <w:szCs w:val="18"/>
              </w:rPr>
            </w:pPr>
            <w:r w:rsidRPr="00C64B91">
              <w:rPr>
                <w:color w:val="000000"/>
                <w:szCs w:val="18"/>
              </w:rPr>
              <w:t xml:space="preserve">Premie per maand </w:t>
            </w:r>
          </w:p>
        </w:tc>
        <w:tc>
          <w:tcPr>
            <w:tcW w:w="960" w:type="dxa"/>
            <w:tcBorders>
              <w:top w:val="nil"/>
              <w:left w:val="nil"/>
              <w:bottom w:val="nil"/>
              <w:right w:val="nil"/>
            </w:tcBorders>
            <w:shd w:val="clear" w:color="auto" w:fill="auto"/>
            <w:noWrap/>
            <w:vAlign w:val="bottom"/>
            <w:hideMark/>
          </w:tcPr>
          <w:p w:rsidRPr="00C64B91" w:rsidR="00CF4A75" w:rsidP="00180EEB" w:rsidRDefault="00CF4A75" w14:paraId="659397B8" w14:textId="77777777">
            <w:pPr>
              <w:suppressAutoHyphens/>
              <w:spacing w:line="240" w:lineRule="auto"/>
              <w:rPr>
                <w:color w:val="000000"/>
                <w:szCs w:val="18"/>
              </w:rPr>
            </w:pPr>
            <w:r w:rsidRPr="00C64B91">
              <w:rPr>
                <w:color w:val="000000"/>
                <w:szCs w:val="18"/>
              </w:rPr>
              <w:t>€ 195</w:t>
            </w:r>
          </w:p>
        </w:tc>
        <w:tc>
          <w:tcPr>
            <w:tcW w:w="960" w:type="dxa"/>
            <w:tcBorders>
              <w:top w:val="nil"/>
              <w:left w:val="nil"/>
              <w:bottom w:val="nil"/>
              <w:right w:val="nil"/>
            </w:tcBorders>
            <w:shd w:val="clear" w:color="auto" w:fill="auto"/>
            <w:noWrap/>
            <w:vAlign w:val="bottom"/>
            <w:hideMark/>
          </w:tcPr>
          <w:p w:rsidRPr="00C64B91" w:rsidR="00CF4A75" w:rsidP="00180EEB" w:rsidRDefault="00CF4A75" w14:paraId="6A304A61" w14:textId="77777777">
            <w:pPr>
              <w:suppressAutoHyphens/>
              <w:spacing w:line="240" w:lineRule="auto"/>
              <w:rPr>
                <w:color w:val="000000"/>
                <w:szCs w:val="18"/>
              </w:rPr>
            </w:pPr>
            <w:r w:rsidRPr="00C64B91">
              <w:rPr>
                <w:color w:val="000000"/>
                <w:szCs w:val="18"/>
              </w:rPr>
              <w:t>€ 205</w:t>
            </w:r>
          </w:p>
        </w:tc>
        <w:tc>
          <w:tcPr>
            <w:tcW w:w="960" w:type="dxa"/>
            <w:tcBorders>
              <w:top w:val="nil"/>
              <w:left w:val="nil"/>
              <w:bottom w:val="nil"/>
              <w:right w:val="nil"/>
            </w:tcBorders>
            <w:shd w:val="clear" w:color="auto" w:fill="auto"/>
            <w:noWrap/>
            <w:vAlign w:val="bottom"/>
            <w:hideMark/>
          </w:tcPr>
          <w:p w:rsidRPr="00C64B91" w:rsidR="00CF4A75" w:rsidP="00180EEB" w:rsidRDefault="00CF4A75" w14:paraId="59A25197" w14:textId="77777777">
            <w:pPr>
              <w:suppressAutoHyphens/>
              <w:spacing w:line="240" w:lineRule="auto"/>
              <w:rPr>
                <w:color w:val="000000"/>
                <w:szCs w:val="18"/>
              </w:rPr>
            </w:pPr>
            <w:r w:rsidRPr="00C64B91">
              <w:rPr>
                <w:color w:val="000000"/>
                <w:szCs w:val="18"/>
              </w:rPr>
              <w:t>€ 210</w:t>
            </w:r>
          </w:p>
        </w:tc>
        <w:tc>
          <w:tcPr>
            <w:tcW w:w="960" w:type="dxa"/>
            <w:tcBorders>
              <w:top w:val="nil"/>
              <w:left w:val="nil"/>
              <w:bottom w:val="nil"/>
              <w:right w:val="nil"/>
            </w:tcBorders>
            <w:shd w:val="clear" w:color="auto" w:fill="auto"/>
            <w:noWrap/>
            <w:vAlign w:val="bottom"/>
            <w:hideMark/>
          </w:tcPr>
          <w:p w:rsidRPr="00C64B91" w:rsidR="00CF4A75" w:rsidP="00180EEB" w:rsidRDefault="00CF4A75" w14:paraId="4320EC57" w14:textId="77777777">
            <w:pPr>
              <w:suppressAutoHyphens/>
              <w:spacing w:line="240" w:lineRule="auto"/>
              <w:rPr>
                <w:color w:val="000000"/>
                <w:szCs w:val="18"/>
              </w:rPr>
            </w:pPr>
            <w:r w:rsidRPr="00C64B91">
              <w:rPr>
                <w:color w:val="000000"/>
                <w:szCs w:val="18"/>
              </w:rPr>
              <w:t>€ 215</w:t>
            </w:r>
          </w:p>
        </w:tc>
      </w:tr>
    </w:tbl>
    <w:p w:rsidRPr="005F055E" w:rsidR="00CF4A75" w:rsidP="00180EEB" w:rsidRDefault="00CF4A75" w14:paraId="77063EA5" w14:textId="77777777">
      <w:pPr>
        <w:suppressAutoHyphens/>
        <w:rPr>
          <w:szCs w:val="18"/>
        </w:rPr>
      </w:pPr>
    </w:p>
    <w:p w:rsidRPr="005F055E" w:rsidR="00D535AF" w:rsidP="00180EEB" w:rsidRDefault="00D535AF" w14:paraId="3A0B3460" w14:textId="77777777">
      <w:pPr>
        <w:suppressAutoHyphens/>
      </w:pPr>
    </w:p>
    <w:p w:rsidR="00180EEB" w:rsidP="00180EEB" w:rsidRDefault="00180EEB" w14:paraId="27169F80" w14:textId="77777777">
      <w:pPr>
        <w:suppressAutoHyphens/>
      </w:pPr>
    </w:p>
    <w:p w:rsidRPr="005F055E" w:rsidR="00D535AF" w:rsidP="00180EEB" w:rsidRDefault="003E7003" w14:paraId="0B72FB9C" w14:textId="26B9203E">
      <w:pPr>
        <w:suppressAutoHyphens/>
      </w:pPr>
      <w:r w:rsidRPr="005F055E">
        <w:t>Vraag 464</w:t>
      </w:r>
    </w:p>
    <w:p w:rsidRPr="005F055E" w:rsidR="00D535AF" w:rsidP="00180EEB" w:rsidRDefault="003E7003" w14:paraId="373D6AE9" w14:textId="77777777">
      <w:pPr>
        <w:suppressAutoHyphens/>
      </w:pPr>
      <w:r w:rsidRPr="005F055E">
        <w:t>Wat is de achtergrond van de minus €170 miljoen aan apotheekzorg en geneesmiddelen? Welke zorg en geneesmiddelen betreft dit en wat zijn de gevolgen voor patiënten?</w:t>
      </w:r>
    </w:p>
    <w:p w:rsidRPr="005F055E" w:rsidR="003E7003" w:rsidP="00180EEB" w:rsidRDefault="003E7003" w14:paraId="17831B88" w14:textId="7B1A33AD">
      <w:pPr>
        <w:suppressAutoHyphens/>
      </w:pPr>
      <w:r w:rsidRPr="005F055E">
        <w:t>Antwoord</w:t>
      </w:r>
    </w:p>
    <w:p w:rsidRPr="005F055E" w:rsidR="008D2F23" w:rsidP="00180EEB" w:rsidRDefault="008D2F23" w14:paraId="3611DA43" w14:textId="77777777">
      <w:pPr>
        <w:suppressAutoHyphens/>
        <w:spacing w:line="240" w:lineRule="atLeast"/>
        <w:rPr>
          <w:szCs w:val="18"/>
          <w:lang w:eastAsia="nl-NL"/>
        </w:rPr>
      </w:pPr>
      <w:r w:rsidRPr="005F055E">
        <w:rPr>
          <w:szCs w:val="18"/>
          <w:lang w:eastAsia="nl-NL"/>
        </w:rPr>
        <w:t>Het betreft de actualisatie van de zorguitgaven op basis van uitvoeringsinformatie van het Zorginstituut en geeft aan met welk bedrag de ramingen zijn bijgesteld tussen de begroting 2025 en de begroting 2026, op basis van de realisatie van de uitgaven in 2024 en het eerste half jaar van 2025.</w:t>
      </w:r>
    </w:p>
    <w:p w:rsidRPr="005F055E" w:rsidR="008D2F23" w:rsidP="00180EEB" w:rsidRDefault="008D2F23" w14:paraId="65EF0B2A" w14:textId="77777777">
      <w:pPr>
        <w:suppressAutoHyphens/>
        <w:spacing w:line="240" w:lineRule="atLeast"/>
        <w:rPr>
          <w:szCs w:val="18"/>
          <w:lang w:eastAsia="nl-NL"/>
        </w:rPr>
      </w:pPr>
      <w:r w:rsidRPr="005F055E">
        <w:rPr>
          <w:szCs w:val="18"/>
          <w:lang w:eastAsia="nl-NL"/>
        </w:rPr>
        <w:t>Deze minus € 170 miljoen heeft voor € 142,6 miljoen betrekking op apotheekzorg en € 27,5 miljoen op hulpmiddelen. Er wordt in deze bijstellingen geen nader onderscheid gemaakt in zorg en/of geneesmiddelen.</w:t>
      </w:r>
    </w:p>
    <w:p w:rsidRPr="005F055E" w:rsidR="008D2F23" w:rsidP="00180EEB" w:rsidRDefault="008D2F23" w14:paraId="1E8C2765" w14:textId="77777777">
      <w:pPr>
        <w:suppressAutoHyphens/>
        <w:spacing w:line="240" w:lineRule="atLeast"/>
        <w:rPr>
          <w:szCs w:val="18"/>
          <w:lang w:eastAsia="nl-NL"/>
        </w:rPr>
      </w:pPr>
      <w:r w:rsidRPr="005F055E">
        <w:rPr>
          <w:szCs w:val="18"/>
          <w:lang w:eastAsia="nl-NL"/>
        </w:rPr>
        <w:t>Omdat de verwachte uitgaven worden bijgesteld op basis van (voorlopig) gerealiseerde uitgaven, heeft dit geen gevolgen voor patiënten.</w:t>
      </w:r>
    </w:p>
    <w:p w:rsidRPr="005F055E" w:rsidR="008D2F23" w:rsidP="00180EEB" w:rsidRDefault="008D2F23" w14:paraId="6C7ED186" w14:textId="77777777">
      <w:pPr>
        <w:suppressAutoHyphens/>
      </w:pPr>
    </w:p>
    <w:p w:rsidRPr="005F055E" w:rsidR="00D535AF" w:rsidP="00180EEB" w:rsidRDefault="003E7003" w14:paraId="0DF6F580" w14:textId="77777777">
      <w:pPr>
        <w:suppressAutoHyphens/>
      </w:pPr>
      <w:r w:rsidRPr="005F055E">
        <w:t>Vraag 465</w:t>
      </w:r>
      <w:r w:rsidRPr="005F055E">
        <w:tab/>
      </w:r>
    </w:p>
    <w:p w:rsidRPr="005F055E" w:rsidR="00D535AF" w:rsidP="00180EEB" w:rsidRDefault="003E7003" w14:paraId="29E70D02" w14:textId="77777777">
      <w:pPr>
        <w:suppressAutoHyphens/>
      </w:pPr>
      <w:r w:rsidRPr="005F055E">
        <w:t xml:space="preserve">Hoeveel bureaus binnen de wijkverpleging leveren gecontracteerde en </w:t>
      </w:r>
      <w:proofErr w:type="spellStart"/>
      <w:r w:rsidRPr="005F055E">
        <w:t>ongecontracteerde</w:t>
      </w:r>
      <w:proofErr w:type="spellEnd"/>
      <w:r w:rsidRPr="005F055E">
        <w:t xml:space="preserve"> zorg?</w:t>
      </w:r>
    </w:p>
    <w:p w:rsidRPr="005F055E" w:rsidR="003E7003" w:rsidP="00180EEB" w:rsidRDefault="003E7003" w14:paraId="1BC3FD23" w14:textId="46619D94">
      <w:pPr>
        <w:suppressAutoHyphens/>
      </w:pPr>
      <w:r w:rsidRPr="005F055E">
        <w:t>Antwoord</w:t>
      </w:r>
    </w:p>
    <w:p w:rsidRPr="005F055E" w:rsidR="009E2BC0" w:rsidP="00180EEB" w:rsidRDefault="009E2BC0" w14:paraId="5F028C02" w14:textId="65C64F2A">
      <w:pPr>
        <w:suppressAutoHyphens/>
        <w:spacing w:line="240" w:lineRule="atLeast"/>
        <w:rPr>
          <w:szCs w:val="20"/>
          <w:lang w:eastAsia="nl-NL"/>
        </w:rPr>
      </w:pPr>
      <w:r w:rsidRPr="005F055E">
        <w:rPr>
          <w:szCs w:val="20"/>
          <w:lang w:eastAsia="nl-NL"/>
        </w:rPr>
        <w:t xml:space="preserve">De wijkverpleging wordt voor het overgrote deel geleverd door gecontracteerde zorgaanbieders. Niet-gecontracteerd zorgaanbod, inclusief </w:t>
      </w:r>
      <w:proofErr w:type="spellStart"/>
      <w:r w:rsidRPr="005F055E">
        <w:rPr>
          <w:szCs w:val="20"/>
          <w:lang w:eastAsia="nl-NL"/>
        </w:rPr>
        <w:t>Zvw</w:t>
      </w:r>
      <w:proofErr w:type="spellEnd"/>
      <w:r w:rsidRPr="005F055E">
        <w:rPr>
          <w:szCs w:val="20"/>
          <w:lang w:eastAsia="nl-NL"/>
        </w:rPr>
        <w:t>-pgb, was in 2023 goed voor 13% van de totale omzet en 4% van het aantal cliënten in de wijkverpleging</w:t>
      </w:r>
      <w:r w:rsidRPr="005F055E">
        <w:rPr>
          <w:szCs w:val="20"/>
          <w:vertAlign w:val="superscript"/>
          <w:lang w:eastAsia="nl-NL"/>
        </w:rPr>
        <w:footnoteReference w:id="175"/>
      </w:r>
      <w:r w:rsidRPr="005F055E">
        <w:rPr>
          <w:szCs w:val="20"/>
          <w:lang w:eastAsia="nl-NL"/>
        </w:rPr>
        <w:t xml:space="preserve">. Exclusief </w:t>
      </w:r>
      <w:proofErr w:type="spellStart"/>
      <w:r w:rsidRPr="005F055E">
        <w:rPr>
          <w:szCs w:val="20"/>
          <w:lang w:eastAsia="nl-NL"/>
        </w:rPr>
        <w:t>Zvw</w:t>
      </w:r>
      <w:proofErr w:type="spellEnd"/>
      <w:r w:rsidRPr="005F055E">
        <w:rPr>
          <w:szCs w:val="20"/>
          <w:lang w:eastAsia="nl-NL"/>
        </w:rPr>
        <w:t xml:space="preserve">-pgb gaat het om 6,1% van de totale omzet. </w:t>
      </w:r>
    </w:p>
    <w:p w:rsidRPr="005F055E" w:rsidR="009E2BC0" w:rsidP="00180EEB" w:rsidRDefault="009E2BC0" w14:paraId="7FC1FF01" w14:textId="0C89B1BD">
      <w:pPr>
        <w:suppressAutoHyphens/>
        <w:spacing w:line="240" w:lineRule="atLeast"/>
        <w:rPr>
          <w:szCs w:val="20"/>
          <w:lang w:eastAsia="nl-NL"/>
        </w:rPr>
      </w:pPr>
      <w:r w:rsidRPr="005F055E">
        <w:rPr>
          <w:szCs w:val="20"/>
          <w:lang w:eastAsia="nl-NL"/>
        </w:rPr>
        <w:t>Er is geen data beschikbaar over het exacte aantal aanbieders die niet- gecontracteerde zorg leveren op dit moment. Onderstaande tabel bevat cijfers uit 2023</w:t>
      </w:r>
      <w:r w:rsidRPr="005F055E">
        <w:rPr>
          <w:szCs w:val="20"/>
          <w:vertAlign w:val="superscript"/>
          <w:lang w:eastAsia="nl-NL"/>
        </w:rPr>
        <w:footnoteReference w:id="176"/>
      </w:r>
      <w:r w:rsidRPr="005F055E">
        <w:rPr>
          <w:szCs w:val="20"/>
          <w:lang w:eastAsia="nl-NL"/>
        </w:rPr>
        <w:t>.</w:t>
      </w:r>
    </w:p>
    <w:p w:rsidRPr="005F055E" w:rsidR="009E2BC0" w:rsidP="00180EEB" w:rsidRDefault="009E2BC0" w14:paraId="2A2A87FB" w14:textId="1DE2C02F">
      <w:pPr>
        <w:suppressAutoHyphens/>
        <w:spacing w:line="240" w:lineRule="atLeast"/>
        <w:rPr>
          <w:szCs w:val="20"/>
          <w:lang w:eastAsia="nl-NL"/>
        </w:rPr>
      </w:pPr>
      <w:r w:rsidRPr="005F055E">
        <w:rPr>
          <w:noProof/>
        </w:rPr>
        <w:drawing>
          <wp:inline distT="0" distB="0" distL="0" distR="0" wp14:anchorId="3CAF79DB" wp14:editId="32E29FF3">
            <wp:extent cx="4710870" cy="1222089"/>
            <wp:effectExtent l="0" t="0" r="0" b="0"/>
            <wp:docPr id="13056186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18633" name=""/>
                    <pic:cNvPicPr/>
                  </pic:nvPicPr>
                  <pic:blipFill>
                    <a:blip r:embed="rId42"/>
                    <a:srcRect t="-1" b="7109"/>
                    <a:stretch>
                      <a:fillRect/>
                    </a:stretch>
                  </pic:blipFill>
                  <pic:spPr bwMode="auto">
                    <a:xfrm>
                      <a:off x="0" y="0"/>
                      <a:ext cx="4733554" cy="1227974"/>
                    </a:xfrm>
                    <a:prstGeom prst="rect">
                      <a:avLst/>
                    </a:prstGeom>
                    <a:ln>
                      <a:noFill/>
                    </a:ln>
                    <a:extLst>
                      <a:ext uri="{53640926-AAD7-44D8-BBD7-CCE9431645EC}">
                        <a14:shadowObscured xmlns:a14="http://schemas.microsoft.com/office/drawing/2010/main"/>
                      </a:ext>
                    </a:extLst>
                  </pic:spPr>
                </pic:pic>
              </a:graphicData>
            </a:graphic>
          </wp:inline>
        </w:drawing>
      </w:r>
    </w:p>
    <w:p w:rsidRPr="005F055E" w:rsidR="00D535AF" w:rsidP="00180EEB" w:rsidRDefault="00D535AF" w14:paraId="10F42AD3" w14:textId="77777777">
      <w:pPr>
        <w:suppressAutoHyphens/>
      </w:pPr>
    </w:p>
    <w:p w:rsidRPr="005F055E" w:rsidR="00D535AF" w:rsidP="00180EEB" w:rsidRDefault="003E7003" w14:paraId="69A59CFE" w14:textId="77777777">
      <w:pPr>
        <w:suppressAutoHyphens/>
      </w:pPr>
      <w:r w:rsidRPr="005F055E">
        <w:t>Vraag 466</w:t>
      </w:r>
    </w:p>
    <w:p w:rsidRPr="005F055E" w:rsidR="002B7541" w:rsidP="00180EEB" w:rsidRDefault="003E7003" w14:paraId="0C93A3E3" w14:textId="3BD734B5">
      <w:pPr>
        <w:suppressAutoHyphens/>
      </w:pPr>
      <w:r w:rsidRPr="005F055E">
        <w:t xml:space="preserve">Hoe wordt per </w:t>
      </w:r>
      <w:proofErr w:type="spellStart"/>
      <w:r w:rsidRPr="005F055E">
        <w:t>Zvw</w:t>
      </w:r>
      <w:proofErr w:type="spellEnd"/>
      <w:r w:rsidRPr="005F055E">
        <w:t>-sector remgeld ingezet en wat zijn de geraamde remgeldeffecten/opbrengsten vanaf 2027 zoals in de begroting verondersteld?</w:t>
      </w:r>
    </w:p>
    <w:p w:rsidRPr="005F055E" w:rsidR="003E7003" w:rsidP="00180EEB" w:rsidRDefault="003E7003" w14:paraId="48D2DB31" w14:textId="096F4416">
      <w:pPr>
        <w:suppressAutoHyphens/>
      </w:pPr>
      <w:r w:rsidRPr="005F055E">
        <w:t>Antwoord</w:t>
      </w:r>
    </w:p>
    <w:p w:rsidRPr="005F055E" w:rsidR="008D2F23" w:rsidP="00180EEB" w:rsidRDefault="008D2F23" w14:paraId="3B133596" w14:textId="1702EF2B">
      <w:pPr>
        <w:suppressAutoHyphens/>
        <w:spacing w:line="240" w:lineRule="atLeast"/>
        <w:rPr>
          <w:szCs w:val="18"/>
          <w:lang w:eastAsia="nl-NL"/>
        </w:rPr>
      </w:pPr>
      <w:r w:rsidRPr="005F055E">
        <w:rPr>
          <w:szCs w:val="18"/>
          <w:lang w:eastAsia="nl-NL"/>
        </w:rPr>
        <w:t xml:space="preserve">Het remgeldeffect, in prijspeil 2025, is ingeschat op € 2,174 miljard in 2027, € 2,259 miljard in 2028 en € 2,358 miljard in 2029 en verder. De remgeldmiddelen worden voor het grootste gedeelte ingezet voor een verhoging van de reguliere </w:t>
      </w:r>
      <w:proofErr w:type="spellStart"/>
      <w:r w:rsidRPr="005F055E">
        <w:rPr>
          <w:szCs w:val="18"/>
          <w:lang w:eastAsia="nl-NL"/>
        </w:rPr>
        <w:t>Zvw</w:t>
      </w:r>
      <w:proofErr w:type="spellEnd"/>
      <w:r w:rsidRPr="005F055E">
        <w:rPr>
          <w:szCs w:val="18"/>
          <w:lang w:eastAsia="nl-NL"/>
        </w:rPr>
        <w:t xml:space="preserve">-kaders om de hogere zorguitgaven als gevolg van de verwachte stijging van de zorgvraag door de verlaging van het eigen risico op te vangen. Daarbij is per sector gekeken of er een te verwachten effect is van de verlaging van het eigen risico. Zo zijn niet alleen kaders van sectoren verhoogd waar een eigen risico geldt, maar ook van sectoren die indirect meer zorgvraag kunnen verwachten zoals huisartsenzorg. De verdeling van het remgeld per </w:t>
      </w:r>
      <w:proofErr w:type="spellStart"/>
      <w:r w:rsidRPr="005F055E">
        <w:rPr>
          <w:szCs w:val="18"/>
          <w:lang w:eastAsia="nl-NL"/>
        </w:rPr>
        <w:t>Zvw</w:t>
      </w:r>
      <w:proofErr w:type="spellEnd"/>
      <w:r w:rsidRPr="005F055E">
        <w:rPr>
          <w:szCs w:val="18"/>
          <w:lang w:eastAsia="nl-NL"/>
        </w:rPr>
        <w:t>-sector dat is ingezet voor een verhoging van de kaders is weergegeven in onderstaande tabel. De oploop van de remgeldmiddelen vanaf 2028 hierin nog niet meegenomen.</w:t>
      </w:r>
    </w:p>
    <w:p w:rsidRPr="005F055E" w:rsidR="008D2F23" w:rsidP="00180EEB" w:rsidRDefault="008D2F23" w14:paraId="4DC29066" w14:textId="54CE94B8">
      <w:pPr>
        <w:suppressAutoHyphens/>
        <w:spacing w:line="240" w:lineRule="atLeast"/>
        <w:rPr>
          <w:szCs w:val="18"/>
          <w:lang w:eastAsia="nl-NL"/>
        </w:rPr>
      </w:pPr>
      <w:r w:rsidRPr="005F055E">
        <w:rPr>
          <w:szCs w:val="18"/>
          <w:lang w:eastAsia="nl-NL"/>
        </w:rPr>
        <w:t xml:space="preserve">Het resterende remgeld is ingezet voor afspraken in het AZWA voor doorbraakmiddelen (€ 0,4 miljard), preventie, opleiden en sociaal domein (€ 0,24 miljard). </w:t>
      </w:r>
    </w:p>
    <w:tbl>
      <w:tblPr>
        <w:tblW w:w="8921" w:type="dxa"/>
        <w:tblInd w:w="-147" w:type="dxa"/>
        <w:tblCellMar>
          <w:left w:w="70" w:type="dxa"/>
          <w:right w:w="70" w:type="dxa"/>
        </w:tblCellMar>
        <w:tblLook w:val="04A0" w:firstRow="1" w:lastRow="0" w:firstColumn="1" w:lastColumn="0" w:noHBand="0" w:noVBand="1"/>
      </w:tblPr>
      <w:tblGrid>
        <w:gridCol w:w="4962"/>
        <w:gridCol w:w="845"/>
        <w:gridCol w:w="1038"/>
        <w:gridCol w:w="1038"/>
        <w:gridCol w:w="1038"/>
      </w:tblGrid>
      <w:tr w:rsidRPr="005F055E" w:rsidR="008D2F23" w:rsidTr="005E2643" w14:paraId="119B15EA" w14:textId="77777777">
        <w:trPr>
          <w:trHeight w:val="290"/>
        </w:trPr>
        <w:tc>
          <w:tcPr>
            <w:tcW w:w="4962" w:type="dxa"/>
            <w:tcBorders>
              <w:top w:val="single" w:color="auto" w:sz="4" w:space="0"/>
              <w:left w:val="single" w:color="auto" w:sz="4" w:space="0"/>
              <w:bottom w:val="single" w:color="auto" w:sz="4" w:space="0"/>
              <w:right w:val="single" w:color="auto" w:sz="4" w:space="0"/>
            </w:tcBorders>
            <w:noWrap/>
            <w:vAlign w:val="bottom"/>
            <w:hideMark/>
          </w:tcPr>
          <w:p w:rsidRPr="005F055E" w:rsidR="008D2F23" w:rsidP="00180EEB" w:rsidRDefault="008D2F23" w14:paraId="3C2A7D62" w14:textId="77777777">
            <w:pPr>
              <w:suppressAutoHyphens/>
              <w:spacing w:after="0" w:line="240" w:lineRule="atLeast"/>
              <w:rPr>
                <w:b/>
                <w:bCs/>
                <w:szCs w:val="18"/>
                <w:lang w:eastAsia="nl-NL"/>
              </w:rPr>
            </w:pPr>
            <w:r w:rsidRPr="005F055E">
              <w:rPr>
                <w:b/>
                <w:bCs/>
                <w:szCs w:val="18"/>
                <w:lang w:eastAsia="nl-NL"/>
              </w:rPr>
              <w:t>Verdeling over AZWA-sectoren (bedragen in miljoenen)*</w:t>
            </w:r>
          </w:p>
        </w:tc>
        <w:tc>
          <w:tcPr>
            <w:tcW w:w="845" w:type="dxa"/>
            <w:tcBorders>
              <w:top w:val="single" w:color="auto" w:sz="4" w:space="0"/>
              <w:left w:val="nil"/>
              <w:bottom w:val="single" w:color="auto" w:sz="4" w:space="0"/>
              <w:right w:val="single" w:color="auto" w:sz="4" w:space="0"/>
            </w:tcBorders>
            <w:noWrap/>
            <w:vAlign w:val="bottom"/>
            <w:hideMark/>
          </w:tcPr>
          <w:p w:rsidRPr="005F055E" w:rsidR="008D2F23" w:rsidP="00180EEB" w:rsidRDefault="008D2F23" w14:paraId="4518FAC2" w14:textId="77777777">
            <w:pPr>
              <w:suppressAutoHyphens/>
              <w:spacing w:after="0" w:line="240" w:lineRule="atLeast"/>
              <w:rPr>
                <w:b/>
                <w:bCs/>
                <w:szCs w:val="18"/>
                <w:lang w:eastAsia="nl-NL"/>
              </w:rPr>
            </w:pPr>
            <w:r w:rsidRPr="005F055E">
              <w:rPr>
                <w:szCs w:val="18"/>
                <w:lang w:eastAsia="nl-NL"/>
              </w:rPr>
              <w:t> </w:t>
            </w:r>
            <w:r w:rsidRPr="005F055E">
              <w:rPr>
                <w:b/>
                <w:bCs/>
                <w:szCs w:val="18"/>
                <w:lang w:eastAsia="nl-NL"/>
              </w:rPr>
              <w:t>2027</w:t>
            </w:r>
          </w:p>
        </w:tc>
        <w:tc>
          <w:tcPr>
            <w:tcW w:w="1038" w:type="dxa"/>
            <w:tcBorders>
              <w:top w:val="single" w:color="auto" w:sz="4" w:space="0"/>
              <w:left w:val="nil"/>
              <w:bottom w:val="single" w:color="auto" w:sz="4" w:space="0"/>
              <w:right w:val="single" w:color="auto" w:sz="4" w:space="0"/>
            </w:tcBorders>
            <w:noWrap/>
            <w:vAlign w:val="bottom"/>
            <w:hideMark/>
          </w:tcPr>
          <w:p w:rsidRPr="005F055E" w:rsidR="008D2F23" w:rsidP="00180EEB" w:rsidRDefault="008D2F23" w14:paraId="6A58BC5D" w14:textId="77777777">
            <w:pPr>
              <w:suppressAutoHyphens/>
              <w:spacing w:after="0" w:line="240" w:lineRule="atLeast"/>
              <w:rPr>
                <w:b/>
                <w:bCs/>
                <w:szCs w:val="18"/>
                <w:lang w:eastAsia="nl-NL"/>
              </w:rPr>
            </w:pPr>
            <w:r w:rsidRPr="005F055E">
              <w:rPr>
                <w:b/>
                <w:bCs/>
                <w:szCs w:val="18"/>
                <w:lang w:eastAsia="nl-NL"/>
              </w:rPr>
              <w:t>2028</w:t>
            </w:r>
          </w:p>
        </w:tc>
        <w:tc>
          <w:tcPr>
            <w:tcW w:w="1038" w:type="dxa"/>
            <w:tcBorders>
              <w:top w:val="single" w:color="auto" w:sz="4" w:space="0"/>
              <w:left w:val="nil"/>
              <w:bottom w:val="single" w:color="auto" w:sz="4" w:space="0"/>
              <w:right w:val="single" w:color="auto" w:sz="4" w:space="0"/>
            </w:tcBorders>
            <w:noWrap/>
            <w:vAlign w:val="bottom"/>
            <w:hideMark/>
          </w:tcPr>
          <w:p w:rsidRPr="005F055E" w:rsidR="008D2F23" w:rsidP="00180EEB" w:rsidRDefault="008D2F23" w14:paraId="693F3E75" w14:textId="77777777">
            <w:pPr>
              <w:suppressAutoHyphens/>
              <w:spacing w:after="0" w:line="240" w:lineRule="atLeast"/>
              <w:rPr>
                <w:b/>
                <w:bCs/>
                <w:szCs w:val="18"/>
                <w:lang w:eastAsia="nl-NL"/>
              </w:rPr>
            </w:pPr>
            <w:r w:rsidRPr="005F055E">
              <w:rPr>
                <w:b/>
                <w:bCs/>
                <w:szCs w:val="18"/>
                <w:lang w:eastAsia="nl-NL"/>
              </w:rPr>
              <w:t>2029</w:t>
            </w:r>
          </w:p>
        </w:tc>
        <w:tc>
          <w:tcPr>
            <w:tcW w:w="1038" w:type="dxa"/>
            <w:tcBorders>
              <w:top w:val="single" w:color="auto" w:sz="4" w:space="0"/>
              <w:left w:val="nil"/>
              <w:bottom w:val="single" w:color="auto" w:sz="4" w:space="0"/>
              <w:right w:val="single" w:color="auto" w:sz="4" w:space="0"/>
            </w:tcBorders>
            <w:noWrap/>
            <w:vAlign w:val="bottom"/>
            <w:hideMark/>
          </w:tcPr>
          <w:p w:rsidRPr="005F055E" w:rsidR="008D2F23" w:rsidP="00180EEB" w:rsidRDefault="008D2F23" w14:paraId="3A4C0651" w14:textId="77777777">
            <w:pPr>
              <w:suppressAutoHyphens/>
              <w:spacing w:after="0" w:line="240" w:lineRule="atLeast"/>
              <w:rPr>
                <w:b/>
                <w:bCs/>
                <w:szCs w:val="18"/>
                <w:lang w:eastAsia="nl-NL"/>
              </w:rPr>
            </w:pPr>
            <w:r w:rsidRPr="005F055E">
              <w:rPr>
                <w:b/>
                <w:bCs/>
                <w:szCs w:val="18"/>
                <w:lang w:eastAsia="nl-NL"/>
              </w:rPr>
              <w:t>2030</w:t>
            </w:r>
          </w:p>
        </w:tc>
      </w:tr>
      <w:tr w:rsidRPr="005F055E" w:rsidR="008D2F23" w:rsidTr="005E2643" w14:paraId="1B5B95F2"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5F055E" w:rsidR="008D2F23" w:rsidP="00180EEB" w:rsidRDefault="008D2F23" w14:paraId="05A4663D" w14:textId="77777777">
            <w:pPr>
              <w:suppressAutoHyphens/>
              <w:spacing w:after="0" w:line="240" w:lineRule="atLeast"/>
              <w:rPr>
                <w:szCs w:val="18"/>
                <w:lang w:eastAsia="nl-NL"/>
              </w:rPr>
            </w:pPr>
            <w:r w:rsidRPr="005F055E">
              <w:rPr>
                <w:szCs w:val="18"/>
                <w:lang w:eastAsia="nl-NL"/>
              </w:rPr>
              <w:t>MSZ</w:t>
            </w:r>
          </w:p>
        </w:tc>
        <w:tc>
          <w:tcPr>
            <w:tcW w:w="845" w:type="dxa"/>
            <w:tcBorders>
              <w:top w:val="nil"/>
              <w:left w:val="nil"/>
              <w:bottom w:val="single" w:color="auto" w:sz="4" w:space="0"/>
              <w:right w:val="single" w:color="auto" w:sz="4" w:space="0"/>
            </w:tcBorders>
            <w:noWrap/>
            <w:vAlign w:val="bottom"/>
            <w:hideMark/>
          </w:tcPr>
          <w:p w:rsidRPr="005F055E" w:rsidR="008D2F23" w:rsidP="00180EEB" w:rsidRDefault="008D2F23" w14:paraId="0EF2D66E" w14:textId="77777777">
            <w:pPr>
              <w:suppressAutoHyphens/>
              <w:spacing w:after="0" w:line="240" w:lineRule="atLeast"/>
              <w:rPr>
                <w:szCs w:val="18"/>
                <w:lang w:eastAsia="nl-NL"/>
              </w:rPr>
            </w:pPr>
            <w:r w:rsidRPr="005F055E">
              <w:rPr>
                <w:szCs w:val="18"/>
                <w:lang w:eastAsia="nl-NL"/>
              </w:rPr>
              <w:t>676</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1518EA25" w14:textId="77777777">
            <w:pPr>
              <w:suppressAutoHyphens/>
              <w:spacing w:after="0" w:line="240" w:lineRule="atLeast"/>
              <w:rPr>
                <w:szCs w:val="18"/>
                <w:lang w:eastAsia="nl-NL"/>
              </w:rPr>
            </w:pPr>
            <w:r w:rsidRPr="005F055E">
              <w:rPr>
                <w:szCs w:val="18"/>
                <w:lang w:eastAsia="nl-NL"/>
              </w:rPr>
              <w:t>763</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77DB390C" w14:textId="77777777">
            <w:pPr>
              <w:suppressAutoHyphens/>
              <w:spacing w:after="0" w:line="240" w:lineRule="atLeast"/>
              <w:rPr>
                <w:szCs w:val="18"/>
                <w:lang w:eastAsia="nl-NL"/>
              </w:rPr>
            </w:pPr>
            <w:r w:rsidRPr="005F055E">
              <w:rPr>
                <w:szCs w:val="18"/>
                <w:lang w:eastAsia="nl-NL"/>
              </w:rPr>
              <w:t>763</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302876A0" w14:textId="77777777">
            <w:pPr>
              <w:suppressAutoHyphens/>
              <w:spacing w:after="0" w:line="240" w:lineRule="atLeast"/>
              <w:rPr>
                <w:szCs w:val="18"/>
                <w:lang w:eastAsia="nl-NL"/>
              </w:rPr>
            </w:pPr>
            <w:r w:rsidRPr="005F055E">
              <w:rPr>
                <w:szCs w:val="18"/>
                <w:lang w:eastAsia="nl-NL"/>
              </w:rPr>
              <w:t>763</w:t>
            </w:r>
          </w:p>
        </w:tc>
      </w:tr>
      <w:tr w:rsidRPr="005F055E" w:rsidR="008D2F23" w:rsidTr="005E2643" w14:paraId="54D4D7E5"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5F055E" w:rsidR="008D2F23" w:rsidP="00180EEB" w:rsidRDefault="00D55762" w14:paraId="239412C6" w14:textId="4602C433">
            <w:pPr>
              <w:suppressAutoHyphens/>
              <w:spacing w:after="0" w:line="240" w:lineRule="atLeast"/>
              <w:rPr>
                <w:szCs w:val="18"/>
                <w:lang w:eastAsia="nl-NL"/>
              </w:rPr>
            </w:pPr>
            <w:r>
              <w:rPr>
                <w:szCs w:val="18"/>
                <w:lang w:eastAsia="nl-NL"/>
              </w:rPr>
              <w:t>GGZ</w:t>
            </w:r>
          </w:p>
        </w:tc>
        <w:tc>
          <w:tcPr>
            <w:tcW w:w="845" w:type="dxa"/>
            <w:tcBorders>
              <w:top w:val="nil"/>
              <w:left w:val="nil"/>
              <w:bottom w:val="single" w:color="auto" w:sz="4" w:space="0"/>
              <w:right w:val="single" w:color="auto" w:sz="4" w:space="0"/>
            </w:tcBorders>
            <w:noWrap/>
            <w:vAlign w:val="bottom"/>
            <w:hideMark/>
          </w:tcPr>
          <w:p w:rsidRPr="005F055E" w:rsidR="008D2F23" w:rsidP="00180EEB" w:rsidRDefault="008D2F23" w14:paraId="02A0EFB4" w14:textId="77777777">
            <w:pPr>
              <w:suppressAutoHyphens/>
              <w:spacing w:after="0" w:line="240" w:lineRule="atLeast"/>
              <w:rPr>
                <w:szCs w:val="18"/>
                <w:lang w:eastAsia="nl-NL"/>
              </w:rPr>
            </w:pPr>
            <w:r w:rsidRPr="005F055E">
              <w:rPr>
                <w:szCs w:val="18"/>
                <w:lang w:eastAsia="nl-NL"/>
              </w:rPr>
              <w:t>123</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73188196" w14:textId="77777777">
            <w:pPr>
              <w:suppressAutoHyphens/>
              <w:spacing w:after="0" w:line="240" w:lineRule="atLeast"/>
              <w:rPr>
                <w:szCs w:val="18"/>
                <w:lang w:eastAsia="nl-NL"/>
              </w:rPr>
            </w:pPr>
            <w:r w:rsidRPr="005F055E">
              <w:rPr>
                <w:szCs w:val="18"/>
                <w:lang w:eastAsia="nl-NL"/>
              </w:rPr>
              <w:t>139</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0E30565A" w14:textId="77777777">
            <w:pPr>
              <w:suppressAutoHyphens/>
              <w:spacing w:after="0" w:line="240" w:lineRule="atLeast"/>
              <w:rPr>
                <w:szCs w:val="18"/>
                <w:lang w:eastAsia="nl-NL"/>
              </w:rPr>
            </w:pPr>
            <w:r w:rsidRPr="005F055E">
              <w:rPr>
                <w:szCs w:val="18"/>
                <w:lang w:eastAsia="nl-NL"/>
              </w:rPr>
              <w:t>139</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6F6D72AA" w14:textId="77777777">
            <w:pPr>
              <w:suppressAutoHyphens/>
              <w:spacing w:after="0" w:line="240" w:lineRule="atLeast"/>
              <w:rPr>
                <w:szCs w:val="18"/>
                <w:lang w:eastAsia="nl-NL"/>
              </w:rPr>
            </w:pPr>
            <w:r w:rsidRPr="005F055E">
              <w:rPr>
                <w:szCs w:val="18"/>
                <w:lang w:eastAsia="nl-NL"/>
              </w:rPr>
              <w:t>139</w:t>
            </w:r>
          </w:p>
        </w:tc>
      </w:tr>
      <w:tr w:rsidRPr="005F055E" w:rsidR="008D2F23" w:rsidTr="005E2643" w14:paraId="0D62D84B"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5F055E" w:rsidR="008D2F23" w:rsidP="00180EEB" w:rsidRDefault="008D2F23" w14:paraId="046B5B04" w14:textId="77777777">
            <w:pPr>
              <w:suppressAutoHyphens/>
              <w:spacing w:after="0" w:line="240" w:lineRule="atLeast"/>
              <w:rPr>
                <w:szCs w:val="18"/>
                <w:lang w:eastAsia="nl-NL"/>
              </w:rPr>
            </w:pPr>
            <w:r w:rsidRPr="005F055E">
              <w:rPr>
                <w:szCs w:val="18"/>
                <w:lang w:eastAsia="nl-NL"/>
              </w:rPr>
              <w:t>Wijkverpleging</w:t>
            </w:r>
          </w:p>
        </w:tc>
        <w:tc>
          <w:tcPr>
            <w:tcW w:w="845" w:type="dxa"/>
            <w:tcBorders>
              <w:top w:val="nil"/>
              <w:left w:val="nil"/>
              <w:bottom w:val="single" w:color="auto" w:sz="4" w:space="0"/>
              <w:right w:val="single" w:color="auto" w:sz="4" w:space="0"/>
            </w:tcBorders>
            <w:noWrap/>
            <w:vAlign w:val="bottom"/>
            <w:hideMark/>
          </w:tcPr>
          <w:p w:rsidRPr="005F055E" w:rsidR="008D2F23" w:rsidP="00180EEB" w:rsidRDefault="008D2F23" w14:paraId="258F4E5E" w14:textId="77777777">
            <w:pPr>
              <w:suppressAutoHyphens/>
              <w:spacing w:after="0" w:line="240" w:lineRule="atLeast"/>
              <w:rPr>
                <w:szCs w:val="18"/>
                <w:lang w:eastAsia="nl-NL"/>
              </w:rPr>
            </w:pPr>
            <w:r w:rsidRPr="005F055E">
              <w:rPr>
                <w:szCs w:val="18"/>
                <w:lang w:eastAsia="nl-NL"/>
              </w:rPr>
              <w:t>39</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05BE428B" w14:textId="77777777">
            <w:pPr>
              <w:suppressAutoHyphens/>
              <w:spacing w:after="0" w:line="240" w:lineRule="atLeast"/>
              <w:rPr>
                <w:szCs w:val="18"/>
                <w:lang w:eastAsia="nl-NL"/>
              </w:rPr>
            </w:pPr>
            <w:r w:rsidRPr="005F055E">
              <w:rPr>
                <w:szCs w:val="18"/>
                <w:lang w:eastAsia="nl-NL"/>
              </w:rPr>
              <w:t>44</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6F0B9287" w14:textId="77777777">
            <w:pPr>
              <w:suppressAutoHyphens/>
              <w:spacing w:after="0" w:line="240" w:lineRule="atLeast"/>
              <w:rPr>
                <w:szCs w:val="18"/>
                <w:lang w:eastAsia="nl-NL"/>
              </w:rPr>
            </w:pPr>
            <w:r w:rsidRPr="005F055E">
              <w:rPr>
                <w:szCs w:val="18"/>
                <w:lang w:eastAsia="nl-NL"/>
              </w:rPr>
              <w:t>44</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2A01428D" w14:textId="77777777">
            <w:pPr>
              <w:suppressAutoHyphens/>
              <w:spacing w:after="0" w:line="240" w:lineRule="atLeast"/>
              <w:rPr>
                <w:szCs w:val="18"/>
                <w:lang w:eastAsia="nl-NL"/>
              </w:rPr>
            </w:pPr>
            <w:r w:rsidRPr="005F055E">
              <w:rPr>
                <w:szCs w:val="18"/>
                <w:lang w:eastAsia="nl-NL"/>
              </w:rPr>
              <w:t>44</w:t>
            </w:r>
          </w:p>
        </w:tc>
      </w:tr>
      <w:tr w:rsidRPr="005F055E" w:rsidR="008D2F23" w:rsidTr="005E2643" w14:paraId="53C9BB7F"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5F055E" w:rsidR="008D2F23" w:rsidP="00180EEB" w:rsidRDefault="008D2F23" w14:paraId="24106A26" w14:textId="77777777">
            <w:pPr>
              <w:suppressAutoHyphens/>
              <w:spacing w:after="0" w:line="240" w:lineRule="atLeast"/>
              <w:rPr>
                <w:szCs w:val="18"/>
                <w:lang w:eastAsia="nl-NL"/>
              </w:rPr>
            </w:pPr>
            <w:r w:rsidRPr="005F055E">
              <w:rPr>
                <w:szCs w:val="18"/>
                <w:lang w:eastAsia="nl-NL"/>
              </w:rPr>
              <w:t>Huisartsenzorg</w:t>
            </w:r>
          </w:p>
        </w:tc>
        <w:tc>
          <w:tcPr>
            <w:tcW w:w="845" w:type="dxa"/>
            <w:tcBorders>
              <w:top w:val="nil"/>
              <w:left w:val="nil"/>
              <w:bottom w:val="single" w:color="auto" w:sz="4" w:space="0"/>
              <w:right w:val="single" w:color="auto" w:sz="4" w:space="0"/>
            </w:tcBorders>
            <w:noWrap/>
            <w:vAlign w:val="bottom"/>
            <w:hideMark/>
          </w:tcPr>
          <w:p w:rsidRPr="005F055E" w:rsidR="008D2F23" w:rsidP="00180EEB" w:rsidRDefault="008D2F23" w14:paraId="24C4F06C" w14:textId="77777777">
            <w:pPr>
              <w:suppressAutoHyphens/>
              <w:spacing w:after="0" w:line="240" w:lineRule="atLeast"/>
              <w:rPr>
                <w:szCs w:val="18"/>
                <w:lang w:eastAsia="nl-NL"/>
              </w:rPr>
            </w:pPr>
            <w:r w:rsidRPr="005F055E">
              <w:rPr>
                <w:szCs w:val="18"/>
                <w:lang w:eastAsia="nl-NL"/>
              </w:rPr>
              <w:t>99</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3248370D" w14:textId="77777777">
            <w:pPr>
              <w:suppressAutoHyphens/>
              <w:spacing w:after="0" w:line="240" w:lineRule="atLeast"/>
              <w:rPr>
                <w:szCs w:val="18"/>
                <w:lang w:eastAsia="nl-NL"/>
              </w:rPr>
            </w:pPr>
            <w:r w:rsidRPr="005F055E">
              <w:rPr>
                <w:szCs w:val="18"/>
                <w:lang w:eastAsia="nl-NL"/>
              </w:rPr>
              <w:t>112</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1774C312" w14:textId="77777777">
            <w:pPr>
              <w:suppressAutoHyphens/>
              <w:spacing w:after="0" w:line="240" w:lineRule="atLeast"/>
              <w:rPr>
                <w:szCs w:val="18"/>
                <w:lang w:eastAsia="nl-NL"/>
              </w:rPr>
            </w:pPr>
            <w:r w:rsidRPr="005F055E">
              <w:rPr>
                <w:szCs w:val="18"/>
                <w:lang w:eastAsia="nl-NL"/>
              </w:rPr>
              <w:t>112</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756C38BE" w14:textId="77777777">
            <w:pPr>
              <w:suppressAutoHyphens/>
              <w:spacing w:after="0" w:line="240" w:lineRule="atLeast"/>
              <w:rPr>
                <w:szCs w:val="18"/>
                <w:lang w:eastAsia="nl-NL"/>
              </w:rPr>
            </w:pPr>
            <w:r w:rsidRPr="005F055E">
              <w:rPr>
                <w:szCs w:val="18"/>
                <w:lang w:eastAsia="nl-NL"/>
              </w:rPr>
              <w:t>112</w:t>
            </w:r>
          </w:p>
        </w:tc>
      </w:tr>
      <w:tr w:rsidRPr="005F055E" w:rsidR="008D2F23" w:rsidTr="005E2643" w14:paraId="08D4A275"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5F055E" w:rsidR="008D2F23" w:rsidP="00180EEB" w:rsidRDefault="008D2F23" w14:paraId="7D2AD551" w14:textId="77777777">
            <w:pPr>
              <w:suppressAutoHyphens/>
              <w:spacing w:after="0" w:line="240" w:lineRule="atLeast"/>
              <w:rPr>
                <w:szCs w:val="18"/>
                <w:lang w:eastAsia="nl-NL"/>
              </w:rPr>
            </w:pPr>
            <w:r w:rsidRPr="005F055E">
              <w:rPr>
                <w:szCs w:val="18"/>
                <w:lang w:eastAsia="nl-NL"/>
              </w:rPr>
              <w:t>MDZ</w:t>
            </w:r>
          </w:p>
        </w:tc>
        <w:tc>
          <w:tcPr>
            <w:tcW w:w="845" w:type="dxa"/>
            <w:tcBorders>
              <w:top w:val="nil"/>
              <w:left w:val="nil"/>
              <w:bottom w:val="single" w:color="auto" w:sz="4" w:space="0"/>
              <w:right w:val="single" w:color="auto" w:sz="4" w:space="0"/>
            </w:tcBorders>
            <w:noWrap/>
            <w:vAlign w:val="bottom"/>
            <w:hideMark/>
          </w:tcPr>
          <w:p w:rsidRPr="005F055E" w:rsidR="008D2F23" w:rsidP="00180EEB" w:rsidRDefault="008D2F23" w14:paraId="6F4690FD" w14:textId="77777777">
            <w:pPr>
              <w:suppressAutoHyphens/>
              <w:spacing w:after="0" w:line="240" w:lineRule="atLeast"/>
              <w:rPr>
                <w:szCs w:val="18"/>
                <w:lang w:eastAsia="nl-NL"/>
              </w:rPr>
            </w:pPr>
            <w:r w:rsidRPr="005F055E">
              <w:rPr>
                <w:szCs w:val="18"/>
                <w:lang w:eastAsia="nl-NL"/>
              </w:rPr>
              <w:t>21</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013530D3" w14:textId="77777777">
            <w:pPr>
              <w:suppressAutoHyphens/>
              <w:spacing w:after="0" w:line="240" w:lineRule="atLeast"/>
              <w:rPr>
                <w:szCs w:val="18"/>
                <w:lang w:eastAsia="nl-NL"/>
              </w:rPr>
            </w:pPr>
            <w:r w:rsidRPr="005F055E">
              <w:rPr>
                <w:szCs w:val="18"/>
                <w:lang w:eastAsia="nl-NL"/>
              </w:rPr>
              <w:t>24</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709ECC51" w14:textId="77777777">
            <w:pPr>
              <w:suppressAutoHyphens/>
              <w:spacing w:after="0" w:line="240" w:lineRule="atLeast"/>
              <w:rPr>
                <w:szCs w:val="18"/>
                <w:lang w:eastAsia="nl-NL"/>
              </w:rPr>
            </w:pPr>
            <w:r w:rsidRPr="005F055E">
              <w:rPr>
                <w:szCs w:val="18"/>
                <w:lang w:eastAsia="nl-NL"/>
              </w:rPr>
              <w:t>24</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17112C13" w14:textId="77777777">
            <w:pPr>
              <w:suppressAutoHyphens/>
              <w:spacing w:after="0" w:line="240" w:lineRule="atLeast"/>
              <w:rPr>
                <w:szCs w:val="18"/>
                <w:lang w:eastAsia="nl-NL"/>
              </w:rPr>
            </w:pPr>
            <w:r w:rsidRPr="005F055E">
              <w:rPr>
                <w:szCs w:val="18"/>
                <w:lang w:eastAsia="nl-NL"/>
              </w:rPr>
              <w:t>24</w:t>
            </w:r>
          </w:p>
        </w:tc>
      </w:tr>
      <w:tr w:rsidRPr="005F055E" w:rsidR="008D2F23" w:rsidTr="005E2643" w14:paraId="2E003F57"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5F055E" w:rsidR="008D2F23" w:rsidP="00180EEB" w:rsidRDefault="008D2F23" w14:paraId="606915E7" w14:textId="77777777">
            <w:pPr>
              <w:suppressAutoHyphens/>
              <w:spacing w:after="0" w:line="240" w:lineRule="atLeast"/>
              <w:rPr>
                <w:b/>
                <w:bCs/>
                <w:szCs w:val="18"/>
                <w:lang w:eastAsia="nl-NL"/>
              </w:rPr>
            </w:pPr>
            <w:r w:rsidRPr="005F055E">
              <w:rPr>
                <w:b/>
                <w:bCs/>
                <w:szCs w:val="18"/>
                <w:lang w:eastAsia="nl-NL"/>
              </w:rPr>
              <w:t>TOTAAL</w:t>
            </w:r>
          </w:p>
        </w:tc>
        <w:tc>
          <w:tcPr>
            <w:tcW w:w="845" w:type="dxa"/>
            <w:tcBorders>
              <w:top w:val="nil"/>
              <w:left w:val="nil"/>
              <w:bottom w:val="single" w:color="auto" w:sz="4" w:space="0"/>
              <w:right w:val="single" w:color="auto" w:sz="4" w:space="0"/>
            </w:tcBorders>
            <w:noWrap/>
            <w:vAlign w:val="bottom"/>
            <w:hideMark/>
          </w:tcPr>
          <w:p w:rsidRPr="005F055E" w:rsidR="008D2F23" w:rsidP="00180EEB" w:rsidRDefault="008D2F23" w14:paraId="3A7A2FFC" w14:textId="77777777">
            <w:pPr>
              <w:suppressAutoHyphens/>
              <w:spacing w:after="0" w:line="240" w:lineRule="atLeast"/>
              <w:rPr>
                <w:b/>
                <w:bCs/>
                <w:szCs w:val="18"/>
                <w:lang w:eastAsia="nl-NL"/>
              </w:rPr>
            </w:pPr>
            <w:r w:rsidRPr="005F055E">
              <w:rPr>
                <w:b/>
                <w:bCs/>
                <w:szCs w:val="18"/>
                <w:lang w:eastAsia="nl-NL"/>
              </w:rPr>
              <w:t>958</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7C8FB40E" w14:textId="77777777">
            <w:pPr>
              <w:suppressAutoHyphens/>
              <w:spacing w:after="0" w:line="240" w:lineRule="atLeast"/>
              <w:rPr>
                <w:b/>
                <w:bCs/>
                <w:szCs w:val="18"/>
                <w:lang w:eastAsia="nl-NL"/>
              </w:rPr>
            </w:pPr>
            <w:r w:rsidRPr="005F055E">
              <w:rPr>
                <w:b/>
                <w:bCs/>
                <w:szCs w:val="18"/>
                <w:lang w:eastAsia="nl-NL"/>
              </w:rPr>
              <w:t>1.081</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2FFB714D" w14:textId="77777777">
            <w:pPr>
              <w:suppressAutoHyphens/>
              <w:spacing w:after="0" w:line="240" w:lineRule="atLeast"/>
              <w:rPr>
                <w:b/>
                <w:bCs/>
                <w:szCs w:val="18"/>
                <w:lang w:eastAsia="nl-NL"/>
              </w:rPr>
            </w:pPr>
            <w:r w:rsidRPr="005F055E">
              <w:rPr>
                <w:b/>
                <w:bCs/>
                <w:szCs w:val="18"/>
                <w:lang w:eastAsia="nl-NL"/>
              </w:rPr>
              <w:t>1.081</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5C366652" w14:textId="77777777">
            <w:pPr>
              <w:suppressAutoHyphens/>
              <w:spacing w:after="0" w:line="240" w:lineRule="atLeast"/>
              <w:rPr>
                <w:b/>
                <w:bCs/>
                <w:szCs w:val="18"/>
                <w:lang w:eastAsia="nl-NL"/>
              </w:rPr>
            </w:pPr>
            <w:r w:rsidRPr="005F055E">
              <w:rPr>
                <w:b/>
                <w:bCs/>
                <w:szCs w:val="18"/>
                <w:lang w:eastAsia="nl-NL"/>
              </w:rPr>
              <w:t>1.081</w:t>
            </w:r>
          </w:p>
        </w:tc>
      </w:tr>
      <w:tr w:rsidRPr="005F055E" w:rsidR="008D2F23" w:rsidTr="005E2643" w14:paraId="62A50D3B"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5F055E" w:rsidR="008D2F23" w:rsidP="00180EEB" w:rsidRDefault="008D2F23" w14:paraId="5A8AC77E" w14:textId="77777777">
            <w:pPr>
              <w:suppressAutoHyphens/>
              <w:spacing w:after="0" w:line="240" w:lineRule="atLeast"/>
              <w:rPr>
                <w:szCs w:val="18"/>
                <w:lang w:eastAsia="nl-NL"/>
              </w:rPr>
            </w:pPr>
            <w:r w:rsidRPr="005F055E">
              <w:rPr>
                <w:szCs w:val="18"/>
                <w:lang w:eastAsia="nl-NL"/>
              </w:rPr>
              <w:t> </w:t>
            </w:r>
          </w:p>
        </w:tc>
        <w:tc>
          <w:tcPr>
            <w:tcW w:w="845" w:type="dxa"/>
            <w:tcBorders>
              <w:top w:val="nil"/>
              <w:left w:val="nil"/>
              <w:bottom w:val="single" w:color="auto" w:sz="4" w:space="0"/>
              <w:right w:val="single" w:color="auto" w:sz="4" w:space="0"/>
            </w:tcBorders>
            <w:noWrap/>
            <w:vAlign w:val="bottom"/>
          </w:tcPr>
          <w:p w:rsidRPr="005F055E" w:rsidR="008D2F23" w:rsidP="00180EEB" w:rsidRDefault="008D2F23" w14:paraId="19141347" w14:textId="77777777">
            <w:pPr>
              <w:suppressAutoHyphens/>
              <w:spacing w:after="0" w:line="240" w:lineRule="atLeast"/>
              <w:rPr>
                <w:szCs w:val="18"/>
                <w:lang w:eastAsia="nl-NL"/>
              </w:rPr>
            </w:pPr>
          </w:p>
        </w:tc>
        <w:tc>
          <w:tcPr>
            <w:tcW w:w="1038" w:type="dxa"/>
            <w:tcBorders>
              <w:top w:val="nil"/>
              <w:left w:val="nil"/>
              <w:bottom w:val="single" w:color="auto" w:sz="4" w:space="0"/>
              <w:right w:val="single" w:color="auto" w:sz="4" w:space="0"/>
            </w:tcBorders>
            <w:noWrap/>
            <w:vAlign w:val="bottom"/>
          </w:tcPr>
          <w:p w:rsidRPr="005F055E" w:rsidR="008D2F23" w:rsidP="00180EEB" w:rsidRDefault="008D2F23" w14:paraId="323450DA" w14:textId="77777777">
            <w:pPr>
              <w:suppressAutoHyphens/>
              <w:spacing w:after="0" w:line="240" w:lineRule="atLeast"/>
              <w:rPr>
                <w:szCs w:val="18"/>
                <w:lang w:eastAsia="nl-NL"/>
              </w:rPr>
            </w:pPr>
          </w:p>
        </w:tc>
        <w:tc>
          <w:tcPr>
            <w:tcW w:w="1038" w:type="dxa"/>
            <w:tcBorders>
              <w:top w:val="nil"/>
              <w:left w:val="nil"/>
              <w:bottom w:val="single" w:color="auto" w:sz="4" w:space="0"/>
              <w:right w:val="single" w:color="auto" w:sz="4" w:space="0"/>
            </w:tcBorders>
            <w:noWrap/>
            <w:vAlign w:val="bottom"/>
          </w:tcPr>
          <w:p w:rsidRPr="005F055E" w:rsidR="008D2F23" w:rsidP="00180EEB" w:rsidRDefault="008D2F23" w14:paraId="1C0E8EAB" w14:textId="77777777">
            <w:pPr>
              <w:suppressAutoHyphens/>
              <w:spacing w:after="0" w:line="240" w:lineRule="atLeast"/>
              <w:rPr>
                <w:szCs w:val="18"/>
                <w:lang w:eastAsia="nl-NL"/>
              </w:rPr>
            </w:pPr>
          </w:p>
        </w:tc>
        <w:tc>
          <w:tcPr>
            <w:tcW w:w="1038" w:type="dxa"/>
            <w:tcBorders>
              <w:top w:val="nil"/>
              <w:left w:val="nil"/>
              <w:bottom w:val="single" w:color="auto" w:sz="4" w:space="0"/>
              <w:right w:val="single" w:color="auto" w:sz="4" w:space="0"/>
            </w:tcBorders>
            <w:noWrap/>
            <w:vAlign w:val="bottom"/>
          </w:tcPr>
          <w:p w:rsidRPr="005F055E" w:rsidR="008D2F23" w:rsidP="00180EEB" w:rsidRDefault="008D2F23" w14:paraId="7583F6EE" w14:textId="77777777">
            <w:pPr>
              <w:suppressAutoHyphens/>
              <w:spacing w:after="0" w:line="240" w:lineRule="atLeast"/>
              <w:rPr>
                <w:szCs w:val="18"/>
                <w:lang w:eastAsia="nl-NL"/>
              </w:rPr>
            </w:pPr>
          </w:p>
        </w:tc>
      </w:tr>
      <w:tr w:rsidRPr="005F055E" w:rsidR="008D2F23" w:rsidTr="005E2643" w14:paraId="37D76AC0"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5F055E" w:rsidR="008D2F23" w:rsidP="00180EEB" w:rsidRDefault="008D2F23" w14:paraId="70F98B8A" w14:textId="29C019D4">
            <w:pPr>
              <w:suppressAutoHyphens/>
              <w:spacing w:after="0" w:line="240" w:lineRule="atLeast"/>
              <w:rPr>
                <w:b/>
                <w:bCs/>
                <w:szCs w:val="18"/>
                <w:lang w:eastAsia="nl-NL"/>
              </w:rPr>
            </w:pPr>
            <w:r w:rsidRPr="005F055E">
              <w:rPr>
                <w:b/>
                <w:bCs/>
                <w:szCs w:val="18"/>
                <w:lang w:eastAsia="nl-NL"/>
              </w:rPr>
              <w:t>Verdeling over</w:t>
            </w:r>
            <w:r w:rsidRPr="005F055E" w:rsidR="00D73F76">
              <w:rPr>
                <w:b/>
                <w:bCs/>
                <w:szCs w:val="18"/>
                <w:lang w:eastAsia="nl-NL"/>
              </w:rPr>
              <w:t xml:space="preserve"> </w:t>
            </w:r>
            <w:r w:rsidRPr="005F055E">
              <w:rPr>
                <w:b/>
                <w:bCs/>
                <w:szCs w:val="18"/>
                <w:lang w:eastAsia="nl-NL"/>
              </w:rPr>
              <w:t>niet AZWA-sectoren*</w:t>
            </w:r>
          </w:p>
        </w:tc>
        <w:tc>
          <w:tcPr>
            <w:tcW w:w="845" w:type="dxa"/>
            <w:tcBorders>
              <w:top w:val="nil"/>
              <w:left w:val="nil"/>
              <w:bottom w:val="single" w:color="auto" w:sz="4" w:space="0"/>
              <w:right w:val="single" w:color="auto" w:sz="4" w:space="0"/>
            </w:tcBorders>
            <w:noWrap/>
            <w:vAlign w:val="bottom"/>
            <w:hideMark/>
          </w:tcPr>
          <w:p w:rsidRPr="005F055E" w:rsidR="008D2F23" w:rsidP="00180EEB" w:rsidRDefault="008D2F23" w14:paraId="306B17AF" w14:textId="77777777">
            <w:pPr>
              <w:suppressAutoHyphens/>
              <w:spacing w:after="0" w:line="240" w:lineRule="atLeast"/>
              <w:rPr>
                <w:szCs w:val="18"/>
                <w:lang w:eastAsia="nl-NL"/>
              </w:rPr>
            </w:pPr>
            <w:r w:rsidRPr="005F055E">
              <w:rPr>
                <w:szCs w:val="18"/>
                <w:lang w:eastAsia="nl-NL"/>
              </w:rPr>
              <w:t> </w:t>
            </w:r>
            <w:r w:rsidRPr="005F055E">
              <w:rPr>
                <w:b/>
                <w:bCs/>
                <w:szCs w:val="18"/>
                <w:lang w:eastAsia="nl-NL"/>
              </w:rPr>
              <w:t>2027</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17785371" w14:textId="77777777">
            <w:pPr>
              <w:suppressAutoHyphens/>
              <w:spacing w:after="0" w:line="240" w:lineRule="atLeast"/>
              <w:rPr>
                <w:szCs w:val="18"/>
                <w:lang w:eastAsia="nl-NL"/>
              </w:rPr>
            </w:pPr>
            <w:r w:rsidRPr="005F055E">
              <w:rPr>
                <w:b/>
                <w:bCs/>
                <w:szCs w:val="18"/>
                <w:lang w:eastAsia="nl-NL"/>
              </w:rPr>
              <w:t>2028</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7E25D8BC" w14:textId="77777777">
            <w:pPr>
              <w:suppressAutoHyphens/>
              <w:spacing w:after="0" w:line="240" w:lineRule="atLeast"/>
              <w:rPr>
                <w:szCs w:val="18"/>
                <w:lang w:eastAsia="nl-NL"/>
              </w:rPr>
            </w:pPr>
            <w:r w:rsidRPr="005F055E">
              <w:rPr>
                <w:b/>
                <w:bCs/>
                <w:szCs w:val="18"/>
                <w:lang w:eastAsia="nl-NL"/>
              </w:rPr>
              <w:t>2029</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0CF89777" w14:textId="77777777">
            <w:pPr>
              <w:suppressAutoHyphens/>
              <w:spacing w:after="0" w:line="240" w:lineRule="atLeast"/>
              <w:rPr>
                <w:szCs w:val="18"/>
                <w:lang w:eastAsia="nl-NL"/>
              </w:rPr>
            </w:pPr>
            <w:r w:rsidRPr="005F055E">
              <w:rPr>
                <w:b/>
                <w:bCs/>
                <w:szCs w:val="18"/>
                <w:lang w:eastAsia="nl-NL"/>
              </w:rPr>
              <w:t>2030</w:t>
            </w:r>
          </w:p>
        </w:tc>
      </w:tr>
      <w:tr w:rsidRPr="005F055E" w:rsidR="008D2F23" w:rsidTr="005E2643" w14:paraId="5B866370"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5F055E" w:rsidR="008D2F23" w:rsidP="00180EEB" w:rsidRDefault="008D2F23" w14:paraId="5E271C45" w14:textId="77777777">
            <w:pPr>
              <w:suppressAutoHyphens/>
              <w:spacing w:after="0" w:line="240" w:lineRule="atLeast"/>
              <w:rPr>
                <w:szCs w:val="18"/>
                <w:lang w:eastAsia="nl-NL"/>
              </w:rPr>
            </w:pPr>
            <w:r w:rsidRPr="005F055E">
              <w:rPr>
                <w:szCs w:val="18"/>
                <w:lang w:eastAsia="nl-NL"/>
              </w:rPr>
              <w:t xml:space="preserve">Tandheelkundige zorg </w:t>
            </w:r>
            <w:proofErr w:type="spellStart"/>
            <w:r w:rsidRPr="005F055E">
              <w:rPr>
                <w:szCs w:val="18"/>
                <w:lang w:eastAsia="nl-NL"/>
              </w:rPr>
              <w:t>Zvw</w:t>
            </w:r>
            <w:proofErr w:type="spellEnd"/>
          </w:p>
        </w:tc>
        <w:tc>
          <w:tcPr>
            <w:tcW w:w="845" w:type="dxa"/>
            <w:tcBorders>
              <w:top w:val="nil"/>
              <w:left w:val="nil"/>
              <w:bottom w:val="single" w:color="auto" w:sz="4" w:space="0"/>
              <w:right w:val="single" w:color="auto" w:sz="4" w:space="0"/>
            </w:tcBorders>
            <w:noWrap/>
            <w:vAlign w:val="bottom"/>
            <w:hideMark/>
          </w:tcPr>
          <w:p w:rsidRPr="005F055E" w:rsidR="008D2F23" w:rsidP="00180EEB" w:rsidRDefault="008D2F23" w14:paraId="1D7458B6" w14:textId="77777777">
            <w:pPr>
              <w:suppressAutoHyphens/>
              <w:spacing w:after="0" w:line="240" w:lineRule="atLeast"/>
              <w:rPr>
                <w:szCs w:val="18"/>
                <w:lang w:eastAsia="nl-NL"/>
              </w:rPr>
            </w:pPr>
            <w:r w:rsidRPr="005F055E">
              <w:rPr>
                <w:szCs w:val="18"/>
                <w:lang w:eastAsia="nl-NL"/>
              </w:rPr>
              <w:t>26</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137C0933" w14:textId="77777777">
            <w:pPr>
              <w:suppressAutoHyphens/>
              <w:spacing w:after="0" w:line="240" w:lineRule="atLeast"/>
              <w:rPr>
                <w:szCs w:val="18"/>
                <w:lang w:eastAsia="nl-NL"/>
              </w:rPr>
            </w:pPr>
            <w:r w:rsidRPr="005F055E">
              <w:rPr>
                <w:szCs w:val="18"/>
                <w:lang w:eastAsia="nl-NL"/>
              </w:rPr>
              <w:t>29</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18799D28" w14:textId="77777777">
            <w:pPr>
              <w:suppressAutoHyphens/>
              <w:spacing w:after="0" w:line="240" w:lineRule="atLeast"/>
              <w:rPr>
                <w:szCs w:val="18"/>
                <w:lang w:eastAsia="nl-NL"/>
              </w:rPr>
            </w:pPr>
            <w:r w:rsidRPr="005F055E">
              <w:rPr>
                <w:szCs w:val="18"/>
                <w:lang w:eastAsia="nl-NL"/>
              </w:rPr>
              <w:t>29</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0C8EC0C8" w14:textId="77777777">
            <w:pPr>
              <w:suppressAutoHyphens/>
              <w:spacing w:after="0" w:line="240" w:lineRule="atLeast"/>
              <w:rPr>
                <w:szCs w:val="18"/>
                <w:lang w:eastAsia="nl-NL"/>
              </w:rPr>
            </w:pPr>
            <w:r w:rsidRPr="005F055E">
              <w:rPr>
                <w:szCs w:val="18"/>
                <w:lang w:eastAsia="nl-NL"/>
              </w:rPr>
              <w:t>29</w:t>
            </w:r>
          </w:p>
        </w:tc>
      </w:tr>
      <w:tr w:rsidRPr="005F055E" w:rsidR="008D2F23" w:rsidTr="005E2643" w14:paraId="541225A6"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5F055E" w:rsidR="008D2F23" w:rsidP="00180EEB" w:rsidRDefault="008D2F23" w14:paraId="4DA1B506" w14:textId="77777777">
            <w:pPr>
              <w:suppressAutoHyphens/>
              <w:spacing w:after="0" w:line="240" w:lineRule="atLeast"/>
              <w:rPr>
                <w:szCs w:val="18"/>
                <w:lang w:eastAsia="nl-NL"/>
              </w:rPr>
            </w:pPr>
            <w:r w:rsidRPr="005F055E">
              <w:rPr>
                <w:szCs w:val="18"/>
                <w:lang w:eastAsia="nl-NL"/>
              </w:rPr>
              <w:t>Zorg voor zintuiglijk gehandicapten</w:t>
            </w:r>
          </w:p>
        </w:tc>
        <w:tc>
          <w:tcPr>
            <w:tcW w:w="845" w:type="dxa"/>
            <w:tcBorders>
              <w:top w:val="nil"/>
              <w:left w:val="nil"/>
              <w:bottom w:val="single" w:color="auto" w:sz="4" w:space="0"/>
              <w:right w:val="single" w:color="auto" w:sz="4" w:space="0"/>
            </w:tcBorders>
            <w:noWrap/>
            <w:vAlign w:val="bottom"/>
            <w:hideMark/>
          </w:tcPr>
          <w:p w:rsidRPr="005F055E" w:rsidR="008D2F23" w:rsidP="00180EEB" w:rsidRDefault="008D2F23" w14:paraId="4FAA9240" w14:textId="77777777">
            <w:pPr>
              <w:suppressAutoHyphens/>
              <w:spacing w:after="0" w:line="240" w:lineRule="atLeast"/>
              <w:rPr>
                <w:szCs w:val="18"/>
                <w:lang w:eastAsia="nl-NL"/>
              </w:rPr>
            </w:pPr>
            <w:r w:rsidRPr="005F055E">
              <w:rPr>
                <w:szCs w:val="18"/>
                <w:lang w:eastAsia="nl-NL"/>
              </w:rPr>
              <w:t>6</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5DB990BE" w14:textId="77777777">
            <w:pPr>
              <w:suppressAutoHyphens/>
              <w:spacing w:after="0" w:line="240" w:lineRule="atLeast"/>
              <w:rPr>
                <w:szCs w:val="18"/>
                <w:lang w:eastAsia="nl-NL"/>
              </w:rPr>
            </w:pPr>
            <w:r w:rsidRPr="005F055E">
              <w:rPr>
                <w:szCs w:val="18"/>
                <w:lang w:eastAsia="nl-NL"/>
              </w:rPr>
              <w:t>7</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32F2ADA7" w14:textId="77777777">
            <w:pPr>
              <w:suppressAutoHyphens/>
              <w:spacing w:after="0" w:line="240" w:lineRule="atLeast"/>
              <w:rPr>
                <w:szCs w:val="18"/>
                <w:lang w:eastAsia="nl-NL"/>
              </w:rPr>
            </w:pPr>
            <w:r w:rsidRPr="005F055E">
              <w:rPr>
                <w:szCs w:val="18"/>
                <w:lang w:eastAsia="nl-NL"/>
              </w:rPr>
              <w:t>7</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22FCB756" w14:textId="77777777">
            <w:pPr>
              <w:suppressAutoHyphens/>
              <w:spacing w:after="0" w:line="240" w:lineRule="atLeast"/>
              <w:rPr>
                <w:szCs w:val="18"/>
                <w:lang w:eastAsia="nl-NL"/>
              </w:rPr>
            </w:pPr>
            <w:r w:rsidRPr="005F055E">
              <w:rPr>
                <w:szCs w:val="18"/>
                <w:lang w:eastAsia="nl-NL"/>
              </w:rPr>
              <w:t>7</w:t>
            </w:r>
          </w:p>
        </w:tc>
      </w:tr>
      <w:tr w:rsidRPr="005F055E" w:rsidR="008D2F23" w:rsidTr="005E2643" w14:paraId="4823EC4D"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5F055E" w:rsidR="008D2F23" w:rsidP="00180EEB" w:rsidRDefault="008D2F23" w14:paraId="573B2F1D" w14:textId="77777777">
            <w:pPr>
              <w:suppressAutoHyphens/>
              <w:spacing w:after="0" w:line="240" w:lineRule="atLeast"/>
              <w:rPr>
                <w:szCs w:val="18"/>
                <w:lang w:eastAsia="nl-NL"/>
              </w:rPr>
            </w:pPr>
            <w:r w:rsidRPr="005F055E">
              <w:rPr>
                <w:szCs w:val="18"/>
                <w:lang w:eastAsia="nl-NL"/>
              </w:rPr>
              <w:t>Paramedische zorg</w:t>
            </w:r>
          </w:p>
        </w:tc>
        <w:tc>
          <w:tcPr>
            <w:tcW w:w="845" w:type="dxa"/>
            <w:tcBorders>
              <w:top w:val="nil"/>
              <w:left w:val="nil"/>
              <w:bottom w:val="single" w:color="auto" w:sz="4" w:space="0"/>
              <w:right w:val="single" w:color="auto" w:sz="4" w:space="0"/>
            </w:tcBorders>
            <w:noWrap/>
            <w:vAlign w:val="bottom"/>
            <w:hideMark/>
          </w:tcPr>
          <w:p w:rsidRPr="005F055E" w:rsidR="008D2F23" w:rsidP="00180EEB" w:rsidRDefault="008D2F23" w14:paraId="148B5543" w14:textId="77777777">
            <w:pPr>
              <w:suppressAutoHyphens/>
              <w:spacing w:after="0" w:line="240" w:lineRule="atLeast"/>
              <w:rPr>
                <w:szCs w:val="18"/>
                <w:lang w:eastAsia="nl-NL"/>
              </w:rPr>
            </w:pPr>
            <w:r w:rsidRPr="005F055E">
              <w:rPr>
                <w:szCs w:val="18"/>
                <w:lang w:eastAsia="nl-NL"/>
              </w:rPr>
              <w:t>29</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4052AA21" w14:textId="77777777">
            <w:pPr>
              <w:suppressAutoHyphens/>
              <w:spacing w:after="0" w:line="240" w:lineRule="atLeast"/>
              <w:rPr>
                <w:szCs w:val="18"/>
                <w:lang w:eastAsia="nl-NL"/>
              </w:rPr>
            </w:pPr>
            <w:r w:rsidRPr="005F055E">
              <w:rPr>
                <w:szCs w:val="18"/>
                <w:lang w:eastAsia="nl-NL"/>
              </w:rPr>
              <w:t>33</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3E559612" w14:textId="77777777">
            <w:pPr>
              <w:suppressAutoHyphens/>
              <w:spacing w:after="0" w:line="240" w:lineRule="atLeast"/>
              <w:rPr>
                <w:szCs w:val="18"/>
                <w:lang w:eastAsia="nl-NL"/>
              </w:rPr>
            </w:pPr>
            <w:r w:rsidRPr="005F055E">
              <w:rPr>
                <w:szCs w:val="18"/>
                <w:lang w:eastAsia="nl-NL"/>
              </w:rPr>
              <w:t>33</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746B0175" w14:textId="77777777">
            <w:pPr>
              <w:suppressAutoHyphens/>
              <w:spacing w:after="0" w:line="240" w:lineRule="atLeast"/>
              <w:rPr>
                <w:szCs w:val="18"/>
                <w:lang w:eastAsia="nl-NL"/>
              </w:rPr>
            </w:pPr>
            <w:r w:rsidRPr="005F055E">
              <w:rPr>
                <w:szCs w:val="18"/>
                <w:lang w:eastAsia="nl-NL"/>
              </w:rPr>
              <w:t>33</w:t>
            </w:r>
          </w:p>
        </w:tc>
      </w:tr>
      <w:tr w:rsidRPr="005F055E" w:rsidR="008D2F23" w:rsidTr="005E2643" w14:paraId="0C88D76C"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5F055E" w:rsidR="008D2F23" w:rsidP="00180EEB" w:rsidRDefault="008D2F23" w14:paraId="252D171F" w14:textId="77777777">
            <w:pPr>
              <w:suppressAutoHyphens/>
              <w:spacing w:after="0" w:line="240" w:lineRule="atLeast"/>
              <w:rPr>
                <w:szCs w:val="18"/>
                <w:lang w:eastAsia="nl-NL"/>
              </w:rPr>
            </w:pPr>
            <w:r w:rsidRPr="005F055E">
              <w:rPr>
                <w:szCs w:val="18"/>
                <w:lang w:eastAsia="nl-NL"/>
              </w:rPr>
              <w:t xml:space="preserve">Overig curatieve zorg </w:t>
            </w:r>
            <w:proofErr w:type="spellStart"/>
            <w:r w:rsidRPr="005F055E">
              <w:rPr>
                <w:szCs w:val="18"/>
                <w:lang w:eastAsia="nl-NL"/>
              </w:rPr>
              <w:t>Zvw</w:t>
            </w:r>
            <w:proofErr w:type="spellEnd"/>
          </w:p>
        </w:tc>
        <w:tc>
          <w:tcPr>
            <w:tcW w:w="845" w:type="dxa"/>
            <w:tcBorders>
              <w:top w:val="nil"/>
              <w:left w:val="nil"/>
              <w:bottom w:val="single" w:color="auto" w:sz="4" w:space="0"/>
              <w:right w:val="single" w:color="auto" w:sz="4" w:space="0"/>
            </w:tcBorders>
            <w:noWrap/>
            <w:vAlign w:val="bottom"/>
            <w:hideMark/>
          </w:tcPr>
          <w:p w:rsidRPr="005F055E" w:rsidR="008D2F23" w:rsidP="00180EEB" w:rsidRDefault="008D2F23" w14:paraId="4DDCCF3C" w14:textId="77777777">
            <w:pPr>
              <w:suppressAutoHyphens/>
              <w:spacing w:after="0" w:line="240" w:lineRule="atLeast"/>
              <w:rPr>
                <w:szCs w:val="18"/>
                <w:lang w:eastAsia="nl-NL"/>
              </w:rPr>
            </w:pPr>
            <w:r w:rsidRPr="005F055E">
              <w:rPr>
                <w:szCs w:val="18"/>
                <w:lang w:eastAsia="nl-NL"/>
              </w:rPr>
              <w:t>21</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2B071BDF" w14:textId="77777777">
            <w:pPr>
              <w:suppressAutoHyphens/>
              <w:spacing w:after="0" w:line="240" w:lineRule="atLeast"/>
              <w:rPr>
                <w:szCs w:val="18"/>
                <w:lang w:eastAsia="nl-NL"/>
              </w:rPr>
            </w:pPr>
            <w:r w:rsidRPr="005F055E">
              <w:rPr>
                <w:szCs w:val="18"/>
                <w:lang w:eastAsia="nl-NL"/>
              </w:rPr>
              <w:t>24</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4AC50324" w14:textId="77777777">
            <w:pPr>
              <w:suppressAutoHyphens/>
              <w:spacing w:after="0" w:line="240" w:lineRule="atLeast"/>
              <w:rPr>
                <w:szCs w:val="18"/>
                <w:lang w:eastAsia="nl-NL"/>
              </w:rPr>
            </w:pPr>
            <w:r w:rsidRPr="005F055E">
              <w:rPr>
                <w:szCs w:val="18"/>
                <w:lang w:eastAsia="nl-NL"/>
              </w:rPr>
              <w:t>24</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031660B6" w14:textId="77777777">
            <w:pPr>
              <w:suppressAutoHyphens/>
              <w:spacing w:after="0" w:line="240" w:lineRule="atLeast"/>
              <w:rPr>
                <w:szCs w:val="18"/>
                <w:lang w:eastAsia="nl-NL"/>
              </w:rPr>
            </w:pPr>
            <w:r w:rsidRPr="005F055E">
              <w:rPr>
                <w:szCs w:val="18"/>
                <w:lang w:eastAsia="nl-NL"/>
              </w:rPr>
              <w:t>24</w:t>
            </w:r>
          </w:p>
        </w:tc>
      </w:tr>
      <w:tr w:rsidRPr="005F055E" w:rsidR="008D2F23" w:rsidTr="005E2643" w14:paraId="74B7E118"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5F055E" w:rsidR="008D2F23" w:rsidP="00180EEB" w:rsidRDefault="008D2F23" w14:paraId="78BD11A4" w14:textId="77777777">
            <w:pPr>
              <w:suppressAutoHyphens/>
              <w:spacing w:after="0" w:line="240" w:lineRule="atLeast"/>
              <w:rPr>
                <w:szCs w:val="18"/>
                <w:lang w:eastAsia="nl-NL"/>
              </w:rPr>
            </w:pPr>
            <w:r w:rsidRPr="005F055E">
              <w:rPr>
                <w:szCs w:val="18"/>
                <w:lang w:eastAsia="nl-NL"/>
              </w:rPr>
              <w:t>Ambulancezorg</w:t>
            </w:r>
          </w:p>
        </w:tc>
        <w:tc>
          <w:tcPr>
            <w:tcW w:w="845" w:type="dxa"/>
            <w:tcBorders>
              <w:top w:val="nil"/>
              <w:left w:val="nil"/>
              <w:bottom w:val="single" w:color="auto" w:sz="4" w:space="0"/>
              <w:right w:val="single" w:color="auto" w:sz="4" w:space="0"/>
            </w:tcBorders>
            <w:noWrap/>
            <w:vAlign w:val="bottom"/>
            <w:hideMark/>
          </w:tcPr>
          <w:p w:rsidRPr="005F055E" w:rsidR="008D2F23" w:rsidP="00180EEB" w:rsidRDefault="008D2F23" w14:paraId="085AB563" w14:textId="77777777">
            <w:pPr>
              <w:suppressAutoHyphens/>
              <w:spacing w:after="0" w:line="240" w:lineRule="atLeast"/>
              <w:rPr>
                <w:szCs w:val="18"/>
                <w:lang w:eastAsia="nl-NL"/>
              </w:rPr>
            </w:pPr>
            <w:r w:rsidRPr="005F055E">
              <w:rPr>
                <w:szCs w:val="18"/>
                <w:lang w:eastAsia="nl-NL"/>
              </w:rPr>
              <w:t>25</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1AED420D" w14:textId="77777777">
            <w:pPr>
              <w:suppressAutoHyphens/>
              <w:spacing w:after="0" w:line="240" w:lineRule="atLeast"/>
              <w:rPr>
                <w:szCs w:val="18"/>
                <w:lang w:eastAsia="nl-NL"/>
              </w:rPr>
            </w:pPr>
            <w:r w:rsidRPr="005F055E">
              <w:rPr>
                <w:szCs w:val="18"/>
                <w:lang w:eastAsia="nl-NL"/>
              </w:rPr>
              <w:t>28</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1B0BB136" w14:textId="77777777">
            <w:pPr>
              <w:suppressAutoHyphens/>
              <w:spacing w:after="0" w:line="240" w:lineRule="atLeast"/>
              <w:rPr>
                <w:szCs w:val="18"/>
                <w:lang w:eastAsia="nl-NL"/>
              </w:rPr>
            </w:pPr>
            <w:r w:rsidRPr="005F055E">
              <w:rPr>
                <w:szCs w:val="18"/>
                <w:lang w:eastAsia="nl-NL"/>
              </w:rPr>
              <w:t>28</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2A9A18D8" w14:textId="77777777">
            <w:pPr>
              <w:suppressAutoHyphens/>
              <w:spacing w:after="0" w:line="240" w:lineRule="atLeast"/>
              <w:rPr>
                <w:szCs w:val="18"/>
                <w:lang w:eastAsia="nl-NL"/>
              </w:rPr>
            </w:pPr>
            <w:r w:rsidRPr="005F055E">
              <w:rPr>
                <w:szCs w:val="18"/>
                <w:lang w:eastAsia="nl-NL"/>
              </w:rPr>
              <w:t>28</w:t>
            </w:r>
          </w:p>
        </w:tc>
      </w:tr>
      <w:tr w:rsidRPr="005F055E" w:rsidR="008D2F23" w:rsidTr="005E2643" w14:paraId="3F4407D8"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5F055E" w:rsidR="008D2F23" w:rsidP="00180EEB" w:rsidRDefault="008D2F23" w14:paraId="4D4352A0" w14:textId="77777777">
            <w:pPr>
              <w:suppressAutoHyphens/>
              <w:spacing w:after="0" w:line="240" w:lineRule="atLeast"/>
              <w:rPr>
                <w:szCs w:val="18"/>
                <w:lang w:eastAsia="nl-NL"/>
              </w:rPr>
            </w:pPr>
            <w:r w:rsidRPr="005F055E">
              <w:rPr>
                <w:szCs w:val="18"/>
                <w:lang w:eastAsia="nl-NL"/>
              </w:rPr>
              <w:t>Overig ziekenvervoer</w:t>
            </w:r>
          </w:p>
        </w:tc>
        <w:tc>
          <w:tcPr>
            <w:tcW w:w="845" w:type="dxa"/>
            <w:tcBorders>
              <w:top w:val="nil"/>
              <w:left w:val="nil"/>
              <w:bottom w:val="single" w:color="auto" w:sz="4" w:space="0"/>
              <w:right w:val="single" w:color="auto" w:sz="4" w:space="0"/>
            </w:tcBorders>
            <w:noWrap/>
            <w:vAlign w:val="bottom"/>
            <w:hideMark/>
          </w:tcPr>
          <w:p w:rsidRPr="005F055E" w:rsidR="008D2F23" w:rsidP="00180EEB" w:rsidRDefault="008D2F23" w14:paraId="2AC5962C" w14:textId="77777777">
            <w:pPr>
              <w:suppressAutoHyphens/>
              <w:spacing w:after="0" w:line="240" w:lineRule="atLeast"/>
              <w:rPr>
                <w:szCs w:val="18"/>
                <w:lang w:eastAsia="nl-NL"/>
              </w:rPr>
            </w:pPr>
            <w:r w:rsidRPr="005F055E">
              <w:rPr>
                <w:szCs w:val="18"/>
                <w:lang w:eastAsia="nl-NL"/>
              </w:rPr>
              <w:t>3</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791EEBD9" w14:textId="77777777">
            <w:pPr>
              <w:suppressAutoHyphens/>
              <w:spacing w:after="0" w:line="240" w:lineRule="atLeast"/>
              <w:rPr>
                <w:szCs w:val="18"/>
                <w:lang w:eastAsia="nl-NL"/>
              </w:rPr>
            </w:pPr>
            <w:r w:rsidRPr="005F055E">
              <w:rPr>
                <w:szCs w:val="18"/>
                <w:lang w:eastAsia="nl-NL"/>
              </w:rPr>
              <w:t>4</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324AEA2E" w14:textId="77777777">
            <w:pPr>
              <w:suppressAutoHyphens/>
              <w:spacing w:after="0" w:line="240" w:lineRule="atLeast"/>
              <w:rPr>
                <w:szCs w:val="18"/>
                <w:lang w:eastAsia="nl-NL"/>
              </w:rPr>
            </w:pPr>
            <w:r w:rsidRPr="005F055E">
              <w:rPr>
                <w:szCs w:val="18"/>
                <w:lang w:eastAsia="nl-NL"/>
              </w:rPr>
              <w:t>4</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7F06B468" w14:textId="77777777">
            <w:pPr>
              <w:suppressAutoHyphens/>
              <w:spacing w:after="0" w:line="240" w:lineRule="atLeast"/>
              <w:rPr>
                <w:szCs w:val="18"/>
                <w:lang w:eastAsia="nl-NL"/>
              </w:rPr>
            </w:pPr>
            <w:r w:rsidRPr="005F055E">
              <w:rPr>
                <w:szCs w:val="18"/>
                <w:lang w:eastAsia="nl-NL"/>
              </w:rPr>
              <w:t>4</w:t>
            </w:r>
          </w:p>
        </w:tc>
      </w:tr>
      <w:tr w:rsidRPr="005F055E" w:rsidR="008D2F23" w:rsidTr="005E2643" w14:paraId="367E0E6E"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5F055E" w:rsidR="008D2F23" w:rsidP="00180EEB" w:rsidRDefault="008D2F23" w14:paraId="2FEDD24B" w14:textId="77777777">
            <w:pPr>
              <w:suppressAutoHyphens/>
              <w:spacing w:after="0" w:line="240" w:lineRule="atLeast"/>
              <w:rPr>
                <w:szCs w:val="18"/>
                <w:lang w:eastAsia="nl-NL"/>
              </w:rPr>
            </w:pPr>
            <w:r w:rsidRPr="005F055E">
              <w:rPr>
                <w:szCs w:val="18"/>
                <w:lang w:eastAsia="nl-NL"/>
              </w:rPr>
              <w:t>Apotheekzorg</w:t>
            </w:r>
          </w:p>
        </w:tc>
        <w:tc>
          <w:tcPr>
            <w:tcW w:w="845" w:type="dxa"/>
            <w:tcBorders>
              <w:top w:val="nil"/>
              <w:left w:val="nil"/>
              <w:bottom w:val="single" w:color="auto" w:sz="4" w:space="0"/>
              <w:right w:val="single" w:color="auto" w:sz="4" w:space="0"/>
            </w:tcBorders>
            <w:noWrap/>
            <w:vAlign w:val="bottom"/>
            <w:hideMark/>
          </w:tcPr>
          <w:p w:rsidRPr="005F055E" w:rsidR="008D2F23" w:rsidP="00180EEB" w:rsidRDefault="008D2F23" w14:paraId="51A96581" w14:textId="77777777">
            <w:pPr>
              <w:suppressAutoHyphens/>
              <w:spacing w:after="0" w:line="240" w:lineRule="atLeast"/>
              <w:rPr>
                <w:szCs w:val="18"/>
                <w:lang w:eastAsia="nl-NL"/>
              </w:rPr>
            </w:pPr>
            <w:r w:rsidRPr="005F055E">
              <w:rPr>
                <w:szCs w:val="18"/>
                <w:lang w:eastAsia="nl-NL"/>
              </w:rPr>
              <w:t>152</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6AA7F308" w14:textId="77777777">
            <w:pPr>
              <w:suppressAutoHyphens/>
              <w:spacing w:after="0" w:line="240" w:lineRule="atLeast"/>
              <w:rPr>
                <w:szCs w:val="18"/>
                <w:lang w:eastAsia="nl-NL"/>
              </w:rPr>
            </w:pPr>
            <w:r w:rsidRPr="005F055E">
              <w:rPr>
                <w:szCs w:val="18"/>
                <w:lang w:eastAsia="nl-NL"/>
              </w:rPr>
              <w:t>172</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48236CB2" w14:textId="77777777">
            <w:pPr>
              <w:suppressAutoHyphens/>
              <w:spacing w:after="0" w:line="240" w:lineRule="atLeast"/>
              <w:rPr>
                <w:szCs w:val="18"/>
                <w:lang w:eastAsia="nl-NL"/>
              </w:rPr>
            </w:pPr>
            <w:r w:rsidRPr="005F055E">
              <w:rPr>
                <w:szCs w:val="18"/>
                <w:lang w:eastAsia="nl-NL"/>
              </w:rPr>
              <w:t>172</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120DCCFF" w14:textId="77777777">
            <w:pPr>
              <w:suppressAutoHyphens/>
              <w:spacing w:after="0" w:line="240" w:lineRule="atLeast"/>
              <w:rPr>
                <w:szCs w:val="18"/>
                <w:lang w:eastAsia="nl-NL"/>
              </w:rPr>
            </w:pPr>
            <w:r w:rsidRPr="005F055E">
              <w:rPr>
                <w:szCs w:val="18"/>
                <w:lang w:eastAsia="nl-NL"/>
              </w:rPr>
              <w:t>172</w:t>
            </w:r>
          </w:p>
        </w:tc>
      </w:tr>
      <w:tr w:rsidRPr="005F055E" w:rsidR="008D2F23" w:rsidTr="005E2643" w14:paraId="0A29823A"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5F055E" w:rsidR="008D2F23" w:rsidP="00180EEB" w:rsidRDefault="008D2F23" w14:paraId="1CFC69DB" w14:textId="77777777">
            <w:pPr>
              <w:suppressAutoHyphens/>
              <w:spacing w:after="0" w:line="240" w:lineRule="atLeast"/>
              <w:rPr>
                <w:szCs w:val="18"/>
                <w:lang w:eastAsia="nl-NL"/>
              </w:rPr>
            </w:pPr>
            <w:r w:rsidRPr="005F055E">
              <w:rPr>
                <w:szCs w:val="18"/>
                <w:lang w:eastAsia="nl-NL"/>
              </w:rPr>
              <w:t>Hulpmiddelen</w:t>
            </w:r>
          </w:p>
        </w:tc>
        <w:tc>
          <w:tcPr>
            <w:tcW w:w="845" w:type="dxa"/>
            <w:tcBorders>
              <w:top w:val="nil"/>
              <w:left w:val="nil"/>
              <w:bottom w:val="single" w:color="auto" w:sz="4" w:space="0"/>
              <w:right w:val="single" w:color="auto" w:sz="4" w:space="0"/>
            </w:tcBorders>
            <w:noWrap/>
            <w:vAlign w:val="bottom"/>
            <w:hideMark/>
          </w:tcPr>
          <w:p w:rsidRPr="005F055E" w:rsidR="008D2F23" w:rsidP="00180EEB" w:rsidRDefault="008D2F23" w14:paraId="1A75AC82" w14:textId="77777777">
            <w:pPr>
              <w:suppressAutoHyphens/>
              <w:spacing w:after="0" w:line="240" w:lineRule="atLeast"/>
              <w:rPr>
                <w:szCs w:val="18"/>
                <w:lang w:eastAsia="nl-NL"/>
              </w:rPr>
            </w:pPr>
            <w:r w:rsidRPr="005F055E">
              <w:rPr>
                <w:szCs w:val="18"/>
                <w:lang w:eastAsia="nl-NL"/>
              </w:rPr>
              <w:t>53</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2F67C8AD" w14:textId="77777777">
            <w:pPr>
              <w:suppressAutoHyphens/>
              <w:spacing w:after="0" w:line="240" w:lineRule="atLeast"/>
              <w:rPr>
                <w:szCs w:val="18"/>
                <w:lang w:eastAsia="nl-NL"/>
              </w:rPr>
            </w:pPr>
            <w:r w:rsidRPr="005F055E">
              <w:rPr>
                <w:szCs w:val="18"/>
                <w:lang w:eastAsia="nl-NL"/>
              </w:rPr>
              <w:t>60</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3B8A5955" w14:textId="77777777">
            <w:pPr>
              <w:suppressAutoHyphens/>
              <w:spacing w:after="0" w:line="240" w:lineRule="atLeast"/>
              <w:rPr>
                <w:szCs w:val="18"/>
                <w:lang w:eastAsia="nl-NL"/>
              </w:rPr>
            </w:pPr>
            <w:r w:rsidRPr="005F055E">
              <w:rPr>
                <w:szCs w:val="18"/>
                <w:lang w:eastAsia="nl-NL"/>
              </w:rPr>
              <w:t>60</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4591EC78" w14:textId="77777777">
            <w:pPr>
              <w:suppressAutoHyphens/>
              <w:spacing w:after="0" w:line="240" w:lineRule="atLeast"/>
              <w:rPr>
                <w:szCs w:val="18"/>
                <w:lang w:eastAsia="nl-NL"/>
              </w:rPr>
            </w:pPr>
            <w:r w:rsidRPr="005F055E">
              <w:rPr>
                <w:szCs w:val="18"/>
                <w:lang w:eastAsia="nl-NL"/>
              </w:rPr>
              <w:t>60</w:t>
            </w:r>
          </w:p>
        </w:tc>
      </w:tr>
      <w:tr w:rsidRPr="005F055E" w:rsidR="008D2F23" w:rsidTr="005E2643" w14:paraId="5FE16CE0"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5F055E" w:rsidR="008D2F23" w:rsidP="00180EEB" w:rsidRDefault="008D2F23" w14:paraId="75759B3F" w14:textId="77777777">
            <w:pPr>
              <w:suppressAutoHyphens/>
              <w:spacing w:after="0" w:line="240" w:lineRule="atLeast"/>
              <w:rPr>
                <w:szCs w:val="18"/>
                <w:lang w:eastAsia="nl-NL"/>
              </w:rPr>
            </w:pPr>
            <w:r w:rsidRPr="005F055E">
              <w:rPr>
                <w:szCs w:val="18"/>
                <w:lang w:eastAsia="nl-NL"/>
              </w:rPr>
              <w:t>Grensoverschrijdende zorg (in MPB)*</w:t>
            </w:r>
          </w:p>
        </w:tc>
        <w:tc>
          <w:tcPr>
            <w:tcW w:w="845" w:type="dxa"/>
            <w:tcBorders>
              <w:top w:val="nil"/>
              <w:left w:val="nil"/>
              <w:bottom w:val="single" w:color="auto" w:sz="4" w:space="0"/>
              <w:right w:val="single" w:color="auto" w:sz="4" w:space="0"/>
            </w:tcBorders>
            <w:noWrap/>
            <w:vAlign w:val="bottom"/>
            <w:hideMark/>
          </w:tcPr>
          <w:p w:rsidRPr="005F055E" w:rsidR="008D2F23" w:rsidP="00180EEB" w:rsidRDefault="008D2F23" w14:paraId="3BD1B839" w14:textId="77777777">
            <w:pPr>
              <w:suppressAutoHyphens/>
              <w:spacing w:after="0" w:line="240" w:lineRule="atLeast"/>
              <w:rPr>
                <w:szCs w:val="18"/>
                <w:lang w:eastAsia="nl-NL"/>
              </w:rPr>
            </w:pPr>
            <w:r w:rsidRPr="005F055E">
              <w:rPr>
                <w:szCs w:val="18"/>
                <w:lang w:eastAsia="nl-NL"/>
              </w:rPr>
              <w:t>14</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779531C1" w14:textId="77777777">
            <w:pPr>
              <w:suppressAutoHyphens/>
              <w:spacing w:after="0" w:line="240" w:lineRule="atLeast"/>
              <w:rPr>
                <w:szCs w:val="18"/>
                <w:lang w:eastAsia="nl-NL"/>
              </w:rPr>
            </w:pPr>
            <w:r w:rsidRPr="005F055E">
              <w:rPr>
                <w:szCs w:val="18"/>
                <w:lang w:eastAsia="nl-NL"/>
              </w:rPr>
              <w:t>16</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31A2AB28" w14:textId="77777777">
            <w:pPr>
              <w:suppressAutoHyphens/>
              <w:spacing w:after="0" w:line="240" w:lineRule="atLeast"/>
              <w:rPr>
                <w:szCs w:val="18"/>
                <w:lang w:eastAsia="nl-NL"/>
              </w:rPr>
            </w:pPr>
            <w:r w:rsidRPr="005F055E">
              <w:rPr>
                <w:szCs w:val="18"/>
                <w:lang w:eastAsia="nl-NL"/>
              </w:rPr>
              <w:t>16</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488CE2B1" w14:textId="77777777">
            <w:pPr>
              <w:suppressAutoHyphens/>
              <w:spacing w:after="0" w:line="240" w:lineRule="atLeast"/>
              <w:rPr>
                <w:szCs w:val="18"/>
                <w:lang w:eastAsia="nl-NL"/>
              </w:rPr>
            </w:pPr>
            <w:r w:rsidRPr="005F055E">
              <w:rPr>
                <w:szCs w:val="18"/>
                <w:lang w:eastAsia="nl-NL"/>
              </w:rPr>
              <w:t>16</w:t>
            </w:r>
          </w:p>
        </w:tc>
      </w:tr>
      <w:tr w:rsidRPr="005F055E" w:rsidR="008D2F23" w:rsidTr="005E2643" w14:paraId="47761A2A"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5F055E" w:rsidR="008D2F23" w:rsidP="00180EEB" w:rsidRDefault="008D2F23" w14:paraId="661ABFA3" w14:textId="77777777">
            <w:pPr>
              <w:suppressAutoHyphens/>
              <w:spacing w:after="0" w:line="240" w:lineRule="atLeast"/>
              <w:rPr>
                <w:szCs w:val="18"/>
                <w:lang w:eastAsia="nl-NL"/>
              </w:rPr>
            </w:pPr>
            <w:r w:rsidRPr="005F055E">
              <w:rPr>
                <w:szCs w:val="18"/>
                <w:lang w:eastAsia="nl-NL"/>
              </w:rPr>
              <w:t>Geriatrische revalidatiezorg/Eerstelijnsverblijf</w:t>
            </w:r>
          </w:p>
        </w:tc>
        <w:tc>
          <w:tcPr>
            <w:tcW w:w="845" w:type="dxa"/>
            <w:tcBorders>
              <w:top w:val="nil"/>
              <w:left w:val="nil"/>
              <w:bottom w:val="single" w:color="auto" w:sz="4" w:space="0"/>
              <w:right w:val="single" w:color="auto" w:sz="4" w:space="0"/>
            </w:tcBorders>
            <w:noWrap/>
            <w:vAlign w:val="bottom"/>
            <w:hideMark/>
          </w:tcPr>
          <w:p w:rsidRPr="005F055E" w:rsidR="008D2F23" w:rsidP="00180EEB" w:rsidRDefault="008D2F23" w14:paraId="2B36D07E" w14:textId="77777777">
            <w:pPr>
              <w:suppressAutoHyphens/>
              <w:spacing w:after="0" w:line="240" w:lineRule="atLeast"/>
              <w:rPr>
                <w:szCs w:val="18"/>
                <w:lang w:eastAsia="nl-NL"/>
              </w:rPr>
            </w:pPr>
            <w:r w:rsidRPr="005F055E">
              <w:rPr>
                <w:szCs w:val="18"/>
                <w:lang w:eastAsia="nl-NL"/>
              </w:rPr>
              <w:t>36</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70E94A69" w14:textId="77777777">
            <w:pPr>
              <w:suppressAutoHyphens/>
              <w:spacing w:after="0" w:line="240" w:lineRule="atLeast"/>
              <w:rPr>
                <w:szCs w:val="18"/>
                <w:lang w:eastAsia="nl-NL"/>
              </w:rPr>
            </w:pPr>
            <w:r w:rsidRPr="005F055E">
              <w:rPr>
                <w:szCs w:val="18"/>
                <w:lang w:eastAsia="nl-NL"/>
              </w:rPr>
              <w:t>41</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40D899C7" w14:textId="77777777">
            <w:pPr>
              <w:suppressAutoHyphens/>
              <w:spacing w:after="0" w:line="240" w:lineRule="atLeast"/>
              <w:rPr>
                <w:szCs w:val="18"/>
                <w:lang w:eastAsia="nl-NL"/>
              </w:rPr>
            </w:pPr>
            <w:r w:rsidRPr="005F055E">
              <w:rPr>
                <w:szCs w:val="18"/>
                <w:lang w:eastAsia="nl-NL"/>
              </w:rPr>
              <w:t>41</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5090360B" w14:textId="77777777">
            <w:pPr>
              <w:suppressAutoHyphens/>
              <w:spacing w:after="0" w:line="240" w:lineRule="atLeast"/>
              <w:rPr>
                <w:szCs w:val="18"/>
                <w:lang w:eastAsia="nl-NL"/>
              </w:rPr>
            </w:pPr>
            <w:r w:rsidRPr="005F055E">
              <w:rPr>
                <w:szCs w:val="18"/>
                <w:lang w:eastAsia="nl-NL"/>
              </w:rPr>
              <w:t>41</w:t>
            </w:r>
          </w:p>
        </w:tc>
      </w:tr>
      <w:tr w:rsidRPr="005F055E" w:rsidR="008D2F23" w:rsidTr="005E2643" w14:paraId="06158002"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5F055E" w:rsidR="008D2F23" w:rsidP="00180EEB" w:rsidRDefault="008D2F23" w14:paraId="18D692C1" w14:textId="77777777">
            <w:pPr>
              <w:suppressAutoHyphens/>
              <w:spacing w:after="0" w:line="240" w:lineRule="atLeast"/>
              <w:rPr>
                <w:b/>
                <w:bCs/>
                <w:szCs w:val="18"/>
                <w:lang w:eastAsia="nl-NL"/>
              </w:rPr>
            </w:pPr>
            <w:r w:rsidRPr="005F055E">
              <w:rPr>
                <w:b/>
                <w:bCs/>
                <w:szCs w:val="18"/>
                <w:lang w:eastAsia="nl-NL"/>
              </w:rPr>
              <w:t>TOTAAL</w:t>
            </w:r>
          </w:p>
        </w:tc>
        <w:tc>
          <w:tcPr>
            <w:tcW w:w="845" w:type="dxa"/>
            <w:tcBorders>
              <w:top w:val="nil"/>
              <w:left w:val="nil"/>
              <w:bottom w:val="single" w:color="auto" w:sz="4" w:space="0"/>
              <w:right w:val="single" w:color="auto" w:sz="4" w:space="0"/>
            </w:tcBorders>
            <w:noWrap/>
            <w:vAlign w:val="bottom"/>
            <w:hideMark/>
          </w:tcPr>
          <w:p w:rsidRPr="005F055E" w:rsidR="008D2F23" w:rsidP="00180EEB" w:rsidRDefault="008D2F23" w14:paraId="7AC8B340" w14:textId="77777777">
            <w:pPr>
              <w:suppressAutoHyphens/>
              <w:spacing w:after="0" w:line="240" w:lineRule="atLeast"/>
              <w:rPr>
                <w:b/>
                <w:bCs/>
                <w:szCs w:val="18"/>
                <w:lang w:eastAsia="nl-NL"/>
              </w:rPr>
            </w:pPr>
            <w:r w:rsidRPr="005F055E">
              <w:rPr>
                <w:b/>
                <w:bCs/>
                <w:szCs w:val="18"/>
                <w:lang w:eastAsia="nl-NL"/>
              </w:rPr>
              <w:t>365</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0091A6D9" w14:textId="77777777">
            <w:pPr>
              <w:suppressAutoHyphens/>
              <w:spacing w:after="0" w:line="240" w:lineRule="atLeast"/>
              <w:rPr>
                <w:b/>
                <w:bCs/>
                <w:szCs w:val="18"/>
                <w:lang w:eastAsia="nl-NL"/>
              </w:rPr>
            </w:pPr>
            <w:r w:rsidRPr="005F055E">
              <w:rPr>
                <w:b/>
                <w:bCs/>
                <w:szCs w:val="18"/>
                <w:lang w:eastAsia="nl-NL"/>
              </w:rPr>
              <w:t>411</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6EBA8B66" w14:textId="77777777">
            <w:pPr>
              <w:suppressAutoHyphens/>
              <w:spacing w:after="0" w:line="240" w:lineRule="atLeast"/>
              <w:rPr>
                <w:b/>
                <w:bCs/>
                <w:szCs w:val="18"/>
                <w:lang w:eastAsia="nl-NL"/>
              </w:rPr>
            </w:pPr>
            <w:r w:rsidRPr="005F055E">
              <w:rPr>
                <w:b/>
                <w:bCs/>
                <w:szCs w:val="18"/>
                <w:lang w:eastAsia="nl-NL"/>
              </w:rPr>
              <w:t>411</w:t>
            </w:r>
          </w:p>
        </w:tc>
        <w:tc>
          <w:tcPr>
            <w:tcW w:w="1038" w:type="dxa"/>
            <w:tcBorders>
              <w:top w:val="nil"/>
              <w:left w:val="nil"/>
              <w:bottom w:val="single" w:color="auto" w:sz="4" w:space="0"/>
              <w:right w:val="single" w:color="auto" w:sz="4" w:space="0"/>
            </w:tcBorders>
            <w:noWrap/>
            <w:vAlign w:val="bottom"/>
            <w:hideMark/>
          </w:tcPr>
          <w:p w:rsidRPr="005F055E" w:rsidR="008D2F23" w:rsidP="00180EEB" w:rsidRDefault="008D2F23" w14:paraId="0582CD95" w14:textId="77777777">
            <w:pPr>
              <w:suppressAutoHyphens/>
              <w:spacing w:after="0" w:line="240" w:lineRule="atLeast"/>
              <w:rPr>
                <w:b/>
                <w:bCs/>
                <w:szCs w:val="18"/>
                <w:lang w:eastAsia="nl-NL"/>
              </w:rPr>
            </w:pPr>
            <w:r w:rsidRPr="005F055E">
              <w:rPr>
                <w:b/>
                <w:bCs/>
                <w:szCs w:val="18"/>
                <w:lang w:eastAsia="nl-NL"/>
              </w:rPr>
              <w:t>411</w:t>
            </w:r>
          </w:p>
        </w:tc>
      </w:tr>
    </w:tbl>
    <w:p w:rsidRPr="005F055E" w:rsidR="00D535AF" w:rsidP="00180EEB" w:rsidRDefault="008D2F23" w14:paraId="2A16A8C5" w14:textId="7F9A2837">
      <w:pPr>
        <w:suppressAutoHyphens/>
        <w:spacing w:line="240" w:lineRule="atLeast"/>
        <w:rPr>
          <w:sz w:val="14"/>
          <w:szCs w:val="14"/>
          <w:lang w:eastAsia="nl-NL"/>
        </w:rPr>
      </w:pPr>
      <w:r w:rsidRPr="005F055E">
        <w:rPr>
          <w:sz w:val="14"/>
          <w:szCs w:val="14"/>
          <w:lang w:eastAsia="nl-NL"/>
        </w:rPr>
        <w:t>* Bedragen in prijspeil 2025</w:t>
      </w:r>
    </w:p>
    <w:p w:rsidRPr="005F055E" w:rsidR="008D2F23" w:rsidP="00180EEB" w:rsidRDefault="008D2F23" w14:paraId="716B40FD" w14:textId="77777777">
      <w:pPr>
        <w:suppressAutoHyphens/>
        <w:spacing w:line="240" w:lineRule="atLeast"/>
      </w:pPr>
    </w:p>
    <w:p w:rsidRPr="005F055E" w:rsidR="00D535AF" w:rsidP="00180EEB" w:rsidRDefault="003E7003" w14:paraId="2B7A1968" w14:textId="77777777">
      <w:pPr>
        <w:suppressAutoHyphens/>
      </w:pPr>
      <w:r w:rsidRPr="005F055E">
        <w:t>Vraag 467</w:t>
      </w:r>
    </w:p>
    <w:p w:rsidRPr="005F055E" w:rsidR="00D535AF" w:rsidP="00180EEB" w:rsidRDefault="003E7003" w14:paraId="5E0EF71E" w14:textId="77777777">
      <w:pPr>
        <w:suppressAutoHyphens/>
      </w:pPr>
      <w:r w:rsidRPr="005F055E">
        <w:t>Hoeveel mensen maken gebruik van zelfzorggeneesmiddelen?</w:t>
      </w:r>
    </w:p>
    <w:p w:rsidRPr="005F055E" w:rsidR="003E7003" w:rsidP="00180EEB" w:rsidRDefault="003E7003" w14:paraId="5C2FB879" w14:textId="1B065C48">
      <w:pPr>
        <w:suppressAutoHyphens/>
      </w:pPr>
      <w:r w:rsidRPr="005F055E">
        <w:t>Antwoord</w:t>
      </w:r>
    </w:p>
    <w:p w:rsidRPr="005F055E" w:rsidR="00CF4A75" w:rsidP="00180EEB" w:rsidRDefault="00CF4A75" w14:paraId="1F96214C" w14:textId="77777777">
      <w:pPr>
        <w:suppressAutoHyphens/>
        <w:rPr>
          <w:szCs w:val="18"/>
        </w:rPr>
      </w:pPr>
      <w:r w:rsidRPr="005F055E">
        <w:rPr>
          <w:szCs w:val="18"/>
        </w:rPr>
        <w:t xml:space="preserve">Het aantal unieke gebruikers van zelfzorggeneesmiddelen is niet bekend. Er waren volgens de GIP-databank in 2024 bijvoorbeeld 2,2 miljoen gebruikers van maagmiddelen die worden vergoed vanuit de Zorgverzekeringswet, en 1,9 miljoen gebruikers van pijnstillers/ontstekingsremmers, maar een deel zal dubbel geteld worden, omdat bij sommige pijnstillers/ontstekingsremmers ook maagmiddelen worden voorgeschreven. Hiernaast zijn er natuurlijk ook veel mensen die zelfzorggeneesmiddelen zelf kopen, bijvoorbeeld bij de drogist of supermarkt. Deze aantallen zijn niet centraal bekend. </w:t>
      </w:r>
    </w:p>
    <w:p w:rsidRPr="005F055E" w:rsidR="00D535AF" w:rsidP="00180EEB" w:rsidRDefault="00D535AF" w14:paraId="35670B64" w14:textId="77777777">
      <w:pPr>
        <w:suppressAutoHyphens/>
      </w:pPr>
    </w:p>
    <w:p w:rsidRPr="005F055E" w:rsidR="00D535AF" w:rsidP="00180EEB" w:rsidRDefault="003E7003" w14:paraId="2906AD08" w14:textId="77777777">
      <w:pPr>
        <w:suppressAutoHyphens/>
      </w:pPr>
      <w:r w:rsidRPr="005F055E">
        <w:t>Vraag 468</w:t>
      </w:r>
    </w:p>
    <w:p w:rsidRPr="005F055E" w:rsidR="00D535AF" w:rsidP="00180EEB" w:rsidRDefault="003E7003" w14:paraId="6B9639D2" w14:textId="77777777">
      <w:pPr>
        <w:suppressAutoHyphens/>
      </w:pPr>
      <w:r w:rsidRPr="005F055E">
        <w:t>Kan een overzicht gemaakt worden van alle zelfzorggeneesmiddelen?</w:t>
      </w:r>
    </w:p>
    <w:p w:rsidRPr="005F055E" w:rsidR="003E7003" w:rsidP="00180EEB" w:rsidRDefault="003E7003" w14:paraId="2DC4D359" w14:textId="3BE8C339">
      <w:pPr>
        <w:suppressAutoHyphens/>
      </w:pPr>
      <w:r w:rsidRPr="005F055E">
        <w:t>Antwoord</w:t>
      </w:r>
    </w:p>
    <w:p w:rsidRPr="005F055E" w:rsidR="00CF4A75" w:rsidP="00180EEB" w:rsidRDefault="00CF4A75" w14:paraId="5619F1DE" w14:textId="7BB5C39D">
      <w:pPr>
        <w:suppressAutoHyphens/>
        <w:rPr>
          <w:szCs w:val="18"/>
        </w:rPr>
      </w:pPr>
      <w:r w:rsidRPr="005F055E">
        <w:rPr>
          <w:szCs w:val="18"/>
        </w:rPr>
        <w:t>Als we van de geneesmiddeleninformatiebank van het CBG alle geneesmiddelen selecteren met afleverstatus Uitsluitend Apotheek (UA), Uitsluitend Apotheek en Drogist) en AV (Algemene Verkoop) en dan de omschrijving op ATC-4 niveau (therapeutische of farmacologische subgroep) nemen, dan levert dat het volgende overzicht op.</w:t>
      </w:r>
    </w:p>
    <w:p w:rsidRPr="005F055E" w:rsidR="00CF4A75" w:rsidP="00180EEB" w:rsidRDefault="00CF4A75" w14:paraId="3C60B561" w14:textId="77777777">
      <w:pPr>
        <w:suppressAutoHyphens/>
        <w:rPr>
          <w:szCs w:val="18"/>
        </w:rPr>
      </w:pPr>
    </w:p>
    <w:tbl>
      <w:tblPr>
        <w:tblW w:w="3920" w:type="dxa"/>
        <w:tblCellMar>
          <w:left w:w="70" w:type="dxa"/>
          <w:right w:w="70" w:type="dxa"/>
        </w:tblCellMar>
        <w:tblLook w:val="04A0" w:firstRow="1" w:lastRow="0" w:firstColumn="1" w:lastColumn="0" w:noHBand="0" w:noVBand="1"/>
      </w:tblPr>
      <w:tblGrid>
        <w:gridCol w:w="4140"/>
      </w:tblGrid>
      <w:tr w:rsidRPr="005F055E" w:rsidR="00CF4A75" w:rsidTr="005E2643" w14:paraId="5BE81496" w14:textId="77777777">
        <w:trPr>
          <w:trHeight w:val="290"/>
        </w:trPr>
        <w:tc>
          <w:tcPr>
            <w:tcW w:w="3920" w:type="dxa"/>
            <w:tcBorders>
              <w:top w:val="single" w:color="A9D08E" w:sz="4" w:space="0"/>
              <w:left w:val="nil"/>
              <w:bottom w:val="single" w:color="A9D08E" w:sz="4" w:space="0"/>
              <w:right w:val="single" w:color="A9D08E" w:sz="4" w:space="0"/>
            </w:tcBorders>
            <w:shd w:val="clear" w:color="70AD47" w:fill="70AD47"/>
            <w:noWrap/>
            <w:vAlign w:val="bottom"/>
            <w:hideMark/>
          </w:tcPr>
          <w:p w:rsidRPr="005F055E" w:rsidR="00CF4A75" w:rsidP="00180EEB" w:rsidRDefault="00CF4A75" w14:paraId="651B1B02" w14:textId="396BD21C">
            <w:pPr>
              <w:suppressAutoHyphens/>
              <w:spacing w:line="240" w:lineRule="auto"/>
              <w:rPr>
                <w:rFonts w:cs="Calibri"/>
                <w:b/>
                <w:bCs/>
                <w:color w:val="FFFFFF"/>
                <w:sz w:val="22"/>
              </w:rPr>
            </w:pPr>
            <w:r w:rsidRPr="005F055E">
              <w:rPr>
                <w:rFonts w:cs="Calibri"/>
                <w:b/>
                <w:bCs/>
                <w:color w:val="FFFFFF"/>
                <w:sz w:val="22"/>
              </w:rPr>
              <w:t>Omschrijving</w:t>
            </w:r>
          </w:p>
        </w:tc>
      </w:tr>
      <w:tr w:rsidRPr="005F055E" w:rsidR="00CF4A75" w:rsidTr="005E2643" w14:paraId="214EA775"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716A97CE" w14:textId="77777777">
            <w:pPr>
              <w:suppressAutoHyphens/>
              <w:spacing w:line="240" w:lineRule="auto"/>
              <w:rPr>
                <w:rFonts w:cs="Calibri"/>
                <w:color w:val="000000"/>
                <w:sz w:val="22"/>
              </w:rPr>
            </w:pPr>
            <w:proofErr w:type="spellStart"/>
            <w:r w:rsidRPr="005F055E">
              <w:rPr>
                <w:rFonts w:cs="Calibri"/>
                <w:color w:val="000000"/>
                <w:sz w:val="22"/>
              </w:rPr>
              <w:t>Ace-remmers</w:t>
            </w:r>
            <w:proofErr w:type="spellEnd"/>
          </w:p>
        </w:tc>
      </w:tr>
      <w:tr w:rsidRPr="005F055E" w:rsidR="00CF4A75" w:rsidTr="005E2643" w14:paraId="47404BB6"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617B0373" w14:textId="77777777">
            <w:pPr>
              <w:suppressAutoHyphens/>
              <w:spacing w:line="240" w:lineRule="auto"/>
              <w:rPr>
                <w:rFonts w:cs="Calibri"/>
                <w:color w:val="000000"/>
                <w:sz w:val="22"/>
              </w:rPr>
            </w:pPr>
            <w:proofErr w:type="spellStart"/>
            <w:r w:rsidRPr="005F055E">
              <w:rPr>
                <w:rFonts w:cs="Calibri"/>
                <w:color w:val="000000"/>
                <w:sz w:val="22"/>
              </w:rPr>
              <w:t>Ace-remmers</w:t>
            </w:r>
            <w:proofErr w:type="spellEnd"/>
            <w:r w:rsidRPr="005F055E">
              <w:rPr>
                <w:rFonts w:cs="Calibri"/>
                <w:color w:val="000000"/>
                <w:sz w:val="22"/>
              </w:rPr>
              <w:t>, combinatiepreparaten</w:t>
            </w:r>
          </w:p>
        </w:tc>
      </w:tr>
      <w:tr w:rsidRPr="005F055E" w:rsidR="00CF4A75" w:rsidTr="005E2643" w14:paraId="4C2FE38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08A56567" w14:textId="77777777">
            <w:pPr>
              <w:suppressAutoHyphens/>
              <w:spacing w:line="240" w:lineRule="auto"/>
              <w:rPr>
                <w:rFonts w:cs="Calibri"/>
                <w:color w:val="000000"/>
                <w:sz w:val="22"/>
              </w:rPr>
            </w:pPr>
            <w:r w:rsidRPr="005F055E">
              <w:rPr>
                <w:rFonts w:cs="Calibri"/>
                <w:color w:val="000000"/>
                <w:sz w:val="22"/>
              </w:rPr>
              <w:t xml:space="preserve">Acnepreparaten voor </w:t>
            </w:r>
            <w:proofErr w:type="spellStart"/>
            <w:r w:rsidRPr="005F055E">
              <w:rPr>
                <w:rFonts w:cs="Calibri"/>
                <w:color w:val="000000"/>
                <w:sz w:val="22"/>
              </w:rPr>
              <w:t>system.gebruik</w:t>
            </w:r>
            <w:proofErr w:type="spellEnd"/>
          </w:p>
        </w:tc>
      </w:tr>
      <w:tr w:rsidRPr="005F055E" w:rsidR="00CF4A75" w:rsidTr="005E2643" w14:paraId="0F296FD4"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64398ED5" w14:textId="77777777">
            <w:pPr>
              <w:suppressAutoHyphens/>
              <w:spacing w:line="240" w:lineRule="auto"/>
              <w:rPr>
                <w:rFonts w:cs="Calibri"/>
                <w:color w:val="000000"/>
                <w:sz w:val="22"/>
              </w:rPr>
            </w:pPr>
            <w:r w:rsidRPr="005F055E">
              <w:rPr>
                <w:rFonts w:cs="Calibri"/>
                <w:color w:val="000000"/>
                <w:sz w:val="22"/>
              </w:rPr>
              <w:t>Acnepreparaten, lokale</w:t>
            </w:r>
          </w:p>
        </w:tc>
      </w:tr>
      <w:tr w:rsidRPr="005F055E" w:rsidR="00CF4A75" w:rsidTr="005E2643" w14:paraId="621143C6"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43B3C173" w14:textId="77777777">
            <w:pPr>
              <w:suppressAutoHyphens/>
              <w:spacing w:line="240" w:lineRule="auto"/>
              <w:rPr>
                <w:rFonts w:cs="Calibri"/>
                <w:color w:val="000000"/>
                <w:sz w:val="22"/>
              </w:rPr>
            </w:pPr>
            <w:proofErr w:type="spellStart"/>
            <w:r w:rsidRPr="005F055E">
              <w:rPr>
                <w:rFonts w:cs="Calibri"/>
                <w:color w:val="000000"/>
                <w:sz w:val="22"/>
              </w:rPr>
              <w:t>Addit</w:t>
            </w:r>
            <w:proofErr w:type="spellEnd"/>
            <w:r w:rsidRPr="005F055E">
              <w:rPr>
                <w:rFonts w:cs="Calibri"/>
                <w:color w:val="000000"/>
                <w:sz w:val="22"/>
              </w:rPr>
              <w:t xml:space="preserve"> v intraveneuze </w:t>
            </w:r>
            <w:proofErr w:type="spellStart"/>
            <w:r w:rsidRPr="005F055E">
              <w:rPr>
                <w:rFonts w:cs="Calibri"/>
                <w:color w:val="000000"/>
                <w:sz w:val="22"/>
              </w:rPr>
              <w:t>infusievloeist</w:t>
            </w:r>
            <w:proofErr w:type="spellEnd"/>
          </w:p>
        </w:tc>
      </w:tr>
      <w:tr w:rsidRPr="005F055E" w:rsidR="00CF4A75" w:rsidTr="005E2643" w14:paraId="0692A9E5"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B61EB74" w14:textId="77777777">
            <w:pPr>
              <w:suppressAutoHyphens/>
              <w:spacing w:line="240" w:lineRule="auto"/>
              <w:rPr>
                <w:rFonts w:cs="Calibri"/>
                <w:color w:val="000000"/>
                <w:sz w:val="22"/>
              </w:rPr>
            </w:pPr>
            <w:r w:rsidRPr="005F055E">
              <w:rPr>
                <w:rFonts w:cs="Calibri"/>
                <w:color w:val="000000"/>
                <w:sz w:val="22"/>
              </w:rPr>
              <w:t>Ademhalingsstelsel</w:t>
            </w:r>
          </w:p>
        </w:tc>
      </w:tr>
      <w:tr w:rsidRPr="005F055E" w:rsidR="00CF4A75" w:rsidTr="005E2643" w14:paraId="7C5CDB30"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438C671F" w14:textId="77777777">
            <w:pPr>
              <w:suppressAutoHyphens/>
              <w:spacing w:line="240" w:lineRule="auto"/>
              <w:rPr>
                <w:rFonts w:cs="Calibri"/>
                <w:color w:val="000000"/>
                <w:sz w:val="22"/>
              </w:rPr>
            </w:pPr>
            <w:r w:rsidRPr="005F055E">
              <w:rPr>
                <w:rFonts w:cs="Calibri"/>
                <w:color w:val="000000"/>
                <w:sz w:val="22"/>
              </w:rPr>
              <w:t xml:space="preserve">Adenohypofysehormonen en </w:t>
            </w:r>
            <w:proofErr w:type="spellStart"/>
            <w:r w:rsidRPr="005F055E">
              <w:rPr>
                <w:rFonts w:cs="Calibri"/>
                <w:color w:val="000000"/>
                <w:sz w:val="22"/>
              </w:rPr>
              <w:t>verw</w:t>
            </w:r>
            <w:proofErr w:type="spellEnd"/>
            <w:r w:rsidRPr="005F055E">
              <w:rPr>
                <w:rFonts w:cs="Calibri"/>
                <w:color w:val="000000"/>
                <w:sz w:val="22"/>
              </w:rPr>
              <w:t xml:space="preserve"> </w:t>
            </w:r>
            <w:proofErr w:type="spellStart"/>
            <w:r w:rsidRPr="005F055E">
              <w:rPr>
                <w:rFonts w:cs="Calibri"/>
                <w:color w:val="000000"/>
                <w:sz w:val="22"/>
              </w:rPr>
              <w:t>verb</w:t>
            </w:r>
            <w:proofErr w:type="spellEnd"/>
          </w:p>
        </w:tc>
      </w:tr>
      <w:tr w:rsidRPr="005F055E" w:rsidR="00CF4A75" w:rsidTr="005E2643" w14:paraId="06473D20"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1151B2DB" w14:textId="77777777">
            <w:pPr>
              <w:suppressAutoHyphens/>
              <w:spacing w:line="240" w:lineRule="auto"/>
              <w:rPr>
                <w:rFonts w:cs="Calibri"/>
                <w:color w:val="000000"/>
                <w:sz w:val="22"/>
              </w:rPr>
            </w:pPr>
            <w:r w:rsidRPr="005F055E">
              <w:rPr>
                <w:rFonts w:cs="Calibri"/>
                <w:color w:val="000000"/>
                <w:sz w:val="22"/>
              </w:rPr>
              <w:t>Adsorberende darmmiddelen</w:t>
            </w:r>
          </w:p>
        </w:tc>
      </w:tr>
      <w:tr w:rsidRPr="005F055E" w:rsidR="00CF4A75" w:rsidTr="005E2643" w14:paraId="11DEE363"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7600A5A0" w14:textId="77777777">
            <w:pPr>
              <w:suppressAutoHyphens/>
              <w:spacing w:line="240" w:lineRule="auto"/>
              <w:rPr>
                <w:rFonts w:cs="Calibri"/>
                <w:color w:val="000000"/>
                <w:sz w:val="22"/>
              </w:rPr>
            </w:pPr>
            <w:r w:rsidRPr="005F055E">
              <w:rPr>
                <w:rFonts w:cs="Calibri"/>
                <w:color w:val="000000"/>
                <w:sz w:val="22"/>
              </w:rPr>
              <w:t xml:space="preserve">Algemene </w:t>
            </w:r>
            <w:proofErr w:type="spellStart"/>
            <w:r w:rsidRPr="005F055E">
              <w:rPr>
                <w:rFonts w:cs="Calibri"/>
                <w:color w:val="000000"/>
                <w:sz w:val="22"/>
              </w:rPr>
              <w:t>anaesthetica</w:t>
            </w:r>
            <w:proofErr w:type="spellEnd"/>
          </w:p>
        </w:tc>
      </w:tr>
      <w:tr w:rsidRPr="005F055E" w:rsidR="00CF4A75" w:rsidTr="005E2643" w14:paraId="001F5D4B"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2EC614F9" w14:textId="77777777">
            <w:pPr>
              <w:suppressAutoHyphens/>
              <w:spacing w:line="240" w:lineRule="auto"/>
              <w:rPr>
                <w:rFonts w:cs="Calibri"/>
                <w:color w:val="000000"/>
                <w:sz w:val="22"/>
              </w:rPr>
            </w:pPr>
            <w:r w:rsidRPr="005F055E">
              <w:rPr>
                <w:rFonts w:cs="Calibri"/>
                <w:color w:val="000000"/>
                <w:sz w:val="22"/>
              </w:rPr>
              <w:t xml:space="preserve">Alkaloïden en ov. natuurlijke </w:t>
            </w:r>
            <w:proofErr w:type="spellStart"/>
            <w:r w:rsidRPr="005F055E">
              <w:rPr>
                <w:rFonts w:cs="Calibri"/>
                <w:color w:val="000000"/>
                <w:sz w:val="22"/>
              </w:rPr>
              <w:t>prod</w:t>
            </w:r>
            <w:proofErr w:type="spellEnd"/>
            <w:r w:rsidRPr="005F055E">
              <w:rPr>
                <w:rFonts w:cs="Calibri"/>
                <w:color w:val="000000"/>
                <w:sz w:val="22"/>
              </w:rPr>
              <w:t>.</w:t>
            </w:r>
          </w:p>
        </w:tc>
      </w:tr>
      <w:tr w:rsidRPr="005F055E" w:rsidR="00CF4A75" w:rsidTr="005E2643" w14:paraId="21345D5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4E4AA8A3" w14:textId="77777777">
            <w:pPr>
              <w:suppressAutoHyphens/>
              <w:spacing w:line="240" w:lineRule="auto"/>
              <w:rPr>
                <w:rFonts w:cs="Calibri"/>
                <w:color w:val="000000"/>
                <w:sz w:val="22"/>
              </w:rPr>
            </w:pPr>
            <w:r w:rsidRPr="005F055E">
              <w:rPr>
                <w:rFonts w:cs="Calibri"/>
                <w:color w:val="000000"/>
                <w:sz w:val="22"/>
              </w:rPr>
              <w:t>Alkylerende middelen</w:t>
            </w:r>
          </w:p>
        </w:tc>
      </w:tr>
      <w:tr w:rsidRPr="005F055E" w:rsidR="00CF4A75" w:rsidTr="005E2643" w14:paraId="1066DD28"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70EEB371" w14:textId="77777777">
            <w:pPr>
              <w:suppressAutoHyphens/>
              <w:spacing w:line="240" w:lineRule="auto"/>
              <w:rPr>
                <w:rFonts w:cs="Calibri"/>
                <w:color w:val="000000"/>
                <w:sz w:val="22"/>
              </w:rPr>
            </w:pPr>
            <w:r w:rsidRPr="005F055E">
              <w:rPr>
                <w:rFonts w:cs="Calibri"/>
                <w:color w:val="000000"/>
                <w:sz w:val="22"/>
              </w:rPr>
              <w:t>Alle ov. therapeutische middelen</w:t>
            </w:r>
          </w:p>
        </w:tc>
      </w:tr>
      <w:tr w:rsidRPr="005F055E" w:rsidR="00CF4A75" w:rsidTr="005E2643" w14:paraId="6BD45189"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553EF89C" w14:textId="77777777">
            <w:pPr>
              <w:suppressAutoHyphens/>
              <w:spacing w:line="240" w:lineRule="auto"/>
              <w:rPr>
                <w:rFonts w:cs="Calibri"/>
                <w:color w:val="000000"/>
                <w:sz w:val="22"/>
              </w:rPr>
            </w:pPr>
            <w:r w:rsidRPr="005F055E">
              <w:rPr>
                <w:rFonts w:cs="Calibri"/>
                <w:color w:val="000000"/>
                <w:sz w:val="22"/>
              </w:rPr>
              <w:t>Allergenen</w:t>
            </w:r>
          </w:p>
        </w:tc>
      </w:tr>
      <w:tr w:rsidRPr="005F055E" w:rsidR="00CF4A75" w:rsidTr="005E2643" w14:paraId="459DAC3A"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B48DEF1" w14:textId="77777777">
            <w:pPr>
              <w:suppressAutoHyphens/>
              <w:spacing w:line="240" w:lineRule="auto"/>
              <w:rPr>
                <w:rFonts w:cs="Calibri"/>
                <w:color w:val="000000"/>
                <w:sz w:val="22"/>
              </w:rPr>
            </w:pPr>
            <w:proofErr w:type="spellStart"/>
            <w:r w:rsidRPr="005F055E">
              <w:rPr>
                <w:rFonts w:cs="Calibri"/>
                <w:color w:val="000000"/>
                <w:sz w:val="22"/>
              </w:rPr>
              <w:t>Amfenicolen</w:t>
            </w:r>
            <w:proofErr w:type="spellEnd"/>
          </w:p>
        </w:tc>
      </w:tr>
      <w:tr w:rsidRPr="005F055E" w:rsidR="00CF4A75" w:rsidTr="005E2643" w14:paraId="07D9DAB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4CE4FD65" w14:textId="77777777">
            <w:pPr>
              <w:suppressAutoHyphens/>
              <w:spacing w:line="240" w:lineRule="auto"/>
              <w:rPr>
                <w:rFonts w:cs="Calibri"/>
                <w:color w:val="000000"/>
                <w:sz w:val="22"/>
              </w:rPr>
            </w:pPr>
            <w:r w:rsidRPr="005F055E">
              <w:rPr>
                <w:rFonts w:cs="Calibri"/>
                <w:color w:val="000000"/>
                <w:sz w:val="22"/>
              </w:rPr>
              <w:t>Aminoglycosiden</w:t>
            </w:r>
          </w:p>
        </w:tc>
      </w:tr>
      <w:tr w:rsidRPr="005F055E" w:rsidR="00CF4A75" w:rsidTr="005E2643" w14:paraId="3F3B9C66"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BA976B3" w14:textId="77777777">
            <w:pPr>
              <w:suppressAutoHyphens/>
              <w:spacing w:line="240" w:lineRule="auto"/>
              <w:rPr>
                <w:rFonts w:cs="Calibri"/>
                <w:color w:val="000000"/>
                <w:sz w:val="22"/>
              </w:rPr>
            </w:pPr>
            <w:proofErr w:type="spellStart"/>
            <w:r w:rsidRPr="005F055E">
              <w:rPr>
                <w:rFonts w:cs="Calibri"/>
                <w:color w:val="000000"/>
                <w:sz w:val="22"/>
              </w:rPr>
              <w:t>Amoebiasismidd</w:t>
            </w:r>
            <w:proofErr w:type="spellEnd"/>
            <w:r w:rsidRPr="005F055E">
              <w:rPr>
                <w:rFonts w:cs="Calibri"/>
                <w:color w:val="000000"/>
                <w:sz w:val="22"/>
              </w:rPr>
              <w:t xml:space="preserve">. + andere </w:t>
            </w:r>
            <w:proofErr w:type="spellStart"/>
            <w:r w:rsidRPr="005F055E">
              <w:rPr>
                <w:rFonts w:cs="Calibri"/>
                <w:color w:val="000000"/>
                <w:sz w:val="22"/>
              </w:rPr>
              <w:t>antiprotoz</w:t>
            </w:r>
            <w:proofErr w:type="spellEnd"/>
          </w:p>
        </w:tc>
      </w:tr>
      <w:tr w:rsidRPr="005F055E" w:rsidR="00CF4A75" w:rsidTr="005E2643" w14:paraId="2F19459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6CEBDA0E" w14:textId="77777777">
            <w:pPr>
              <w:suppressAutoHyphens/>
              <w:spacing w:line="240" w:lineRule="auto"/>
              <w:rPr>
                <w:rFonts w:cs="Calibri"/>
                <w:color w:val="000000"/>
                <w:sz w:val="22"/>
              </w:rPr>
            </w:pPr>
            <w:r w:rsidRPr="005F055E">
              <w:rPr>
                <w:rFonts w:cs="Calibri"/>
                <w:color w:val="000000"/>
                <w:sz w:val="22"/>
              </w:rPr>
              <w:t>Anabole steroïden</w:t>
            </w:r>
          </w:p>
        </w:tc>
      </w:tr>
      <w:tr w:rsidRPr="005F055E" w:rsidR="00CF4A75" w:rsidTr="005E2643" w14:paraId="5E97BC27"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778FB175" w14:textId="77777777">
            <w:pPr>
              <w:suppressAutoHyphens/>
              <w:spacing w:line="240" w:lineRule="auto"/>
              <w:rPr>
                <w:rFonts w:cs="Calibri"/>
                <w:color w:val="000000"/>
                <w:sz w:val="22"/>
              </w:rPr>
            </w:pPr>
            <w:proofErr w:type="spellStart"/>
            <w:r w:rsidRPr="005F055E">
              <w:rPr>
                <w:rFonts w:cs="Calibri"/>
                <w:color w:val="000000"/>
                <w:sz w:val="22"/>
              </w:rPr>
              <w:t>Anaesthetica</w:t>
            </w:r>
            <w:proofErr w:type="spellEnd"/>
            <w:r w:rsidRPr="005F055E">
              <w:rPr>
                <w:rFonts w:cs="Calibri"/>
                <w:color w:val="000000"/>
                <w:sz w:val="22"/>
              </w:rPr>
              <w:t>, lokale</w:t>
            </w:r>
          </w:p>
        </w:tc>
      </w:tr>
      <w:tr w:rsidRPr="005F055E" w:rsidR="00CF4A75" w:rsidTr="005E2643" w14:paraId="4B17AC03"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7E1A1EAC" w14:textId="77777777">
            <w:pPr>
              <w:suppressAutoHyphens/>
              <w:spacing w:line="240" w:lineRule="auto"/>
              <w:rPr>
                <w:rFonts w:cs="Calibri"/>
                <w:color w:val="000000"/>
                <w:sz w:val="22"/>
              </w:rPr>
            </w:pPr>
            <w:proofErr w:type="spellStart"/>
            <w:r w:rsidRPr="005F055E">
              <w:rPr>
                <w:rFonts w:cs="Calibri"/>
                <w:color w:val="000000"/>
                <w:sz w:val="22"/>
              </w:rPr>
              <w:t>Anaesthetica</w:t>
            </w:r>
            <w:proofErr w:type="spellEnd"/>
            <w:r w:rsidRPr="005F055E">
              <w:rPr>
                <w:rFonts w:cs="Calibri"/>
                <w:color w:val="000000"/>
                <w:sz w:val="22"/>
              </w:rPr>
              <w:t>, lokale</w:t>
            </w:r>
          </w:p>
        </w:tc>
      </w:tr>
      <w:tr w:rsidRPr="005F055E" w:rsidR="00CF4A75" w:rsidTr="005E2643" w14:paraId="2CC519CA"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662ECEEC" w14:textId="77777777">
            <w:pPr>
              <w:suppressAutoHyphens/>
              <w:spacing w:line="240" w:lineRule="auto"/>
              <w:rPr>
                <w:rFonts w:cs="Calibri"/>
                <w:color w:val="000000"/>
                <w:sz w:val="22"/>
              </w:rPr>
            </w:pPr>
            <w:r w:rsidRPr="005F055E">
              <w:rPr>
                <w:rFonts w:cs="Calibri"/>
                <w:color w:val="000000"/>
                <w:sz w:val="22"/>
              </w:rPr>
              <w:t>Androgenen</w:t>
            </w:r>
          </w:p>
        </w:tc>
      </w:tr>
      <w:tr w:rsidRPr="005F055E" w:rsidR="00CF4A75" w:rsidTr="005E2643" w14:paraId="2E142879"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07B1CFF" w14:textId="77777777">
            <w:pPr>
              <w:suppressAutoHyphens/>
              <w:spacing w:line="240" w:lineRule="auto"/>
              <w:rPr>
                <w:rFonts w:cs="Calibri"/>
                <w:color w:val="000000"/>
                <w:sz w:val="22"/>
              </w:rPr>
            </w:pPr>
            <w:r w:rsidRPr="005F055E">
              <w:rPr>
                <w:rFonts w:cs="Calibri"/>
                <w:color w:val="000000"/>
                <w:sz w:val="22"/>
              </w:rPr>
              <w:t xml:space="preserve">Androgenen met vrouw. </w:t>
            </w:r>
            <w:proofErr w:type="spellStart"/>
            <w:r w:rsidRPr="005F055E">
              <w:rPr>
                <w:rFonts w:cs="Calibri"/>
                <w:color w:val="000000"/>
                <w:sz w:val="22"/>
              </w:rPr>
              <w:t>gesl.hormonen</w:t>
            </w:r>
            <w:proofErr w:type="spellEnd"/>
          </w:p>
        </w:tc>
      </w:tr>
      <w:tr w:rsidRPr="005F055E" w:rsidR="00CF4A75" w:rsidTr="005E2643" w14:paraId="71F3A9DA"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56616885" w14:textId="77777777">
            <w:pPr>
              <w:suppressAutoHyphens/>
              <w:spacing w:line="240" w:lineRule="auto"/>
              <w:rPr>
                <w:rFonts w:cs="Calibri"/>
                <w:color w:val="000000"/>
                <w:sz w:val="22"/>
              </w:rPr>
            </w:pPr>
            <w:proofErr w:type="spellStart"/>
            <w:r w:rsidRPr="005F055E">
              <w:rPr>
                <w:rFonts w:cs="Calibri"/>
                <w:color w:val="000000"/>
                <w:sz w:val="22"/>
              </w:rPr>
              <w:t>Angiotensine</w:t>
            </w:r>
            <w:proofErr w:type="spellEnd"/>
            <w:r w:rsidRPr="005F055E">
              <w:rPr>
                <w:rFonts w:cs="Calibri"/>
                <w:color w:val="000000"/>
                <w:sz w:val="22"/>
              </w:rPr>
              <w:t>-ii-</w:t>
            </w:r>
            <w:proofErr w:type="spellStart"/>
            <w:r w:rsidRPr="005F055E">
              <w:rPr>
                <w:rFonts w:cs="Calibri"/>
                <w:color w:val="000000"/>
                <w:sz w:val="22"/>
              </w:rPr>
              <w:t>antagon</w:t>
            </w:r>
            <w:proofErr w:type="spellEnd"/>
            <w:r w:rsidRPr="005F055E">
              <w:rPr>
                <w:rFonts w:cs="Calibri"/>
                <w:color w:val="000000"/>
                <w:sz w:val="22"/>
              </w:rPr>
              <w:t xml:space="preserve">., </w:t>
            </w:r>
            <w:proofErr w:type="spellStart"/>
            <w:r w:rsidRPr="005F055E">
              <w:rPr>
                <w:rFonts w:cs="Calibri"/>
                <w:color w:val="000000"/>
                <w:sz w:val="22"/>
              </w:rPr>
              <w:t>comb.prep</w:t>
            </w:r>
            <w:proofErr w:type="spellEnd"/>
          </w:p>
        </w:tc>
      </w:tr>
      <w:tr w:rsidRPr="005F055E" w:rsidR="00CF4A75" w:rsidTr="005E2643" w14:paraId="35AE24DA"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BC813D9" w14:textId="77777777">
            <w:pPr>
              <w:suppressAutoHyphens/>
              <w:spacing w:line="240" w:lineRule="auto"/>
              <w:rPr>
                <w:rFonts w:cs="Calibri"/>
                <w:color w:val="000000"/>
                <w:sz w:val="22"/>
              </w:rPr>
            </w:pPr>
            <w:proofErr w:type="spellStart"/>
            <w:r w:rsidRPr="005F055E">
              <w:rPr>
                <w:rFonts w:cs="Calibri"/>
                <w:color w:val="000000"/>
                <w:sz w:val="22"/>
              </w:rPr>
              <w:t>Angiotensine</w:t>
            </w:r>
            <w:proofErr w:type="spellEnd"/>
            <w:r w:rsidRPr="005F055E">
              <w:rPr>
                <w:rFonts w:cs="Calibri"/>
                <w:color w:val="000000"/>
                <w:sz w:val="22"/>
              </w:rPr>
              <w:t>-ii-antagonisten</w:t>
            </w:r>
          </w:p>
        </w:tc>
      </w:tr>
      <w:tr w:rsidRPr="005F055E" w:rsidR="00CF4A75" w:rsidTr="005E2643" w14:paraId="4FF410CF"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74C8A1CC" w14:textId="77777777">
            <w:pPr>
              <w:suppressAutoHyphens/>
              <w:spacing w:line="240" w:lineRule="auto"/>
              <w:rPr>
                <w:rFonts w:cs="Calibri"/>
                <w:color w:val="000000"/>
                <w:sz w:val="22"/>
              </w:rPr>
            </w:pPr>
            <w:r w:rsidRPr="005F055E">
              <w:rPr>
                <w:rFonts w:cs="Calibri"/>
                <w:color w:val="000000"/>
                <w:sz w:val="22"/>
              </w:rPr>
              <w:t>Antacida</w:t>
            </w:r>
          </w:p>
        </w:tc>
      </w:tr>
      <w:tr w:rsidRPr="005F055E" w:rsidR="00CF4A75" w:rsidTr="005E2643" w14:paraId="65F5C85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6135BF39" w14:textId="77777777">
            <w:pPr>
              <w:suppressAutoHyphens/>
              <w:spacing w:line="240" w:lineRule="auto"/>
              <w:rPr>
                <w:rFonts w:cs="Calibri"/>
                <w:color w:val="000000"/>
                <w:sz w:val="22"/>
              </w:rPr>
            </w:pPr>
            <w:proofErr w:type="spellStart"/>
            <w:r w:rsidRPr="005F055E">
              <w:rPr>
                <w:rFonts w:cs="Calibri"/>
                <w:color w:val="000000"/>
                <w:sz w:val="22"/>
              </w:rPr>
              <w:t>Anthelminthica</w:t>
            </w:r>
            <w:proofErr w:type="spellEnd"/>
            <w:r w:rsidRPr="005F055E">
              <w:rPr>
                <w:rFonts w:cs="Calibri"/>
                <w:color w:val="000000"/>
                <w:sz w:val="22"/>
              </w:rPr>
              <w:t xml:space="preserve"> tegen </w:t>
            </w:r>
            <w:proofErr w:type="spellStart"/>
            <w:r w:rsidRPr="005F055E">
              <w:rPr>
                <w:rFonts w:cs="Calibri"/>
                <w:color w:val="000000"/>
                <w:sz w:val="22"/>
              </w:rPr>
              <w:t>cestoden</w:t>
            </w:r>
            <w:proofErr w:type="spellEnd"/>
          </w:p>
        </w:tc>
      </w:tr>
      <w:tr w:rsidRPr="005F055E" w:rsidR="00CF4A75" w:rsidTr="005E2643" w14:paraId="329B2298"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2114B61C" w14:textId="77777777">
            <w:pPr>
              <w:suppressAutoHyphens/>
              <w:spacing w:line="240" w:lineRule="auto"/>
              <w:rPr>
                <w:rFonts w:cs="Calibri"/>
                <w:color w:val="000000"/>
                <w:sz w:val="22"/>
              </w:rPr>
            </w:pPr>
            <w:proofErr w:type="spellStart"/>
            <w:r w:rsidRPr="005F055E">
              <w:rPr>
                <w:rFonts w:cs="Calibri"/>
                <w:color w:val="000000"/>
                <w:sz w:val="22"/>
              </w:rPr>
              <w:t>Anthelminthica</w:t>
            </w:r>
            <w:proofErr w:type="spellEnd"/>
            <w:r w:rsidRPr="005F055E">
              <w:rPr>
                <w:rFonts w:cs="Calibri"/>
                <w:color w:val="000000"/>
                <w:sz w:val="22"/>
              </w:rPr>
              <w:t xml:space="preserve"> tegen nematoden</w:t>
            </w:r>
          </w:p>
        </w:tc>
      </w:tr>
      <w:tr w:rsidRPr="005F055E" w:rsidR="00CF4A75" w:rsidTr="005E2643" w14:paraId="61AECD0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048AF392" w14:textId="77777777">
            <w:pPr>
              <w:suppressAutoHyphens/>
              <w:spacing w:line="240" w:lineRule="auto"/>
              <w:rPr>
                <w:rFonts w:cs="Calibri"/>
                <w:color w:val="000000"/>
                <w:sz w:val="22"/>
              </w:rPr>
            </w:pPr>
            <w:proofErr w:type="spellStart"/>
            <w:r w:rsidRPr="005F055E">
              <w:rPr>
                <w:rFonts w:cs="Calibri"/>
                <w:color w:val="000000"/>
                <w:sz w:val="22"/>
              </w:rPr>
              <w:t>Anthelminthica</w:t>
            </w:r>
            <w:proofErr w:type="spellEnd"/>
            <w:r w:rsidRPr="005F055E">
              <w:rPr>
                <w:rFonts w:cs="Calibri"/>
                <w:color w:val="000000"/>
                <w:sz w:val="22"/>
              </w:rPr>
              <w:t xml:space="preserve"> tegen </w:t>
            </w:r>
            <w:proofErr w:type="spellStart"/>
            <w:r w:rsidRPr="005F055E">
              <w:rPr>
                <w:rFonts w:cs="Calibri"/>
                <w:color w:val="000000"/>
                <w:sz w:val="22"/>
              </w:rPr>
              <w:t>trematoden</w:t>
            </w:r>
            <w:proofErr w:type="spellEnd"/>
          </w:p>
        </w:tc>
      </w:tr>
      <w:tr w:rsidRPr="005F055E" w:rsidR="00CF4A75" w:rsidTr="005E2643" w14:paraId="5895869E"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09FD6197" w14:textId="77777777">
            <w:pPr>
              <w:suppressAutoHyphens/>
              <w:spacing w:line="240" w:lineRule="auto"/>
              <w:rPr>
                <w:rFonts w:cs="Calibri"/>
                <w:color w:val="000000"/>
                <w:sz w:val="22"/>
              </w:rPr>
            </w:pPr>
            <w:r w:rsidRPr="005F055E">
              <w:rPr>
                <w:rFonts w:cs="Calibri"/>
                <w:color w:val="000000"/>
                <w:sz w:val="22"/>
              </w:rPr>
              <w:t>Anti-adrenale middelen</w:t>
            </w:r>
          </w:p>
        </w:tc>
      </w:tr>
      <w:tr w:rsidRPr="005F055E" w:rsidR="00CF4A75" w:rsidTr="005E2643" w14:paraId="4DA5433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7B5A2E0B" w14:textId="77777777">
            <w:pPr>
              <w:suppressAutoHyphens/>
              <w:spacing w:line="240" w:lineRule="auto"/>
              <w:rPr>
                <w:rFonts w:cs="Calibri"/>
                <w:color w:val="000000"/>
                <w:sz w:val="22"/>
              </w:rPr>
            </w:pPr>
            <w:proofErr w:type="spellStart"/>
            <w:r w:rsidRPr="005F055E">
              <w:rPr>
                <w:rFonts w:cs="Calibri"/>
                <w:color w:val="000000"/>
                <w:sz w:val="22"/>
              </w:rPr>
              <w:t>Anti-androgenen</w:t>
            </w:r>
            <w:proofErr w:type="spellEnd"/>
          </w:p>
        </w:tc>
      </w:tr>
      <w:tr w:rsidRPr="005F055E" w:rsidR="00CF4A75" w:rsidTr="005E2643" w14:paraId="39369A11"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5811AD6A" w14:textId="77777777">
            <w:pPr>
              <w:suppressAutoHyphens/>
              <w:spacing w:line="240" w:lineRule="auto"/>
              <w:rPr>
                <w:rFonts w:cs="Calibri"/>
                <w:color w:val="000000"/>
                <w:sz w:val="22"/>
              </w:rPr>
            </w:pPr>
            <w:proofErr w:type="spellStart"/>
            <w:r w:rsidRPr="005F055E">
              <w:rPr>
                <w:rFonts w:cs="Calibri"/>
                <w:color w:val="000000"/>
                <w:sz w:val="22"/>
              </w:rPr>
              <w:t>Anti-aritmische</w:t>
            </w:r>
            <w:proofErr w:type="spellEnd"/>
            <w:r w:rsidRPr="005F055E">
              <w:rPr>
                <w:rFonts w:cs="Calibri"/>
                <w:color w:val="000000"/>
                <w:sz w:val="22"/>
              </w:rPr>
              <w:t xml:space="preserve"> </w:t>
            </w:r>
            <w:proofErr w:type="spellStart"/>
            <w:r w:rsidRPr="005F055E">
              <w:rPr>
                <w:rFonts w:cs="Calibri"/>
                <w:color w:val="000000"/>
                <w:sz w:val="22"/>
              </w:rPr>
              <w:t>midd</w:t>
            </w:r>
            <w:proofErr w:type="spellEnd"/>
            <w:r w:rsidRPr="005F055E">
              <w:rPr>
                <w:rFonts w:cs="Calibri"/>
                <w:color w:val="000000"/>
                <w:sz w:val="22"/>
              </w:rPr>
              <w:t>. klasse i/iii</w:t>
            </w:r>
          </w:p>
        </w:tc>
      </w:tr>
      <w:tr w:rsidRPr="005F055E" w:rsidR="00CF4A75" w:rsidTr="005E2643" w14:paraId="5BAD93D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7EC160DA" w14:textId="77777777">
            <w:pPr>
              <w:suppressAutoHyphens/>
              <w:spacing w:line="240" w:lineRule="auto"/>
              <w:rPr>
                <w:rFonts w:cs="Calibri"/>
                <w:color w:val="000000"/>
                <w:sz w:val="22"/>
              </w:rPr>
            </w:pPr>
            <w:r w:rsidRPr="005F055E">
              <w:rPr>
                <w:rFonts w:cs="Calibri"/>
                <w:color w:val="000000"/>
                <w:sz w:val="22"/>
              </w:rPr>
              <w:t>Antibiotica, lokale</w:t>
            </w:r>
          </w:p>
        </w:tc>
      </w:tr>
      <w:tr w:rsidRPr="005F055E" w:rsidR="00CF4A75" w:rsidTr="005E2643" w14:paraId="1D300B9B"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2D0E6B1D" w14:textId="77777777">
            <w:pPr>
              <w:suppressAutoHyphens/>
              <w:spacing w:line="240" w:lineRule="auto"/>
              <w:rPr>
                <w:rFonts w:cs="Calibri"/>
                <w:color w:val="000000"/>
                <w:sz w:val="22"/>
              </w:rPr>
            </w:pPr>
            <w:r w:rsidRPr="005F055E">
              <w:rPr>
                <w:rFonts w:cs="Calibri"/>
                <w:color w:val="000000"/>
                <w:sz w:val="22"/>
              </w:rPr>
              <w:t>Anticonceptiva, lokale</w:t>
            </w:r>
          </w:p>
        </w:tc>
      </w:tr>
      <w:tr w:rsidRPr="005F055E" w:rsidR="00CF4A75" w:rsidTr="005E2643" w14:paraId="68D837AA"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573A0B81" w14:textId="77777777">
            <w:pPr>
              <w:suppressAutoHyphens/>
              <w:spacing w:line="240" w:lineRule="auto"/>
              <w:rPr>
                <w:rFonts w:cs="Calibri"/>
                <w:color w:val="000000"/>
                <w:sz w:val="22"/>
              </w:rPr>
            </w:pPr>
            <w:r w:rsidRPr="005F055E">
              <w:rPr>
                <w:rFonts w:cs="Calibri"/>
                <w:color w:val="000000"/>
                <w:sz w:val="22"/>
              </w:rPr>
              <w:t>Antidepressiva</w:t>
            </w:r>
          </w:p>
        </w:tc>
      </w:tr>
      <w:tr w:rsidRPr="005F055E" w:rsidR="00CF4A75" w:rsidTr="005E2643" w14:paraId="292F56A9"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9DC72DD" w14:textId="77777777">
            <w:pPr>
              <w:suppressAutoHyphens/>
              <w:spacing w:line="240" w:lineRule="auto"/>
              <w:rPr>
                <w:rFonts w:cs="Calibri"/>
                <w:color w:val="000000"/>
                <w:sz w:val="22"/>
              </w:rPr>
            </w:pPr>
            <w:r w:rsidRPr="005F055E">
              <w:rPr>
                <w:rFonts w:cs="Calibri"/>
                <w:color w:val="000000"/>
                <w:sz w:val="22"/>
              </w:rPr>
              <w:t>Anti-emetica</w:t>
            </w:r>
          </w:p>
        </w:tc>
      </w:tr>
      <w:tr w:rsidRPr="005F055E" w:rsidR="00CF4A75" w:rsidTr="005E2643" w14:paraId="1544EEBB"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181C6B16" w14:textId="77777777">
            <w:pPr>
              <w:suppressAutoHyphens/>
              <w:spacing w:line="240" w:lineRule="auto"/>
              <w:rPr>
                <w:rFonts w:cs="Calibri"/>
                <w:color w:val="000000"/>
                <w:sz w:val="22"/>
              </w:rPr>
            </w:pPr>
            <w:r w:rsidRPr="005F055E">
              <w:rPr>
                <w:rFonts w:cs="Calibri"/>
                <w:color w:val="000000"/>
                <w:sz w:val="22"/>
              </w:rPr>
              <w:t>Anti-epileptica</w:t>
            </w:r>
          </w:p>
        </w:tc>
      </w:tr>
      <w:tr w:rsidRPr="005F055E" w:rsidR="00CF4A75" w:rsidTr="005E2643" w14:paraId="2E5D935E"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10873735" w14:textId="77777777">
            <w:pPr>
              <w:suppressAutoHyphens/>
              <w:spacing w:line="240" w:lineRule="auto"/>
              <w:rPr>
                <w:rFonts w:cs="Calibri"/>
                <w:color w:val="000000"/>
                <w:sz w:val="22"/>
              </w:rPr>
            </w:pPr>
            <w:r w:rsidRPr="005F055E">
              <w:rPr>
                <w:rFonts w:cs="Calibri"/>
                <w:color w:val="000000"/>
                <w:sz w:val="22"/>
              </w:rPr>
              <w:t>Antifibrinolytica</w:t>
            </w:r>
          </w:p>
        </w:tc>
      </w:tr>
      <w:tr w:rsidRPr="005F055E" w:rsidR="00CF4A75" w:rsidTr="005E2643" w14:paraId="1C66C5B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56EB4FF1" w14:textId="77777777">
            <w:pPr>
              <w:suppressAutoHyphens/>
              <w:spacing w:line="240" w:lineRule="auto"/>
              <w:rPr>
                <w:rFonts w:cs="Calibri"/>
                <w:color w:val="000000"/>
                <w:sz w:val="22"/>
              </w:rPr>
            </w:pPr>
            <w:r w:rsidRPr="005F055E">
              <w:rPr>
                <w:rFonts w:cs="Calibri"/>
                <w:color w:val="000000"/>
                <w:sz w:val="22"/>
              </w:rPr>
              <w:t>Antihistaminica v system. gebruik</w:t>
            </w:r>
          </w:p>
        </w:tc>
      </w:tr>
      <w:tr w:rsidRPr="005F055E" w:rsidR="00CF4A75" w:rsidTr="005E2643" w14:paraId="3D3D237B"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2DBCC0CC" w14:textId="77777777">
            <w:pPr>
              <w:suppressAutoHyphens/>
              <w:spacing w:line="240" w:lineRule="auto"/>
              <w:rPr>
                <w:rFonts w:cs="Calibri"/>
                <w:color w:val="000000"/>
                <w:sz w:val="22"/>
              </w:rPr>
            </w:pPr>
            <w:r w:rsidRPr="005F055E">
              <w:rPr>
                <w:rFonts w:cs="Calibri"/>
                <w:color w:val="000000"/>
                <w:sz w:val="22"/>
              </w:rPr>
              <w:t>Antihormonen</w:t>
            </w:r>
          </w:p>
        </w:tc>
      </w:tr>
      <w:tr w:rsidRPr="005F055E" w:rsidR="00CF4A75" w:rsidTr="005E2643" w14:paraId="7086B805"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6D870990" w14:textId="77777777">
            <w:pPr>
              <w:suppressAutoHyphens/>
              <w:spacing w:line="240" w:lineRule="auto"/>
              <w:rPr>
                <w:rFonts w:cs="Calibri"/>
                <w:color w:val="000000"/>
                <w:sz w:val="22"/>
              </w:rPr>
            </w:pPr>
            <w:r w:rsidRPr="005F055E">
              <w:rPr>
                <w:rFonts w:cs="Calibri"/>
                <w:color w:val="000000"/>
                <w:sz w:val="22"/>
              </w:rPr>
              <w:t>Antihypertensiva met diuretica</w:t>
            </w:r>
          </w:p>
        </w:tc>
      </w:tr>
      <w:tr w:rsidRPr="005F055E" w:rsidR="00CF4A75" w:rsidTr="005E2643" w14:paraId="0ED4E477"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7B4E886E" w14:textId="77777777">
            <w:pPr>
              <w:suppressAutoHyphens/>
              <w:spacing w:line="240" w:lineRule="auto"/>
              <w:rPr>
                <w:rFonts w:cs="Calibri"/>
                <w:color w:val="000000"/>
                <w:sz w:val="22"/>
              </w:rPr>
            </w:pPr>
            <w:r w:rsidRPr="005F055E">
              <w:rPr>
                <w:rFonts w:cs="Calibri"/>
                <w:color w:val="000000"/>
                <w:sz w:val="22"/>
              </w:rPr>
              <w:t>Anti-</w:t>
            </w:r>
            <w:proofErr w:type="spellStart"/>
            <w:r w:rsidRPr="005F055E">
              <w:rPr>
                <w:rFonts w:cs="Calibri"/>
                <w:color w:val="000000"/>
                <w:sz w:val="22"/>
              </w:rPr>
              <w:t>inflam.midd</w:t>
            </w:r>
            <w:proofErr w:type="spellEnd"/>
            <w:r w:rsidRPr="005F055E">
              <w:rPr>
                <w:rFonts w:cs="Calibri"/>
                <w:color w:val="000000"/>
                <w:sz w:val="22"/>
              </w:rPr>
              <w:t xml:space="preserve"> m </w:t>
            </w:r>
            <w:proofErr w:type="spellStart"/>
            <w:r w:rsidRPr="005F055E">
              <w:rPr>
                <w:rFonts w:cs="Calibri"/>
                <w:color w:val="000000"/>
                <w:sz w:val="22"/>
              </w:rPr>
              <w:t>antimicrob.midd</w:t>
            </w:r>
            <w:proofErr w:type="spellEnd"/>
            <w:r w:rsidRPr="005F055E">
              <w:rPr>
                <w:rFonts w:cs="Calibri"/>
                <w:color w:val="000000"/>
                <w:sz w:val="22"/>
              </w:rPr>
              <w:t>.</w:t>
            </w:r>
          </w:p>
        </w:tc>
      </w:tr>
      <w:tr w:rsidRPr="009873CE" w:rsidR="00CF4A75" w:rsidTr="005E2643" w14:paraId="6DE13B4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056279" w:rsidR="00CF4A75" w:rsidP="00180EEB" w:rsidRDefault="00CF4A75" w14:paraId="184D707D" w14:textId="77777777">
            <w:pPr>
              <w:suppressAutoHyphens/>
              <w:spacing w:line="240" w:lineRule="auto"/>
              <w:rPr>
                <w:rFonts w:cs="Calibri"/>
                <w:color w:val="000000"/>
                <w:sz w:val="22"/>
                <w:lang w:val="en-US"/>
              </w:rPr>
            </w:pPr>
            <w:proofErr w:type="spellStart"/>
            <w:r w:rsidRPr="00056279">
              <w:rPr>
                <w:rFonts w:cs="Calibri"/>
                <w:color w:val="000000"/>
                <w:sz w:val="22"/>
                <w:lang w:val="en-US"/>
              </w:rPr>
              <w:t>Anti-inflam+antirheum.m</w:t>
            </w:r>
            <w:proofErr w:type="spellEnd"/>
            <w:r w:rsidRPr="00056279">
              <w:rPr>
                <w:rFonts w:cs="Calibri"/>
                <w:color w:val="000000"/>
                <w:sz w:val="22"/>
                <w:lang w:val="en-US"/>
              </w:rPr>
              <w:t xml:space="preserve">., </w:t>
            </w:r>
            <w:proofErr w:type="spellStart"/>
            <w:r w:rsidRPr="00056279">
              <w:rPr>
                <w:rFonts w:cs="Calibri"/>
                <w:color w:val="000000"/>
                <w:sz w:val="22"/>
                <w:lang w:val="en-US"/>
              </w:rPr>
              <w:t>comb.prep</w:t>
            </w:r>
            <w:proofErr w:type="spellEnd"/>
          </w:p>
        </w:tc>
      </w:tr>
      <w:tr w:rsidRPr="005F055E" w:rsidR="00CF4A75" w:rsidTr="005E2643" w14:paraId="0BFF28BE"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74AC2B1F" w14:textId="77777777">
            <w:pPr>
              <w:suppressAutoHyphens/>
              <w:spacing w:line="240" w:lineRule="auto"/>
              <w:rPr>
                <w:rFonts w:cs="Calibri"/>
                <w:color w:val="000000"/>
                <w:sz w:val="22"/>
              </w:rPr>
            </w:pPr>
            <w:r w:rsidRPr="005F055E">
              <w:rPr>
                <w:rFonts w:cs="Calibri"/>
                <w:color w:val="000000"/>
                <w:sz w:val="22"/>
              </w:rPr>
              <w:t>Anti-inflammatoire darmmiddelen</w:t>
            </w:r>
          </w:p>
        </w:tc>
      </w:tr>
      <w:tr w:rsidRPr="005F055E" w:rsidR="00CF4A75" w:rsidTr="005E2643" w14:paraId="3CD3FDA2"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56CACAD4" w14:textId="77777777">
            <w:pPr>
              <w:suppressAutoHyphens/>
              <w:spacing w:line="240" w:lineRule="auto"/>
              <w:rPr>
                <w:rFonts w:cs="Calibri"/>
                <w:color w:val="000000"/>
                <w:sz w:val="22"/>
              </w:rPr>
            </w:pPr>
            <w:r w:rsidRPr="005F055E">
              <w:rPr>
                <w:rFonts w:cs="Calibri"/>
                <w:color w:val="000000"/>
                <w:sz w:val="22"/>
              </w:rPr>
              <w:t>Anti-inflammatoire middelen</w:t>
            </w:r>
          </w:p>
        </w:tc>
      </w:tr>
      <w:tr w:rsidRPr="005F055E" w:rsidR="00CF4A75" w:rsidTr="005E2643" w14:paraId="017C1E87"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2BB608CB" w14:textId="77777777">
            <w:pPr>
              <w:suppressAutoHyphens/>
              <w:spacing w:line="240" w:lineRule="auto"/>
              <w:rPr>
                <w:rFonts w:cs="Calibri"/>
                <w:color w:val="000000"/>
                <w:sz w:val="22"/>
              </w:rPr>
            </w:pPr>
            <w:r w:rsidRPr="005F055E">
              <w:rPr>
                <w:rFonts w:cs="Calibri"/>
                <w:color w:val="000000"/>
                <w:sz w:val="22"/>
              </w:rPr>
              <w:t>Anti-inflammatoire middelen</w:t>
            </w:r>
          </w:p>
        </w:tc>
      </w:tr>
      <w:tr w:rsidRPr="005F055E" w:rsidR="00CF4A75" w:rsidTr="005E2643" w14:paraId="099CF1A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11ABDF29" w14:textId="77777777">
            <w:pPr>
              <w:suppressAutoHyphens/>
              <w:spacing w:line="240" w:lineRule="auto"/>
              <w:rPr>
                <w:rFonts w:cs="Calibri"/>
                <w:color w:val="000000"/>
                <w:sz w:val="22"/>
              </w:rPr>
            </w:pPr>
            <w:proofErr w:type="spellStart"/>
            <w:r w:rsidRPr="005F055E">
              <w:rPr>
                <w:rFonts w:cs="Calibri"/>
                <w:color w:val="000000"/>
                <w:sz w:val="22"/>
              </w:rPr>
              <w:t>Antilipaemica</w:t>
            </w:r>
            <w:proofErr w:type="spellEnd"/>
            <w:r w:rsidRPr="005F055E">
              <w:rPr>
                <w:rFonts w:cs="Calibri"/>
                <w:color w:val="000000"/>
                <w:sz w:val="22"/>
              </w:rPr>
              <w:t>, combinatiepreparaten</w:t>
            </w:r>
          </w:p>
        </w:tc>
      </w:tr>
      <w:tr w:rsidRPr="005F055E" w:rsidR="00CF4A75" w:rsidTr="005E2643" w14:paraId="283D0324"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64EE6246" w14:textId="77777777">
            <w:pPr>
              <w:suppressAutoHyphens/>
              <w:spacing w:line="240" w:lineRule="auto"/>
              <w:rPr>
                <w:rFonts w:cs="Calibri"/>
                <w:color w:val="000000"/>
                <w:sz w:val="22"/>
              </w:rPr>
            </w:pPr>
            <w:proofErr w:type="spellStart"/>
            <w:r w:rsidRPr="005F055E">
              <w:rPr>
                <w:rFonts w:cs="Calibri"/>
                <w:color w:val="000000"/>
                <w:sz w:val="22"/>
              </w:rPr>
              <w:t>Antilipaemica</w:t>
            </w:r>
            <w:proofErr w:type="spellEnd"/>
            <w:r w:rsidRPr="005F055E">
              <w:rPr>
                <w:rFonts w:cs="Calibri"/>
                <w:color w:val="000000"/>
                <w:sz w:val="22"/>
              </w:rPr>
              <w:t>, enkelvoudig</w:t>
            </w:r>
          </w:p>
        </w:tc>
      </w:tr>
      <w:tr w:rsidRPr="005F055E" w:rsidR="00CF4A75" w:rsidTr="005E2643" w14:paraId="03E1240B"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47AE46DB" w14:textId="77777777">
            <w:pPr>
              <w:suppressAutoHyphens/>
              <w:spacing w:line="240" w:lineRule="auto"/>
              <w:rPr>
                <w:rFonts w:cs="Calibri"/>
                <w:color w:val="000000"/>
                <w:sz w:val="22"/>
              </w:rPr>
            </w:pPr>
            <w:r w:rsidRPr="005F055E">
              <w:rPr>
                <w:rFonts w:cs="Calibri"/>
                <w:color w:val="000000"/>
                <w:sz w:val="22"/>
              </w:rPr>
              <w:t>Antimetabolieten</w:t>
            </w:r>
          </w:p>
        </w:tc>
      </w:tr>
      <w:tr w:rsidRPr="005F055E" w:rsidR="00CF4A75" w:rsidTr="005E2643" w14:paraId="2D7A886F"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6F305D5C" w14:textId="77777777">
            <w:pPr>
              <w:suppressAutoHyphens/>
              <w:spacing w:line="240" w:lineRule="auto"/>
              <w:rPr>
                <w:rFonts w:cs="Calibri"/>
                <w:color w:val="000000"/>
                <w:sz w:val="22"/>
              </w:rPr>
            </w:pPr>
            <w:proofErr w:type="spellStart"/>
            <w:r w:rsidRPr="005F055E">
              <w:rPr>
                <w:rFonts w:cs="Calibri"/>
                <w:color w:val="000000"/>
                <w:sz w:val="22"/>
              </w:rPr>
              <w:t>Antimicrob</w:t>
            </w:r>
            <w:proofErr w:type="spellEnd"/>
            <w:r w:rsidRPr="005F055E">
              <w:rPr>
                <w:rFonts w:cs="Calibri"/>
                <w:color w:val="000000"/>
                <w:sz w:val="22"/>
              </w:rPr>
              <w:t xml:space="preserve">. </w:t>
            </w:r>
            <w:proofErr w:type="spellStart"/>
            <w:r w:rsidRPr="005F055E">
              <w:rPr>
                <w:rFonts w:cs="Calibri"/>
                <w:color w:val="000000"/>
                <w:sz w:val="22"/>
              </w:rPr>
              <w:t>midd</w:t>
            </w:r>
            <w:proofErr w:type="spellEnd"/>
            <w:r w:rsidRPr="005F055E">
              <w:rPr>
                <w:rFonts w:cs="Calibri"/>
                <w:color w:val="000000"/>
                <w:sz w:val="22"/>
              </w:rPr>
              <w:t xml:space="preserve"> m corticosteroïden</w:t>
            </w:r>
          </w:p>
        </w:tc>
      </w:tr>
      <w:tr w:rsidRPr="005F055E" w:rsidR="00CF4A75" w:rsidTr="005E2643" w14:paraId="794C6B3C"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50D0E776" w14:textId="77777777">
            <w:pPr>
              <w:suppressAutoHyphens/>
              <w:spacing w:line="240" w:lineRule="auto"/>
              <w:rPr>
                <w:rFonts w:cs="Calibri"/>
                <w:color w:val="000000"/>
                <w:sz w:val="22"/>
              </w:rPr>
            </w:pPr>
            <w:proofErr w:type="spellStart"/>
            <w:r w:rsidRPr="005F055E">
              <w:rPr>
                <w:rFonts w:cs="Calibri"/>
                <w:color w:val="000000"/>
                <w:sz w:val="22"/>
              </w:rPr>
              <w:t>Antimicrob</w:t>
            </w:r>
            <w:proofErr w:type="spellEnd"/>
            <w:r w:rsidRPr="005F055E">
              <w:rPr>
                <w:rFonts w:cs="Calibri"/>
                <w:color w:val="000000"/>
                <w:sz w:val="22"/>
              </w:rPr>
              <w:t xml:space="preserve">. </w:t>
            </w:r>
            <w:proofErr w:type="spellStart"/>
            <w:r w:rsidRPr="005F055E">
              <w:rPr>
                <w:rFonts w:cs="Calibri"/>
                <w:color w:val="000000"/>
                <w:sz w:val="22"/>
              </w:rPr>
              <w:t>midd</w:t>
            </w:r>
            <w:proofErr w:type="spellEnd"/>
            <w:r w:rsidRPr="005F055E">
              <w:rPr>
                <w:rFonts w:cs="Calibri"/>
                <w:color w:val="000000"/>
                <w:sz w:val="22"/>
              </w:rPr>
              <w:t xml:space="preserve">, </w:t>
            </w:r>
            <w:proofErr w:type="spellStart"/>
            <w:r w:rsidRPr="005F055E">
              <w:rPr>
                <w:rFonts w:cs="Calibri"/>
                <w:color w:val="000000"/>
                <w:sz w:val="22"/>
              </w:rPr>
              <w:t>comb.preparaten</w:t>
            </w:r>
            <w:proofErr w:type="spellEnd"/>
          </w:p>
        </w:tc>
      </w:tr>
      <w:tr w:rsidRPr="005F055E" w:rsidR="00CF4A75" w:rsidTr="005E2643" w14:paraId="343E496B"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03BAE70B" w14:textId="77777777">
            <w:pPr>
              <w:suppressAutoHyphens/>
              <w:spacing w:line="240" w:lineRule="auto"/>
              <w:rPr>
                <w:rFonts w:cs="Calibri"/>
                <w:color w:val="000000"/>
                <w:sz w:val="22"/>
              </w:rPr>
            </w:pPr>
            <w:proofErr w:type="spellStart"/>
            <w:r w:rsidRPr="005F055E">
              <w:rPr>
                <w:rFonts w:cs="Calibri"/>
                <w:color w:val="000000"/>
                <w:sz w:val="22"/>
              </w:rPr>
              <w:t>Antimicrob.midd</w:t>
            </w:r>
            <w:proofErr w:type="spellEnd"/>
            <w:r w:rsidRPr="005F055E">
              <w:rPr>
                <w:rFonts w:cs="Calibri"/>
                <w:color w:val="000000"/>
                <w:sz w:val="22"/>
              </w:rPr>
              <w:t xml:space="preserve">., ex </w:t>
            </w:r>
            <w:proofErr w:type="spellStart"/>
            <w:r w:rsidRPr="005F055E">
              <w:rPr>
                <w:rFonts w:cs="Calibri"/>
                <w:color w:val="000000"/>
                <w:sz w:val="22"/>
              </w:rPr>
              <w:t>comb</w:t>
            </w:r>
            <w:proofErr w:type="spellEnd"/>
            <w:r w:rsidRPr="005F055E">
              <w:rPr>
                <w:rFonts w:cs="Calibri"/>
                <w:color w:val="000000"/>
                <w:sz w:val="22"/>
              </w:rPr>
              <w:t xml:space="preserve"> </w:t>
            </w:r>
            <w:proofErr w:type="spellStart"/>
            <w:r w:rsidRPr="005F055E">
              <w:rPr>
                <w:rFonts w:cs="Calibri"/>
                <w:color w:val="000000"/>
                <w:sz w:val="22"/>
              </w:rPr>
              <w:t>corticost</w:t>
            </w:r>
            <w:proofErr w:type="spellEnd"/>
          </w:p>
        </w:tc>
      </w:tr>
      <w:tr w:rsidRPr="005F055E" w:rsidR="00CF4A75" w:rsidTr="005E2643" w14:paraId="34B3F1AA"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54935F18" w14:textId="77777777">
            <w:pPr>
              <w:suppressAutoHyphens/>
              <w:spacing w:line="240" w:lineRule="auto"/>
              <w:rPr>
                <w:rFonts w:cs="Calibri"/>
                <w:color w:val="000000"/>
                <w:sz w:val="22"/>
              </w:rPr>
            </w:pPr>
            <w:r w:rsidRPr="005F055E">
              <w:rPr>
                <w:rFonts w:cs="Calibri"/>
                <w:color w:val="000000"/>
                <w:sz w:val="22"/>
              </w:rPr>
              <w:t>Antimicrobiële darmmiddelen</w:t>
            </w:r>
          </w:p>
        </w:tc>
      </w:tr>
      <w:tr w:rsidRPr="005F055E" w:rsidR="00CF4A75" w:rsidTr="005E2643" w14:paraId="2DCE6AD7"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764AC758" w14:textId="77777777">
            <w:pPr>
              <w:suppressAutoHyphens/>
              <w:spacing w:line="240" w:lineRule="auto"/>
              <w:rPr>
                <w:rFonts w:cs="Calibri"/>
                <w:color w:val="000000"/>
                <w:sz w:val="22"/>
              </w:rPr>
            </w:pPr>
            <w:r w:rsidRPr="005F055E">
              <w:rPr>
                <w:rFonts w:cs="Calibri"/>
                <w:color w:val="000000"/>
                <w:sz w:val="22"/>
              </w:rPr>
              <w:t>Antimicrobiële middelen</w:t>
            </w:r>
          </w:p>
        </w:tc>
      </w:tr>
      <w:tr w:rsidRPr="005F055E" w:rsidR="00CF4A75" w:rsidTr="005E2643" w14:paraId="17C3722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62E574EC" w14:textId="77777777">
            <w:pPr>
              <w:suppressAutoHyphens/>
              <w:spacing w:line="240" w:lineRule="auto"/>
              <w:rPr>
                <w:rFonts w:cs="Calibri"/>
                <w:color w:val="000000"/>
                <w:sz w:val="22"/>
              </w:rPr>
            </w:pPr>
            <w:r w:rsidRPr="005F055E">
              <w:rPr>
                <w:rFonts w:cs="Calibri"/>
                <w:color w:val="000000"/>
                <w:sz w:val="22"/>
              </w:rPr>
              <w:t>Antimicrobiële middelen</w:t>
            </w:r>
          </w:p>
        </w:tc>
      </w:tr>
      <w:tr w:rsidRPr="005F055E" w:rsidR="00CF4A75" w:rsidTr="005E2643" w14:paraId="134A7B62"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3FFE2126" w14:textId="77777777">
            <w:pPr>
              <w:suppressAutoHyphens/>
              <w:spacing w:line="240" w:lineRule="auto"/>
              <w:rPr>
                <w:rFonts w:cs="Calibri"/>
                <w:color w:val="000000"/>
                <w:sz w:val="22"/>
              </w:rPr>
            </w:pPr>
            <w:r w:rsidRPr="005F055E">
              <w:rPr>
                <w:rFonts w:cs="Calibri"/>
                <w:color w:val="000000"/>
                <w:sz w:val="22"/>
              </w:rPr>
              <w:t>Antimicrobiële middelen</w:t>
            </w:r>
          </w:p>
        </w:tc>
      </w:tr>
      <w:tr w:rsidRPr="005F055E" w:rsidR="00CF4A75" w:rsidTr="005E2643" w14:paraId="6FA770C6"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B6C2A81" w14:textId="77777777">
            <w:pPr>
              <w:suppressAutoHyphens/>
              <w:spacing w:line="240" w:lineRule="auto"/>
              <w:rPr>
                <w:rFonts w:cs="Calibri"/>
                <w:color w:val="000000"/>
                <w:sz w:val="22"/>
              </w:rPr>
            </w:pPr>
            <w:r w:rsidRPr="005F055E">
              <w:rPr>
                <w:rFonts w:cs="Calibri"/>
                <w:color w:val="000000"/>
                <w:sz w:val="22"/>
              </w:rPr>
              <w:t>Antimycotica v systemisch gebruik</w:t>
            </w:r>
          </w:p>
        </w:tc>
      </w:tr>
      <w:tr w:rsidRPr="005F055E" w:rsidR="00CF4A75" w:rsidTr="005E2643" w14:paraId="2713582B"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059E5AF0" w14:textId="77777777">
            <w:pPr>
              <w:suppressAutoHyphens/>
              <w:spacing w:line="240" w:lineRule="auto"/>
              <w:rPr>
                <w:rFonts w:cs="Calibri"/>
                <w:color w:val="000000"/>
                <w:sz w:val="22"/>
              </w:rPr>
            </w:pPr>
            <w:r w:rsidRPr="005F055E">
              <w:rPr>
                <w:rFonts w:cs="Calibri"/>
                <w:color w:val="000000"/>
                <w:sz w:val="22"/>
              </w:rPr>
              <w:t>Antimycotica v systemisch gebruik</w:t>
            </w:r>
          </w:p>
        </w:tc>
      </w:tr>
      <w:tr w:rsidRPr="005F055E" w:rsidR="00CF4A75" w:rsidTr="005E2643" w14:paraId="6BC6FEE9"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C2A3F31" w14:textId="77777777">
            <w:pPr>
              <w:suppressAutoHyphens/>
              <w:spacing w:line="240" w:lineRule="auto"/>
              <w:rPr>
                <w:rFonts w:cs="Calibri"/>
                <w:color w:val="000000"/>
                <w:sz w:val="22"/>
              </w:rPr>
            </w:pPr>
            <w:r w:rsidRPr="005F055E">
              <w:rPr>
                <w:rFonts w:cs="Calibri"/>
                <w:color w:val="000000"/>
                <w:sz w:val="22"/>
              </w:rPr>
              <w:t>Antimycotica, lokale</w:t>
            </w:r>
          </w:p>
        </w:tc>
      </w:tr>
      <w:tr w:rsidRPr="005F055E" w:rsidR="00CF4A75" w:rsidTr="005E2643" w14:paraId="1DF8E159"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C2E0EC1" w14:textId="77777777">
            <w:pPr>
              <w:suppressAutoHyphens/>
              <w:spacing w:line="240" w:lineRule="auto"/>
              <w:rPr>
                <w:rFonts w:cs="Calibri"/>
                <w:color w:val="000000"/>
                <w:sz w:val="22"/>
              </w:rPr>
            </w:pPr>
            <w:proofErr w:type="spellStart"/>
            <w:r w:rsidRPr="005F055E">
              <w:rPr>
                <w:rFonts w:cs="Calibri"/>
                <w:color w:val="000000"/>
                <w:sz w:val="22"/>
              </w:rPr>
              <w:t>Antiparathyreoide</w:t>
            </w:r>
            <w:proofErr w:type="spellEnd"/>
            <w:r w:rsidRPr="005F055E">
              <w:rPr>
                <w:rFonts w:cs="Calibri"/>
                <w:color w:val="000000"/>
                <w:sz w:val="22"/>
              </w:rPr>
              <w:t xml:space="preserve"> middelen</w:t>
            </w:r>
          </w:p>
        </w:tc>
      </w:tr>
      <w:tr w:rsidRPr="009873CE" w:rsidR="00CF4A75" w:rsidTr="005E2643" w14:paraId="7B762B94"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056279" w:rsidR="00CF4A75" w:rsidP="00180EEB" w:rsidRDefault="00CF4A75" w14:paraId="6FE9E800" w14:textId="77777777">
            <w:pPr>
              <w:suppressAutoHyphens/>
              <w:spacing w:line="240" w:lineRule="auto"/>
              <w:rPr>
                <w:rFonts w:cs="Calibri"/>
                <w:color w:val="000000"/>
                <w:sz w:val="22"/>
                <w:lang w:val="fr-FR"/>
              </w:rPr>
            </w:pPr>
            <w:proofErr w:type="spellStart"/>
            <w:r w:rsidRPr="00056279">
              <w:rPr>
                <w:rFonts w:cs="Calibri"/>
                <w:color w:val="000000"/>
                <w:sz w:val="22"/>
                <w:lang w:val="fr-FR"/>
              </w:rPr>
              <w:t>Antiprurit,incl.antihist</w:t>
            </w:r>
            <w:proofErr w:type="spellEnd"/>
            <w:r w:rsidRPr="00056279">
              <w:rPr>
                <w:rFonts w:cs="Calibri"/>
                <w:color w:val="000000"/>
                <w:sz w:val="22"/>
                <w:lang w:val="fr-FR"/>
              </w:rPr>
              <w:t>/</w:t>
            </w:r>
            <w:proofErr w:type="spellStart"/>
            <w:r w:rsidRPr="00056279">
              <w:rPr>
                <w:rFonts w:cs="Calibri"/>
                <w:color w:val="000000"/>
                <w:sz w:val="22"/>
                <w:lang w:val="fr-FR"/>
              </w:rPr>
              <w:t>anaest</w:t>
            </w:r>
            <w:proofErr w:type="spellEnd"/>
            <w:r w:rsidRPr="00056279">
              <w:rPr>
                <w:rFonts w:cs="Calibri"/>
                <w:color w:val="000000"/>
                <w:sz w:val="22"/>
                <w:lang w:val="fr-FR"/>
              </w:rPr>
              <w:t xml:space="preserve"> </w:t>
            </w:r>
            <w:proofErr w:type="spellStart"/>
            <w:r w:rsidRPr="00056279">
              <w:rPr>
                <w:rFonts w:cs="Calibri"/>
                <w:color w:val="000000"/>
                <w:sz w:val="22"/>
                <w:lang w:val="fr-FR"/>
              </w:rPr>
              <w:t>etc</w:t>
            </w:r>
            <w:proofErr w:type="spellEnd"/>
          </w:p>
        </w:tc>
      </w:tr>
      <w:tr w:rsidRPr="005F055E" w:rsidR="00CF4A75" w:rsidTr="005E2643" w14:paraId="6EBE7F69"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7F72B609" w14:textId="77777777">
            <w:pPr>
              <w:suppressAutoHyphens/>
              <w:spacing w:line="240" w:lineRule="auto"/>
              <w:rPr>
                <w:rFonts w:cs="Calibri"/>
                <w:color w:val="000000"/>
                <w:sz w:val="22"/>
              </w:rPr>
            </w:pPr>
            <w:r w:rsidRPr="005F055E">
              <w:rPr>
                <w:rFonts w:cs="Calibri"/>
                <w:color w:val="000000"/>
                <w:sz w:val="22"/>
              </w:rPr>
              <w:t>Antipsychotica</w:t>
            </w:r>
          </w:p>
        </w:tc>
      </w:tr>
      <w:tr w:rsidRPr="005F055E" w:rsidR="00CF4A75" w:rsidTr="005E2643" w14:paraId="1106683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1D2AE0FF" w14:textId="77777777">
            <w:pPr>
              <w:suppressAutoHyphens/>
              <w:spacing w:line="240" w:lineRule="auto"/>
              <w:rPr>
                <w:rFonts w:cs="Calibri"/>
                <w:color w:val="000000"/>
                <w:sz w:val="22"/>
              </w:rPr>
            </w:pPr>
            <w:proofErr w:type="spellStart"/>
            <w:r w:rsidRPr="005F055E">
              <w:rPr>
                <w:rFonts w:cs="Calibri"/>
                <w:color w:val="000000"/>
                <w:sz w:val="22"/>
              </w:rPr>
              <w:t>Antirheumatica</w:t>
            </w:r>
            <w:proofErr w:type="spellEnd"/>
            <w:r w:rsidRPr="005F055E">
              <w:rPr>
                <w:rFonts w:cs="Calibri"/>
                <w:color w:val="000000"/>
                <w:sz w:val="22"/>
              </w:rPr>
              <w:t xml:space="preserve"> in engere zin</w:t>
            </w:r>
          </w:p>
        </w:tc>
      </w:tr>
      <w:tr w:rsidRPr="005F055E" w:rsidR="00CF4A75" w:rsidTr="005E2643" w14:paraId="5FB16EB0"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3DD99838" w14:textId="77777777">
            <w:pPr>
              <w:suppressAutoHyphens/>
              <w:spacing w:line="240" w:lineRule="auto"/>
              <w:rPr>
                <w:rFonts w:cs="Calibri"/>
                <w:color w:val="000000"/>
                <w:sz w:val="22"/>
              </w:rPr>
            </w:pPr>
            <w:proofErr w:type="spellStart"/>
            <w:r w:rsidRPr="005F055E">
              <w:rPr>
                <w:rFonts w:cs="Calibri"/>
                <w:color w:val="000000"/>
                <w:sz w:val="22"/>
              </w:rPr>
              <w:t>Antithrombotica</w:t>
            </w:r>
            <w:proofErr w:type="spellEnd"/>
          </w:p>
        </w:tc>
      </w:tr>
      <w:tr w:rsidRPr="005F055E" w:rsidR="00CF4A75" w:rsidTr="005E2643" w14:paraId="00FAADB7"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34F047AE" w14:textId="77777777">
            <w:pPr>
              <w:suppressAutoHyphens/>
              <w:spacing w:line="240" w:lineRule="auto"/>
              <w:rPr>
                <w:rFonts w:cs="Calibri"/>
                <w:color w:val="000000"/>
                <w:sz w:val="22"/>
              </w:rPr>
            </w:pPr>
            <w:proofErr w:type="spellStart"/>
            <w:r w:rsidRPr="005F055E">
              <w:rPr>
                <w:rFonts w:cs="Calibri"/>
                <w:color w:val="000000"/>
                <w:sz w:val="22"/>
              </w:rPr>
              <w:t>Antivaricosa</w:t>
            </w:r>
            <w:proofErr w:type="spellEnd"/>
          </w:p>
        </w:tc>
      </w:tr>
      <w:tr w:rsidRPr="005F055E" w:rsidR="00CF4A75" w:rsidTr="005E2643" w14:paraId="554E932B"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2BE6EE3E" w14:textId="77777777">
            <w:pPr>
              <w:suppressAutoHyphens/>
              <w:spacing w:line="240" w:lineRule="auto"/>
              <w:rPr>
                <w:rFonts w:cs="Calibri"/>
                <w:color w:val="000000"/>
                <w:sz w:val="22"/>
              </w:rPr>
            </w:pPr>
            <w:r w:rsidRPr="005F055E">
              <w:rPr>
                <w:rFonts w:cs="Calibri"/>
                <w:color w:val="000000"/>
                <w:sz w:val="22"/>
              </w:rPr>
              <w:t>Anxiolytica</w:t>
            </w:r>
          </w:p>
        </w:tc>
      </w:tr>
      <w:tr w:rsidRPr="005F055E" w:rsidR="00CF4A75" w:rsidTr="005E2643" w14:paraId="7C36EF7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4270CB60" w14:textId="77777777">
            <w:pPr>
              <w:suppressAutoHyphens/>
              <w:spacing w:line="240" w:lineRule="auto"/>
              <w:rPr>
                <w:rFonts w:cs="Calibri"/>
                <w:color w:val="000000"/>
                <w:sz w:val="22"/>
              </w:rPr>
            </w:pPr>
            <w:r w:rsidRPr="005F055E">
              <w:rPr>
                <w:rFonts w:cs="Calibri"/>
                <w:color w:val="000000"/>
                <w:sz w:val="22"/>
              </w:rPr>
              <w:t xml:space="preserve">Ascorbinezuur, </w:t>
            </w:r>
            <w:proofErr w:type="spellStart"/>
            <w:r w:rsidRPr="005F055E">
              <w:rPr>
                <w:rFonts w:cs="Calibri"/>
                <w:color w:val="000000"/>
                <w:sz w:val="22"/>
              </w:rPr>
              <w:t>incl</w:t>
            </w:r>
            <w:proofErr w:type="spellEnd"/>
            <w:r w:rsidRPr="005F055E">
              <w:rPr>
                <w:rFonts w:cs="Calibri"/>
                <w:color w:val="000000"/>
                <w:sz w:val="22"/>
              </w:rPr>
              <w:t xml:space="preserve"> </w:t>
            </w:r>
            <w:proofErr w:type="spellStart"/>
            <w:r w:rsidRPr="005F055E">
              <w:rPr>
                <w:rFonts w:cs="Calibri"/>
                <w:color w:val="000000"/>
                <w:sz w:val="22"/>
              </w:rPr>
              <w:t>comb.preparaten</w:t>
            </w:r>
            <w:proofErr w:type="spellEnd"/>
          </w:p>
        </w:tc>
      </w:tr>
      <w:tr w:rsidRPr="005F055E" w:rsidR="00CF4A75" w:rsidTr="005E2643" w14:paraId="1E89DE75"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628EE23B" w14:textId="77777777">
            <w:pPr>
              <w:suppressAutoHyphens/>
              <w:spacing w:line="240" w:lineRule="auto"/>
              <w:rPr>
                <w:rFonts w:cs="Calibri"/>
                <w:color w:val="000000"/>
                <w:sz w:val="22"/>
              </w:rPr>
            </w:pPr>
            <w:r w:rsidRPr="005F055E">
              <w:rPr>
                <w:rFonts w:cs="Calibri"/>
                <w:color w:val="000000"/>
                <w:sz w:val="22"/>
              </w:rPr>
              <w:t>Bacteriële vaccins</w:t>
            </w:r>
          </w:p>
        </w:tc>
      </w:tr>
      <w:tr w:rsidRPr="005F055E" w:rsidR="00CF4A75" w:rsidTr="005E2643" w14:paraId="58BBB8D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A27ECFF" w14:textId="77777777">
            <w:pPr>
              <w:suppressAutoHyphens/>
              <w:spacing w:line="240" w:lineRule="auto"/>
              <w:rPr>
                <w:rFonts w:cs="Calibri"/>
                <w:color w:val="000000"/>
                <w:sz w:val="22"/>
              </w:rPr>
            </w:pPr>
            <w:r w:rsidRPr="005F055E">
              <w:rPr>
                <w:rFonts w:cs="Calibri"/>
                <w:color w:val="000000"/>
                <w:sz w:val="22"/>
              </w:rPr>
              <w:t>Bacteriële vaccins m virale vaccins</w:t>
            </w:r>
          </w:p>
        </w:tc>
      </w:tr>
      <w:tr w:rsidRPr="005F055E" w:rsidR="00CF4A75" w:rsidTr="005E2643" w14:paraId="3C33CB4F"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34AF17E0" w14:textId="77777777">
            <w:pPr>
              <w:suppressAutoHyphens/>
              <w:spacing w:line="240" w:lineRule="auto"/>
              <w:rPr>
                <w:rFonts w:cs="Calibri"/>
                <w:color w:val="000000"/>
                <w:sz w:val="22"/>
              </w:rPr>
            </w:pPr>
            <w:r w:rsidRPr="005F055E">
              <w:rPr>
                <w:rFonts w:cs="Calibri"/>
                <w:color w:val="000000"/>
                <w:sz w:val="22"/>
              </w:rPr>
              <w:t>Belladonna en derivaten</w:t>
            </w:r>
          </w:p>
        </w:tc>
      </w:tr>
      <w:tr w:rsidRPr="005F055E" w:rsidR="00CF4A75" w:rsidTr="005E2643" w14:paraId="148EE9A0"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A0B74DC" w14:textId="77777777">
            <w:pPr>
              <w:suppressAutoHyphens/>
              <w:spacing w:line="240" w:lineRule="auto"/>
              <w:rPr>
                <w:rFonts w:cs="Calibri"/>
                <w:color w:val="000000"/>
                <w:sz w:val="22"/>
              </w:rPr>
            </w:pPr>
            <w:proofErr w:type="spellStart"/>
            <w:r w:rsidRPr="005F055E">
              <w:rPr>
                <w:rFonts w:cs="Calibri"/>
                <w:color w:val="000000"/>
                <w:sz w:val="22"/>
              </w:rPr>
              <w:t>Beta-blokk.m</w:t>
            </w:r>
            <w:proofErr w:type="spellEnd"/>
            <w:r w:rsidRPr="005F055E">
              <w:rPr>
                <w:rFonts w:cs="Calibri"/>
                <w:color w:val="000000"/>
                <w:sz w:val="22"/>
              </w:rPr>
              <w:t xml:space="preserve"> </w:t>
            </w:r>
            <w:proofErr w:type="spellStart"/>
            <w:r w:rsidRPr="005F055E">
              <w:rPr>
                <w:rFonts w:cs="Calibri"/>
                <w:color w:val="000000"/>
                <w:sz w:val="22"/>
              </w:rPr>
              <w:t>thiaziden</w:t>
            </w:r>
            <w:proofErr w:type="spellEnd"/>
            <w:r w:rsidRPr="005F055E">
              <w:rPr>
                <w:rFonts w:cs="Calibri"/>
                <w:color w:val="000000"/>
                <w:sz w:val="22"/>
              </w:rPr>
              <w:t xml:space="preserve"> en ov </w:t>
            </w:r>
            <w:proofErr w:type="spellStart"/>
            <w:r w:rsidRPr="005F055E">
              <w:rPr>
                <w:rFonts w:cs="Calibri"/>
                <w:color w:val="000000"/>
                <w:sz w:val="22"/>
              </w:rPr>
              <w:t>diuret</w:t>
            </w:r>
            <w:proofErr w:type="spellEnd"/>
          </w:p>
        </w:tc>
      </w:tr>
      <w:tr w:rsidRPr="005F055E" w:rsidR="00CF4A75" w:rsidTr="005E2643" w14:paraId="687277B1"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9A56076" w14:textId="77777777">
            <w:pPr>
              <w:suppressAutoHyphens/>
              <w:spacing w:line="240" w:lineRule="auto"/>
              <w:rPr>
                <w:rFonts w:cs="Calibri"/>
                <w:color w:val="000000"/>
                <w:sz w:val="22"/>
              </w:rPr>
            </w:pPr>
            <w:proofErr w:type="spellStart"/>
            <w:r w:rsidRPr="005F055E">
              <w:rPr>
                <w:rFonts w:cs="Calibri"/>
                <w:color w:val="000000"/>
                <w:sz w:val="22"/>
              </w:rPr>
              <w:t>Beta</w:t>
            </w:r>
            <w:proofErr w:type="spellEnd"/>
            <w:r w:rsidRPr="005F055E">
              <w:rPr>
                <w:rFonts w:cs="Calibri"/>
                <w:color w:val="000000"/>
                <w:sz w:val="22"/>
              </w:rPr>
              <w:t>-blokkers</w:t>
            </w:r>
          </w:p>
        </w:tc>
      </w:tr>
      <w:tr w:rsidRPr="005F055E" w:rsidR="00CF4A75" w:rsidTr="005E2643" w14:paraId="1E041E1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0A669F90" w14:textId="77777777">
            <w:pPr>
              <w:suppressAutoHyphens/>
              <w:spacing w:line="240" w:lineRule="auto"/>
              <w:rPr>
                <w:rFonts w:cs="Calibri"/>
                <w:color w:val="000000"/>
                <w:sz w:val="22"/>
              </w:rPr>
            </w:pPr>
            <w:proofErr w:type="spellStart"/>
            <w:r w:rsidRPr="005F055E">
              <w:rPr>
                <w:rFonts w:cs="Calibri"/>
                <w:color w:val="000000"/>
                <w:sz w:val="22"/>
              </w:rPr>
              <w:t>Beta</w:t>
            </w:r>
            <w:proofErr w:type="spellEnd"/>
            <w:r w:rsidRPr="005F055E">
              <w:rPr>
                <w:rFonts w:cs="Calibri"/>
                <w:color w:val="000000"/>
                <w:sz w:val="22"/>
              </w:rPr>
              <w:t>-blokkers m ov antihypertensiva</w:t>
            </w:r>
          </w:p>
        </w:tc>
      </w:tr>
      <w:tr w:rsidRPr="005F055E" w:rsidR="00CF4A75" w:rsidTr="005E2643" w14:paraId="04A4DF45"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1F0457B1" w14:textId="77777777">
            <w:pPr>
              <w:suppressAutoHyphens/>
              <w:spacing w:line="240" w:lineRule="auto"/>
              <w:rPr>
                <w:rFonts w:cs="Calibri"/>
                <w:color w:val="000000"/>
                <w:sz w:val="22"/>
              </w:rPr>
            </w:pPr>
            <w:proofErr w:type="spellStart"/>
            <w:r w:rsidRPr="005F055E">
              <w:rPr>
                <w:rFonts w:cs="Calibri"/>
                <w:color w:val="000000"/>
                <w:sz w:val="22"/>
              </w:rPr>
              <w:t>Beta</w:t>
            </w:r>
            <w:proofErr w:type="spellEnd"/>
            <w:r w:rsidRPr="005F055E">
              <w:rPr>
                <w:rFonts w:cs="Calibri"/>
                <w:color w:val="000000"/>
                <w:sz w:val="22"/>
              </w:rPr>
              <w:t>-blokkers met overige diuretica</w:t>
            </w:r>
          </w:p>
        </w:tc>
      </w:tr>
      <w:tr w:rsidRPr="005F055E" w:rsidR="00CF4A75" w:rsidTr="005E2643" w14:paraId="1E5170D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441615DC" w14:textId="77777777">
            <w:pPr>
              <w:suppressAutoHyphens/>
              <w:spacing w:line="240" w:lineRule="auto"/>
              <w:rPr>
                <w:rFonts w:cs="Calibri"/>
                <w:color w:val="000000"/>
                <w:sz w:val="22"/>
              </w:rPr>
            </w:pPr>
            <w:proofErr w:type="spellStart"/>
            <w:r w:rsidRPr="005F055E">
              <w:rPr>
                <w:rFonts w:cs="Calibri"/>
                <w:color w:val="000000"/>
                <w:sz w:val="22"/>
              </w:rPr>
              <w:t>Beta</w:t>
            </w:r>
            <w:proofErr w:type="spellEnd"/>
            <w:r w:rsidRPr="005F055E">
              <w:rPr>
                <w:rFonts w:cs="Calibri"/>
                <w:color w:val="000000"/>
                <w:sz w:val="22"/>
              </w:rPr>
              <w:t xml:space="preserve">-blokkers met </w:t>
            </w:r>
            <w:proofErr w:type="spellStart"/>
            <w:r w:rsidRPr="005F055E">
              <w:rPr>
                <w:rFonts w:cs="Calibri"/>
                <w:color w:val="000000"/>
                <w:sz w:val="22"/>
              </w:rPr>
              <w:t>thiaziden</w:t>
            </w:r>
            <w:proofErr w:type="spellEnd"/>
          </w:p>
        </w:tc>
      </w:tr>
      <w:tr w:rsidRPr="005F055E" w:rsidR="00CF4A75" w:rsidTr="005E2643" w14:paraId="00D7DDD4"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3561B7E0" w14:textId="77777777">
            <w:pPr>
              <w:suppressAutoHyphens/>
              <w:spacing w:line="240" w:lineRule="auto"/>
              <w:rPr>
                <w:rFonts w:cs="Calibri"/>
                <w:color w:val="000000"/>
                <w:sz w:val="22"/>
              </w:rPr>
            </w:pPr>
            <w:proofErr w:type="spellStart"/>
            <w:r w:rsidRPr="005F055E">
              <w:rPr>
                <w:rFonts w:cs="Calibri"/>
                <w:color w:val="000000"/>
                <w:sz w:val="22"/>
              </w:rPr>
              <w:t>Beta</w:t>
            </w:r>
            <w:proofErr w:type="spellEnd"/>
            <w:r w:rsidRPr="005F055E">
              <w:rPr>
                <w:rFonts w:cs="Calibri"/>
                <w:color w:val="000000"/>
                <w:sz w:val="22"/>
              </w:rPr>
              <w:t xml:space="preserve">-blokkers met </w:t>
            </w:r>
            <w:proofErr w:type="spellStart"/>
            <w:r w:rsidRPr="005F055E">
              <w:rPr>
                <w:rFonts w:cs="Calibri"/>
                <w:color w:val="000000"/>
                <w:sz w:val="22"/>
              </w:rPr>
              <w:t>vasodilatantia</w:t>
            </w:r>
            <w:proofErr w:type="spellEnd"/>
          </w:p>
        </w:tc>
      </w:tr>
      <w:tr w:rsidRPr="005F055E" w:rsidR="00CF4A75" w:rsidTr="005E2643" w14:paraId="7B89954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7465AC22" w14:textId="77777777">
            <w:pPr>
              <w:suppressAutoHyphens/>
              <w:spacing w:line="240" w:lineRule="auto"/>
              <w:rPr>
                <w:rFonts w:cs="Calibri"/>
                <w:color w:val="000000"/>
                <w:sz w:val="22"/>
              </w:rPr>
            </w:pPr>
            <w:proofErr w:type="spellStart"/>
            <w:r w:rsidRPr="005F055E">
              <w:rPr>
                <w:rFonts w:cs="Calibri"/>
                <w:color w:val="000000"/>
                <w:sz w:val="22"/>
              </w:rPr>
              <w:t>Betalactam-antibiotica,penicillines</w:t>
            </w:r>
            <w:proofErr w:type="spellEnd"/>
          </w:p>
        </w:tc>
      </w:tr>
      <w:tr w:rsidRPr="005F055E" w:rsidR="00CF4A75" w:rsidTr="005E2643" w14:paraId="53F6B54D"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6831A794" w14:textId="77777777">
            <w:pPr>
              <w:suppressAutoHyphens/>
              <w:spacing w:line="240" w:lineRule="auto"/>
              <w:rPr>
                <w:rFonts w:cs="Calibri"/>
                <w:color w:val="000000"/>
                <w:sz w:val="22"/>
              </w:rPr>
            </w:pPr>
            <w:r w:rsidRPr="005F055E">
              <w:rPr>
                <w:rFonts w:cs="Calibri"/>
                <w:color w:val="000000"/>
                <w:sz w:val="22"/>
              </w:rPr>
              <w:t>Bijschildklierhormonen en analogen</w:t>
            </w:r>
          </w:p>
        </w:tc>
      </w:tr>
      <w:tr w:rsidRPr="005F055E" w:rsidR="00CF4A75" w:rsidTr="005E2643" w14:paraId="2EEF1BA3"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3A963153" w14:textId="77777777">
            <w:pPr>
              <w:suppressAutoHyphens/>
              <w:spacing w:line="240" w:lineRule="auto"/>
              <w:rPr>
                <w:rFonts w:cs="Calibri"/>
                <w:color w:val="000000"/>
                <w:sz w:val="22"/>
              </w:rPr>
            </w:pPr>
            <w:proofErr w:type="spellStart"/>
            <w:r w:rsidRPr="005F055E">
              <w:rPr>
                <w:rFonts w:cs="Calibri"/>
                <w:color w:val="000000"/>
                <w:sz w:val="22"/>
              </w:rPr>
              <w:t>Bloedgluc.verlag.midd</w:t>
            </w:r>
            <w:proofErr w:type="spellEnd"/>
            <w:r w:rsidRPr="005F055E">
              <w:rPr>
                <w:rFonts w:cs="Calibri"/>
                <w:color w:val="000000"/>
                <w:sz w:val="22"/>
              </w:rPr>
              <w:t xml:space="preserve"> ex. </w:t>
            </w:r>
            <w:proofErr w:type="spellStart"/>
            <w:r w:rsidRPr="005F055E">
              <w:rPr>
                <w:rFonts w:cs="Calibri"/>
                <w:color w:val="000000"/>
                <w:sz w:val="22"/>
              </w:rPr>
              <w:t>insulines</w:t>
            </w:r>
            <w:proofErr w:type="spellEnd"/>
          </w:p>
        </w:tc>
      </w:tr>
      <w:tr w:rsidRPr="005F055E" w:rsidR="00CF4A75" w:rsidTr="005E2643" w14:paraId="0616C587"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260417EE" w14:textId="77777777">
            <w:pPr>
              <w:suppressAutoHyphens/>
              <w:spacing w:line="240" w:lineRule="auto"/>
              <w:rPr>
                <w:rFonts w:cs="Calibri"/>
                <w:color w:val="000000"/>
                <w:sz w:val="22"/>
              </w:rPr>
            </w:pPr>
            <w:r w:rsidRPr="005F055E">
              <w:rPr>
                <w:rFonts w:cs="Calibri"/>
                <w:color w:val="000000"/>
                <w:sz w:val="22"/>
              </w:rPr>
              <w:t>Bloedproducten en verwante middelen</w:t>
            </w:r>
          </w:p>
        </w:tc>
      </w:tr>
      <w:tr w:rsidRPr="005F055E" w:rsidR="00CF4A75" w:rsidTr="005E2643" w14:paraId="6D7A6EF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32A48B22" w14:textId="77777777">
            <w:pPr>
              <w:suppressAutoHyphens/>
              <w:spacing w:line="240" w:lineRule="auto"/>
              <w:rPr>
                <w:rFonts w:cs="Calibri"/>
                <w:color w:val="000000"/>
                <w:sz w:val="22"/>
              </w:rPr>
            </w:pPr>
            <w:proofErr w:type="spellStart"/>
            <w:r w:rsidRPr="005F055E">
              <w:rPr>
                <w:rFonts w:cs="Calibri"/>
                <w:color w:val="000000"/>
                <w:sz w:val="22"/>
              </w:rPr>
              <w:t>Botstruct+botmineralis.beïnvl</w:t>
            </w:r>
            <w:proofErr w:type="spellEnd"/>
            <w:r w:rsidRPr="005F055E">
              <w:rPr>
                <w:rFonts w:cs="Calibri"/>
                <w:color w:val="000000"/>
                <w:sz w:val="22"/>
              </w:rPr>
              <w:t xml:space="preserve">. </w:t>
            </w:r>
            <w:proofErr w:type="spellStart"/>
            <w:r w:rsidRPr="005F055E">
              <w:rPr>
                <w:rFonts w:cs="Calibri"/>
                <w:color w:val="000000"/>
                <w:sz w:val="22"/>
              </w:rPr>
              <w:t>midd</w:t>
            </w:r>
            <w:proofErr w:type="spellEnd"/>
          </w:p>
        </w:tc>
      </w:tr>
      <w:tr w:rsidRPr="005F055E" w:rsidR="00CF4A75" w:rsidTr="005E2643" w14:paraId="2CD730A1"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0CFEFA5B" w14:textId="77777777">
            <w:pPr>
              <w:suppressAutoHyphens/>
              <w:spacing w:line="240" w:lineRule="auto"/>
              <w:rPr>
                <w:rFonts w:cs="Calibri"/>
                <w:color w:val="000000"/>
                <w:sz w:val="22"/>
              </w:rPr>
            </w:pPr>
            <w:r w:rsidRPr="005F055E">
              <w:rPr>
                <w:rFonts w:cs="Calibri"/>
                <w:color w:val="000000"/>
                <w:sz w:val="22"/>
              </w:rPr>
              <w:t>Calcium</w:t>
            </w:r>
          </w:p>
        </w:tc>
      </w:tr>
      <w:tr w:rsidRPr="005F055E" w:rsidR="00CF4A75" w:rsidTr="005E2643" w14:paraId="549C31A2"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56715379" w14:textId="77777777">
            <w:pPr>
              <w:suppressAutoHyphens/>
              <w:spacing w:line="240" w:lineRule="auto"/>
              <w:rPr>
                <w:rFonts w:cs="Calibri"/>
                <w:color w:val="000000"/>
                <w:sz w:val="22"/>
              </w:rPr>
            </w:pPr>
            <w:r w:rsidRPr="005F055E">
              <w:rPr>
                <w:rFonts w:cs="Calibri"/>
                <w:color w:val="000000"/>
                <w:sz w:val="22"/>
              </w:rPr>
              <w:t>Calciumantagonisten met diuretica</w:t>
            </w:r>
          </w:p>
        </w:tc>
      </w:tr>
      <w:tr w:rsidRPr="005F055E" w:rsidR="00CF4A75" w:rsidTr="005E2643" w14:paraId="46C66166"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0728E42E" w14:textId="77777777">
            <w:pPr>
              <w:suppressAutoHyphens/>
              <w:spacing w:line="240" w:lineRule="auto"/>
              <w:rPr>
                <w:rFonts w:cs="Calibri"/>
                <w:color w:val="000000"/>
                <w:sz w:val="22"/>
              </w:rPr>
            </w:pPr>
            <w:proofErr w:type="spellStart"/>
            <w:r w:rsidRPr="005F055E">
              <w:rPr>
                <w:rFonts w:cs="Calibri"/>
                <w:color w:val="000000"/>
                <w:sz w:val="22"/>
              </w:rPr>
              <w:t>Capillairstabiliserende</w:t>
            </w:r>
            <w:proofErr w:type="spellEnd"/>
            <w:r w:rsidRPr="005F055E">
              <w:rPr>
                <w:rFonts w:cs="Calibri"/>
                <w:color w:val="000000"/>
                <w:sz w:val="22"/>
              </w:rPr>
              <w:t xml:space="preserve"> middelen</w:t>
            </w:r>
          </w:p>
        </w:tc>
      </w:tr>
      <w:tr w:rsidRPr="005F055E" w:rsidR="00CF4A75" w:rsidTr="005E2643" w14:paraId="05B35E4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439351BB" w14:textId="77777777">
            <w:pPr>
              <w:suppressAutoHyphens/>
              <w:spacing w:line="240" w:lineRule="auto"/>
              <w:rPr>
                <w:rFonts w:cs="Calibri"/>
                <w:color w:val="000000"/>
                <w:sz w:val="22"/>
              </w:rPr>
            </w:pPr>
            <w:r w:rsidRPr="005F055E">
              <w:rPr>
                <w:rFonts w:cs="Calibri"/>
                <w:color w:val="000000"/>
                <w:sz w:val="22"/>
              </w:rPr>
              <w:t xml:space="preserve">Centraal werkende </w:t>
            </w:r>
            <w:proofErr w:type="spellStart"/>
            <w:r w:rsidRPr="005F055E">
              <w:rPr>
                <w:rFonts w:cs="Calibri"/>
                <w:color w:val="000000"/>
                <w:sz w:val="22"/>
              </w:rPr>
              <w:t>spierrelaxantia</w:t>
            </w:r>
            <w:proofErr w:type="spellEnd"/>
          </w:p>
        </w:tc>
      </w:tr>
      <w:tr w:rsidRPr="005F055E" w:rsidR="00CF4A75" w:rsidTr="005E2643" w14:paraId="2160CCC1"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D35BB57" w14:textId="77777777">
            <w:pPr>
              <w:suppressAutoHyphens/>
              <w:spacing w:line="240" w:lineRule="auto"/>
              <w:rPr>
                <w:rFonts w:cs="Calibri"/>
                <w:color w:val="000000"/>
                <w:sz w:val="22"/>
              </w:rPr>
            </w:pPr>
            <w:r w:rsidRPr="005F055E">
              <w:rPr>
                <w:rFonts w:cs="Calibri"/>
                <w:color w:val="000000"/>
                <w:sz w:val="22"/>
              </w:rPr>
              <w:t xml:space="preserve">Centraal werkende </w:t>
            </w:r>
            <w:proofErr w:type="spellStart"/>
            <w:r w:rsidRPr="005F055E">
              <w:rPr>
                <w:rFonts w:cs="Calibri"/>
                <w:color w:val="000000"/>
                <w:sz w:val="22"/>
              </w:rPr>
              <w:t>sympathicolytica</w:t>
            </w:r>
            <w:proofErr w:type="spellEnd"/>
          </w:p>
        </w:tc>
      </w:tr>
      <w:tr w:rsidRPr="005F055E" w:rsidR="00CF4A75" w:rsidTr="005E2643" w14:paraId="065E82B2"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199BBAEB" w14:textId="77777777">
            <w:pPr>
              <w:suppressAutoHyphens/>
              <w:spacing w:line="240" w:lineRule="auto"/>
              <w:rPr>
                <w:rFonts w:cs="Calibri"/>
                <w:color w:val="000000"/>
                <w:sz w:val="22"/>
              </w:rPr>
            </w:pPr>
            <w:r w:rsidRPr="005F055E">
              <w:rPr>
                <w:rFonts w:cs="Calibri"/>
                <w:color w:val="000000"/>
                <w:sz w:val="22"/>
              </w:rPr>
              <w:t>Centraal zenuwstelsel</w:t>
            </w:r>
          </w:p>
        </w:tc>
      </w:tr>
      <w:tr w:rsidRPr="005F055E" w:rsidR="00CF4A75" w:rsidTr="005E2643" w14:paraId="148C0BBA"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72C8986A" w14:textId="77777777">
            <w:pPr>
              <w:suppressAutoHyphens/>
              <w:spacing w:line="240" w:lineRule="auto"/>
              <w:rPr>
                <w:rFonts w:cs="Calibri"/>
                <w:color w:val="000000"/>
                <w:sz w:val="22"/>
              </w:rPr>
            </w:pPr>
            <w:proofErr w:type="spellStart"/>
            <w:r w:rsidRPr="005F055E">
              <w:rPr>
                <w:rFonts w:cs="Calibri"/>
                <w:color w:val="000000"/>
                <w:sz w:val="22"/>
              </w:rPr>
              <w:t>Chinolonen</w:t>
            </w:r>
            <w:proofErr w:type="spellEnd"/>
          </w:p>
        </w:tc>
      </w:tr>
      <w:tr w:rsidRPr="005F055E" w:rsidR="00CF4A75" w:rsidTr="005E2643" w14:paraId="3C580983"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5BAAA3BA" w14:textId="77777777">
            <w:pPr>
              <w:suppressAutoHyphens/>
              <w:spacing w:line="240" w:lineRule="auto"/>
              <w:rPr>
                <w:rFonts w:cs="Calibri"/>
                <w:color w:val="000000"/>
                <w:sz w:val="22"/>
              </w:rPr>
            </w:pPr>
            <w:r w:rsidRPr="005F055E">
              <w:rPr>
                <w:rFonts w:cs="Calibri"/>
                <w:color w:val="000000"/>
                <w:sz w:val="22"/>
              </w:rPr>
              <w:t>Chirurgische hulpmiddelen</w:t>
            </w:r>
          </w:p>
        </w:tc>
      </w:tr>
      <w:tr w:rsidRPr="009873CE" w:rsidR="00CF4A75" w:rsidTr="005E2643" w14:paraId="5CD965B0"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056279" w:rsidR="00CF4A75" w:rsidP="00180EEB" w:rsidRDefault="00CF4A75" w14:paraId="1871B27F" w14:textId="77777777">
            <w:pPr>
              <w:suppressAutoHyphens/>
              <w:spacing w:line="240" w:lineRule="auto"/>
              <w:rPr>
                <w:rFonts w:cs="Calibri"/>
                <w:color w:val="000000"/>
                <w:sz w:val="22"/>
                <w:lang w:val="es-ES"/>
              </w:rPr>
            </w:pPr>
            <w:proofErr w:type="spellStart"/>
            <w:r w:rsidRPr="00056279">
              <w:rPr>
                <w:rFonts w:cs="Calibri"/>
                <w:color w:val="000000"/>
                <w:sz w:val="22"/>
                <w:lang w:val="es-ES"/>
              </w:rPr>
              <w:t>Comb</w:t>
            </w:r>
            <w:proofErr w:type="spellEnd"/>
            <w:r w:rsidRPr="00056279">
              <w:rPr>
                <w:rFonts w:cs="Calibri"/>
                <w:color w:val="000000"/>
                <w:sz w:val="22"/>
                <w:lang w:val="es-ES"/>
              </w:rPr>
              <w:t xml:space="preserve"> </w:t>
            </w:r>
            <w:proofErr w:type="spellStart"/>
            <w:r w:rsidRPr="00056279">
              <w:rPr>
                <w:rFonts w:cs="Calibri"/>
                <w:color w:val="000000"/>
                <w:sz w:val="22"/>
                <w:lang w:val="es-ES"/>
              </w:rPr>
              <w:t>antihypertensiva</w:t>
            </w:r>
            <w:proofErr w:type="spellEnd"/>
            <w:r w:rsidRPr="00056279">
              <w:rPr>
                <w:rFonts w:cs="Calibri"/>
                <w:color w:val="000000"/>
                <w:sz w:val="22"/>
                <w:lang w:val="es-ES"/>
              </w:rPr>
              <w:t xml:space="preserve"> </w:t>
            </w:r>
            <w:proofErr w:type="spellStart"/>
            <w:r w:rsidRPr="00056279">
              <w:rPr>
                <w:rFonts w:cs="Calibri"/>
                <w:color w:val="000000"/>
                <w:sz w:val="22"/>
                <w:lang w:val="es-ES"/>
              </w:rPr>
              <w:t>atc-groep</w:t>
            </w:r>
            <w:proofErr w:type="spellEnd"/>
            <w:r w:rsidRPr="00056279">
              <w:rPr>
                <w:rFonts w:cs="Calibri"/>
                <w:color w:val="000000"/>
                <w:sz w:val="22"/>
                <w:lang w:val="es-ES"/>
              </w:rPr>
              <w:t xml:space="preserve"> C02</w:t>
            </w:r>
          </w:p>
        </w:tc>
      </w:tr>
      <w:tr w:rsidRPr="005F055E" w:rsidR="00CF4A75" w:rsidTr="005E2643" w14:paraId="0BF3A80A"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1B1EE995" w14:textId="77777777">
            <w:pPr>
              <w:suppressAutoHyphens/>
              <w:spacing w:line="240" w:lineRule="auto"/>
              <w:rPr>
                <w:rFonts w:cs="Calibri"/>
                <w:color w:val="000000"/>
                <w:sz w:val="22"/>
              </w:rPr>
            </w:pPr>
            <w:r w:rsidRPr="005F055E">
              <w:rPr>
                <w:rFonts w:cs="Calibri"/>
                <w:color w:val="000000"/>
                <w:sz w:val="22"/>
              </w:rPr>
              <w:t xml:space="preserve">Combinaties v antibacteriële </w:t>
            </w:r>
            <w:proofErr w:type="spellStart"/>
            <w:r w:rsidRPr="005F055E">
              <w:rPr>
                <w:rFonts w:cs="Calibri"/>
                <w:color w:val="000000"/>
                <w:sz w:val="22"/>
              </w:rPr>
              <w:t>midd</w:t>
            </w:r>
            <w:proofErr w:type="spellEnd"/>
            <w:r w:rsidRPr="005F055E">
              <w:rPr>
                <w:rFonts w:cs="Calibri"/>
                <w:color w:val="000000"/>
                <w:sz w:val="22"/>
              </w:rPr>
              <w:t>.</w:t>
            </w:r>
          </w:p>
        </w:tc>
      </w:tr>
      <w:tr w:rsidRPr="005F055E" w:rsidR="00CF4A75" w:rsidTr="005E2643" w14:paraId="2673463F"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1D822FDF" w14:textId="77777777">
            <w:pPr>
              <w:suppressAutoHyphens/>
              <w:spacing w:line="240" w:lineRule="auto"/>
              <w:rPr>
                <w:rFonts w:cs="Calibri"/>
                <w:color w:val="000000"/>
                <w:sz w:val="22"/>
              </w:rPr>
            </w:pPr>
            <w:proofErr w:type="spellStart"/>
            <w:r w:rsidRPr="005F055E">
              <w:rPr>
                <w:rFonts w:cs="Calibri"/>
                <w:color w:val="000000"/>
                <w:sz w:val="22"/>
              </w:rPr>
              <w:t>Contrastmidd</w:t>
            </w:r>
            <w:proofErr w:type="spellEnd"/>
            <w:r w:rsidRPr="005F055E">
              <w:rPr>
                <w:rFonts w:cs="Calibri"/>
                <w:color w:val="000000"/>
                <w:sz w:val="22"/>
              </w:rPr>
              <w:t>. kernspintomografie</w:t>
            </w:r>
          </w:p>
        </w:tc>
      </w:tr>
      <w:tr w:rsidRPr="005F055E" w:rsidR="00CF4A75" w:rsidTr="005E2643" w14:paraId="414344BB"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F5A9643" w14:textId="77777777">
            <w:pPr>
              <w:suppressAutoHyphens/>
              <w:spacing w:line="240" w:lineRule="auto"/>
              <w:rPr>
                <w:rFonts w:cs="Calibri"/>
                <w:color w:val="000000"/>
                <w:sz w:val="22"/>
              </w:rPr>
            </w:pPr>
            <w:proofErr w:type="spellStart"/>
            <w:r w:rsidRPr="005F055E">
              <w:rPr>
                <w:rFonts w:cs="Calibri"/>
                <w:color w:val="000000"/>
                <w:sz w:val="22"/>
              </w:rPr>
              <w:t>Contrastmidd.onderz</w:t>
            </w:r>
            <w:proofErr w:type="spellEnd"/>
            <w:r w:rsidRPr="005F055E">
              <w:rPr>
                <w:rFonts w:cs="Calibri"/>
                <w:color w:val="000000"/>
                <w:sz w:val="22"/>
              </w:rPr>
              <w:t xml:space="preserve"> met ultrageluid</w:t>
            </w:r>
          </w:p>
        </w:tc>
      </w:tr>
      <w:tr w:rsidRPr="005F055E" w:rsidR="00CF4A75" w:rsidTr="005E2643" w14:paraId="2F7209F6"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CB0A335" w14:textId="77777777">
            <w:pPr>
              <w:suppressAutoHyphens/>
              <w:spacing w:line="240" w:lineRule="auto"/>
              <w:rPr>
                <w:rFonts w:cs="Calibri"/>
                <w:color w:val="000000"/>
                <w:sz w:val="22"/>
              </w:rPr>
            </w:pPr>
            <w:proofErr w:type="spellStart"/>
            <w:r w:rsidRPr="005F055E">
              <w:rPr>
                <w:rFonts w:cs="Calibri"/>
                <w:color w:val="000000"/>
                <w:sz w:val="22"/>
              </w:rPr>
              <w:t>Corticosteroïd.met</w:t>
            </w:r>
            <w:proofErr w:type="spellEnd"/>
            <w:r w:rsidRPr="005F055E">
              <w:rPr>
                <w:rFonts w:cs="Calibri"/>
                <w:color w:val="000000"/>
                <w:sz w:val="22"/>
              </w:rPr>
              <w:t xml:space="preserve"> </w:t>
            </w:r>
            <w:proofErr w:type="spellStart"/>
            <w:r w:rsidRPr="005F055E">
              <w:rPr>
                <w:rFonts w:cs="Calibri"/>
                <w:color w:val="000000"/>
                <w:sz w:val="22"/>
              </w:rPr>
              <w:t>antimicrob</w:t>
            </w:r>
            <w:proofErr w:type="spellEnd"/>
            <w:r w:rsidRPr="005F055E">
              <w:rPr>
                <w:rFonts w:cs="Calibri"/>
                <w:color w:val="000000"/>
                <w:sz w:val="22"/>
              </w:rPr>
              <w:t xml:space="preserve">. </w:t>
            </w:r>
            <w:proofErr w:type="spellStart"/>
            <w:r w:rsidRPr="005F055E">
              <w:rPr>
                <w:rFonts w:cs="Calibri"/>
                <w:color w:val="000000"/>
                <w:sz w:val="22"/>
              </w:rPr>
              <w:t>midd</w:t>
            </w:r>
            <w:proofErr w:type="spellEnd"/>
          </w:p>
        </w:tc>
      </w:tr>
      <w:tr w:rsidRPr="005F055E" w:rsidR="00CF4A75" w:rsidTr="005E2643" w14:paraId="04AD583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44F4F6D0" w14:textId="77777777">
            <w:pPr>
              <w:suppressAutoHyphens/>
              <w:spacing w:line="240" w:lineRule="auto"/>
              <w:rPr>
                <w:rFonts w:cs="Calibri"/>
                <w:color w:val="000000"/>
                <w:sz w:val="22"/>
              </w:rPr>
            </w:pPr>
            <w:r w:rsidRPr="005F055E">
              <w:rPr>
                <w:rFonts w:cs="Calibri"/>
                <w:color w:val="000000"/>
                <w:sz w:val="22"/>
              </w:rPr>
              <w:t>Corticosteroïden</w:t>
            </w:r>
          </w:p>
        </w:tc>
      </w:tr>
      <w:tr w:rsidRPr="005F055E" w:rsidR="00CF4A75" w:rsidTr="005E2643" w14:paraId="0238020A"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091EEB5D" w14:textId="77777777">
            <w:pPr>
              <w:suppressAutoHyphens/>
              <w:spacing w:line="240" w:lineRule="auto"/>
              <w:rPr>
                <w:rFonts w:cs="Calibri"/>
                <w:color w:val="000000"/>
                <w:sz w:val="22"/>
              </w:rPr>
            </w:pPr>
            <w:r w:rsidRPr="005F055E">
              <w:rPr>
                <w:rFonts w:cs="Calibri"/>
                <w:color w:val="000000"/>
                <w:sz w:val="22"/>
              </w:rPr>
              <w:t>Corticosteroïden</w:t>
            </w:r>
          </w:p>
        </w:tc>
      </w:tr>
      <w:tr w:rsidRPr="005F055E" w:rsidR="00CF4A75" w:rsidTr="005E2643" w14:paraId="21A38CD0"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39B2F666" w14:textId="77777777">
            <w:pPr>
              <w:suppressAutoHyphens/>
              <w:spacing w:line="240" w:lineRule="auto"/>
              <w:rPr>
                <w:rFonts w:cs="Calibri"/>
                <w:color w:val="000000"/>
                <w:sz w:val="22"/>
              </w:rPr>
            </w:pPr>
            <w:r w:rsidRPr="005F055E">
              <w:rPr>
                <w:rFonts w:cs="Calibri"/>
                <w:color w:val="000000"/>
                <w:sz w:val="22"/>
              </w:rPr>
              <w:t xml:space="preserve">Corticosteroïden m </w:t>
            </w:r>
            <w:proofErr w:type="spellStart"/>
            <w:r w:rsidRPr="005F055E">
              <w:rPr>
                <w:rFonts w:cs="Calibri"/>
                <w:color w:val="000000"/>
                <w:sz w:val="22"/>
              </w:rPr>
              <w:t>antimicrob</w:t>
            </w:r>
            <w:proofErr w:type="spellEnd"/>
            <w:r w:rsidRPr="005F055E">
              <w:rPr>
                <w:rFonts w:cs="Calibri"/>
                <w:color w:val="000000"/>
                <w:sz w:val="22"/>
              </w:rPr>
              <w:t xml:space="preserve"> </w:t>
            </w:r>
            <w:proofErr w:type="spellStart"/>
            <w:r w:rsidRPr="005F055E">
              <w:rPr>
                <w:rFonts w:cs="Calibri"/>
                <w:color w:val="000000"/>
                <w:sz w:val="22"/>
              </w:rPr>
              <w:t>midd</w:t>
            </w:r>
            <w:proofErr w:type="spellEnd"/>
          </w:p>
        </w:tc>
      </w:tr>
      <w:tr w:rsidRPr="005F055E" w:rsidR="00CF4A75" w:rsidTr="005E2643" w14:paraId="1A670E97"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1A5DC54E" w14:textId="77777777">
            <w:pPr>
              <w:suppressAutoHyphens/>
              <w:spacing w:line="240" w:lineRule="auto"/>
              <w:rPr>
                <w:rFonts w:cs="Calibri"/>
                <w:color w:val="000000"/>
                <w:sz w:val="22"/>
              </w:rPr>
            </w:pPr>
            <w:r w:rsidRPr="005F055E">
              <w:rPr>
                <w:rFonts w:cs="Calibri"/>
                <w:color w:val="000000"/>
                <w:sz w:val="22"/>
              </w:rPr>
              <w:t>Corticosteroïden met antibiotica</w:t>
            </w:r>
          </w:p>
        </w:tc>
      </w:tr>
      <w:tr w:rsidRPr="005F055E" w:rsidR="00CF4A75" w:rsidTr="005E2643" w14:paraId="79369E92"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7EA774BE" w14:textId="77777777">
            <w:pPr>
              <w:suppressAutoHyphens/>
              <w:spacing w:line="240" w:lineRule="auto"/>
              <w:rPr>
                <w:rFonts w:cs="Calibri"/>
                <w:color w:val="000000"/>
                <w:sz w:val="22"/>
              </w:rPr>
            </w:pPr>
            <w:r w:rsidRPr="005F055E">
              <w:rPr>
                <w:rFonts w:cs="Calibri"/>
                <w:color w:val="000000"/>
                <w:sz w:val="22"/>
              </w:rPr>
              <w:t>Corticosteroïden met antiseptica</w:t>
            </w:r>
          </w:p>
        </w:tc>
      </w:tr>
      <w:tr w:rsidRPr="005F055E" w:rsidR="00CF4A75" w:rsidTr="005E2643" w14:paraId="05062365"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3F6E497D" w14:textId="77777777">
            <w:pPr>
              <w:suppressAutoHyphens/>
              <w:spacing w:line="240" w:lineRule="auto"/>
              <w:rPr>
                <w:rFonts w:cs="Calibri"/>
                <w:color w:val="000000"/>
                <w:sz w:val="22"/>
              </w:rPr>
            </w:pPr>
            <w:r w:rsidRPr="005F055E">
              <w:rPr>
                <w:rFonts w:cs="Calibri"/>
                <w:color w:val="000000"/>
                <w:sz w:val="22"/>
              </w:rPr>
              <w:t>Corticosteroïden met ov. middelen</w:t>
            </w:r>
          </w:p>
        </w:tc>
      </w:tr>
      <w:tr w:rsidRPr="005F055E" w:rsidR="00CF4A75" w:rsidTr="005E2643" w14:paraId="2C4EDFC9"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57888B25" w14:textId="77777777">
            <w:pPr>
              <w:suppressAutoHyphens/>
              <w:spacing w:line="240" w:lineRule="auto"/>
              <w:rPr>
                <w:rFonts w:cs="Calibri"/>
                <w:color w:val="000000"/>
                <w:sz w:val="22"/>
              </w:rPr>
            </w:pPr>
            <w:r w:rsidRPr="005F055E">
              <w:rPr>
                <w:rFonts w:cs="Calibri"/>
                <w:color w:val="000000"/>
                <w:sz w:val="22"/>
              </w:rPr>
              <w:t xml:space="preserve">Corticosteroïden </w:t>
            </w:r>
            <w:proofErr w:type="spellStart"/>
            <w:r w:rsidRPr="005F055E">
              <w:rPr>
                <w:rFonts w:cs="Calibri"/>
                <w:color w:val="000000"/>
                <w:sz w:val="22"/>
              </w:rPr>
              <w:t>system.gebr</w:t>
            </w:r>
            <w:proofErr w:type="spellEnd"/>
            <w:r w:rsidRPr="005F055E">
              <w:rPr>
                <w:rFonts w:cs="Calibri"/>
                <w:color w:val="000000"/>
                <w:sz w:val="22"/>
              </w:rPr>
              <w:t xml:space="preserve">, </w:t>
            </w:r>
            <w:proofErr w:type="spellStart"/>
            <w:r w:rsidRPr="005F055E">
              <w:rPr>
                <w:rFonts w:cs="Calibri"/>
                <w:color w:val="000000"/>
                <w:sz w:val="22"/>
              </w:rPr>
              <w:t>comb</w:t>
            </w:r>
            <w:proofErr w:type="spellEnd"/>
          </w:p>
        </w:tc>
      </w:tr>
      <w:tr w:rsidRPr="005F055E" w:rsidR="00CF4A75" w:rsidTr="005E2643" w14:paraId="3F861FF7"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68EBF796" w14:textId="77777777">
            <w:pPr>
              <w:suppressAutoHyphens/>
              <w:spacing w:line="240" w:lineRule="auto"/>
              <w:rPr>
                <w:rFonts w:cs="Calibri"/>
                <w:color w:val="000000"/>
                <w:sz w:val="22"/>
              </w:rPr>
            </w:pPr>
            <w:r w:rsidRPr="005F055E">
              <w:rPr>
                <w:rFonts w:cs="Calibri"/>
                <w:color w:val="000000"/>
                <w:sz w:val="22"/>
              </w:rPr>
              <w:t>Corticosteroïden v systemisch gebr.</w:t>
            </w:r>
          </w:p>
        </w:tc>
      </w:tr>
      <w:tr w:rsidRPr="005F055E" w:rsidR="00CF4A75" w:rsidTr="005E2643" w14:paraId="69E32B56"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178524D8" w14:textId="77777777">
            <w:pPr>
              <w:suppressAutoHyphens/>
              <w:spacing w:line="240" w:lineRule="auto"/>
              <w:rPr>
                <w:rFonts w:cs="Calibri"/>
                <w:color w:val="000000"/>
                <w:sz w:val="22"/>
              </w:rPr>
            </w:pPr>
            <w:r w:rsidRPr="005F055E">
              <w:rPr>
                <w:rFonts w:cs="Calibri"/>
                <w:color w:val="000000"/>
                <w:sz w:val="22"/>
              </w:rPr>
              <w:t xml:space="preserve">Cytotoxische </w:t>
            </w:r>
            <w:proofErr w:type="spellStart"/>
            <w:r w:rsidRPr="005F055E">
              <w:rPr>
                <w:rFonts w:cs="Calibri"/>
                <w:color w:val="000000"/>
                <w:sz w:val="22"/>
              </w:rPr>
              <w:t>antibiotica+verw</w:t>
            </w:r>
            <w:proofErr w:type="spellEnd"/>
            <w:r w:rsidRPr="005F055E">
              <w:rPr>
                <w:rFonts w:cs="Calibri"/>
                <w:color w:val="000000"/>
                <w:sz w:val="22"/>
              </w:rPr>
              <w:t xml:space="preserve"> verb.</w:t>
            </w:r>
          </w:p>
        </w:tc>
      </w:tr>
      <w:tr w:rsidRPr="005F055E" w:rsidR="00CF4A75" w:rsidTr="005E2643" w14:paraId="398CCA03"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B027D46" w14:textId="77777777">
            <w:pPr>
              <w:suppressAutoHyphens/>
              <w:spacing w:line="240" w:lineRule="auto"/>
              <w:rPr>
                <w:rFonts w:cs="Calibri"/>
                <w:color w:val="000000"/>
                <w:sz w:val="22"/>
              </w:rPr>
            </w:pPr>
            <w:proofErr w:type="spellStart"/>
            <w:r w:rsidRPr="005F055E">
              <w:rPr>
                <w:rFonts w:cs="Calibri"/>
                <w:color w:val="000000"/>
                <w:sz w:val="22"/>
              </w:rPr>
              <w:t>Decongestiva</w:t>
            </w:r>
            <w:proofErr w:type="spellEnd"/>
            <w:r w:rsidRPr="005F055E">
              <w:rPr>
                <w:rFonts w:cs="Calibri"/>
                <w:color w:val="000000"/>
                <w:sz w:val="22"/>
              </w:rPr>
              <w:t xml:space="preserve"> </w:t>
            </w:r>
            <w:proofErr w:type="spellStart"/>
            <w:r w:rsidRPr="005F055E">
              <w:rPr>
                <w:rFonts w:cs="Calibri"/>
                <w:color w:val="000000"/>
                <w:sz w:val="22"/>
              </w:rPr>
              <w:t>ea</w:t>
            </w:r>
            <w:proofErr w:type="spellEnd"/>
            <w:r w:rsidRPr="005F055E">
              <w:rPr>
                <w:rFonts w:cs="Calibri"/>
                <w:color w:val="000000"/>
                <w:sz w:val="22"/>
              </w:rPr>
              <w:t xml:space="preserve"> </w:t>
            </w:r>
            <w:proofErr w:type="spellStart"/>
            <w:r w:rsidRPr="005F055E">
              <w:rPr>
                <w:rFonts w:cs="Calibri"/>
                <w:color w:val="000000"/>
                <w:sz w:val="22"/>
              </w:rPr>
              <w:t>lok.midd</w:t>
            </w:r>
            <w:proofErr w:type="spellEnd"/>
            <w:r w:rsidRPr="005F055E">
              <w:rPr>
                <w:rFonts w:cs="Calibri"/>
                <w:color w:val="000000"/>
                <w:sz w:val="22"/>
              </w:rPr>
              <w:t xml:space="preserve"> nasaal </w:t>
            </w:r>
            <w:proofErr w:type="spellStart"/>
            <w:r w:rsidRPr="005F055E">
              <w:rPr>
                <w:rFonts w:cs="Calibri"/>
                <w:color w:val="000000"/>
                <w:sz w:val="22"/>
              </w:rPr>
              <w:t>geb</w:t>
            </w:r>
            <w:proofErr w:type="spellEnd"/>
          </w:p>
        </w:tc>
      </w:tr>
      <w:tr w:rsidRPr="005F055E" w:rsidR="00CF4A75" w:rsidTr="005E2643" w14:paraId="3B8739D6"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692E97EC" w14:textId="77777777">
            <w:pPr>
              <w:suppressAutoHyphens/>
              <w:spacing w:line="240" w:lineRule="auto"/>
              <w:rPr>
                <w:rFonts w:cs="Calibri"/>
                <w:color w:val="000000"/>
                <w:sz w:val="22"/>
              </w:rPr>
            </w:pPr>
            <w:proofErr w:type="spellStart"/>
            <w:r w:rsidRPr="005F055E">
              <w:rPr>
                <w:rFonts w:cs="Calibri"/>
                <w:color w:val="000000"/>
                <w:sz w:val="22"/>
              </w:rPr>
              <w:t>Decongestiva</w:t>
            </w:r>
            <w:proofErr w:type="spellEnd"/>
            <w:r w:rsidRPr="005F055E">
              <w:rPr>
                <w:rFonts w:cs="Calibri"/>
                <w:color w:val="000000"/>
                <w:sz w:val="22"/>
              </w:rPr>
              <w:t xml:space="preserve"> en allergiemiddelen</w:t>
            </w:r>
          </w:p>
        </w:tc>
      </w:tr>
      <w:tr w:rsidRPr="005F055E" w:rsidR="00CF4A75" w:rsidTr="005E2643" w14:paraId="3E666800"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DC29F4F" w14:textId="77777777">
            <w:pPr>
              <w:suppressAutoHyphens/>
              <w:spacing w:line="240" w:lineRule="auto"/>
              <w:rPr>
                <w:rFonts w:cs="Calibri"/>
                <w:color w:val="000000"/>
                <w:sz w:val="22"/>
              </w:rPr>
            </w:pPr>
            <w:r w:rsidRPr="005F055E">
              <w:rPr>
                <w:rFonts w:cs="Calibri"/>
                <w:color w:val="000000"/>
                <w:sz w:val="22"/>
              </w:rPr>
              <w:t>Dementiemiddelen</w:t>
            </w:r>
          </w:p>
        </w:tc>
      </w:tr>
      <w:tr w:rsidRPr="005F055E" w:rsidR="00CF4A75" w:rsidTr="005E2643" w14:paraId="072C731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79B09AB8" w14:textId="77777777">
            <w:pPr>
              <w:suppressAutoHyphens/>
              <w:spacing w:line="240" w:lineRule="auto"/>
              <w:rPr>
                <w:rFonts w:cs="Calibri"/>
                <w:color w:val="000000"/>
                <w:sz w:val="22"/>
              </w:rPr>
            </w:pPr>
            <w:r w:rsidRPr="005F055E">
              <w:rPr>
                <w:rFonts w:cs="Calibri"/>
                <w:color w:val="000000"/>
                <w:sz w:val="22"/>
              </w:rPr>
              <w:t>Desinfectantia</w:t>
            </w:r>
          </w:p>
        </w:tc>
      </w:tr>
      <w:tr w:rsidRPr="005F055E" w:rsidR="00CF4A75" w:rsidTr="005E2643" w14:paraId="73F67968"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F470E25" w14:textId="77777777">
            <w:pPr>
              <w:suppressAutoHyphens/>
              <w:spacing w:line="240" w:lineRule="auto"/>
              <w:rPr>
                <w:rFonts w:cs="Calibri"/>
                <w:color w:val="000000"/>
                <w:sz w:val="22"/>
              </w:rPr>
            </w:pPr>
            <w:r w:rsidRPr="005F055E">
              <w:rPr>
                <w:rFonts w:cs="Calibri"/>
                <w:color w:val="000000"/>
                <w:sz w:val="22"/>
              </w:rPr>
              <w:t>Diagnostica</w:t>
            </w:r>
          </w:p>
        </w:tc>
      </w:tr>
      <w:tr w:rsidRPr="005F055E" w:rsidR="00CF4A75" w:rsidTr="005E2643" w14:paraId="79372936"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519C6E0F" w14:textId="77777777">
            <w:pPr>
              <w:suppressAutoHyphens/>
              <w:spacing w:line="240" w:lineRule="auto"/>
              <w:rPr>
                <w:rFonts w:cs="Calibri"/>
                <w:color w:val="000000"/>
                <w:sz w:val="22"/>
              </w:rPr>
            </w:pPr>
            <w:r w:rsidRPr="005F055E">
              <w:rPr>
                <w:rFonts w:cs="Calibri"/>
                <w:color w:val="000000"/>
                <w:sz w:val="22"/>
              </w:rPr>
              <w:t>Diagnostica voor urinetesten</w:t>
            </w:r>
          </w:p>
        </w:tc>
      </w:tr>
      <w:tr w:rsidRPr="005F055E" w:rsidR="00CF4A75" w:rsidTr="005E2643" w14:paraId="0DBA4E26"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5434EECF" w14:textId="77777777">
            <w:pPr>
              <w:suppressAutoHyphens/>
              <w:spacing w:line="240" w:lineRule="auto"/>
              <w:rPr>
                <w:rFonts w:cs="Calibri"/>
                <w:color w:val="000000"/>
                <w:sz w:val="22"/>
              </w:rPr>
            </w:pPr>
            <w:proofErr w:type="spellStart"/>
            <w:r w:rsidRPr="005F055E">
              <w:rPr>
                <w:rFonts w:cs="Calibri"/>
                <w:color w:val="000000"/>
                <w:sz w:val="22"/>
              </w:rPr>
              <w:t>Dieetmidd</w:t>
            </w:r>
            <w:proofErr w:type="spellEnd"/>
            <w:r w:rsidRPr="005F055E">
              <w:rPr>
                <w:rFonts w:cs="Calibri"/>
                <w:color w:val="000000"/>
                <w:sz w:val="22"/>
              </w:rPr>
              <w:t xml:space="preserve"> voor behandeling obesitas</w:t>
            </w:r>
          </w:p>
        </w:tc>
      </w:tr>
      <w:tr w:rsidRPr="005F055E" w:rsidR="00CF4A75" w:rsidTr="005E2643" w14:paraId="3111A5C9"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3F54BE34" w14:textId="77777777">
            <w:pPr>
              <w:suppressAutoHyphens/>
              <w:spacing w:line="240" w:lineRule="auto"/>
              <w:rPr>
                <w:rFonts w:cs="Calibri"/>
                <w:color w:val="000000"/>
                <w:sz w:val="22"/>
              </w:rPr>
            </w:pPr>
            <w:proofErr w:type="spellStart"/>
            <w:r w:rsidRPr="005F055E">
              <w:rPr>
                <w:rFonts w:cs="Calibri"/>
                <w:color w:val="000000"/>
                <w:sz w:val="22"/>
              </w:rPr>
              <w:t>Digestiva</w:t>
            </w:r>
            <w:proofErr w:type="spellEnd"/>
            <w:r w:rsidRPr="005F055E">
              <w:rPr>
                <w:rFonts w:cs="Calibri"/>
                <w:color w:val="000000"/>
                <w:sz w:val="22"/>
              </w:rPr>
              <w:t>, inclusief enzymen</w:t>
            </w:r>
          </w:p>
        </w:tc>
      </w:tr>
      <w:tr w:rsidRPr="005F055E" w:rsidR="00CF4A75" w:rsidTr="005E2643" w14:paraId="021D5BEB"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0D11E225" w14:textId="77777777">
            <w:pPr>
              <w:suppressAutoHyphens/>
              <w:spacing w:line="240" w:lineRule="auto"/>
              <w:rPr>
                <w:rFonts w:cs="Calibri"/>
                <w:color w:val="000000"/>
                <w:sz w:val="22"/>
              </w:rPr>
            </w:pPr>
            <w:r w:rsidRPr="005F055E">
              <w:rPr>
                <w:rFonts w:cs="Calibri"/>
                <w:color w:val="000000"/>
                <w:sz w:val="22"/>
              </w:rPr>
              <w:t>Direct werkende antivirale middelen</w:t>
            </w:r>
          </w:p>
        </w:tc>
      </w:tr>
      <w:tr w:rsidRPr="005F055E" w:rsidR="00CF4A75" w:rsidTr="005E2643" w14:paraId="52DA6803"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3B5BFBDF" w14:textId="77777777">
            <w:pPr>
              <w:suppressAutoHyphens/>
              <w:spacing w:line="240" w:lineRule="auto"/>
              <w:rPr>
                <w:rFonts w:cs="Calibri"/>
                <w:color w:val="000000"/>
                <w:sz w:val="22"/>
              </w:rPr>
            </w:pPr>
            <w:r w:rsidRPr="005F055E">
              <w:rPr>
                <w:rFonts w:cs="Calibri"/>
                <w:color w:val="000000"/>
                <w:sz w:val="22"/>
              </w:rPr>
              <w:t xml:space="preserve">Direct werkende </w:t>
            </w:r>
            <w:proofErr w:type="spellStart"/>
            <w:r w:rsidRPr="005F055E">
              <w:rPr>
                <w:rFonts w:cs="Calibri"/>
                <w:color w:val="000000"/>
                <w:sz w:val="22"/>
              </w:rPr>
              <w:t>spierrelaxantia</w:t>
            </w:r>
            <w:proofErr w:type="spellEnd"/>
          </w:p>
        </w:tc>
      </w:tr>
      <w:tr w:rsidRPr="005F055E" w:rsidR="00CF4A75" w:rsidTr="005E2643" w14:paraId="5084929C"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1FD52F4E" w14:textId="77777777">
            <w:pPr>
              <w:suppressAutoHyphens/>
              <w:spacing w:line="240" w:lineRule="auto"/>
              <w:rPr>
                <w:rFonts w:cs="Calibri"/>
                <w:color w:val="000000"/>
                <w:sz w:val="22"/>
              </w:rPr>
            </w:pPr>
            <w:r w:rsidRPr="005F055E">
              <w:rPr>
                <w:rFonts w:cs="Calibri"/>
                <w:color w:val="000000"/>
                <w:sz w:val="22"/>
              </w:rPr>
              <w:t xml:space="preserve">Diuretica met </w:t>
            </w:r>
            <w:proofErr w:type="spellStart"/>
            <w:r w:rsidRPr="005F055E">
              <w:rPr>
                <w:rFonts w:cs="Calibri"/>
                <w:color w:val="000000"/>
                <w:sz w:val="22"/>
              </w:rPr>
              <w:t>kaliumsparende</w:t>
            </w:r>
            <w:proofErr w:type="spellEnd"/>
            <w:r w:rsidRPr="005F055E">
              <w:rPr>
                <w:rFonts w:cs="Calibri"/>
                <w:color w:val="000000"/>
                <w:sz w:val="22"/>
              </w:rPr>
              <w:t xml:space="preserve"> </w:t>
            </w:r>
            <w:proofErr w:type="spellStart"/>
            <w:r w:rsidRPr="005F055E">
              <w:rPr>
                <w:rFonts w:cs="Calibri"/>
                <w:color w:val="000000"/>
                <w:sz w:val="22"/>
              </w:rPr>
              <w:t>midd</w:t>
            </w:r>
            <w:proofErr w:type="spellEnd"/>
            <w:r w:rsidRPr="005F055E">
              <w:rPr>
                <w:rFonts w:cs="Calibri"/>
                <w:color w:val="000000"/>
                <w:sz w:val="22"/>
              </w:rPr>
              <w:t>.</w:t>
            </w:r>
          </w:p>
        </w:tc>
      </w:tr>
      <w:tr w:rsidRPr="005F055E" w:rsidR="00CF4A75" w:rsidTr="005E2643" w14:paraId="5EC8DB9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08F94B42" w14:textId="77777777">
            <w:pPr>
              <w:suppressAutoHyphens/>
              <w:spacing w:line="240" w:lineRule="auto"/>
              <w:rPr>
                <w:rFonts w:cs="Calibri"/>
                <w:color w:val="000000"/>
                <w:sz w:val="22"/>
              </w:rPr>
            </w:pPr>
            <w:proofErr w:type="spellStart"/>
            <w:r w:rsidRPr="005F055E">
              <w:rPr>
                <w:rFonts w:cs="Calibri"/>
                <w:color w:val="000000"/>
                <w:sz w:val="22"/>
              </w:rPr>
              <w:t>Dopaminergica</w:t>
            </w:r>
            <w:proofErr w:type="spellEnd"/>
          </w:p>
        </w:tc>
      </w:tr>
      <w:tr w:rsidRPr="005F055E" w:rsidR="00CF4A75" w:rsidTr="005E2643" w14:paraId="055F1C69"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5A9E48E3" w14:textId="77777777">
            <w:pPr>
              <w:suppressAutoHyphens/>
              <w:spacing w:line="240" w:lineRule="auto"/>
              <w:rPr>
                <w:rFonts w:cs="Calibri"/>
                <w:color w:val="000000"/>
                <w:sz w:val="22"/>
              </w:rPr>
            </w:pPr>
            <w:r w:rsidRPr="005F055E">
              <w:rPr>
                <w:rFonts w:cs="Calibri"/>
                <w:color w:val="000000"/>
                <w:sz w:val="22"/>
              </w:rPr>
              <w:t>Eiwitsupplementen</w:t>
            </w:r>
          </w:p>
        </w:tc>
      </w:tr>
      <w:tr w:rsidRPr="005F055E" w:rsidR="00CF4A75" w:rsidTr="005E2643" w14:paraId="026E1BD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CD1A9DC" w14:textId="77777777">
            <w:pPr>
              <w:suppressAutoHyphens/>
              <w:spacing w:line="240" w:lineRule="auto"/>
              <w:rPr>
                <w:rFonts w:cs="Calibri"/>
                <w:color w:val="000000"/>
                <w:sz w:val="22"/>
              </w:rPr>
            </w:pPr>
            <w:r w:rsidRPr="005F055E">
              <w:rPr>
                <w:rFonts w:cs="Calibri"/>
                <w:color w:val="000000"/>
                <w:sz w:val="22"/>
              </w:rPr>
              <w:t>Elektrolyten met koolhydraten</w:t>
            </w:r>
          </w:p>
        </w:tc>
      </w:tr>
      <w:tr w:rsidRPr="005F055E" w:rsidR="00CF4A75" w:rsidTr="005E2643" w14:paraId="228A043C"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552FB6F0" w14:textId="77777777">
            <w:pPr>
              <w:suppressAutoHyphens/>
              <w:spacing w:line="240" w:lineRule="auto"/>
              <w:rPr>
                <w:rFonts w:cs="Calibri"/>
                <w:color w:val="000000"/>
                <w:sz w:val="22"/>
              </w:rPr>
            </w:pPr>
            <w:proofErr w:type="spellStart"/>
            <w:r w:rsidRPr="005F055E">
              <w:rPr>
                <w:rFonts w:cs="Calibri"/>
                <w:color w:val="000000"/>
                <w:sz w:val="22"/>
              </w:rPr>
              <w:t>Emollientia</w:t>
            </w:r>
            <w:proofErr w:type="spellEnd"/>
            <w:r w:rsidRPr="005F055E">
              <w:rPr>
                <w:rFonts w:cs="Calibri"/>
                <w:color w:val="000000"/>
                <w:sz w:val="22"/>
              </w:rPr>
              <w:t xml:space="preserve"> en </w:t>
            </w:r>
            <w:proofErr w:type="spellStart"/>
            <w:r w:rsidRPr="005F055E">
              <w:rPr>
                <w:rFonts w:cs="Calibri"/>
                <w:color w:val="000000"/>
                <w:sz w:val="22"/>
              </w:rPr>
              <w:t>protectiva</w:t>
            </w:r>
            <w:proofErr w:type="spellEnd"/>
          </w:p>
        </w:tc>
      </w:tr>
      <w:tr w:rsidRPr="005F055E" w:rsidR="00CF4A75" w:rsidTr="005E2643" w14:paraId="2E1BEBBA"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3D1439F" w14:textId="77777777">
            <w:pPr>
              <w:suppressAutoHyphens/>
              <w:spacing w:line="240" w:lineRule="auto"/>
              <w:rPr>
                <w:rFonts w:cs="Calibri"/>
                <w:color w:val="000000"/>
                <w:sz w:val="22"/>
              </w:rPr>
            </w:pPr>
            <w:r w:rsidRPr="005F055E">
              <w:rPr>
                <w:rFonts w:cs="Calibri"/>
                <w:color w:val="000000"/>
                <w:sz w:val="22"/>
              </w:rPr>
              <w:t>Enkelvoudige corticosteroïden</w:t>
            </w:r>
          </w:p>
        </w:tc>
      </w:tr>
      <w:tr w:rsidRPr="005F055E" w:rsidR="00CF4A75" w:rsidTr="005E2643" w14:paraId="26CE8817"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002F048F" w14:textId="77777777">
            <w:pPr>
              <w:suppressAutoHyphens/>
              <w:spacing w:line="240" w:lineRule="auto"/>
              <w:rPr>
                <w:rFonts w:cs="Calibri"/>
                <w:color w:val="000000"/>
                <w:sz w:val="22"/>
              </w:rPr>
            </w:pPr>
            <w:r w:rsidRPr="005F055E">
              <w:rPr>
                <w:rFonts w:cs="Calibri"/>
                <w:color w:val="000000"/>
                <w:sz w:val="22"/>
              </w:rPr>
              <w:t>Enzymen</w:t>
            </w:r>
          </w:p>
        </w:tc>
      </w:tr>
      <w:tr w:rsidRPr="005F055E" w:rsidR="00CF4A75" w:rsidTr="005E2643" w14:paraId="42B6C64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5C479F4A" w14:textId="77777777">
            <w:pPr>
              <w:suppressAutoHyphens/>
              <w:spacing w:line="240" w:lineRule="auto"/>
              <w:rPr>
                <w:rFonts w:cs="Calibri"/>
                <w:color w:val="000000"/>
                <w:sz w:val="22"/>
              </w:rPr>
            </w:pPr>
            <w:proofErr w:type="spellStart"/>
            <w:r w:rsidRPr="005F055E">
              <w:rPr>
                <w:rFonts w:cs="Calibri"/>
                <w:color w:val="000000"/>
                <w:sz w:val="22"/>
              </w:rPr>
              <w:t>Expectorantia</w:t>
            </w:r>
            <w:proofErr w:type="spellEnd"/>
            <w:r w:rsidRPr="005F055E">
              <w:rPr>
                <w:rFonts w:cs="Calibri"/>
                <w:color w:val="000000"/>
                <w:sz w:val="22"/>
              </w:rPr>
              <w:t xml:space="preserve"> excl. </w:t>
            </w:r>
            <w:proofErr w:type="spellStart"/>
            <w:r w:rsidRPr="005F055E">
              <w:rPr>
                <w:rFonts w:cs="Calibri"/>
                <w:color w:val="000000"/>
                <w:sz w:val="22"/>
              </w:rPr>
              <w:t>comb.preparaten</w:t>
            </w:r>
            <w:proofErr w:type="spellEnd"/>
          </w:p>
        </w:tc>
      </w:tr>
      <w:tr w:rsidRPr="005F055E" w:rsidR="00CF4A75" w:rsidTr="005E2643" w14:paraId="2234D304"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78E271CE" w14:textId="77777777">
            <w:pPr>
              <w:suppressAutoHyphens/>
              <w:spacing w:line="240" w:lineRule="auto"/>
              <w:rPr>
                <w:rFonts w:cs="Calibri"/>
                <w:color w:val="000000"/>
                <w:sz w:val="22"/>
              </w:rPr>
            </w:pPr>
            <w:proofErr w:type="spellStart"/>
            <w:r w:rsidRPr="005F055E">
              <w:rPr>
                <w:rFonts w:cs="Calibri"/>
                <w:color w:val="000000"/>
                <w:sz w:val="22"/>
              </w:rPr>
              <w:t>Galtherapeutica</w:t>
            </w:r>
            <w:proofErr w:type="spellEnd"/>
          </w:p>
        </w:tc>
      </w:tr>
      <w:tr w:rsidRPr="005F055E" w:rsidR="00CF4A75" w:rsidTr="005E2643" w14:paraId="313FFB1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5F8FF893" w14:textId="77777777">
            <w:pPr>
              <w:suppressAutoHyphens/>
              <w:spacing w:line="240" w:lineRule="auto"/>
              <w:rPr>
                <w:rFonts w:cs="Calibri"/>
                <w:color w:val="000000"/>
                <w:sz w:val="22"/>
              </w:rPr>
            </w:pPr>
            <w:proofErr w:type="spellStart"/>
            <w:r w:rsidRPr="005F055E">
              <w:rPr>
                <w:rFonts w:cs="Calibri"/>
                <w:color w:val="000000"/>
                <w:sz w:val="22"/>
              </w:rPr>
              <w:t>Galtherapeutica</w:t>
            </w:r>
            <w:proofErr w:type="spellEnd"/>
            <w:r w:rsidRPr="005F055E">
              <w:rPr>
                <w:rFonts w:cs="Calibri"/>
                <w:color w:val="000000"/>
                <w:sz w:val="22"/>
              </w:rPr>
              <w:t xml:space="preserve"> met </w:t>
            </w:r>
            <w:proofErr w:type="spellStart"/>
            <w:r w:rsidRPr="005F055E">
              <w:rPr>
                <w:rFonts w:cs="Calibri"/>
                <w:color w:val="000000"/>
                <w:sz w:val="22"/>
              </w:rPr>
              <w:t>lipotrope</w:t>
            </w:r>
            <w:proofErr w:type="spellEnd"/>
            <w:r w:rsidRPr="005F055E">
              <w:rPr>
                <w:rFonts w:cs="Calibri"/>
                <w:color w:val="000000"/>
                <w:sz w:val="22"/>
              </w:rPr>
              <w:t xml:space="preserve"> </w:t>
            </w:r>
            <w:proofErr w:type="spellStart"/>
            <w:r w:rsidRPr="005F055E">
              <w:rPr>
                <w:rFonts w:cs="Calibri"/>
                <w:color w:val="000000"/>
                <w:sz w:val="22"/>
              </w:rPr>
              <w:t>midd</w:t>
            </w:r>
            <w:proofErr w:type="spellEnd"/>
            <w:r w:rsidRPr="005F055E">
              <w:rPr>
                <w:rFonts w:cs="Calibri"/>
                <w:color w:val="000000"/>
                <w:sz w:val="22"/>
              </w:rPr>
              <w:t>.</w:t>
            </w:r>
          </w:p>
        </w:tc>
      </w:tr>
      <w:tr w:rsidRPr="005F055E" w:rsidR="00CF4A75" w:rsidTr="005E2643" w14:paraId="2C345BD2"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7E916DF5" w14:textId="77777777">
            <w:pPr>
              <w:suppressAutoHyphens/>
              <w:spacing w:line="240" w:lineRule="auto"/>
              <w:rPr>
                <w:rFonts w:cs="Calibri"/>
                <w:color w:val="000000"/>
                <w:sz w:val="22"/>
              </w:rPr>
            </w:pPr>
            <w:r w:rsidRPr="005F055E">
              <w:rPr>
                <w:rFonts w:cs="Calibri"/>
                <w:color w:val="000000"/>
                <w:sz w:val="22"/>
              </w:rPr>
              <w:t xml:space="preserve">Ganglionblokker. </w:t>
            </w:r>
            <w:proofErr w:type="spellStart"/>
            <w:r w:rsidRPr="005F055E">
              <w:rPr>
                <w:rFonts w:cs="Calibri"/>
                <w:color w:val="000000"/>
                <w:sz w:val="22"/>
              </w:rPr>
              <w:t>sympathicolytica</w:t>
            </w:r>
            <w:proofErr w:type="spellEnd"/>
          </w:p>
        </w:tc>
      </w:tr>
      <w:tr w:rsidRPr="005F055E" w:rsidR="00CF4A75" w:rsidTr="005E2643" w14:paraId="4F51844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6FB35F07" w14:textId="77777777">
            <w:pPr>
              <w:suppressAutoHyphens/>
              <w:spacing w:line="240" w:lineRule="auto"/>
              <w:rPr>
                <w:rFonts w:cs="Calibri"/>
                <w:color w:val="000000"/>
                <w:sz w:val="22"/>
              </w:rPr>
            </w:pPr>
            <w:proofErr w:type="spellStart"/>
            <w:r w:rsidRPr="005F055E">
              <w:rPr>
                <w:rFonts w:cs="Calibri"/>
                <w:color w:val="000000"/>
                <w:sz w:val="22"/>
              </w:rPr>
              <w:t>Geimpregneerde</w:t>
            </w:r>
            <w:proofErr w:type="spellEnd"/>
            <w:r w:rsidRPr="005F055E">
              <w:rPr>
                <w:rFonts w:cs="Calibri"/>
                <w:color w:val="000000"/>
                <w:sz w:val="22"/>
              </w:rPr>
              <w:t xml:space="preserve"> verbandmiddelen</w:t>
            </w:r>
          </w:p>
        </w:tc>
      </w:tr>
      <w:tr w:rsidRPr="005F055E" w:rsidR="00CF4A75" w:rsidTr="005E2643" w14:paraId="666FE34E"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054C9800" w14:textId="77777777">
            <w:pPr>
              <w:suppressAutoHyphens/>
              <w:spacing w:line="240" w:lineRule="auto"/>
              <w:rPr>
                <w:rFonts w:cs="Calibri"/>
                <w:color w:val="000000"/>
                <w:sz w:val="22"/>
              </w:rPr>
            </w:pPr>
            <w:r w:rsidRPr="005F055E">
              <w:rPr>
                <w:rFonts w:cs="Calibri"/>
                <w:color w:val="000000"/>
                <w:sz w:val="22"/>
              </w:rPr>
              <w:t xml:space="preserve">Glaucoommiddelen en </w:t>
            </w:r>
            <w:proofErr w:type="spellStart"/>
            <w:r w:rsidRPr="005F055E">
              <w:rPr>
                <w:rFonts w:cs="Calibri"/>
                <w:color w:val="000000"/>
                <w:sz w:val="22"/>
              </w:rPr>
              <w:t>miotica</w:t>
            </w:r>
            <w:proofErr w:type="spellEnd"/>
          </w:p>
        </w:tc>
      </w:tr>
      <w:tr w:rsidRPr="005F055E" w:rsidR="00CF4A75" w:rsidTr="005E2643" w14:paraId="02986B96"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6D702716" w14:textId="77777777">
            <w:pPr>
              <w:suppressAutoHyphens/>
              <w:spacing w:line="240" w:lineRule="auto"/>
              <w:rPr>
                <w:rFonts w:cs="Calibri"/>
                <w:color w:val="000000"/>
                <w:sz w:val="22"/>
              </w:rPr>
            </w:pPr>
            <w:proofErr w:type="spellStart"/>
            <w:r w:rsidRPr="005F055E">
              <w:rPr>
                <w:rFonts w:cs="Calibri"/>
                <w:color w:val="000000"/>
                <w:sz w:val="22"/>
              </w:rPr>
              <w:t>Glycogenolytische</w:t>
            </w:r>
            <w:proofErr w:type="spellEnd"/>
            <w:r w:rsidRPr="005F055E">
              <w:rPr>
                <w:rFonts w:cs="Calibri"/>
                <w:color w:val="000000"/>
                <w:sz w:val="22"/>
              </w:rPr>
              <w:t xml:space="preserve"> hormonen</w:t>
            </w:r>
          </w:p>
        </w:tc>
      </w:tr>
      <w:tr w:rsidRPr="005F055E" w:rsidR="00CF4A75" w:rsidTr="005E2643" w14:paraId="1335F016"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2C63FEE2" w14:textId="77777777">
            <w:pPr>
              <w:suppressAutoHyphens/>
              <w:spacing w:line="240" w:lineRule="auto"/>
              <w:rPr>
                <w:rFonts w:cs="Calibri"/>
                <w:color w:val="000000"/>
                <w:sz w:val="22"/>
              </w:rPr>
            </w:pPr>
            <w:proofErr w:type="spellStart"/>
            <w:r w:rsidRPr="005F055E">
              <w:rPr>
                <w:rFonts w:cs="Calibri"/>
                <w:color w:val="000000"/>
                <w:sz w:val="22"/>
              </w:rPr>
              <w:t>Gonadotrofinen+andere</w:t>
            </w:r>
            <w:proofErr w:type="spellEnd"/>
            <w:r w:rsidRPr="005F055E">
              <w:rPr>
                <w:rFonts w:cs="Calibri"/>
                <w:color w:val="000000"/>
                <w:sz w:val="22"/>
              </w:rPr>
              <w:t xml:space="preserve"> </w:t>
            </w:r>
            <w:proofErr w:type="spellStart"/>
            <w:r w:rsidRPr="005F055E">
              <w:rPr>
                <w:rFonts w:cs="Calibri"/>
                <w:color w:val="000000"/>
                <w:sz w:val="22"/>
              </w:rPr>
              <w:t>ovul.stim.mdl</w:t>
            </w:r>
            <w:proofErr w:type="spellEnd"/>
          </w:p>
        </w:tc>
      </w:tr>
      <w:tr w:rsidRPr="005F055E" w:rsidR="00CF4A75" w:rsidTr="005E2643" w14:paraId="4612CE9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17482727" w14:textId="77777777">
            <w:pPr>
              <w:suppressAutoHyphens/>
              <w:spacing w:line="240" w:lineRule="auto"/>
              <w:rPr>
                <w:rFonts w:cs="Calibri"/>
                <w:color w:val="000000"/>
                <w:sz w:val="22"/>
              </w:rPr>
            </w:pPr>
            <w:r w:rsidRPr="005F055E">
              <w:rPr>
                <w:rFonts w:cs="Calibri"/>
                <w:color w:val="000000"/>
                <w:sz w:val="22"/>
              </w:rPr>
              <w:t>Hartglycosiden</w:t>
            </w:r>
          </w:p>
        </w:tc>
      </w:tr>
      <w:tr w:rsidRPr="005F055E" w:rsidR="00CF4A75" w:rsidTr="005E2643" w14:paraId="017D2271"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5A8D803A" w14:textId="77777777">
            <w:pPr>
              <w:suppressAutoHyphens/>
              <w:spacing w:line="240" w:lineRule="auto"/>
              <w:rPr>
                <w:rFonts w:cs="Calibri"/>
                <w:color w:val="000000"/>
                <w:sz w:val="22"/>
              </w:rPr>
            </w:pPr>
            <w:proofErr w:type="spellStart"/>
            <w:r w:rsidRPr="005F055E">
              <w:rPr>
                <w:rFonts w:cs="Calibri"/>
                <w:color w:val="000000"/>
                <w:sz w:val="22"/>
              </w:rPr>
              <w:t>Hartstimulantia,excl</w:t>
            </w:r>
            <w:proofErr w:type="spellEnd"/>
            <w:r w:rsidRPr="005F055E">
              <w:rPr>
                <w:rFonts w:cs="Calibri"/>
                <w:color w:val="000000"/>
                <w:sz w:val="22"/>
              </w:rPr>
              <w:t xml:space="preserve"> hartglycosiden</w:t>
            </w:r>
          </w:p>
        </w:tc>
      </w:tr>
      <w:tr w:rsidRPr="005F055E" w:rsidR="00CF4A75" w:rsidTr="005E2643" w14:paraId="4545047C"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389EF5B5" w14:textId="77777777">
            <w:pPr>
              <w:suppressAutoHyphens/>
              <w:spacing w:line="240" w:lineRule="auto"/>
              <w:rPr>
                <w:rFonts w:cs="Calibri"/>
                <w:color w:val="000000"/>
                <w:sz w:val="22"/>
              </w:rPr>
            </w:pPr>
            <w:r w:rsidRPr="005F055E">
              <w:rPr>
                <w:rFonts w:cs="Calibri"/>
                <w:color w:val="000000"/>
                <w:sz w:val="22"/>
              </w:rPr>
              <w:t>Hartvaatstelsel</w:t>
            </w:r>
          </w:p>
        </w:tc>
      </w:tr>
      <w:tr w:rsidRPr="005F055E" w:rsidR="00CF4A75" w:rsidTr="005E2643" w14:paraId="736DEBFF"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03C9E54A" w14:textId="77777777">
            <w:pPr>
              <w:suppressAutoHyphens/>
              <w:spacing w:line="240" w:lineRule="auto"/>
              <w:rPr>
                <w:rFonts w:cs="Calibri"/>
                <w:color w:val="000000"/>
                <w:sz w:val="22"/>
              </w:rPr>
            </w:pPr>
            <w:r w:rsidRPr="005F055E">
              <w:rPr>
                <w:rFonts w:cs="Calibri"/>
                <w:color w:val="000000"/>
                <w:sz w:val="22"/>
              </w:rPr>
              <w:t xml:space="preserve">Hemodialysemiddel. en </w:t>
            </w:r>
            <w:proofErr w:type="spellStart"/>
            <w:r w:rsidRPr="005F055E">
              <w:rPr>
                <w:rFonts w:cs="Calibri"/>
                <w:color w:val="000000"/>
                <w:sz w:val="22"/>
              </w:rPr>
              <w:t>hemofiltraten</w:t>
            </w:r>
            <w:proofErr w:type="spellEnd"/>
          </w:p>
        </w:tc>
      </w:tr>
      <w:tr w:rsidRPr="005F055E" w:rsidR="00CF4A75" w:rsidTr="005E2643" w14:paraId="31030899"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5B03849B" w14:textId="77777777">
            <w:pPr>
              <w:suppressAutoHyphens/>
              <w:spacing w:line="240" w:lineRule="auto"/>
              <w:rPr>
                <w:rFonts w:cs="Calibri"/>
                <w:color w:val="000000"/>
                <w:sz w:val="22"/>
              </w:rPr>
            </w:pPr>
            <w:r w:rsidRPr="005F055E">
              <w:rPr>
                <w:rFonts w:cs="Calibri"/>
                <w:color w:val="000000"/>
                <w:sz w:val="22"/>
              </w:rPr>
              <w:t>'High-</w:t>
            </w:r>
            <w:proofErr w:type="spellStart"/>
            <w:r w:rsidRPr="005F055E">
              <w:rPr>
                <w:rFonts w:cs="Calibri"/>
                <w:color w:val="000000"/>
                <w:sz w:val="22"/>
              </w:rPr>
              <w:t>ceiling</w:t>
            </w:r>
            <w:proofErr w:type="spellEnd"/>
            <w:r w:rsidRPr="005F055E">
              <w:rPr>
                <w:rFonts w:cs="Calibri"/>
                <w:color w:val="000000"/>
                <w:sz w:val="22"/>
              </w:rPr>
              <w:t>' diuretica</w:t>
            </w:r>
          </w:p>
        </w:tc>
      </w:tr>
      <w:tr w:rsidRPr="009873CE" w:rsidR="00CF4A75" w:rsidTr="005E2643" w14:paraId="763A7C0D"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056279" w:rsidR="00CF4A75" w:rsidP="00180EEB" w:rsidRDefault="00CF4A75" w14:paraId="5C6DAAB3" w14:textId="77777777">
            <w:pPr>
              <w:suppressAutoHyphens/>
              <w:spacing w:line="240" w:lineRule="auto"/>
              <w:rPr>
                <w:rFonts w:cs="Calibri"/>
                <w:color w:val="000000"/>
                <w:sz w:val="22"/>
                <w:lang w:val="en-US"/>
              </w:rPr>
            </w:pPr>
            <w:proofErr w:type="spellStart"/>
            <w:r w:rsidRPr="00056279">
              <w:rPr>
                <w:rFonts w:cs="Calibri"/>
                <w:color w:val="000000"/>
                <w:sz w:val="22"/>
                <w:lang w:val="en-US"/>
              </w:rPr>
              <w:t>Hoestprik.demp.midd</w:t>
            </w:r>
            <w:proofErr w:type="spellEnd"/>
            <w:r w:rsidRPr="00056279">
              <w:rPr>
                <w:rFonts w:cs="Calibri"/>
                <w:color w:val="000000"/>
                <w:sz w:val="22"/>
                <w:lang w:val="en-US"/>
              </w:rPr>
              <w:t xml:space="preserve">, excl </w:t>
            </w:r>
            <w:proofErr w:type="spellStart"/>
            <w:r w:rsidRPr="00056279">
              <w:rPr>
                <w:rFonts w:cs="Calibri"/>
                <w:color w:val="000000"/>
                <w:sz w:val="22"/>
                <w:lang w:val="en-US"/>
              </w:rPr>
              <w:t>comb.prep</w:t>
            </w:r>
            <w:proofErr w:type="spellEnd"/>
          </w:p>
        </w:tc>
      </w:tr>
      <w:tr w:rsidRPr="005F055E" w:rsidR="00CF4A75" w:rsidTr="005E2643" w14:paraId="2B9A4C16"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3CB5F58F" w14:textId="77777777">
            <w:pPr>
              <w:suppressAutoHyphens/>
              <w:spacing w:line="240" w:lineRule="auto"/>
              <w:rPr>
                <w:rFonts w:cs="Calibri"/>
                <w:color w:val="000000"/>
                <w:sz w:val="22"/>
              </w:rPr>
            </w:pPr>
            <w:proofErr w:type="spellStart"/>
            <w:r w:rsidRPr="005F055E">
              <w:rPr>
                <w:rFonts w:cs="Calibri"/>
                <w:color w:val="000000"/>
                <w:sz w:val="22"/>
              </w:rPr>
              <w:t>Hoestprik.demp.midd.m</w:t>
            </w:r>
            <w:proofErr w:type="spellEnd"/>
            <w:r w:rsidRPr="005F055E">
              <w:rPr>
                <w:rFonts w:cs="Calibri"/>
                <w:color w:val="000000"/>
                <w:sz w:val="22"/>
              </w:rPr>
              <w:t xml:space="preserve"> </w:t>
            </w:r>
            <w:proofErr w:type="spellStart"/>
            <w:r w:rsidRPr="005F055E">
              <w:rPr>
                <w:rFonts w:cs="Calibri"/>
                <w:color w:val="000000"/>
                <w:sz w:val="22"/>
              </w:rPr>
              <w:t>expectorantia</w:t>
            </w:r>
            <w:proofErr w:type="spellEnd"/>
          </w:p>
        </w:tc>
      </w:tr>
      <w:tr w:rsidRPr="009873CE" w:rsidR="00CF4A75" w:rsidTr="005E2643" w14:paraId="2E8508AA"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056279" w:rsidR="00CF4A75" w:rsidP="00180EEB" w:rsidRDefault="00CF4A75" w14:paraId="5965B95D" w14:textId="77777777">
            <w:pPr>
              <w:suppressAutoHyphens/>
              <w:spacing w:line="240" w:lineRule="auto"/>
              <w:rPr>
                <w:rFonts w:cs="Calibri"/>
                <w:color w:val="000000"/>
                <w:sz w:val="22"/>
                <w:lang w:val="en-US"/>
              </w:rPr>
            </w:pPr>
            <w:r w:rsidRPr="00056279">
              <w:rPr>
                <w:rFonts w:cs="Calibri"/>
                <w:color w:val="000000"/>
                <w:sz w:val="22"/>
                <w:lang w:val="en-US"/>
              </w:rPr>
              <w:t xml:space="preserve">Horm. </w:t>
            </w:r>
            <w:proofErr w:type="spellStart"/>
            <w:r w:rsidRPr="00056279">
              <w:rPr>
                <w:rFonts w:cs="Calibri"/>
                <w:color w:val="000000"/>
                <w:sz w:val="22"/>
                <w:lang w:val="en-US"/>
              </w:rPr>
              <w:t>anticonceptiva</w:t>
            </w:r>
            <w:proofErr w:type="spellEnd"/>
            <w:r w:rsidRPr="00056279">
              <w:rPr>
                <w:rFonts w:cs="Calibri"/>
                <w:color w:val="000000"/>
                <w:sz w:val="22"/>
                <w:lang w:val="en-US"/>
              </w:rPr>
              <w:t xml:space="preserve"> v </w:t>
            </w:r>
            <w:proofErr w:type="spellStart"/>
            <w:r w:rsidRPr="00056279">
              <w:rPr>
                <w:rFonts w:cs="Calibri"/>
                <w:color w:val="000000"/>
                <w:sz w:val="22"/>
                <w:lang w:val="en-US"/>
              </w:rPr>
              <w:t>system.gebr</w:t>
            </w:r>
            <w:proofErr w:type="spellEnd"/>
          </w:p>
        </w:tc>
      </w:tr>
      <w:tr w:rsidRPr="005F055E" w:rsidR="00CF4A75" w:rsidTr="005E2643" w14:paraId="5E7805D9"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40AA4078" w14:textId="77777777">
            <w:pPr>
              <w:suppressAutoHyphens/>
              <w:spacing w:line="240" w:lineRule="auto"/>
              <w:rPr>
                <w:rFonts w:cs="Calibri"/>
                <w:color w:val="000000"/>
                <w:sz w:val="22"/>
              </w:rPr>
            </w:pPr>
            <w:r w:rsidRPr="005F055E">
              <w:rPr>
                <w:rFonts w:cs="Calibri"/>
                <w:color w:val="000000"/>
                <w:sz w:val="22"/>
              </w:rPr>
              <w:t>Hormonen</w:t>
            </w:r>
          </w:p>
        </w:tc>
      </w:tr>
      <w:tr w:rsidRPr="005F055E" w:rsidR="00CF4A75" w:rsidTr="005E2643" w14:paraId="398B4AC5"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3D852FE5" w14:textId="77777777">
            <w:pPr>
              <w:suppressAutoHyphens/>
              <w:spacing w:line="240" w:lineRule="auto"/>
              <w:rPr>
                <w:rFonts w:cs="Calibri"/>
                <w:color w:val="000000"/>
                <w:sz w:val="22"/>
              </w:rPr>
            </w:pPr>
            <w:r w:rsidRPr="005F055E">
              <w:rPr>
                <w:rFonts w:cs="Calibri"/>
                <w:color w:val="000000"/>
                <w:sz w:val="22"/>
              </w:rPr>
              <w:t>Hypnotica en sedativa</w:t>
            </w:r>
          </w:p>
        </w:tc>
      </w:tr>
      <w:tr w:rsidRPr="005F055E" w:rsidR="00CF4A75" w:rsidTr="005E2643" w14:paraId="7BAE7A9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FC03498" w14:textId="77777777">
            <w:pPr>
              <w:suppressAutoHyphens/>
              <w:spacing w:line="240" w:lineRule="auto"/>
              <w:rPr>
                <w:rFonts w:cs="Calibri"/>
                <w:color w:val="000000"/>
                <w:sz w:val="22"/>
              </w:rPr>
            </w:pPr>
            <w:r w:rsidRPr="005F055E">
              <w:rPr>
                <w:rFonts w:cs="Calibri"/>
                <w:color w:val="000000"/>
                <w:sz w:val="22"/>
              </w:rPr>
              <w:t>Hypothalamushormonen</w:t>
            </w:r>
          </w:p>
        </w:tc>
      </w:tr>
      <w:tr w:rsidRPr="005F055E" w:rsidR="00CF4A75" w:rsidTr="005E2643" w14:paraId="0CC6301D"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6FA0F439" w14:textId="77777777">
            <w:pPr>
              <w:suppressAutoHyphens/>
              <w:spacing w:line="240" w:lineRule="auto"/>
              <w:rPr>
                <w:rFonts w:cs="Calibri"/>
                <w:color w:val="000000"/>
                <w:sz w:val="22"/>
              </w:rPr>
            </w:pPr>
            <w:r w:rsidRPr="005F055E">
              <w:rPr>
                <w:rFonts w:cs="Calibri"/>
                <w:color w:val="000000"/>
                <w:sz w:val="22"/>
              </w:rPr>
              <w:t>IJzerpreparaten</w:t>
            </w:r>
          </w:p>
        </w:tc>
      </w:tr>
      <w:tr w:rsidRPr="005F055E" w:rsidR="00CF4A75" w:rsidTr="005E2643" w14:paraId="1F51E4F0"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A307053" w14:textId="77777777">
            <w:pPr>
              <w:suppressAutoHyphens/>
              <w:spacing w:line="240" w:lineRule="auto"/>
              <w:rPr>
                <w:rFonts w:cs="Calibri"/>
                <w:color w:val="000000"/>
                <w:sz w:val="22"/>
              </w:rPr>
            </w:pPr>
            <w:r w:rsidRPr="005F055E">
              <w:rPr>
                <w:rFonts w:cs="Calibri"/>
                <w:color w:val="000000"/>
                <w:sz w:val="22"/>
              </w:rPr>
              <w:t>Immunoglobulinen</w:t>
            </w:r>
          </w:p>
        </w:tc>
      </w:tr>
      <w:tr w:rsidRPr="005F055E" w:rsidR="00CF4A75" w:rsidTr="005E2643" w14:paraId="61FA2007"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23C89B4A" w14:textId="77777777">
            <w:pPr>
              <w:suppressAutoHyphens/>
              <w:spacing w:line="240" w:lineRule="auto"/>
              <w:rPr>
                <w:rFonts w:cs="Calibri"/>
                <w:color w:val="000000"/>
                <w:sz w:val="22"/>
              </w:rPr>
            </w:pPr>
            <w:proofErr w:type="spellStart"/>
            <w:r w:rsidRPr="005F055E">
              <w:rPr>
                <w:rFonts w:cs="Calibri"/>
                <w:color w:val="000000"/>
                <w:sz w:val="22"/>
              </w:rPr>
              <w:t>Immunostimulantia</w:t>
            </w:r>
            <w:proofErr w:type="spellEnd"/>
          </w:p>
        </w:tc>
      </w:tr>
      <w:tr w:rsidRPr="005F055E" w:rsidR="00CF4A75" w:rsidTr="005E2643" w14:paraId="760A3260"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53AB8495" w14:textId="77777777">
            <w:pPr>
              <w:suppressAutoHyphens/>
              <w:spacing w:line="240" w:lineRule="auto"/>
              <w:rPr>
                <w:rFonts w:cs="Calibri"/>
                <w:color w:val="000000"/>
                <w:sz w:val="22"/>
              </w:rPr>
            </w:pPr>
            <w:r w:rsidRPr="005F055E">
              <w:rPr>
                <w:rFonts w:cs="Calibri"/>
                <w:color w:val="000000"/>
                <w:sz w:val="22"/>
              </w:rPr>
              <w:t>Immunosuppressiva</w:t>
            </w:r>
          </w:p>
        </w:tc>
      </w:tr>
      <w:tr w:rsidRPr="005F055E" w:rsidR="00CF4A75" w:rsidTr="005E2643" w14:paraId="0521E6BA"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003B7C73" w14:textId="77777777">
            <w:pPr>
              <w:suppressAutoHyphens/>
              <w:spacing w:line="240" w:lineRule="auto"/>
              <w:rPr>
                <w:rFonts w:cs="Calibri"/>
                <w:color w:val="000000"/>
                <w:sz w:val="22"/>
              </w:rPr>
            </w:pPr>
            <w:r w:rsidRPr="005F055E">
              <w:rPr>
                <w:rFonts w:cs="Calibri"/>
                <w:color w:val="000000"/>
                <w:sz w:val="22"/>
              </w:rPr>
              <w:t xml:space="preserve">Insecticiden + </w:t>
            </w:r>
            <w:proofErr w:type="spellStart"/>
            <w:r w:rsidRPr="005F055E">
              <w:rPr>
                <w:rFonts w:cs="Calibri"/>
                <w:color w:val="000000"/>
                <w:sz w:val="22"/>
              </w:rPr>
              <w:t>insectenwerende</w:t>
            </w:r>
            <w:proofErr w:type="spellEnd"/>
            <w:r w:rsidRPr="005F055E">
              <w:rPr>
                <w:rFonts w:cs="Calibri"/>
                <w:color w:val="000000"/>
                <w:sz w:val="22"/>
              </w:rPr>
              <w:t xml:space="preserve"> </w:t>
            </w:r>
            <w:proofErr w:type="spellStart"/>
            <w:r w:rsidRPr="005F055E">
              <w:rPr>
                <w:rFonts w:cs="Calibri"/>
                <w:color w:val="000000"/>
                <w:sz w:val="22"/>
              </w:rPr>
              <w:t>midd</w:t>
            </w:r>
            <w:proofErr w:type="spellEnd"/>
          </w:p>
        </w:tc>
      </w:tr>
      <w:tr w:rsidRPr="005F055E" w:rsidR="00CF4A75" w:rsidTr="005E2643" w14:paraId="2723883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009D21BA" w14:textId="77777777">
            <w:pPr>
              <w:suppressAutoHyphens/>
              <w:spacing w:line="240" w:lineRule="auto"/>
              <w:rPr>
                <w:rFonts w:cs="Calibri"/>
                <w:color w:val="000000"/>
                <w:sz w:val="22"/>
              </w:rPr>
            </w:pPr>
            <w:proofErr w:type="spellStart"/>
            <w:r w:rsidRPr="005F055E">
              <w:rPr>
                <w:rFonts w:cs="Calibri"/>
                <w:color w:val="000000"/>
                <w:sz w:val="22"/>
              </w:rPr>
              <w:t>Insulines</w:t>
            </w:r>
            <w:proofErr w:type="spellEnd"/>
            <w:r w:rsidRPr="005F055E">
              <w:rPr>
                <w:rFonts w:cs="Calibri"/>
                <w:color w:val="000000"/>
                <w:sz w:val="22"/>
              </w:rPr>
              <w:t xml:space="preserve"> en analogen</w:t>
            </w:r>
          </w:p>
        </w:tc>
      </w:tr>
      <w:tr w:rsidRPr="005F055E" w:rsidR="00CF4A75" w:rsidTr="005E2643" w14:paraId="25C55554"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192E7182" w14:textId="77777777">
            <w:pPr>
              <w:suppressAutoHyphens/>
              <w:spacing w:line="240" w:lineRule="auto"/>
              <w:rPr>
                <w:rFonts w:cs="Calibri"/>
                <w:color w:val="000000"/>
                <w:sz w:val="22"/>
              </w:rPr>
            </w:pPr>
            <w:r w:rsidRPr="005F055E">
              <w:rPr>
                <w:rFonts w:cs="Calibri"/>
                <w:color w:val="000000"/>
                <w:sz w:val="22"/>
              </w:rPr>
              <w:t>Intraveneuze oplossingen</w:t>
            </w:r>
          </w:p>
        </w:tc>
      </w:tr>
      <w:tr w:rsidRPr="005F055E" w:rsidR="00CF4A75" w:rsidTr="005E2643" w14:paraId="7C21C7C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1E674DD6" w14:textId="77777777">
            <w:pPr>
              <w:suppressAutoHyphens/>
              <w:spacing w:line="240" w:lineRule="auto"/>
              <w:rPr>
                <w:rFonts w:cs="Calibri"/>
                <w:color w:val="000000"/>
                <w:sz w:val="22"/>
              </w:rPr>
            </w:pPr>
            <w:r w:rsidRPr="005F055E">
              <w:rPr>
                <w:rFonts w:cs="Calibri"/>
                <w:color w:val="000000"/>
                <w:sz w:val="22"/>
              </w:rPr>
              <w:t>Irrigatievloeistoffen</w:t>
            </w:r>
          </w:p>
        </w:tc>
      </w:tr>
      <w:tr w:rsidRPr="005F055E" w:rsidR="00CF4A75" w:rsidTr="005E2643" w14:paraId="5CBF30FF"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36FB2B76" w14:textId="77777777">
            <w:pPr>
              <w:suppressAutoHyphens/>
              <w:spacing w:line="240" w:lineRule="auto"/>
              <w:rPr>
                <w:rFonts w:cs="Calibri"/>
                <w:color w:val="000000"/>
                <w:sz w:val="22"/>
              </w:rPr>
            </w:pPr>
            <w:r w:rsidRPr="005F055E">
              <w:rPr>
                <w:rFonts w:cs="Calibri"/>
                <w:color w:val="000000"/>
                <w:sz w:val="22"/>
              </w:rPr>
              <w:t>Jichtmiddelen</w:t>
            </w:r>
          </w:p>
        </w:tc>
      </w:tr>
      <w:tr w:rsidRPr="005F055E" w:rsidR="00CF4A75" w:rsidTr="005E2643" w14:paraId="5B61A56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DC78C64" w14:textId="77777777">
            <w:pPr>
              <w:suppressAutoHyphens/>
              <w:spacing w:line="240" w:lineRule="auto"/>
              <w:rPr>
                <w:rFonts w:cs="Calibri"/>
                <w:color w:val="000000"/>
                <w:sz w:val="22"/>
              </w:rPr>
            </w:pPr>
            <w:r w:rsidRPr="005F055E">
              <w:rPr>
                <w:rFonts w:cs="Calibri"/>
                <w:color w:val="000000"/>
                <w:sz w:val="22"/>
              </w:rPr>
              <w:t>Jodiumpreparaten</w:t>
            </w:r>
          </w:p>
        </w:tc>
      </w:tr>
      <w:tr w:rsidRPr="005F055E" w:rsidR="00CF4A75" w:rsidTr="005E2643" w14:paraId="4065DE39"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C144347" w14:textId="77777777">
            <w:pPr>
              <w:suppressAutoHyphens/>
              <w:spacing w:line="240" w:lineRule="auto"/>
              <w:rPr>
                <w:rFonts w:cs="Calibri"/>
                <w:color w:val="000000"/>
                <w:sz w:val="22"/>
              </w:rPr>
            </w:pPr>
            <w:r w:rsidRPr="005F055E">
              <w:rPr>
                <w:rFonts w:cs="Calibri"/>
                <w:color w:val="000000"/>
                <w:sz w:val="22"/>
              </w:rPr>
              <w:t>Kalium</w:t>
            </w:r>
          </w:p>
        </w:tc>
      </w:tr>
      <w:tr w:rsidRPr="005F055E" w:rsidR="00CF4A75" w:rsidTr="005E2643" w14:paraId="05D70C14"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1F0B0BF9" w14:textId="77777777">
            <w:pPr>
              <w:suppressAutoHyphens/>
              <w:spacing w:line="240" w:lineRule="auto"/>
              <w:rPr>
                <w:rFonts w:cs="Calibri"/>
                <w:color w:val="000000"/>
                <w:sz w:val="22"/>
              </w:rPr>
            </w:pPr>
            <w:proofErr w:type="spellStart"/>
            <w:r w:rsidRPr="005F055E">
              <w:rPr>
                <w:rFonts w:cs="Calibri"/>
                <w:color w:val="000000"/>
                <w:sz w:val="22"/>
              </w:rPr>
              <w:t>Kaliumsparende</w:t>
            </w:r>
            <w:proofErr w:type="spellEnd"/>
            <w:r w:rsidRPr="005F055E">
              <w:rPr>
                <w:rFonts w:cs="Calibri"/>
                <w:color w:val="000000"/>
                <w:sz w:val="22"/>
              </w:rPr>
              <w:t xml:space="preserve"> middelen</w:t>
            </w:r>
          </w:p>
        </w:tc>
      </w:tr>
      <w:tr w:rsidRPr="005F055E" w:rsidR="00CF4A75" w:rsidTr="005E2643" w14:paraId="11AFC431"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25F70CB8" w14:textId="77777777">
            <w:pPr>
              <w:suppressAutoHyphens/>
              <w:spacing w:line="240" w:lineRule="auto"/>
              <w:rPr>
                <w:rFonts w:cs="Calibri"/>
                <w:color w:val="000000"/>
                <w:sz w:val="22"/>
              </w:rPr>
            </w:pPr>
            <w:r w:rsidRPr="005F055E">
              <w:rPr>
                <w:rFonts w:cs="Calibri"/>
                <w:color w:val="000000"/>
                <w:sz w:val="22"/>
              </w:rPr>
              <w:t>Laxantia</w:t>
            </w:r>
          </w:p>
        </w:tc>
      </w:tr>
      <w:tr w:rsidRPr="005F055E" w:rsidR="00CF4A75" w:rsidTr="005E2643" w14:paraId="4D127FD6"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1F063B02" w14:textId="77777777">
            <w:pPr>
              <w:suppressAutoHyphens/>
              <w:spacing w:line="240" w:lineRule="auto"/>
              <w:rPr>
                <w:rFonts w:cs="Calibri"/>
                <w:color w:val="000000"/>
                <w:sz w:val="22"/>
              </w:rPr>
            </w:pPr>
            <w:proofErr w:type="spellStart"/>
            <w:r w:rsidRPr="005F055E">
              <w:rPr>
                <w:rFonts w:cs="Calibri"/>
                <w:color w:val="000000"/>
                <w:sz w:val="22"/>
              </w:rPr>
              <w:t>Leishmaniasis</w:t>
            </w:r>
            <w:proofErr w:type="spellEnd"/>
            <w:r w:rsidRPr="005F055E">
              <w:rPr>
                <w:rFonts w:cs="Calibri"/>
                <w:color w:val="000000"/>
                <w:sz w:val="22"/>
              </w:rPr>
              <w:t xml:space="preserve">- + </w:t>
            </w:r>
            <w:proofErr w:type="spellStart"/>
            <w:r w:rsidRPr="005F055E">
              <w:rPr>
                <w:rFonts w:cs="Calibri"/>
                <w:color w:val="000000"/>
                <w:sz w:val="22"/>
              </w:rPr>
              <w:t>trypanosomias.midd</w:t>
            </w:r>
            <w:proofErr w:type="spellEnd"/>
          </w:p>
        </w:tc>
      </w:tr>
      <w:tr w:rsidRPr="005F055E" w:rsidR="00CF4A75" w:rsidTr="005E2643" w14:paraId="1243146F"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59BF12DA" w14:textId="77777777">
            <w:pPr>
              <w:suppressAutoHyphens/>
              <w:spacing w:line="240" w:lineRule="auto"/>
              <w:rPr>
                <w:rFonts w:cs="Calibri"/>
                <w:color w:val="000000"/>
                <w:sz w:val="22"/>
              </w:rPr>
            </w:pPr>
            <w:r w:rsidRPr="005F055E">
              <w:rPr>
                <w:rFonts w:cs="Calibri"/>
                <w:color w:val="000000"/>
                <w:sz w:val="22"/>
              </w:rPr>
              <w:t>Lepramiddelen</w:t>
            </w:r>
          </w:p>
        </w:tc>
      </w:tr>
      <w:tr w:rsidRPr="005F055E" w:rsidR="00CF4A75" w:rsidTr="005E2643" w14:paraId="1719C812"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327394A2" w14:textId="77777777">
            <w:pPr>
              <w:suppressAutoHyphens/>
              <w:spacing w:line="240" w:lineRule="auto"/>
              <w:rPr>
                <w:rFonts w:cs="Calibri"/>
                <w:color w:val="000000"/>
                <w:sz w:val="22"/>
              </w:rPr>
            </w:pPr>
            <w:r w:rsidRPr="005F055E">
              <w:rPr>
                <w:rFonts w:cs="Calibri"/>
                <w:color w:val="000000"/>
                <w:sz w:val="22"/>
              </w:rPr>
              <w:t>Lever en galwegen</w:t>
            </w:r>
          </w:p>
        </w:tc>
      </w:tr>
      <w:tr w:rsidRPr="005F055E" w:rsidR="00CF4A75" w:rsidTr="005E2643" w14:paraId="1EFCC69E"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531D1D60" w14:textId="77777777">
            <w:pPr>
              <w:suppressAutoHyphens/>
              <w:spacing w:line="240" w:lineRule="auto"/>
              <w:rPr>
                <w:rFonts w:cs="Calibri"/>
                <w:color w:val="000000"/>
                <w:sz w:val="22"/>
              </w:rPr>
            </w:pPr>
            <w:proofErr w:type="spellStart"/>
            <w:r w:rsidRPr="005F055E">
              <w:rPr>
                <w:rFonts w:cs="Calibri"/>
                <w:color w:val="000000"/>
                <w:sz w:val="22"/>
              </w:rPr>
              <w:t>Levertherapeutica</w:t>
            </w:r>
            <w:proofErr w:type="spellEnd"/>
            <w:r w:rsidRPr="005F055E">
              <w:rPr>
                <w:rFonts w:cs="Calibri"/>
                <w:color w:val="000000"/>
                <w:sz w:val="22"/>
              </w:rPr>
              <w:t xml:space="preserve">, </w:t>
            </w:r>
            <w:proofErr w:type="spellStart"/>
            <w:r w:rsidRPr="005F055E">
              <w:rPr>
                <w:rFonts w:cs="Calibri"/>
                <w:color w:val="000000"/>
                <w:sz w:val="22"/>
              </w:rPr>
              <w:t>lipotrope</w:t>
            </w:r>
            <w:proofErr w:type="spellEnd"/>
            <w:r w:rsidRPr="005F055E">
              <w:rPr>
                <w:rFonts w:cs="Calibri"/>
                <w:color w:val="000000"/>
                <w:sz w:val="22"/>
              </w:rPr>
              <w:t xml:space="preserve"> </w:t>
            </w:r>
            <w:proofErr w:type="spellStart"/>
            <w:r w:rsidRPr="005F055E">
              <w:rPr>
                <w:rFonts w:cs="Calibri"/>
                <w:color w:val="000000"/>
                <w:sz w:val="22"/>
              </w:rPr>
              <w:t>midd</w:t>
            </w:r>
            <w:proofErr w:type="spellEnd"/>
            <w:r w:rsidRPr="005F055E">
              <w:rPr>
                <w:rFonts w:cs="Calibri"/>
                <w:color w:val="000000"/>
                <w:sz w:val="22"/>
              </w:rPr>
              <w:t>.</w:t>
            </w:r>
          </w:p>
        </w:tc>
      </w:tr>
      <w:tr w:rsidRPr="005F055E" w:rsidR="00CF4A75" w:rsidTr="005E2643" w14:paraId="0A19DB40"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625C4D99" w14:textId="77777777">
            <w:pPr>
              <w:suppressAutoHyphens/>
              <w:spacing w:line="240" w:lineRule="auto"/>
              <w:rPr>
                <w:rFonts w:cs="Calibri"/>
                <w:color w:val="000000"/>
                <w:sz w:val="22"/>
              </w:rPr>
            </w:pPr>
            <w:r w:rsidRPr="005F055E">
              <w:rPr>
                <w:rFonts w:cs="Calibri"/>
                <w:color w:val="000000"/>
                <w:sz w:val="22"/>
              </w:rPr>
              <w:t xml:space="preserve">Lok </w:t>
            </w:r>
            <w:proofErr w:type="spellStart"/>
            <w:r w:rsidRPr="005F055E">
              <w:rPr>
                <w:rFonts w:cs="Calibri"/>
                <w:color w:val="000000"/>
                <w:sz w:val="22"/>
              </w:rPr>
              <w:t>midd</w:t>
            </w:r>
            <w:proofErr w:type="spellEnd"/>
            <w:r w:rsidRPr="005F055E">
              <w:rPr>
                <w:rFonts w:cs="Calibri"/>
                <w:color w:val="000000"/>
                <w:sz w:val="22"/>
              </w:rPr>
              <w:t xml:space="preserve"> </w:t>
            </w:r>
            <w:proofErr w:type="spellStart"/>
            <w:r w:rsidRPr="005F055E">
              <w:rPr>
                <w:rFonts w:cs="Calibri"/>
                <w:color w:val="000000"/>
                <w:sz w:val="22"/>
              </w:rPr>
              <w:t>hemorroïden+anale</w:t>
            </w:r>
            <w:proofErr w:type="spellEnd"/>
            <w:r w:rsidRPr="005F055E">
              <w:rPr>
                <w:rFonts w:cs="Calibri"/>
                <w:color w:val="000000"/>
                <w:sz w:val="22"/>
              </w:rPr>
              <w:t xml:space="preserve"> fissuren</w:t>
            </w:r>
          </w:p>
        </w:tc>
      </w:tr>
      <w:tr w:rsidRPr="005F055E" w:rsidR="00CF4A75" w:rsidTr="005E2643" w14:paraId="2A287288"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1CFCD29C" w14:textId="77777777">
            <w:pPr>
              <w:suppressAutoHyphens/>
              <w:spacing w:line="240" w:lineRule="auto"/>
              <w:rPr>
                <w:rFonts w:cs="Calibri"/>
                <w:color w:val="000000"/>
                <w:sz w:val="22"/>
              </w:rPr>
            </w:pPr>
            <w:r w:rsidRPr="005F055E">
              <w:rPr>
                <w:rFonts w:cs="Calibri"/>
                <w:color w:val="000000"/>
                <w:sz w:val="22"/>
              </w:rPr>
              <w:t xml:space="preserve">Lokale </w:t>
            </w:r>
            <w:proofErr w:type="spellStart"/>
            <w:r w:rsidRPr="005F055E">
              <w:rPr>
                <w:rFonts w:cs="Calibri"/>
                <w:color w:val="000000"/>
                <w:sz w:val="22"/>
              </w:rPr>
              <w:t>antirheumatica</w:t>
            </w:r>
            <w:proofErr w:type="spellEnd"/>
          </w:p>
        </w:tc>
      </w:tr>
      <w:tr w:rsidRPr="005F055E" w:rsidR="00CF4A75" w:rsidTr="005E2643" w14:paraId="643308F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6CBE864C" w14:textId="77777777">
            <w:pPr>
              <w:suppressAutoHyphens/>
              <w:spacing w:line="240" w:lineRule="auto"/>
              <w:rPr>
                <w:rFonts w:cs="Calibri"/>
                <w:color w:val="000000"/>
                <w:sz w:val="22"/>
              </w:rPr>
            </w:pPr>
            <w:r w:rsidRPr="005F055E">
              <w:rPr>
                <w:rFonts w:cs="Calibri"/>
                <w:color w:val="000000"/>
                <w:sz w:val="22"/>
              </w:rPr>
              <w:t xml:space="preserve">Lokale chemische </w:t>
            </w:r>
            <w:proofErr w:type="spellStart"/>
            <w:r w:rsidRPr="005F055E">
              <w:rPr>
                <w:rFonts w:cs="Calibri"/>
                <w:color w:val="000000"/>
                <w:sz w:val="22"/>
              </w:rPr>
              <w:t>antimicrob</w:t>
            </w:r>
            <w:proofErr w:type="spellEnd"/>
            <w:r w:rsidRPr="005F055E">
              <w:rPr>
                <w:rFonts w:cs="Calibri"/>
                <w:color w:val="000000"/>
                <w:sz w:val="22"/>
              </w:rPr>
              <w:t xml:space="preserve">. </w:t>
            </w:r>
            <w:proofErr w:type="spellStart"/>
            <w:r w:rsidRPr="005F055E">
              <w:rPr>
                <w:rFonts w:cs="Calibri"/>
                <w:color w:val="000000"/>
                <w:sz w:val="22"/>
              </w:rPr>
              <w:t>midd</w:t>
            </w:r>
            <w:proofErr w:type="spellEnd"/>
            <w:r w:rsidRPr="005F055E">
              <w:rPr>
                <w:rFonts w:cs="Calibri"/>
                <w:color w:val="000000"/>
                <w:sz w:val="22"/>
              </w:rPr>
              <w:t>.</w:t>
            </w:r>
          </w:p>
        </w:tc>
      </w:tr>
      <w:tr w:rsidRPr="009873CE" w:rsidR="00CF4A75" w:rsidTr="005E2643" w14:paraId="3BD229F6"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056279" w:rsidR="00CF4A75" w:rsidP="00180EEB" w:rsidRDefault="00CF4A75" w14:paraId="14EBF993" w14:textId="77777777">
            <w:pPr>
              <w:suppressAutoHyphens/>
              <w:spacing w:line="240" w:lineRule="auto"/>
              <w:rPr>
                <w:rFonts w:cs="Calibri"/>
                <w:color w:val="000000"/>
                <w:sz w:val="22"/>
                <w:lang w:val="en-US"/>
              </w:rPr>
            </w:pPr>
            <w:r w:rsidRPr="00056279">
              <w:rPr>
                <w:rFonts w:cs="Calibri"/>
                <w:color w:val="000000"/>
                <w:sz w:val="22"/>
                <w:lang w:val="en-US"/>
              </w:rPr>
              <w:t xml:space="preserve">'Low-ceiling' </w:t>
            </w:r>
            <w:proofErr w:type="spellStart"/>
            <w:r w:rsidRPr="00056279">
              <w:rPr>
                <w:rFonts w:cs="Calibri"/>
                <w:color w:val="000000"/>
                <w:sz w:val="22"/>
                <w:lang w:val="en-US"/>
              </w:rPr>
              <w:t>diuret</w:t>
            </w:r>
            <w:proofErr w:type="spellEnd"/>
            <w:r w:rsidRPr="00056279">
              <w:rPr>
                <w:rFonts w:cs="Calibri"/>
                <w:color w:val="000000"/>
                <w:sz w:val="22"/>
                <w:lang w:val="en-US"/>
              </w:rPr>
              <w:t xml:space="preserve">, </w:t>
            </w:r>
            <w:proofErr w:type="spellStart"/>
            <w:r w:rsidRPr="00056279">
              <w:rPr>
                <w:rFonts w:cs="Calibri"/>
                <w:color w:val="000000"/>
                <w:sz w:val="22"/>
                <w:lang w:val="en-US"/>
              </w:rPr>
              <w:t>exc</w:t>
            </w:r>
            <w:proofErr w:type="spellEnd"/>
            <w:r w:rsidRPr="00056279">
              <w:rPr>
                <w:rFonts w:cs="Calibri"/>
                <w:color w:val="000000"/>
                <w:sz w:val="22"/>
                <w:lang w:val="en-US"/>
              </w:rPr>
              <w:t xml:space="preserve"> </w:t>
            </w:r>
            <w:proofErr w:type="spellStart"/>
            <w:r w:rsidRPr="00056279">
              <w:rPr>
                <w:rFonts w:cs="Calibri"/>
                <w:color w:val="000000"/>
                <w:sz w:val="22"/>
                <w:lang w:val="en-US"/>
              </w:rPr>
              <w:t>thiaziden</w:t>
            </w:r>
            <w:proofErr w:type="spellEnd"/>
          </w:p>
        </w:tc>
      </w:tr>
      <w:tr w:rsidRPr="005F055E" w:rsidR="00CF4A75" w:rsidTr="005E2643" w14:paraId="1159942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08A086A1" w14:textId="77777777">
            <w:pPr>
              <w:suppressAutoHyphens/>
              <w:spacing w:line="240" w:lineRule="auto"/>
              <w:rPr>
                <w:rFonts w:cs="Calibri"/>
                <w:color w:val="000000"/>
                <w:sz w:val="22"/>
              </w:rPr>
            </w:pPr>
            <w:r w:rsidRPr="005F055E">
              <w:rPr>
                <w:rFonts w:cs="Calibri"/>
                <w:color w:val="000000"/>
                <w:sz w:val="22"/>
              </w:rPr>
              <w:t>'Low-</w:t>
            </w:r>
            <w:proofErr w:type="spellStart"/>
            <w:r w:rsidRPr="005F055E">
              <w:rPr>
                <w:rFonts w:cs="Calibri"/>
                <w:color w:val="000000"/>
                <w:sz w:val="22"/>
              </w:rPr>
              <w:t>ceiling</w:t>
            </w:r>
            <w:proofErr w:type="spellEnd"/>
            <w:r w:rsidRPr="005F055E">
              <w:rPr>
                <w:rFonts w:cs="Calibri"/>
                <w:color w:val="000000"/>
                <w:sz w:val="22"/>
              </w:rPr>
              <w:t xml:space="preserve">' diuretica, </w:t>
            </w:r>
            <w:proofErr w:type="spellStart"/>
            <w:r w:rsidRPr="005F055E">
              <w:rPr>
                <w:rFonts w:cs="Calibri"/>
                <w:color w:val="000000"/>
                <w:sz w:val="22"/>
              </w:rPr>
              <w:t>thiaziden</w:t>
            </w:r>
            <w:proofErr w:type="spellEnd"/>
          </w:p>
        </w:tc>
      </w:tr>
      <w:tr w:rsidRPr="005F055E" w:rsidR="00CF4A75" w:rsidTr="005E2643" w14:paraId="012E763E"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349632FA" w14:textId="77777777">
            <w:pPr>
              <w:suppressAutoHyphens/>
              <w:spacing w:line="240" w:lineRule="auto"/>
              <w:rPr>
                <w:rFonts w:cs="Calibri"/>
                <w:color w:val="000000"/>
                <w:sz w:val="22"/>
              </w:rPr>
            </w:pPr>
            <w:proofErr w:type="spellStart"/>
            <w:r w:rsidRPr="005F055E">
              <w:rPr>
                <w:rFonts w:cs="Calibri"/>
                <w:color w:val="000000"/>
                <w:sz w:val="22"/>
              </w:rPr>
              <w:t>Macrolid</w:t>
            </w:r>
            <w:proofErr w:type="spellEnd"/>
            <w:r w:rsidRPr="005F055E">
              <w:rPr>
                <w:rFonts w:cs="Calibri"/>
                <w:color w:val="000000"/>
                <w:sz w:val="22"/>
              </w:rPr>
              <w:t xml:space="preserve">., </w:t>
            </w:r>
            <w:proofErr w:type="spellStart"/>
            <w:r w:rsidRPr="005F055E">
              <w:rPr>
                <w:rFonts w:cs="Calibri"/>
                <w:color w:val="000000"/>
                <w:sz w:val="22"/>
              </w:rPr>
              <w:t>lincosamid</w:t>
            </w:r>
            <w:proofErr w:type="spellEnd"/>
            <w:r w:rsidRPr="005F055E">
              <w:rPr>
                <w:rFonts w:cs="Calibri"/>
                <w:color w:val="000000"/>
                <w:sz w:val="22"/>
              </w:rPr>
              <w:t xml:space="preserve">.+ </w:t>
            </w:r>
            <w:proofErr w:type="spellStart"/>
            <w:r w:rsidRPr="005F055E">
              <w:rPr>
                <w:rFonts w:cs="Calibri"/>
                <w:color w:val="000000"/>
                <w:sz w:val="22"/>
              </w:rPr>
              <w:t>streptogram</w:t>
            </w:r>
            <w:proofErr w:type="spellEnd"/>
          </w:p>
        </w:tc>
      </w:tr>
      <w:tr w:rsidRPr="005F055E" w:rsidR="00CF4A75" w:rsidTr="005E2643" w14:paraId="7ABE3904"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6E7ADEB2" w14:textId="77777777">
            <w:pPr>
              <w:suppressAutoHyphens/>
              <w:spacing w:line="240" w:lineRule="auto"/>
              <w:rPr>
                <w:rFonts w:cs="Calibri"/>
                <w:color w:val="000000"/>
                <w:sz w:val="22"/>
              </w:rPr>
            </w:pPr>
            <w:r w:rsidRPr="005F055E">
              <w:rPr>
                <w:rFonts w:cs="Calibri"/>
                <w:color w:val="000000"/>
                <w:sz w:val="22"/>
              </w:rPr>
              <w:t>Malariamiddelen</w:t>
            </w:r>
          </w:p>
        </w:tc>
      </w:tr>
      <w:tr w:rsidRPr="005F055E" w:rsidR="00CF4A75" w:rsidTr="005E2643" w14:paraId="46E97B0F"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6E9E3879" w14:textId="77777777">
            <w:pPr>
              <w:suppressAutoHyphens/>
              <w:spacing w:line="240" w:lineRule="auto"/>
              <w:rPr>
                <w:rFonts w:cs="Calibri"/>
                <w:color w:val="000000"/>
                <w:sz w:val="22"/>
              </w:rPr>
            </w:pPr>
            <w:r w:rsidRPr="005F055E">
              <w:rPr>
                <w:rFonts w:cs="Calibri"/>
                <w:color w:val="000000"/>
                <w:sz w:val="22"/>
              </w:rPr>
              <w:t>Micro-organismen tegen diarree</w:t>
            </w:r>
          </w:p>
        </w:tc>
      </w:tr>
      <w:tr w:rsidRPr="005F055E" w:rsidR="00CF4A75" w:rsidTr="005E2643" w14:paraId="7F3C929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0622C718" w14:textId="77777777">
            <w:pPr>
              <w:suppressAutoHyphens/>
              <w:spacing w:line="240" w:lineRule="auto"/>
              <w:rPr>
                <w:rFonts w:cs="Calibri"/>
                <w:color w:val="000000"/>
                <w:sz w:val="22"/>
              </w:rPr>
            </w:pPr>
            <w:proofErr w:type="spellStart"/>
            <w:r w:rsidRPr="005F055E">
              <w:rPr>
                <w:rFonts w:cs="Calibri"/>
                <w:color w:val="000000"/>
                <w:sz w:val="22"/>
              </w:rPr>
              <w:t>Midd</w:t>
            </w:r>
            <w:proofErr w:type="spellEnd"/>
            <w:r w:rsidRPr="005F055E">
              <w:rPr>
                <w:rFonts w:cs="Calibri"/>
                <w:color w:val="000000"/>
                <w:sz w:val="22"/>
              </w:rPr>
              <w:t xml:space="preserve"> benigne prostaathyperplasie</w:t>
            </w:r>
          </w:p>
        </w:tc>
      </w:tr>
      <w:tr w:rsidRPr="009873CE" w:rsidR="00CF4A75" w:rsidTr="005E2643" w14:paraId="798DF1DF"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056279" w:rsidR="00CF4A75" w:rsidP="00180EEB" w:rsidRDefault="00CF4A75" w14:paraId="51D1D2B9" w14:textId="77777777">
            <w:pPr>
              <w:suppressAutoHyphens/>
              <w:spacing w:line="240" w:lineRule="auto"/>
              <w:rPr>
                <w:rFonts w:cs="Calibri"/>
                <w:color w:val="000000"/>
                <w:sz w:val="22"/>
                <w:lang w:val="es-ES"/>
              </w:rPr>
            </w:pPr>
            <w:proofErr w:type="spellStart"/>
            <w:r w:rsidRPr="00056279">
              <w:rPr>
                <w:rFonts w:cs="Calibri"/>
                <w:color w:val="000000"/>
                <w:sz w:val="22"/>
                <w:lang w:val="es-ES"/>
              </w:rPr>
              <w:t>Midd</w:t>
            </w:r>
            <w:proofErr w:type="spellEnd"/>
            <w:r w:rsidRPr="00056279">
              <w:rPr>
                <w:rFonts w:cs="Calibri"/>
                <w:color w:val="000000"/>
                <w:sz w:val="22"/>
                <w:lang w:val="es-ES"/>
              </w:rPr>
              <w:t xml:space="preserve"> </w:t>
            </w:r>
            <w:proofErr w:type="spellStart"/>
            <w:r w:rsidRPr="00056279">
              <w:rPr>
                <w:rFonts w:cs="Calibri"/>
                <w:color w:val="000000"/>
                <w:sz w:val="22"/>
                <w:lang w:val="es-ES"/>
              </w:rPr>
              <w:t>ulcus</w:t>
            </w:r>
            <w:proofErr w:type="spellEnd"/>
            <w:r w:rsidRPr="00056279">
              <w:rPr>
                <w:rFonts w:cs="Calibri"/>
                <w:color w:val="000000"/>
                <w:sz w:val="22"/>
                <w:lang w:val="es-ES"/>
              </w:rPr>
              <w:t xml:space="preserve"> </w:t>
            </w:r>
            <w:proofErr w:type="spellStart"/>
            <w:r w:rsidRPr="00056279">
              <w:rPr>
                <w:rFonts w:cs="Calibri"/>
                <w:color w:val="000000"/>
                <w:sz w:val="22"/>
                <w:lang w:val="es-ES"/>
              </w:rPr>
              <w:t>pept</w:t>
            </w:r>
            <w:proofErr w:type="spellEnd"/>
            <w:r w:rsidRPr="00056279">
              <w:rPr>
                <w:rFonts w:cs="Calibri"/>
                <w:color w:val="000000"/>
                <w:sz w:val="22"/>
                <w:lang w:val="es-ES"/>
              </w:rPr>
              <w:t>/gastro-</w:t>
            </w:r>
            <w:proofErr w:type="spellStart"/>
            <w:r w:rsidRPr="00056279">
              <w:rPr>
                <w:rFonts w:cs="Calibri"/>
                <w:color w:val="000000"/>
                <w:sz w:val="22"/>
                <w:lang w:val="es-ES"/>
              </w:rPr>
              <w:t>oesof.reflux</w:t>
            </w:r>
            <w:proofErr w:type="spellEnd"/>
          </w:p>
        </w:tc>
      </w:tr>
      <w:tr w:rsidRPr="005F055E" w:rsidR="00CF4A75" w:rsidTr="005E2643" w14:paraId="6AD3F4E6"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55850314" w14:textId="77777777">
            <w:pPr>
              <w:suppressAutoHyphens/>
              <w:spacing w:line="240" w:lineRule="auto"/>
              <w:rPr>
                <w:rFonts w:cs="Calibri"/>
                <w:color w:val="000000"/>
                <w:sz w:val="22"/>
              </w:rPr>
            </w:pPr>
            <w:proofErr w:type="spellStart"/>
            <w:r w:rsidRPr="005F055E">
              <w:rPr>
                <w:rFonts w:cs="Calibri"/>
                <w:color w:val="000000"/>
                <w:sz w:val="22"/>
              </w:rPr>
              <w:t>Midd</w:t>
            </w:r>
            <w:proofErr w:type="spellEnd"/>
            <w:r w:rsidRPr="005F055E">
              <w:rPr>
                <w:rFonts w:cs="Calibri"/>
                <w:color w:val="000000"/>
                <w:sz w:val="22"/>
              </w:rPr>
              <w:t xml:space="preserve">. gladde spieren </w:t>
            </w:r>
            <w:proofErr w:type="spellStart"/>
            <w:r w:rsidRPr="005F055E">
              <w:rPr>
                <w:rFonts w:cs="Calibri"/>
                <w:color w:val="000000"/>
                <w:sz w:val="22"/>
              </w:rPr>
              <w:t>vd</w:t>
            </w:r>
            <w:proofErr w:type="spellEnd"/>
            <w:r w:rsidRPr="005F055E">
              <w:rPr>
                <w:rFonts w:cs="Calibri"/>
                <w:color w:val="000000"/>
                <w:sz w:val="22"/>
              </w:rPr>
              <w:t xml:space="preserve"> arteriolen</w:t>
            </w:r>
          </w:p>
        </w:tc>
      </w:tr>
      <w:tr w:rsidRPr="005F055E" w:rsidR="00CF4A75" w:rsidTr="005E2643" w14:paraId="6B3F7A39"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60670534" w14:textId="77777777">
            <w:pPr>
              <w:suppressAutoHyphens/>
              <w:spacing w:line="240" w:lineRule="auto"/>
              <w:rPr>
                <w:rFonts w:cs="Calibri"/>
                <w:color w:val="000000"/>
                <w:sz w:val="22"/>
              </w:rPr>
            </w:pPr>
            <w:r w:rsidRPr="005F055E">
              <w:rPr>
                <w:rFonts w:cs="Calibri"/>
                <w:color w:val="000000"/>
                <w:sz w:val="22"/>
              </w:rPr>
              <w:t xml:space="preserve">Middelen bij </w:t>
            </w:r>
            <w:proofErr w:type="spellStart"/>
            <w:r w:rsidRPr="005F055E">
              <w:rPr>
                <w:rFonts w:cs="Calibri"/>
                <w:color w:val="000000"/>
                <w:sz w:val="22"/>
              </w:rPr>
              <w:t>funct</w:t>
            </w:r>
            <w:proofErr w:type="spellEnd"/>
            <w:r w:rsidRPr="005F055E">
              <w:rPr>
                <w:rFonts w:cs="Calibri"/>
                <w:color w:val="000000"/>
                <w:sz w:val="22"/>
              </w:rPr>
              <w:t>. darmstoornissen</w:t>
            </w:r>
          </w:p>
        </w:tc>
      </w:tr>
      <w:tr w:rsidRPr="005F055E" w:rsidR="00CF4A75" w:rsidTr="005E2643" w14:paraId="3A98DD4A"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7D40D0D8" w14:textId="77777777">
            <w:pPr>
              <w:suppressAutoHyphens/>
              <w:spacing w:line="240" w:lineRule="auto"/>
              <w:rPr>
                <w:rFonts w:cs="Calibri"/>
                <w:color w:val="000000"/>
                <w:sz w:val="22"/>
              </w:rPr>
            </w:pPr>
            <w:r w:rsidRPr="005F055E">
              <w:rPr>
                <w:rFonts w:cs="Calibri"/>
                <w:color w:val="000000"/>
                <w:sz w:val="22"/>
              </w:rPr>
              <w:t>Middelen bij vaataandoeningen oog</w:t>
            </w:r>
          </w:p>
        </w:tc>
      </w:tr>
      <w:tr w:rsidRPr="005F055E" w:rsidR="00CF4A75" w:rsidTr="005E2643" w14:paraId="3EA3D728"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156E2C3D" w14:textId="77777777">
            <w:pPr>
              <w:suppressAutoHyphens/>
              <w:spacing w:line="240" w:lineRule="auto"/>
              <w:rPr>
                <w:rFonts w:cs="Calibri"/>
                <w:color w:val="000000"/>
                <w:sz w:val="22"/>
              </w:rPr>
            </w:pPr>
            <w:r w:rsidRPr="005F055E">
              <w:rPr>
                <w:rFonts w:cs="Calibri"/>
                <w:color w:val="000000"/>
                <w:sz w:val="22"/>
              </w:rPr>
              <w:t>Middelen bij verslavingen</w:t>
            </w:r>
          </w:p>
        </w:tc>
      </w:tr>
      <w:tr w:rsidRPr="005F055E" w:rsidR="00CF4A75" w:rsidTr="005E2643" w14:paraId="4C3F7FB7"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E81FFCF" w14:textId="77777777">
            <w:pPr>
              <w:suppressAutoHyphens/>
              <w:spacing w:line="240" w:lineRule="auto"/>
              <w:rPr>
                <w:rFonts w:cs="Calibri"/>
                <w:color w:val="000000"/>
                <w:sz w:val="22"/>
              </w:rPr>
            </w:pPr>
            <w:r w:rsidRPr="005F055E">
              <w:rPr>
                <w:rFonts w:cs="Calibri"/>
                <w:color w:val="000000"/>
                <w:sz w:val="22"/>
              </w:rPr>
              <w:t>Migrainemiddelen</w:t>
            </w:r>
          </w:p>
        </w:tc>
      </w:tr>
      <w:tr w:rsidRPr="005F055E" w:rsidR="00CF4A75" w:rsidTr="005E2643" w14:paraId="73A2361D"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3B136F50" w14:textId="77777777">
            <w:pPr>
              <w:suppressAutoHyphens/>
              <w:spacing w:line="240" w:lineRule="auto"/>
              <w:rPr>
                <w:rFonts w:cs="Calibri"/>
                <w:color w:val="000000"/>
                <w:sz w:val="22"/>
              </w:rPr>
            </w:pPr>
            <w:r w:rsidRPr="005F055E">
              <w:rPr>
                <w:rFonts w:cs="Calibri"/>
                <w:color w:val="000000"/>
                <w:sz w:val="22"/>
              </w:rPr>
              <w:t>Mondpreparaten</w:t>
            </w:r>
          </w:p>
        </w:tc>
      </w:tr>
      <w:tr w:rsidRPr="005F055E" w:rsidR="00CF4A75" w:rsidTr="005E2643" w14:paraId="56456A7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3102DF83" w14:textId="77777777">
            <w:pPr>
              <w:suppressAutoHyphens/>
              <w:spacing w:line="240" w:lineRule="auto"/>
              <w:rPr>
                <w:rFonts w:cs="Calibri"/>
                <w:color w:val="000000"/>
                <w:sz w:val="22"/>
              </w:rPr>
            </w:pPr>
            <w:proofErr w:type="spellStart"/>
            <w:r w:rsidRPr="005F055E">
              <w:rPr>
                <w:rFonts w:cs="Calibri"/>
                <w:color w:val="000000"/>
                <w:sz w:val="22"/>
              </w:rPr>
              <w:t>Motiliteitsbevorderende</w:t>
            </w:r>
            <w:proofErr w:type="spellEnd"/>
            <w:r w:rsidRPr="005F055E">
              <w:rPr>
                <w:rFonts w:cs="Calibri"/>
                <w:color w:val="000000"/>
                <w:sz w:val="22"/>
              </w:rPr>
              <w:t xml:space="preserve"> middelen</w:t>
            </w:r>
          </w:p>
        </w:tc>
      </w:tr>
      <w:tr w:rsidRPr="005F055E" w:rsidR="00CF4A75" w:rsidTr="005E2643" w14:paraId="45A40053"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0137609" w14:textId="77777777">
            <w:pPr>
              <w:suppressAutoHyphens/>
              <w:spacing w:line="240" w:lineRule="auto"/>
              <w:rPr>
                <w:rFonts w:cs="Calibri"/>
                <w:color w:val="000000"/>
                <w:sz w:val="22"/>
              </w:rPr>
            </w:pPr>
            <w:proofErr w:type="spellStart"/>
            <w:r w:rsidRPr="005F055E">
              <w:rPr>
                <w:rFonts w:cs="Calibri"/>
                <w:color w:val="000000"/>
                <w:sz w:val="22"/>
              </w:rPr>
              <w:t>Motiliteitsremmende</w:t>
            </w:r>
            <w:proofErr w:type="spellEnd"/>
            <w:r w:rsidRPr="005F055E">
              <w:rPr>
                <w:rFonts w:cs="Calibri"/>
                <w:color w:val="000000"/>
                <w:sz w:val="22"/>
              </w:rPr>
              <w:t xml:space="preserve"> middelen</w:t>
            </w:r>
          </w:p>
        </w:tc>
      </w:tr>
      <w:tr w:rsidRPr="005F055E" w:rsidR="00CF4A75" w:rsidTr="005E2643" w14:paraId="768F0059"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3FAD4DD0" w14:textId="77777777">
            <w:pPr>
              <w:suppressAutoHyphens/>
              <w:spacing w:line="240" w:lineRule="auto"/>
              <w:rPr>
                <w:rFonts w:cs="Calibri"/>
                <w:color w:val="000000"/>
                <w:sz w:val="22"/>
              </w:rPr>
            </w:pPr>
            <w:r w:rsidRPr="005F055E">
              <w:rPr>
                <w:rFonts w:cs="Calibri"/>
                <w:color w:val="000000"/>
                <w:sz w:val="22"/>
              </w:rPr>
              <w:t>Multivitaminen</w:t>
            </w:r>
          </w:p>
        </w:tc>
      </w:tr>
      <w:tr w:rsidRPr="005F055E" w:rsidR="00CF4A75" w:rsidTr="005E2643" w14:paraId="02EC17E8"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670D43BA" w14:textId="77777777">
            <w:pPr>
              <w:suppressAutoHyphens/>
              <w:spacing w:line="240" w:lineRule="auto"/>
              <w:rPr>
                <w:rFonts w:cs="Calibri"/>
                <w:color w:val="000000"/>
                <w:sz w:val="22"/>
              </w:rPr>
            </w:pPr>
            <w:r w:rsidRPr="005F055E">
              <w:rPr>
                <w:rFonts w:cs="Calibri"/>
                <w:color w:val="000000"/>
                <w:sz w:val="22"/>
              </w:rPr>
              <w:t xml:space="preserve">Multivitaminen, </w:t>
            </w:r>
            <w:proofErr w:type="spellStart"/>
            <w:r w:rsidRPr="005F055E">
              <w:rPr>
                <w:rFonts w:cs="Calibri"/>
                <w:color w:val="000000"/>
                <w:sz w:val="22"/>
              </w:rPr>
              <w:t>combinat.preparaten</w:t>
            </w:r>
            <w:proofErr w:type="spellEnd"/>
          </w:p>
        </w:tc>
      </w:tr>
      <w:tr w:rsidRPr="005F055E" w:rsidR="00CF4A75" w:rsidTr="005E2643" w14:paraId="48235162"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365DD0E2" w14:textId="77777777">
            <w:pPr>
              <w:suppressAutoHyphens/>
              <w:spacing w:line="240" w:lineRule="auto"/>
              <w:rPr>
                <w:rFonts w:cs="Calibri"/>
                <w:color w:val="000000"/>
                <w:sz w:val="22"/>
              </w:rPr>
            </w:pPr>
            <w:proofErr w:type="spellStart"/>
            <w:r w:rsidRPr="005F055E">
              <w:rPr>
                <w:rFonts w:cs="Calibri"/>
                <w:color w:val="000000"/>
                <w:sz w:val="22"/>
              </w:rPr>
              <w:t>Mydriatica</w:t>
            </w:r>
            <w:proofErr w:type="spellEnd"/>
            <w:r w:rsidRPr="005F055E">
              <w:rPr>
                <w:rFonts w:cs="Calibri"/>
                <w:color w:val="000000"/>
                <w:sz w:val="22"/>
              </w:rPr>
              <w:t xml:space="preserve"> en </w:t>
            </w:r>
            <w:proofErr w:type="spellStart"/>
            <w:r w:rsidRPr="005F055E">
              <w:rPr>
                <w:rFonts w:cs="Calibri"/>
                <w:color w:val="000000"/>
                <w:sz w:val="22"/>
              </w:rPr>
              <w:t>cycloplegica</w:t>
            </w:r>
            <w:proofErr w:type="spellEnd"/>
          </w:p>
        </w:tc>
      </w:tr>
      <w:tr w:rsidRPr="005F055E" w:rsidR="00CF4A75" w:rsidTr="005E2643" w14:paraId="318E8C9E"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0DF600EF" w14:textId="77777777">
            <w:pPr>
              <w:suppressAutoHyphens/>
              <w:spacing w:line="240" w:lineRule="auto"/>
              <w:rPr>
                <w:rFonts w:cs="Calibri"/>
                <w:color w:val="000000"/>
                <w:sz w:val="22"/>
              </w:rPr>
            </w:pPr>
            <w:proofErr w:type="spellStart"/>
            <w:r w:rsidRPr="005F055E">
              <w:rPr>
                <w:rFonts w:cs="Calibri"/>
                <w:color w:val="000000"/>
                <w:sz w:val="22"/>
              </w:rPr>
              <w:t>Neurohypofysehormonen</w:t>
            </w:r>
            <w:proofErr w:type="spellEnd"/>
          </w:p>
        </w:tc>
      </w:tr>
      <w:tr w:rsidRPr="005F055E" w:rsidR="00CF4A75" w:rsidTr="005E2643" w14:paraId="7D62303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44B5614A" w14:textId="77777777">
            <w:pPr>
              <w:suppressAutoHyphens/>
              <w:spacing w:line="240" w:lineRule="auto"/>
              <w:rPr>
                <w:rFonts w:cs="Calibri"/>
                <w:color w:val="000000"/>
                <w:sz w:val="22"/>
              </w:rPr>
            </w:pPr>
            <w:proofErr w:type="spellStart"/>
            <w:r w:rsidRPr="005F055E">
              <w:rPr>
                <w:rFonts w:cs="Calibri"/>
                <w:color w:val="000000"/>
                <w:sz w:val="22"/>
              </w:rPr>
              <w:t>Neusslijmvliesdecong</w:t>
            </w:r>
            <w:proofErr w:type="spellEnd"/>
            <w:r w:rsidRPr="005F055E">
              <w:rPr>
                <w:rFonts w:cs="Calibri"/>
                <w:color w:val="000000"/>
                <w:sz w:val="22"/>
              </w:rPr>
              <w:t xml:space="preserve"> v system </w:t>
            </w:r>
            <w:proofErr w:type="spellStart"/>
            <w:r w:rsidRPr="005F055E">
              <w:rPr>
                <w:rFonts w:cs="Calibri"/>
                <w:color w:val="000000"/>
                <w:sz w:val="22"/>
              </w:rPr>
              <w:t>gebr</w:t>
            </w:r>
            <w:proofErr w:type="spellEnd"/>
          </w:p>
        </w:tc>
      </w:tr>
      <w:tr w:rsidRPr="005F055E" w:rsidR="00CF4A75" w:rsidTr="005E2643" w14:paraId="34C6AE98"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3ADFBF9D" w14:textId="77777777">
            <w:pPr>
              <w:suppressAutoHyphens/>
              <w:spacing w:line="240" w:lineRule="auto"/>
              <w:rPr>
                <w:rFonts w:cs="Calibri"/>
                <w:color w:val="000000"/>
                <w:sz w:val="22"/>
              </w:rPr>
            </w:pPr>
            <w:r w:rsidRPr="005F055E">
              <w:rPr>
                <w:rFonts w:cs="Calibri"/>
                <w:color w:val="000000"/>
                <w:sz w:val="22"/>
              </w:rPr>
              <w:t>Nieren</w:t>
            </w:r>
          </w:p>
        </w:tc>
      </w:tr>
      <w:tr w:rsidRPr="005F055E" w:rsidR="00CF4A75" w:rsidTr="005E2643" w14:paraId="32833EC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4524DEC7" w14:textId="77777777">
            <w:pPr>
              <w:suppressAutoHyphens/>
              <w:spacing w:line="240" w:lineRule="auto"/>
              <w:rPr>
                <w:rFonts w:cs="Calibri"/>
                <w:color w:val="000000"/>
                <w:sz w:val="22"/>
              </w:rPr>
            </w:pPr>
            <w:r w:rsidRPr="005F055E">
              <w:rPr>
                <w:rFonts w:cs="Calibri"/>
                <w:color w:val="000000"/>
                <w:sz w:val="22"/>
              </w:rPr>
              <w:t>Niet ingevuld</w:t>
            </w:r>
          </w:p>
        </w:tc>
      </w:tr>
      <w:tr w:rsidRPr="005F055E" w:rsidR="00CF4A75" w:rsidTr="005E2643" w14:paraId="40FA6BC7"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700D1563" w14:textId="77777777">
            <w:pPr>
              <w:suppressAutoHyphens/>
              <w:spacing w:line="240" w:lineRule="auto"/>
              <w:rPr>
                <w:rFonts w:cs="Calibri"/>
                <w:color w:val="000000"/>
                <w:sz w:val="22"/>
              </w:rPr>
            </w:pPr>
            <w:r w:rsidRPr="005F055E">
              <w:rPr>
                <w:rFonts w:cs="Calibri"/>
                <w:color w:val="000000"/>
                <w:sz w:val="22"/>
              </w:rPr>
              <w:t>Niet-selectieve calciumantagonisten</w:t>
            </w:r>
          </w:p>
        </w:tc>
      </w:tr>
      <w:tr w:rsidRPr="005F055E" w:rsidR="00CF4A75" w:rsidTr="005E2643" w14:paraId="0ABFDD2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62059206" w14:textId="77777777">
            <w:pPr>
              <w:suppressAutoHyphens/>
              <w:spacing w:line="240" w:lineRule="auto"/>
              <w:rPr>
                <w:rFonts w:cs="Calibri"/>
                <w:color w:val="000000"/>
                <w:sz w:val="22"/>
              </w:rPr>
            </w:pPr>
            <w:r w:rsidRPr="005F055E">
              <w:rPr>
                <w:rFonts w:cs="Calibri"/>
                <w:color w:val="000000"/>
                <w:sz w:val="22"/>
              </w:rPr>
              <w:t>Niet-ster.anti-inflam+antirheum.mid</w:t>
            </w:r>
          </w:p>
        </w:tc>
      </w:tr>
      <w:tr w:rsidRPr="005F055E" w:rsidR="00CF4A75" w:rsidTr="005E2643" w14:paraId="096E55EC"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7D92F282" w14:textId="77777777">
            <w:pPr>
              <w:suppressAutoHyphens/>
              <w:spacing w:line="240" w:lineRule="auto"/>
              <w:rPr>
                <w:rFonts w:cs="Calibri"/>
                <w:color w:val="000000"/>
                <w:sz w:val="22"/>
              </w:rPr>
            </w:pPr>
            <w:r w:rsidRPr="005F055E">
              <w:rPr>
                <w:rFonts w:cs="Calibri"/>
                <w:color w:val="000000"/>
                <w:sz w:val="22"/>
              </w:rPr>
              <w:t>Oestrogenen</w:t>
            </w:r>
          </w:p>
        </w:tc>
      </w:tr>
      <w:tr w:rsidRPr="005F055E" w:rsidR="00CF4A75" w:rsidTr="005E2643" w14:paraId="6686C6D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68E2F967" w14:textId="77777777">
            <w:pPr>
              <w:suppressAutoHyphens/>
              <w:spacing w:line="240" w:lineRule="auto"/>
              <w:rPr>
                <w:rFonts w:cs="Calibri"/>
                <w:color w:val="000000"/>
                <w:sz w:val="22"/>
              </w:rPr>
            </w:pPr>
            <w:r w:rsidRPr="005F055E">
              <w:rPr>
                <w:rFonts w:cs="Calibri"/>
                <w:color w:val="000000"/>
                <w:sz w:val="22"/>
              </w:rPr>
              <w:t>Oestrogenen met progestagenen</w:t>
            </w:r>
          </w:p>
        </w:tc>
      </w:tr>
      <w:tr w:rsidRPr="005F055E" w:rsidR="00CF4A75" w:rsidTr="005E2643" w14:paraId="16F63A20"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5B884CC6" w14:textId="77777777">
            <w:pPr>
              <w:suppressAutoHyphens/>
              <w:spacing w:line="240" w:lineRule="auto"/>
              <w:rPr>
                <w:rFonts w:cs="Calibri"/>
                <w:color w:val="000000"/>
                <w:sz w:val="22"/>
              </w:rPr>
            </w:pPr>
            <w:r w:rsidRPr="005F055E">
              <w:rPr>
                <w:rFonts w:cs="Calibri"/>
                <w:color w:val="000000"/>
                <w:sz w:val="22"/>
              </w:rPr>
              <w:t>Ontsteking en infectie</w:t>
            </w:r>
          </w:p>
        </w:tc>
      </w:tr>
      <w:tr w:rsidRPr="005F055E" w:rsidR="00CF4A75" w:rsidTr="005E2643" w14:paraId="1E62F004"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7F208A34" w14:textId="77777777">
            <w:pPr>
              <w:suppressAutoHyphens/>
              <w:spacing w:line="240" w:lineRule="auto"/>
              <w:rPr>
                <w:rFonts w:cs="Calibri"/>
                <w:color w:val="000000"/>
                <w:sz w:val="22"/>
              </w:rPr>
            </w:pPr>
            <w:proofErr w:type="spellStart"/>
            <w:r w:rsidRPr="005F055E">
              <w:rPr>
                <w:rFonts w:cs="Calibri"/>
                <w:color w:val="000000"/>
                <w:sz w:val="22"/>
              </w:rPr>
              <w:t>Opioiden</w:t>
            </w:r>
            <w:proofErr w:type="spellEnd"/>
          </w:p>
        </w:tc>
      </w:tr>
      <w:tr w:rsidRPr="005F055E" w:rsidR="00CF4A75" w:rsidTr="005E2643" w14:paraId="64334E31"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549E9E7F" w14:textId="77777777">
            <w:pPr>
              <w:suppressAutoHyphens/>
              <w:spacing w:line="240" w:lineRule="auto"/>
              <w:rPr>
                <w:rFonts w:cs="Calibri"/>
                <w:color w:val="000000"/>
                <w:sz w:val="22"/>
              </w:rPr>
            </w:pPr>
            <w:proofErr w:type="spellStart"/>
            <w:r w:rsidRPr="005F055E">
              <w:rPr>
                <w:rFonts w:cs="Calibri"/>
                <w:color w:val="000000"/>
                <w:sz w:val="22"/>
              </w:rPr>
              <w:t>Orofaryngeale</w:t>
            </w:r>
            <w:proofErr w:type="spellEnd"/>
            <w:r w:rsidRPr="005F055E">
              <w:rPr>
                <w:rFonts w:cs="Calibri"/>
                <w:color w:val="000000"/>
                <w:sz w:val="22"/>
              </w:rPr>
              <w:t xml:space="preserve"> middelen</w:t>
            </w:r>
          </w:p>
        </w:tc>
      </w:tr>
      <w:tr w:rsidRPr="005F055E" w:rsidR="00CF4A75" w:rsidTr="005E2643" w14:paraId="3495F717"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1F4BA8C3" w14:textId="77777777">
            <w:pPr>
              <w:suppressAutoHyphens/>
              <w:spacing w:line="240" w:lineRule="auto"/>
              <w:rPr>
                <w:rFonts w:cs="Calibri"/>
                <w:color w:val="000000"/>
                <w:sz w:val="22"/>
              </w:rPr>
            </w:pPr>
            <w:r w:rsidRPr="005F055E">
              <w:rPr>
                <w:rFonts w:cs="Calibri"/>
                <w:color w:val="000000"/>
                <w:sz w:val="22"/>
              </w:rPr>
              <w:t xml:space="preserve">Ov </w:t>
            </w:r>
            <w:proofErr w:type="spellStart"/>
            <w:r w:rsidRPr="005F055E">
              <w:rPr>
                <w:rFonts w:cs="Calibri"/>
                <w:color w:val="000000"/>
                <w:sz w:val="22"/>
              </w:rPr>
              <w:t>enkelv</w:t>
            </w:r>
            <w:proofErr w:type="spellEnd"/>
            <w:r w:rsidRPr="005F055E">
              <w:rPr>
                <w:rFonts w:cs="Calibri"/>
                <w:color w:val="000000"/>
                <w:sz w:val="22"/>
              </w:rPr>
              <w:t>. vitaminepreparaten</w:t>
            </w:r>
          </w:p>
        </w:tc>
      </w:tr>
      <w:tr w:rsidRPr="005F055E" w:rsidR="00CF4A75" w:rsidTr="005E2643" w14:paraId="228D7B6E"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7834F44F" w14:textId="77777777">
            <w:pPr>
              <w:suppressAutoHyphens/>
              <w:spacing w:line="240" w:lineRule="auto"/>
              <w:rPr>
                <w:rFonts w:cs="Calibri"/>
                <w:color w:val="000000"/>
                <w:sz w:val="22"/>
              </w:rPr>
            </w:pPr>
            <w:r w:rsidRPr="005F055E">
              <w:rPr>
                <w:rFonts w:cs="Calibri"/>
                <w:color w:val="000000"/>
                <w:sz w:val="22"/>
              </w:rPr>
              <w:t>Ov gesl.</w:t>
            </w:r>
            <w:proofErr w:type="spellStart"/>
            <w:r w:rsidRPr="005F055E">
              <w:rPr>
                <w:rFonts w:cs="Calibri"/>
                <w:color w:val="000000"/>
                <w:sz w:val="22"/>
              </w:rPr>
              <w:t>horm</w:t>
            </w:r>
            <w:proofErr w:type="spellEnd"/>
            <w:r w:rsidRPr="005F055E">
              <w:rPr>
                <w:rFonts w:cs="Calibri"/>
                <w:color w:val="000000"/>
                <w:sz w:val="22"/>
              </w:rPr>
              <w:t>.+</w:t>
            </w:r>
            <w:proofErr w:type="spellStart"/>
            <w:r w:rsidRPr="005F055E">
              <w:rPr>
                <w:rFonts w:cs="Calibri"/>
                <w:color w:val="000000"/>
                <w:sz w:val="22"/>
              </w:rPr>
              <w:t>modulat.genit.stelsel</w:t>
            </w:r>
            <w:proofErr w:type="spellEnd"/>
          </w:p>
        </w:tc>
      </w:tr>
      <w:tr w:rsidRPr="005F055E" w:rsidR="00CF4A75" w:rsidTr="005E2643" w14:paraId="23F23C39"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8C4E0D6" w14:textId="77777777">
            <w:pPr>
              <w:suppressAutoHyphens/>
              <w:spacing w:line="240" w:lineRule="auto"/>
              <w:rPr>
                <w:rFonts w:cs="Calibri"/>
                <w:color w:val="000000"/>
                <w:sz w:val="22"/>
              </w:rPr>
            </w:pPr>
            <w:r w:rsidRPr="005F055E">
              <w:rPr>
                <w:rFonts w:cs="Calibri"/>
                <w:color w:val="000000"/>
                <w:sz w:val="22"/>
              </w:rPr>
              <w:t>Ov inhalatiemiddelen bij astma/</w:t>
            </w:r>
            <w:proofErr w:type="spellStart"/>
            <w:r w:rsidRPr="005F055E">
              <w:rPr>
                <w:rFonts w:cs="Calibri"/>
                <w:color w:val="000000"/>
                <w:sz w:val="22"/>
              </w:rPr>
              <w:t>copd</w:t>
            </w:r>
            <w:proofErr w:type="spellEnd"/>
          </w:p>
        </w:tc>
      </w:tr>
      <w:tr w:rsidRPr="005F055E" w:rsidR="00CF4A75" w:rsidTr="005E2643" w14:paraId="6FA71A46"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1EFD1F51" w14:textId="77777777">
            <w:pPr>
              <w:suppressAutoHyphens/>
              <w:spacing w:line="240" w:lineRule="auto"/>
              <w:rPr>
                <w:rFonts w:cs="Calibri"/>
                <w:color w:val="000000"/>
                <w:sz w:val="22"/>
              </w:rPr>
            </w:pPr>
            <w:r w:rsidRPr="005F055E">
              <w:rPr>
                <w:rFonts w:cs="Calibri"/>
                <w:color w:val="000000"/>
                <w:sz w:val="22"/>
              </w:rPr>
              <w:t xml:space="preserve">Ov maagdarmkanaal- en </w:t>
            </w:r>
            <w:proofErr w:type="spellStart"/>
            <w:r w:rsidRPr="005F055E">
              <w:rPr>
                <w:rFonts w:cs="Calibri"/>
                <w:color w:val="000000"/>
                <w:sz w:val="22"/>
              </w:rPr>
              <w:t>metabol.prod</w:t>
            </w:r>
            <w:proofErr w:type="spellEnd"/>
            <w:r w:rsidRPr="005F055E">
              <w:rPr>
                <w:rFonts w:cs="Calibri"/>
                <w:color w:val="000000"/>
                <w:sz w:val="22"/>
              </w:rPr>
              <w:t>.</w:t>
            </w:r>
          </w:p>
        </w:tc>
      </w:tr>
      <w:tr w:rsidRPr="005F055E" w:rsidR="00CF4A75" w:rsidTr="005E2643" w14:paraId="5BE07FC6"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78A7E3F1" w14:textId="77777777">
            <w:pPr>
              <w:suppressAutoHyphens/>
              <w:spacing w:line="240" w:lineRule="auto"/>
              <w:rPr>
                <w:rFonts w:cs="Calibri"/>
                <w:color w:val="000000"/>
                <w:sz w:val="22"/>
              </w:rPr>
            </w:pPr>
            <w:r w:rsidRPr="005F055E">
              <w:rPr>
                <w:rFonts w:cs="Calibri"/>
                <w:color w:val="000000"/>
                <w:sz w:val="22"/>
              </w:rPr>
              <w:t xml:space="preserve">Ov </w:t>
            </w:r>
            <w:proofErr w:type="spellStart"/>
            <w:r w:rsidRPr="005F055E">
              <w:rPr>
                <w:rFonts w:cs="Calibri"/>
                <w:color w:val="000000"/>
                <w:sz w:val="22"/>
              </w:rPr>
              <w:t>midd</w:t>
            </w:r>
            <w:proofErr w:type="spellEnd"/>
            <w:r w:rsidRPr="005F055E">
              <w:rPr>
                <w:rFonts w:cs="Calibri"/>
                <w:color w:val="000000"/>
                <w:sz w:val="22"/>
              </w:rPr>
              <w:t xml:space="preserve"> aangrijp op ren-</w:t>
            </w:r>
            <w:proofErr w:type="spellStart"/>
            <w:r w:rsidRPr="005F055E">
              <w:rPr>
                <w:rFonts w:cs="Calibri"/>
                <w:color w:val="000000"/>
                <w:sz w:val="22"/>
              </w:rPr>
              <w:t>angiot.syst</w:t>
            </w:r>
            <w:proofErr w:type="spellEnd"/>
          </w:p>
        </w:tc>
      </w:tr>
      <w:tr w:rsidRPr="005F055E" w:rsidR="00CF4A75" w:rsidTr="005E2643" w14:paraId="6AF9E3E4"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E92A612" w14:textId="77777777">
            <w:pPr>
              <w:suppressAutoHyphens/>
              <w:spacing w:line="240" w:lineRule="auto"/>
              <w:rPr>
                <w:rFonts w:cs="Calibri"/>
                <w:color w:val="000000"/>
                <w:sz w:val="22"/>
              </w:rPr>
            </w:pPr>
            <w:r w:rsidRPr="005F055E">
              <w:rPr>
                <w:rFonts w:cs="Calibri"/>
                <w:color w:val="000000"/>
                <w:sz w:val="22"/>
              </w:rPr>
              <w:t xml:space="preserve">Ov </w:t>
            </w:r>
            <w:proofErr w:type="spellStart"/>
            <w:r w:rsidRPr="005F055E">
              <w:rPr>
                <w:rFonts w:cs="Calibri"/>
                <w:color w:val="000000"/>
                <w:sz w:val="22"/>
              </w:rPr>
              <w:t>midd</w:t>
            </w:r>
            <w:proofErr w:type="spellEnd"/>
            <w:r w:rsidRPr="005F055E">
              <w:rPr>
                <w:rFonts w:cs="Calibri"/>
                <w:color w:val="000000"/>
                <w:sz w:val="22"/>
              </w:rPr>
              <w:t xml:space="preserve"> astma/</w:t>
            </w:r>
            <w:proofErr w:type="spellStart"/>
            <w:r w:rsidRPr="005F055E">
              <w:rPr>
                <w:rFonts w:cs="Calibri"/>
                <w:color w:val="000000"/>
                <w:sz w:val="22"/>
              </w:rPr>
              <w:t>copd</w:t>
            </w:r>
            <w:proofErr w:type="spellEnd"/>
            <w:r w:rsidRPr="005F055E">
              <w:rPr>
                <w:rFonts w:cs="Calibri"/>
                <w:color w:val="000000"/>
                <w:sz w:val="22"/>
              </w:rPr>
              <w:t xml:space="preserve"> v system gebruik</w:t>
            </w:r>
          </w:p>
        </w:tc>
      </w:tr>
      <w:tr w:rsidRPr="005F055E" w:rsidR="00CF4A75" w:rsidTr="005E2643" w14:paraId="52882839"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0FA89C7D" w14:textId="77777777">
            <w:pPr>
              <w:suppressAutoHyphens/>
              <w:spacing w:line="240" w:lineRule="auto"/>
              <w:rPr>
                <w:rFonts w:cs="Calibri"/>
                <w:color w:val="000000"/>
                <w:sz w:val="22"/>
              </w:rPr>
            </w:pPr>
            <w:r w:rsidRPr="005F055E">
              <w:rPr>
                <w:rFonts w:cs="Calibri"/>
                <w:color w:val="000000"/>
                <w:sz w:val="22"/>
              </w:rPr>
              <w:t xml:space="preserve">Ov </w:t>
            </w:r>
            <w:proofErr w:type="spellStart"/>
            <w:r w:rsidRPr="005F055E">
              <w:rPr>
                <w:rFonts w:cs="Calibri"/>
                <w:color w:val="000000"/>
                <w:sz w:val="22"/>
              </w:rPr>
              <w:t>midd</w:t>
            </w:r>
            <w:proofErr w:type="spellEnd"/>
            <w:r w:rsidRPr="005F055E">
              <w:rPr>
                <w:rFonts w:cs="Calibri"/>
                <w:color w:val="000000"/>
                <w:sz w:val="22"/>
              </w:rPr>
              <w:t xml:space="preserve"> bij </w:t>
            </w:r>
            <w:proofErr w:type="spellStart"/>
            <w:r w:rsidRPr="005F055E">
              <w:rPr>
                <w:rFonts w:cs="Calibri"/>
                <w:color w:val="000000"/>
                <w:sz w:val="22"/>
              </w:rPr>
              <w:t>zuurgerelateerde</w:t>
            </w:r>
            <w:proofErr w:type="spellEnd"/>
            <w:r w:rsidRPr="005F055E">
              <w:rPr>
                <w:rFonts w:cs="Calibri"/>
                <w:color w:val="000000"/>
                <w:sz w:val="22"/>
              </w:rPr>
              <w:t xml:space="preserve"> afwijk</w:t>
            </w:r>
          </w:p>
        </w:tc>
      </w:tr>
      <w:tr w:rsidRPr="005F055E" w:rsidR="00CF4A75" w:rsidTr="005E2643" w14:paraId="49DDE0A4"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C7BF11E" w14:textId="77777777">
            <w:pPr>
              <w:suppressAutoHyphens/>
              <w:spacing w:line="240" w:lineRule="auto"/>
              <w:rPr>
                <w:rFonts w:cs="Calibri"/>
                <w:color w:val="000000"/>
                <w:sz w:val="22"/>
              </w:rPr>
            </w:pPr>
            <w:r w:rsidRPr="005F055E">
              <w:rPr>
                <w:rFonts w:cs="Calibri"/>
                <w:color w:val="000000"/>
                <w:sz w:val="22"/>
              </w:rPr>
              <w:t xml:space="preserve">Ov </w:t>
            </w:r>
            <w:proofErr w:type="spellStart"/>
            <w:r w:rsidRPr="005F055E">
              <w:rPr>
                <w:rFonts w:cs="Calibri"/>
                <w:color w:val="000000"/>
                <w:sz w:val="22"/>
              </w:rPr>
              <w:t>midd</w:t>
            </w:r>
            <w:proofErr w:type="spellEnd"/>
            <w:r w:rsidRPr="005F055E">
              <w:rPr>
                <w:rFonts w:cs="Calibri"/>
                <w:color w:val="000000"/>
                <w:sz w:val="22"/>
              </w:rPr>
              <w:t xml:space="preserve"> ziekten skeletspierstelsel</w:t>
            </w:r>
          </w:p>
        </w:tc>
      </w:tr>
      <w:tr w:rsidRPr="005F055E" w:rsidR="00CF4A75" w:rsidTr="005E2643" w14:paraId="75F956B3"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5FFFDE20" w14:textId="77777777">
            <w:pPr>
              <w:suppressAutoHyphens/>
              <w:spacing w:line="240" w:lineRule="auto"/>
              <w:rPr>
                <w:rFonts w:cs="Calibri"/>
                <w:color w:val="000000"/>
                <w:sz w:val="22"/>
              </w:rPr>
            </w:pPr>
            <w:r w:rsidRPr="005F055E">
              <w:rPr>
                <w:rFonts w:cs="Calibri"/>
                <w:color w:val="000000"/>
                <w:sz w:val="22"/>
              </w:rPr>
              <w:t>Ov middelen v oogheelkundig gebruik</w:t>
            </w:r>
          </w:p>
        </w:tc>
      </w:tr>
      <w:tr w:rsidRPr="005F055E" w:rsidR="00CF4A75" w:rsidTr="005E2643" w14:paraId="4152B3E8"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79801280" w14:textId="77777777">
            <w:pPr>
              <w:suppressAutoHyphens/>
              <w:spacing w:line="240" w:lineRule="auto"/>
              <w:rPr>
                <w:rFonts w:cs="Calibri"/>
                <w:color w:val="000000"/>
                <w:sz w:val="22"/>
              </w:rPr>
            </w:pPr>
            <w:r w:rsidRPr="005F055E">
              <w:rPr>
                <w:rFonts w:cs="Calibri"/>
                <w:color w:val="000000"/>
                <w:sz w:val="22"/>
              </w:rPr>
              <w:t xml:space="preserve">Ov spasmolytica en </w:t>
            </w:r>
            <w:proofErr w:type="spellStart"/>
            <w:r w:rsidRPr="005F055E">
              <w:rPr>
                <w:rFonts w:cs="Calibri"/>
                <w:color w:val="000000"/>
                <w:sz w:val="22"/>
              </w:rPr>
              <w:t>parasympath.comb</w:t>
            </w:r>
            <w:proofErr w:type="spellEnd"/>
          </w:p>
        </w:tc>
      </w:tr>
      <w:tr w:rsidRPr="005F055E" w:rsidR="00CF4A75" w:rsidTr="005E2643" w14:paraId="72D8DD1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1CCCAB6B" w14:textId="77777777">
            <w:pPr>
              <w:suppressAutoHyphens/>
              <w:spacing w:line="240" w:lineRule="auto"/>
              <w:rPr>
                <w:rFonts w:cs="Calibri"/>
                <w:color w:val="000000"/>
                <w:sz w:val="22"/>
              </w:rPr>
            </w:pPr>
            <w:r w:rsidRPr="005F055E">
              <w:rPr>
                <w:rFonts w:cs="Calibri"/>
                <w:color w:val="000000"/>
                <w:sz w:val="22"/>
              </w:rPr>
              <w:t xml:space="preserve">Ov </w:t>
            </w:r>
            <w:proofErr w:type="spellStart"/>
            <w:r w:rsidRPr="005F055E">
              <w:rPr>
                <w:rFonts w:cs="Calibri"/>
                <w:color w:val="000000"/>
                <w:sz w:val="22"/>
              </w:rPr>
              <w:t>urogenit.midd</w:t>
            </w:r>
            <w:proofErr w:type="spellEnd"/>
            <w:r w:rsidRPr="005F055E">
              <w:rPr>
                <w:rFonts w:cs="Calibri"/>
                <w:color w:val="000000"/>
                <w:sz w:val="22"/>
              </w:rPr>
              <w:t xml:space="preserve">, </w:t>
            </w:r>
            <w:proofErr w:type="spellStart"/>
            <w:r w:rsidRPr="005F055E">
              <w:rPr>
                <w:rFonts w:cs="Calibri"/>
                <w:color w:val="000000"/>
                <w:sz w:val="22"/>
              </w:rPr>
              <w:t>incl</w:t>
            </w:r>
            <w:proofErr w:type="spellEnd"/>
            <w:r w:rsidRPr="005F055E">
              <w:rPr>
                <w:rFonts w:cs="Calibri"/>
                <w:color w:val="000000"/>
                <w:sz w:val="22"/>
              </w:rPr>
              <w:t xml:space="preserve"> spasmolytica</w:t>
            </w:r>
          </w:p>
        </w:tc>
      </w:tr>
      <w:tr w:rsidRPr="005F055E" w:rsidR="00CF4A75" w:rsidTr="005E2643" w14:paraId="68C3FE50"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04A5D409" w14:textId="77777777">
            <w:pPr>
              <w:suppressAutoHyphens/>
              <w:spacing w:line="240" w:lineRule="auto"/>
              <w:rPr>
                <w:rFonts w:cs="Calibri"/>
                <w:color w:val="000000"/>
                <w:sz w:val="22"/>
              </w:rPr>
            </w:pPr>
            <w:r w:rsidRPr="005F055E">
              <w:rPr>
                <w:rFonts w:cs="Calibri"/>
                <w:color w:val="000000"/>
                <w:sz w:val="22"/>
              </w:rPr>
              <w:t xml:space="preserve">Ov </w:t>
            </w:r>
            <w:proofErr w:type="spellStart"/>
            <w:r w:rsidRPr="005F055E">
              <w:rPr>
                <w:rFonts w:cs="Calibri"/>
                <w:color w:val="000000"/>
                <w:sz w:val="22"/>
              </w:rPr>
              <w:t>verkoudheidsmidd,comb.preparaten</w:t>
            </w:r>
            <w:proofErr w:type="spellEnd"/>
          </w:p>
        </w:tc>
      </w:tr>
      <w:tr w:rsidRPr="005F055E" w:rsidR="00CF4A75" w:rsidTr="005E2643" w14:paraId="19F9F4B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420020DF" w14:textId="77777777">
            <w:pPr>
              <w:suppressAutoHyphens/>
              <w:spacing w:line="240" w:lineRule="auto"/>
              <w:rPr>
                <w:rFonts w:cs="Calibri"/>
                <w:color w:val="000000"/>
                <w:sz w:val="22"/>
              </w:rPr>
            </w:pPr>
            <w:r w:rsidRPr="005F055E">
              <w:rPr>
                <w:rFonts w:cs="Calibri"/>
                <w:color w:val="000000"/>
                <w:sz w:val="22"/>
              </w:rPr>
              <w:t xml:space="preserve">Ov </w:t>
            </w:r>
            <w:proofErr w:type="spellStart"/>
            <w:r w:rsidRPr="005F055E">
              <w:rPr>
                <w:rFonts w:cs="Calibri"/>
                <w:color w:val="000000"/>
                <w:sz w:val="22"/>
              </w:rPr>
              <w:t>vitam.prod</w:t>
            </w:r>
            <w:proofErr w:type="spellEnd"/>
            <w:r w:rsidRPr="005F055E">
              <w:rPr>
                <w:rFonts w:cs="Calibri"/>
                <w:color w:val="000000"/>
                <w:sz w:val="22"/>
              </w:rPr>
              <w:t>, combinatiepreparaten</w:t>
            </w:r>
          </w:p>
        </w:tc>
      </w:tr>
      <w:tr w:rsidRPr="005F055E" w:rsidR="00CF4A75" w:rsidTr="005E2643" w14:paraId="0BF3DEDD"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252EB574" w14:textId="77777777">
            <w:pPr>
              <w:suppressAutoHyphens/>
              <w:spacing w:line="240" w:lineRule="auto"/>
              <w:rPr>
                <w:rFonts w:cs="Calibri"/>
                <w:color w:val="000000"/>
                <w:sz w:val="22"/>
              </w:rPr>
            </w:pPr>
            <w:r w:rsidRPr="005F055E">
              <w:rPr>
                <w:rFonts w:cs="Calibri"/>
                <w:color w:val="000000"/>
                <w:sz w:val="22"/>
              </w:rPr>
              <w:t xml:space="preserve">Ov. </w:t>
            </w:r>
            <w:proofErr w:type="spellStart"/>
            <w:r w:rsidRPr="005F055E">
              <w:rPr>
                <w:rFonts w:cs="Calibri"/>
                <w:color w:val="000000"/>
                <w:sz w:val="22"/>
              </w:rPr>
              <w:t>midd</w:t>
            </w:r>
            <w:proofErr w:type="spellEnd"/>
            <w:r w:rsidRPr="005F055E">
              <w:rPr>
                <w:rFonts w:cs="Calibri"/>
                <w:color w:val="000000"/>
                <w:sz w:val="22"/>
              </w:rPr>
              <w:t>. voor ademhalingsstelsel</w:t>
            </w:r>
          </w:p>
        </w:tc>
      </w:tr>
      <w:tr w:rsidRPr="005F055E" w:rsidR="00CF4A75" w:rsidTr="005E2643" w14:paraId="55DE34E7"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5B96ED9" w14:textId="77777777">
            <w:pPr>
              <w:suppressAutoHyphens/>
              <w:spacing w:line="240" w:lineRule="auto"/>
              <w:rPr>
                <w:rFonts w:cs="Calibri"/>
                <w:color w:val="000000"/>
                <w:sz w:val="22"/>
              </w:rPr>
            </w:pPr>
            <w:r w:rsidRPr="005F055E">
              <w:rPr>
                <w:rFonts w:cs="Calibri"/>
                <w:color w:val="000000"/>
                <w:sz w:val="22"/>
              </w:rPr>
              <w:t xml:space="preserve">Ov. </w:t>
            </w:r>
            <w:proofErr w:type="spellStart"/>
            <w:r w:rsidRPr="005F055E">
              <w:rPr>
                <w:rFonts w:cs="Calibri"/>
                <w:color w:val="000000"/>
                <w:sz w:val="22"/>
              </w:rPr>
              <w:t>midd</w:t>
            </w:r>
            <w:proofErr w:type="spellEnd"/>
            <w:r w:rsidRPr="005F055E">
              <w:rPr>
                <w:rFonts w:cs="Calibri"/>
                <w:color w:val="000000"/>
                <w:sz w:val="22"/>
              </w:rPr>
              <w:t>. werkzaam op zenuwstelsel</w:t>
            </w:r>
          </w:p>
        </w:tc>
      </w:tr>
      <w:tr w:rsidRPr="005F055E" w:rsidR="00CF4A75" w:rsidTr="005E2643" w14:paraId="499CA247"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8A052FD" w14:textId="77777777">
            <w:pPr>
              <w:suppressAutoHyphens/>
              <w:spacing w:line="240" w:lineRule="auto"/>
              <w:rPr>
                <w:rFonts w:cs="Calibri"/>
                <w:color w:val="000000"/>
                <w:sz w:val="22"/>
              </w:rPr>
            </w:pPr>
            <w:r w:rsidRPr="005F055E">
              <w:rPr>
                <w:rFonts w:cs="Calibri"/>
                <w:color w:val="000000"/>
                <w:sz w:val="22"/>
              </w:rPr>
              <w:t>Ov. middelen oorheelkundig gebruik</w:t>
            </w:r>
          </w:p>
        </w:tc>
      </w:tr>
      <w:tr w:rsidRPr="005F055E" w:rsidR="00CF4A75" w:rsidTr="005E2643" w14:paraId="4003EEAA"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190A6CFD" w14:textId="77777777">
            <w:pPr>
              <w:suppressAutoHyphens/>
              <w:spacing w:line="240" w:lineRule="auto"/>
              <w:rPr>
                <w:rFonts w:cs="Calibri"/>
                <w:color w:val="000000"/>
                <w:sz w:val="22"/>
              </w:rPr>
            </w:pPr>
            <w:r w:rsidRPr="005F055E">
              <w:rPr>
                <w:rFonts w:cs="Calibri"/>
                <w:color w:val="000000"/>
                <w:sz w:val="22"/>
              </w:rPr>
              <w:t>Ov. niet-therapeutische middelen</w:t>
            </w:r>
          </w:p>
        </w:tc>
      </w:tr>
      <w:tr w:rsidRPr="005F055E" w:rsidR="00CF4A75" w:rsidTr="005E2643" w14:paraId="6652CB8D"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71E7D7E8" w14:textId="77777777">
            <w:pPr>
              <w:suppressAutoHyphens/>
              <w:spacing w:line="240" w:lineRule="auto"/>
              <w:rPr>
                <w:rFonts w:cs="Calibri"/>
                <w:color w:val="000000"/>
                <w:sz w:val="22"/>
              </w:rPr>
            </w:pPr>
            <w:r w:rsidRPr="005F055E">
              <w:rPr>
                <w:rFonts w:cs="Calibri"/>
                <w:color w:val="000000"/>
                <w:sz w:val="22"/>
              </w:rPr>
              <w:t xml:space="preserve">Ov. </w:t>
            </w:r>
            <w:proofErr w:type="spellStart"/>
            <w:r w:rsidRPr="005F055E">
              <w:rPr>
                <w:rFonts w:cs="Calibri"/>
                <w:color w:val="000000"/>
                <w:sz w:val="22"/>
              </w:rPr>
              <w:t>Oogheelkund</w:t>
            </w:r>
            <w:proofErr w:type="spellEnd"/>
            <w:r w:rsidRPr="005F055E">
              <w:rPr>
                <w:rFonts w:cs="Calibri"/>
                <w:color w:val="000000"/>
                <w:sz w:val="22"/>
              </w:rPr>
              <w:t xml:space="preserve">/oorheelkundige </w:t>
            </w:r>
            <w:proofErr w:type="spellStart"/>
            <w:r w:rsidRPr="005F055E">
              <w:rPr>
                <w:rFonts w:cs="Calibri"/>
                <w:color w:val="000000"/>
                <w:sz w:val="22"/>
              </w:rPr>
              <w:t>midd</w:t>
            </w:r>
            <w:proofErr w:type="spellEnd"/>
          </w:p>
        </w:tc>
      </w:tr>
      <w:tr w:rsidRPr="005F055E" w:rsidR="00CF4A75" w:rsidTr="005E2643" w14:paraId="70416A2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1157CC33" w14:textId="77777777">
            <w:pPr>
              <w:suppressAutoHyphens/>
              <w:spacing w:line="240" w:lineRule="auto"/>
              <w:rPr>
                <w:rFonts w:cs="Calibri"/>
                <w:color w:val="000000"/>
                <w:sz w:val="22"/>
              </w:rPr>
            </w:pPr>
            <w:r w:rsidRPr="005F055E">
              <w:rPr>
                <w:rFonts w:cs="Calibri"/>
                <w:color w:val="000000"/>
                <w:sz w:val="22"/>
              </w:rPr>
              <w:t>Ov. radiofarmaca voor diagnostiek</w:t>
            </w:r>
          </w:p>
        </w:tc>
      </w:tr>
      <w:tr w:rsidRPr="005F055E" w:rsidR="00CF4A75" w:rsidTr="005E2643" w14:paraId="6F942F0E"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18938CFB" w14:textId="77777777">
            <w:pPr>
              <w:suppressAutoHyphens/>
              <w:spacing w:line="240" w:lineRule="auto"/>
              <w:rPr>
                <w:rFonts w:cs="Calibri"/>
                <w:color w:val="000000"/>
                <w:sz w:val="22"/>
              </w:rPr>
            </w:pPr>
            <w:r w:rsidRPr="005F055E">
              <w:rPr>
                <w:rFonts w:cs="Calibri"/>
                <w:color w:val="000000"/>
                <w:sz w:val="22"/>
              </w:rPr>
              <w:t>Overige anabole middelen</w:t>
            </w:r>
          </w:p>
        </w:tc>
      </w:tr>
      <w:tr w:rsidRPr="005F055E" w:rsidR="00CF4A75" w:rsidTr="005E2643" w14:paraId="3E089F37"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2DE1CEE" w14:textId="77777777">
            <w:pPr>
              <w:suppressAutoHyphens/>
              <w:spacing w:line="240" w:lineRule="auto"/>
              <w:rPr>
                <w:rFonts w:cs="Calibri"/>
                <w:color w:val="000000"/>
                <w:sz w:val="22"/>
              </w:rPr>
            </w:pPr>
            <w:r w:rsidRPr="005F055E">
              <w:rPr>
                <w:rFonts w:cs="Calibri"/>
                <w:color w:val="000000"/>
                <w:sz w:val="22"/>
              </w:rPr>
              <w:t>Overige analgetica en antipyretica</w:t>
            </w:r>
          </w:p>
        </w:tc>
      </w:tr>
      <w:tr w:rsidRPr="005F055E" w:rsidR="00CF4A75" w:rsidTr="005E2643" w14:paraId="488C8342"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6BD0E921" w14:textId="77777777">
            <w:pPr>
              <w:suppressAutoHyphens/>
              <w:spacing w:line="240" w:lineRule="auto"/>
              <w:rPr>
                <w:rFonts w:cs="Calibri"/>
                <w:color w:val="000000"/>
                <w:sz w:val="22"/>
              </w:rPr>
            </w:pPr>
            <w:r w:rsidRPr="005F055E">
              <w:rPr>
                <w:rFonts w:cs="Calibri"/>
                <w:color w:val="000000"/>
                <w:sz w:val="22"/>
              </w:rPr>
              <w:t>Overige antibacteriële middelen</w:t>
            </w:r>
          </w:p>
        </w:tc>
      </w:tr>
      <w:tr w:rsidRPr="005F055E" w:rsidR="00CF4A75" w:rsidTr="005E2643" w14:paraId="453E484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519466F3" w14:textId="77777777">
            <w:pPr>
              <w:suppressAutoHyphens/>
              <w:spacing w:line="240" w:lineRule="auto"/>
              <w:rPr>
                <w:rFonts w:cs="Calibri"/>
                <w:color w:val="000000"/>
                <w:sz w:val="22"/>
              </w:rPr>
            </w:pPr>
            <w:r w:rsidRPr="005F055E">
              <w:rPr>
                <w:rFonts w:cs="Calibri"/>
                <w:color w:val="000000"/>
                <w:sz w:val="22"/>
              </w:rPr>
              <w:t xml:space="preserve">Overige </w:t>
            </w:r>
            <w:proofErr w:type="spellStart"/>
            <w:r w:rsidRPr="005F055E">
              <w:rPr>
                <w:rFonts w:cs="Calibri"/>
                <w:color w:val="000000"/>
                <w:sz w:val="22"/>
              </w:rPr>
              <w:t>antidiarrhoïca</w:t>
            </w:r>
            <w:proofErr w:type="spellEnd"/>
          </w:p>
        </w:tc>
      </w:tr>
      <w:tr w:rsidRPr="005F055E" w:rsidR="00CF4A75" w:rsidTr="005E2643" w14:paraId="22BCFCC1"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01688B84" w14:textId="77777777">
            <w:pPr>
              <w:suppressAutoHyphens/>
              <w:spacing w:line="240" w:lineRule="auto"/>
              <w:rPr>
                <w:rFonts w:cs="Calibri"/>
                <w:color w:val="000000"/>
                <w:sz w:val="22"/>
              </w:rPr>
            </w:pPr>
            <w:r w:rsidRPr="005F055E">
              <w:rPr>
                <w:rFonts w:cs="Calibri"/>
                <w:color w:val="000000"/>
                <w:sz w:val="22"/>
              </w:rPr>
              <w:t>Overige antihypertensiva</w:t>
            </w:r>
          </w:p>
        </w:tc>
      </w:tr>
      <w:tr w:rsidRPr="005F055E" w:rsidR="00CF4A75" w:rsidTr="005E2643" w14:paraId="79B1415A"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47393BA0" w14:textId="77777777">
            <w:pPr>
              <w:suppressAutoHyphens/>
              <w:spacing w:line="240" w:lineRule="auto"/>
              <w:rPr>
                <w:rFonts w:cs="Calibri"/>
                <w:color w:val="000000"/>
                <w:sz w:val="22"/>
              </w:rPr>
            </w:pPr>
            <w:r w:rsidRPr="005F055E">
              <w:rPr>
                <w:rFonts w:cs="Calibri"/>
                <w:color w:val="000000"/>
                <w:sz w:val="22"/>
              </w:rPr>
              <w:t xml:space="preserve">Overige </w:t>
            </w:r>
            <w:proofErr w:type="spellStart"/>
            <w:r w:rsidRPr="005F055E">
              <w:rPr>
                <w:rFonts w:cs="Calibri"/>
                <w:color w:val="000000"/>
                <w:sz w:val="22"/>
              </w:rPr>
              <w:t>betalactam</w:t>
            </w:r>
            <w:proofErr w:type="spellEnd"/>
            <w:r w:rsidRPr="005F055E">
              <w:rPr>
                <w:rFonts w:cs="Calibri"/>
                <w:color w:val="000000"/>
                <w:sz w:val="22"/>
              </w:rPr>
              <w:t>-antibiotica</w:t>
            </w:r>
          </w:p>
        </w:tc>
      </w:tr>
      <w:tr w:rsidRPr="005F055E" w:rsidR="00CF4A75" w:rsidTr="005E2643" w14:paraId="46D0275F"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20250226" w14:textId="77777777">
            <w:pPr>
              <w:suppressAutoHyphens/>
              <w:spacing w:line="240" w:lineRule="auto"/>
              <w:rPr>
                <w:rFonts w:cs="Calibri"/>
                <w:color w:val="000000"/>
                <w:sz w:val="22"/>
              </w:rPr>
            </w:pPr>
            <w:r w:rsidRPr="005F055E">
              <w:rPr>
                <w:rFonts w:cs="Calibri"/>
                <w:color w:val="000000"/>
                <w:sz w:val="22"/>
              </w:rPr>
              <w:t xml:space="preserve">Overige </w:t>
            </w:r>
            <w:proofErr w:type="spellStart"/>
            <w:r w:rsidRPr="005F055E">
              <w:rPr>
                <w:rFonts w:cs="Calibri"/>
                <w:color w:val="000000"/>
                <w:sz w:val="22"/>
              </w:rPr>
              <w:t>cardiaca</w:t>
            </w:r>
            <w:proofErr w:type="spellEnd"/>
          </w:p>
        </w:tc>
      </w:tr>
      <w:tr w:rsidRPr="005F055E" w:rsidR="00CF4A75" w:rsidTr="005E2643" w14:paraId="5AC1F09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3A8350DD" w14:textId="77777777">
            <w:pPr>
              <w:suppressAutoHyphens/>
              <w:spacing w:line="240" w:lineRule="auto"/>
              <w:rPr>
                <w:rFonts w:cs="Calibri"/>
                <w:color w:val="000000"/>
                <w:sz w:val="22"/>
              </w:rPr>
            </w:pPr>
            <w:r w:rsidRPr="005F055E">
              <w:rPr>
                <w:rFonts w:cs="Calibri"/>
                <w:color w:val="000000"/>
                <w:sz w:val="22"/>
              </w:rPr>
              <w:t>Overige dermatologische preparaten</w:t>
            </w:r>
          </w:p>
        </w:tc>
      </w:tr>
      <w:tr w:rsidRPr="005F055E" w:rsidR="00CF4A75" w:rsidTr="005E2643" w14:paraId="45AEAC55"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5D37EDE7" w14:textId="77777777">
            <w:pPr>
              <w:suppressAutoHyphens/>
              <w:spacing w:line="240" w:lineRule="auto"/>
              <w:rPr>
                <w:rFonts w:cs="Calibri"/>
                <w:color w:val="000000"/>
                <w:sz w:val="22"/>
              </w:rPr>
            </w:pPr>
            <w:r w:rsidRPr="005F055E">
              <w:rPr>
                <w:rFonts w:cs="Calibri"/>
                <w:color w:val="000000"/>
                <w:sz w:val="22"/>
              </w:rPr>
              <w:t>Overige diabetesmiddelen</w:t>
            </w:r>
          </w:p>
        </w:tc>
      </w:tr>
      <w:tr w:rsidRPr="005F055E" w:rsidR="00CF4A75" w:rsidTr="005E2643" w14:paraId="3CB9A6F5"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5916048E" w14:textId="77777777">
            <w:pPr>
              <w:suppressAutoHyphens/>
              <w:spacing w:line="240" w:lineRule="auto"/>
              <w:rPr>
                <w:rFonts w:cs="Calibri"/>
                <w:color w:val="000000"/>
                <w:sz w:val="22"/>
              </w:rPr>
            </w:pPr>
            <w:r w:rsidRPr="005F055E">
              <w:rPr>
                <w:rFonts w:cs="Calibri"/>
                <w:color w:val="000000"/>
                <w:sz w:val="22"/>
              </w:rPr>
              <w:t>Overige diagnostische middelen</w:t>
            </w:r>
          </w:p>
        </w:tc>
      </w:tr>
      <w:tr w:rsidRPr="005F055E" w:rsidR="00CF4A75" w:rsidTr="005E2643" w14:paraId="708C22DE"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3946EA02" w14:textId="77777777">
            <w:pPr>
              <w:suppressAutoHyphens/>
              <w:spacing w:line="240" w:lineRule="auto"/>
              <w:rPr>
                <w:rFonts w:cs="Calibri"/>
                <w:color w:val="000000"/>
                <w:sz w:val="22"/>
              </w:rPr>
            </w:pPr>
            <w:r w:rsidRPr="005F055E">
              <w:rPr>
                <w:rFonts w:cs="Calibri"/>
                <w:color w:val="000000"/>
                <w:sz w:val="22"/>
              </w:rPr>
              <w:t>Overige diuretica</w:t>
            </w:r>
          </w:p>
        </w:tc>
      </w:tr>
      <w:tr w:rsidRPr="005F055E" w:rsidR="00CF4A75" w:rsidTr="005E2643" w14:paraId="0A1B042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4B229E2D" w14:textId="77777777">
            <w:pPr>
              <w:suppressAutoHyphens/>
              <w:spacing w:line="240" w:lineRule="auto"/>
              <w:rPr>
                <w:rFonts w:cs="Calibri"/>
                <w:color w:val="000000"/>
                <w:sz w:val="22"/>
              </w:rPr>
            </w:pPr>
            <w:r w:rsidRPr="005F055E">
              <w:rPr>
                <w:rFonts w:cs="Calibri"/>
                <w:color w:val="000000"/>
                <w:sz w:val="22"/>
              </w:rPr>
              <w:t>Overige gynaecologische middelen</w:t>
            </w:r>
          </w:p>
        </w:tc>
      </w:tr>
      <w:tr w:rsidRPr="005F055E" w:rsidR="00CF4A75" w:rsidTr="005E2643" w14:paraId="3E80A7D1"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97C3EC3" w14:textId="77777777">
            <w:pPr>
              <w:suppressAutoHyphens/>
              <w:spacing w:line="240" w:lineRule="auto"/>
              <w:rPr>
                <w:rFonts w:cs="Calibri"/>
                <w:color w:val="000000"/>
                <w:sz w:val="22"/>
              </w:rPr>
            </w:pPr>
            <w:r w:rsidRPr="005F055E">
              <w:rPr>
                <w:rFonts w:cs="Calibri"/>
                <w:color w:val="000000"/>
                <w:sz w:val="22"/>
              </w:rPr>
              <w:t>Overige hematologische middelen</w:t>
            </w:r>
          </w:p>
        </w:tc>
      </w:tr>
      <w:tr w:rsidRPr="005F055E" w:rsidR="00CF4A75" w:rsidTr="005E2643" w14:paraId="2CE6716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68B2C2C2" w14:textId="77777777">
            <w:pPr>
              <w:suppressAutoHyphens/>
              <w:spacing w:line="240" w:lineRule="auto"/>
              <w:rPr>
                <w:rFonts w:cs="Calibri"/>
                <w:color w:val="000000"/>
                <w:sz w:val="22"/>
              </w:rPr>
            </w:pPr>
            <w:r w:rsidRPr="005F055E">
              <w:rPr>
                <w:rFonts w:cs="Calibri"/>
                <w:color w:val="000000"/>
                <w:sz w:val="22"/>
              </w:rPr>
              <w:t>Overige middelen bij anemie</w:t>
            </w:r>
          </w:p>
        </w:tc>
      </w:tr>
      <w:tr w:rsidRPr="005F055E" w:rsidR="00CF4A75" w:rsidTr="005E2643" w14:paraId="5C68E74A"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1F996FF6" w14:textId="77777777">
            <w:pPr>
              <w:suppressAutoHyphens/>
              <w:spacing w:line="240" w:lineRule="auto"/>
              <w:rPr>
                <w:rFonts w:cs="Calibri"/>
                <w:color w:val="000000"/>
                <w:sz w:val="22"/>
              </w:rPr>
            </w:pPr>
            <w:r w:rsidRPr="005F055E">
              <w:rPr>
                <w:rFonts w:cs="Calibri"/>
                <w:color w:val="000000"/>
                <w:sz w:val="22"/>
              </w:rPr>
              <w:t>Overige mineraalsupplementen</w:t>
            </w:r>
          </w:p>
        </w:tc>
      </w:tr>
      <w:tr w:rsidRPr="005F055E" w:rsidR="00CF4A75" w:rsidTr="005E2643" w14:paraId="5B34F070"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3F7DE131" w14:textId="77777777">
            <w:pPr>
              <w:suppressAutoHyphens/>
              <w:spacing w:line="240" w:lineRule="auto"/>
              <w:rPr>
                <w:rFonts w:cs="Calibri"/>
                <w:color w:val="000000"/>
                <w:sz w:val="22"/>
              </w:rPr>
            </w:pPr>
            <w:r w:rsidRPr="005F055E">
              <w:rPr>
                <w:rFonts w:cs="Calibri"/>
                <w:color w:val="000000"/>
                <w:sz w:val="22"/>
              </w:rPr>
              <w:t>Overige oncolytica</w:t>
            </w:r>
          </w:p>
        </w:tc>
      </w:tr>
      <w:tr w:rsidRPr="005F055E" w:rsidR="00CF4A75" w:rsidTr="005E2643" w14:paraId="1D88ED05"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18F8D826" w14:textId="77777777">
            <w:pPr>
              <w:suppressAutoHyphens/>
              <w:spacing w:line="240" w:lineRule="auto"/>
              <w:rPr>
                <w:rFonts w:cs="Calibri"/>
                <w:color w:val="000000"/>
                <w:sz w:val="22"/>
              </w:rPr>
            </w:pPr>
            <w:r w:rsidRPr="005F055E">
              <w:rPr>
                <w:rFonts w:cs="Calibri"/>
                <w:color w:val="000000"/>
                <w:sz w:val="22"/>
              </w:rPr>
              <w:t xml:space="preserve">Overige </w:t>
            </w:r>
            <w:proofErr w:type="spellStart"/>
            <w:r w:rsidRPr="005F055E">
              <w:rPr>
                <w:rFonts w:cs="Calibri"/>
                <w:color w:val="000000"/>
                <w:sz w:val="22"/>
              </w:rPr>
              <w:t>proteinekinaseremmers</w:t>
            </w:r>
            <w:proofErr w:type="spellEnd"/>
          </w:p>
        </w:tc>
      </w:tr>
      <w:tr w:rsidRPr="005F055E" w:rsidR="00CF4A75" w:rsidTr="005E2643" w14:paraId="08234F73"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8F989AC" w14:textId="77777777">
            <w:pPr>
              <w:suppressAutoHyphens/>
              <w:spacing w:line="240" w:lineRule="auto"/>
              <w:rPr>
                <w:rFonts w:cs="Calibri"/>
                <w:color w:val="000000"/>
                <w:sz w:val="22"/>
              </w:rPr>
            </w:pPr>
            <w:r w:rsidRPr="005F055E">
              <w:rPr>
                <w:rFonts w:cs="Calibri"/>
                <w:color w:val="000000"/>
                <w:sz w:val="22"/>
              </w:rPr>
              <w:t>Overige radiofarmaca voor therapie</w:t>
            </w:r>
          </w:p>
        </w:tc>
      </w:tr>
      <w:tr w:rsidRPr="005F055E" w:rsidR="00CF4A75" w:rsidTr="005E2643" w14:paraId="4B0999F8"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DAB9896" w14:textId="77777777">
            <w:pPr>
              <w:suppressAutoHyphens/>
              <w:spacing w:line="240" w:lineRule="auto"/>
              <w:rPr>
                <w:rFonts w:cs="Calibri"/>
                <w:color w:val="000000"/>
                <w:sz w:val="22"/>
              </w:rPr>
            </w:pPr>
            <w:r w:rsidRPr="005F055E">
              <w:rPr>
                <w:rFonts w:cs="Calibri"/>
                <w:color w:val="000000"/>
                <w:sz w:val="22"/>
              </w:rPr>
              <w:t>Overige vaccins</w:t>
            </w:r>
          </w:p>
        </w:tc>
      </w:tr>
      <w:tr w:rsidRPr="005F055E" w:rsidR="00CF4A75" w:rsidTr="005E2643" w14:paraId="0F68C4B7"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4A649303" w14:textId="77777777">
            <w:pPr>
              <w:suppressAutoHyphens/>
              <w:spacing w:line="240" w:lineRule="auto"/>
              <w:rPr>
                <w:rFonts w:cs="Calibri"/>
                <w:color w:val="000000"/>
                <w:sz w:val="22"/>
              </w:rPr>
            </w:pPr>
            <w:r w:rsidRPr="005F055E">
              <w:rPr>
                <w:rFonts w:cs="Calibri"/>
                <w:color w:val="000000"/>
                <w:sz w:val="22"/>
              </w:rPr>
              <w:t>Overige voedingsstoffen</w:t>
            </w:r>
          </w:p>
        </w:tc>
      </w:tr>
      <w:tr w:rsidRPr="005F055E" w:rsidR="00CF4A75" w:rsidTr="005E2643" w14:paraId="1E0F3041"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14F662A" w14:textId="77777777">
            <w:pPr>
              <w:suppressAutoHyphens/>
              <w:spacing w:line="240" w:lineRule="auto"/>
              <w:rPr>
                <w:rFonts w:cs="Calibri"/>
                <w:color w:val="000000"/>
                <w:sz w:val="22"/>
              </w:rPr>
            </w:pPr>
            <w:proofErr w:type="spellStart"/>
            <w:r w:rsidRPr="005F055E">
              <w:rPr>
                <w:rFonts w:cs="Calibri"/>
                <w:color w:val="000000"/>
                <w:sz w:val="22"/>
              </w:rPr>
              <w:t>Oxytocica</w:t>
            </w:r>
            <w:proofErr w:type="spellEnd"/>
          </w:p>
        </w:tc>
      </w:tr>
      <w:tr w:rsidRPr="005F055E" w:rsidR="00CF4A75" w:rsidTr="005E2643" w14:paraId="66B068A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47BADCAB" w14:textId="77777777">
            <w:pPr>
              <w:suppressAutoHyphens/>
              <w:spacing w:line="240" w:lineRule="auto"/>
              <w:rPr>
                <w:rFonts w:cs="Calibri"/>
                <w:color w:val="000000"/>
                <w:sz w:val="22"/>
              </w:rPr>
            </w:pPr>
            <w:proofErr w:type="spellStart"/>
            <w:r w:rsidRPr="005F055E">
              <w:rPr>
                <w:rFonts w:cs="Calibri"/>
                <w:color w:val="000000"/>
                <w:sz w:val="22"/>
              </w:rPr>
              <w:t>Parasympathicolytica</w:t>
            </w:r>
            <w:proofErr w:type="spellEnd"/>
          </w:p>
        </w:tc>
      </w:tr>
      <w:tr w:rsidRPr="005F055E" w:rsidR="00CF4A75" w:rsidTr="005E2643" w14:paraId="140C1D17"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18ABDB63" w14:textId="77777777">
            <w:pPr>
              <w:suppressAutoHyphens/>
              <w:spacing w:line="240" w:lineRule="auto"/>
              <w:rPr>
                <w:rFonts w:cs="Calibri"/>
                <w:color w:val="000000"/>
                <w:sz w:val="22"/>
              </w:rPr>
            </w:pPr>
            <w:r w:rsidRPr="005F055E">
              <w:rPr>
                <w:rFonts w:cs="Calibri"/>
                <w:color w:val="000000"/>
                <w:sz w:val="22"/>
              </w:rPr>
              <w:t>Parasympathicomimetica</w:t>
            </w:r>
          </w:p>
        </w:tc>
      </w:tr>
      <w:tr w:rsidRPr="005F055E" w:rsidR="00CF4A75" w:rsidTr="005E2643" w14:paraId="27BBCFD2"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FC4B0B5" w14:textId="77777777">
            <w:pPr>
              <w:suppressAutoHyphens/>
              <w:spacing w:line="240" w:lineRule="auto"/>
              <w:rPr>
                <w:rFonts w:cs="Calibri"/>
                <w:color w:val="000000"/>
                <w:sz w:val="22"/>
              </w:rPr>
            </w:pPr>
            <w:r w:rsidRPr="005F055E">
              <w:rPr>
                <w:rFonts w:cs="Calibri"/>
                <w:color w:val="000000"/>
                <w:sz w:val="22"/>
              </w:rPr>
              <w:t xml:space="preserve">Perifeer werkende </w:t>
            </w:r>
            <w:proofErr w:type="spellStart"/>
            <w:r w:rsidRPr="005F055E">
              <w:rPr>
                <w:rFonts w:cs="Calibri"/>
                <w:color w:val="000000"/>
                <w:sz w:val="22"/>
              </w:rPr>
              <w:t>spierrelaxantia</w:t>
            </w:r>
            <w:proofErr w:type="spellEnd"/>
          </w:p>
        </w:tc>
      </w:tr>
      <w:tr w:rsidRPr="005F055E" w:rsidR="00CF4A75" w:rsidTr="005E2643" w14:paraId="559DE2D4"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6B206A60" w14:textId="77777777">
            <w:pPr>
              <w:suppressAutoHyphens/>
              <w:spacing w:line="240" w:lineRule="auto"/>
              <w:rPr>
                <w:rFonts w:cs="Calibri"/>
                <w:color w:val="000000"/>
                <w:sz w:val="22"/>
              </w:rPr>
            </w:pPr>
            <w:r w:rsidRPr="005F055E">
              <w:rPr>
                <w:rFonts w:cs="Calibri"/>
                <w:color w:val="000000"/>
                <w:sz w:val="22"/>
              </w:rPr>
              <w:t xml:space="preserve">Perifeer werkende </w:t>
            </w:r>
            <w:proofErr w:type="spellStart"/>
            <w:r w:rsidRPr="005F055E">
              <w:rPr>
                <w:rFonts w:cs="Calibri"/>
                <w:color w:val="000000"/>
                <w:sz w:val="22"/>
              </w:rPr>
              <w:t>sympathicolytica</w:t>
            </w:r>
            <w:proofErr w:type="spellEnd"/>
          </w:p>
        </w:tc>
      </w:tr>
      <w:tr w:rsidRPr="005F055E" w:rsidR="00CF4A75" w:rsidTr="005E2643" w14:paraId="029BA4BB"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513C5E5" w14:textId="77777777">
            <w:pPr>
              <w:suppressAutoHyphens/>
              <w:spacing w:line="240" w:lineRule="auto"/>
              <w:rPr>
                <w:rFonts w:cs="Calibri"/>
                <w:color w:val="000000"/>
                <w:sz w:val="22"/>
              </w:rPr>
            </w:pPr>
            <w:r w:rsidRPr="005F055E">
              <w:rPr>
                <w:rFonts w:cs="Calibri"/>
                <w:color w:val="000000"/>
                <w:sz w:val="22"/>
              </w:rPr>
              <w:t xml:space="preserve">Perifere </w:t>
            </w:r>
            <w:proofErr w:type="spellStart"/>
            <w:r w:rsidRPr="005F055E">
              <w:rPr>
                <w:rFonts w:cs="Calibri"/>
                <w:color w:val="000000"/>
                <w:sz w:val="22"/>
              </w:rPr>
              <w:t>vasodilatantia</w:t>
            </w:r>
            <w:proofErr w:type="spellEnd"/>
          </w:p>
        </w:tc>
      </w:tr>
      <w:tr w:rsidRPr="005F055E" w:rsidR="00CF4A75" w:rsidTr="005E2643" w14:paraId="565A7329"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280B58CD" w14:textId="77777777">
            <w:pPr>
              <w:suppressAutoHyphens/>
              <w:spacing w:line="240" w:lineRule="auto"/>
              <w:rPr>
                <w:rFonts w:cs="Calibri"/>
                <w:color w:val="000000"/>
                <w:sz w:val="22"/>
              </w:rPr>
            </w:pPr>
            <w:r w:rsidRPr="005F055E">
              <w:rPr>
                <w:rFonts w:cs="Calibri"/>
                <w:color w:val="000000"/>
                <w:sz w:val="22"/>
              </w:rPr>
              <w:t>Pijnstilling (botzoekende middelen)</w:t>
            </w:r>
          </w:p>
        </w:tc>
      </w:tr>
      <w:tr w:rsidRPr="005F055E" w:rsidR="00CF4A75" w:rsidTr="005E2643" w14:paraId="252CDDC5"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6700CFB2" w14:textId="77777777">
            <w:pPr>
              <w:suppressAutoHyphens/>
              <w:spacing w:line="240" w:lineRule="auto"/>
              <w:rPr>
                <w:rFonts w:cs="Calibri"/>
                <w:color w:val="000000"/>
                <w:sz w:val="22"/>
              </w:rPr>
            </w:pPr>
            <w:r w:rsidRPr="005F055E">
              <w:rPr>
                <w:rFonts w:cs="Calibri"/>
                <w:color w:val="000000"/>
                <w:sz w:val="22"/>
              </w:rPr>
              <w:t xml:space="preserve">Preparaten voor </w:t>
            </w:r>
            <w:proofErr w:type="spellStart"/>
            <w:r w:rsidRPr="005F055E">
              <w:rPr>
                <w:rFonts w:cs="Calibri"/>
                <w:color w:val="000000"/>
                <w:sz w:val="22"/>
              </w:rPr>
              <w:t>peritoneaaldialyse</w:t>
            </w:r>
            <w:proofErr w:type="spellEnd"/>
          </w:p>
        </w:tc>
      </w:tr>
      <w:tr w:rsidRPr="005F055E" w:rsidR="00CF4A75" w:rsidTr="005E2643" w14:paraId="7445A33D"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5449CF1" w14:textId="77777777">
            <w:pPr>
              <w:suppressAutoHyphens/>
              <w:spacing w:line="240" w:lineRule="auto"/>
              <w:rPr>
                <w:rFonts w:cs="Calibri"/>
                <w:color w:val="000000"/>
                <w:sz w:val="22"/>
              </w:rPr>
            </w:pPr>
            <w:r w:rsidRPr="005F055E">
              <w:rPr>
                <w:rFonts w:cs="Calibri"/>
                <w:color w:val="000000"/>
                <w:sz w:val="22"/>
              </w:rPr>
              <w:t>Progestagenen</w:t>
            </w:r>
          </w:p>
        </w:tc>
      </w:tr>
      <w:tr w:rsidRPr="005F055E" w:rsidR="00CF4A75" w:rsidTr="005E2643" w14:paraId="0931D69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E944543" w14:textId="77777777">
            <w:pPr>
              <w:suppressAutoHyphens/>
              <w:spacing w:line="240" w:lineRule="auto"/>
              <w:rPr>
                <w:rFonts w:cs="Calibri"/>
                <w:color w:val="000000"/>
                <w:sz w:val="22"/>
              </w:rPr>
            </w:pPr>
            <w:proofErr w:type="spellStart"/>
            <w:r w:rsidRPr="005F055E">
              <w:rPr>
                <w:rFonts w:cs="Calibri"/>
                <w:color w:val="000000"/>
                <w:sz w:val="22"/>
              </w:rPr>
              <w:t>Protectiva</w:t>
            </w:r>
            <w:proofErr w:type="spellEnd"/>
            <w:r w:rsidRPr="005F055E">
              <w:rPr>
                <w:rFonts w:cs="Calibri"/>
                <w:color w:val="000000"/>
                <w:sz w:val="22"/>
              </w:rPr>
              <w:t xml:space="preserve"> tegen uv-straling</w:t>
            </w:r>
          </w:p>
        </w:tc>
      </w:tr>
      <w:tr w:rsidRPr="005F055E" w:rsidR="00CF4A75" w:rsidTr="005E2643" w14:paraId="032A409B"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5802EC26" w14:textId="77777777">
            <w:pPr>
              <w:suppressAutoHyphens/>
              <w:spacing w:line="240" w:lineRule="auto"/>
              <w:rPr>
                <w:rFonts w:cs="Calibri"/>
                <w:color w:val="000000"/>
                <w:sz w:val="22"/>
              </w:rPr>
            </w:pPr>
            <w:r w:rsidRPr="005F055E">
              <w:rPr>
                <w:rFonts w:cs="Calibri"/>
                <w:color w:val="000000"/>
                <w:sz w:val="22"/>
              </w:rPr>
              <w:t xml:space="preserve">Psoriasismiddelen voor </w:t>
            </w:r>
            <w:proofErr w:type="spellStart"/>
            <w:r w:rsidRPr="005F055E">
              <w:rPr>
                <w:rFonts w:cs="Calibri"/>
                <w:color w:val="000000"/>
                <w:sz w:val="22"/>
              </w:rPr>
              <w:t>system.gebr</w:t>
            </w:r>
            <w:proofErr w:type="spellEnd"/>
          </w:p>
        </w:tc>
      </w:tr>
      <w:tr w:rsidRPr="005F055E" w:rsidR="00CF4A75" w:rsidTr="005E2643" w14:paraId="382BBCB5"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06FD22C6" w14:textId="77777777">
            <w:pPr>
              <w:suppressAutoHyphens/>
              <w:spacing w:line="240" w:lineRule="auto"/>
              <w:rPr>
                <w:rFonts w:cs="Calibri"/>
                <w:color w:val="000000"/>
                <w:sz w:val="22"/>
              </w:rPr>
            </w:pPr>
            <w:r w:rsidRPr="005F055E">
              <w:rPr>
                <w:rFonts w:cs="Calibri"/>
                <w:color w:val="000000"/>
                <w:sz w:val="22"/>
              </w:rPr>
              <w:t>Psoriasismiddelen, lokale</w:t>
            </w:r>
          </w:p>
        </w:tc>
      </w:tr>
      <w:tr w:rsidRPr="005F055E" w:rsidR="00CF4A75" w:rsidTr="005E2643" w14:paraId="0C2F3702"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00F32DC3" w14:textId="77777777">
            <w:pPr>
              <w:suppressAutoHyphens/>
              <w:spacing w:line="240" w:lineRule="auto"/>
              <w:rPr>
                <w:rFonts w:cs="Calibri"/>
                <w:color w:val="000000"/>
                <w:sz w:val="22"/>
              </w:rPr>
            </w:pPr>
            <w:proofErr w:type="spellStart"/>
            <w:r w:rsidRPr="005F055E">
              <w:rPr>
                <w:rFonts w:cs="Calibri"/>
                <w:color w:val="000000"/>
                <w:sz w:val="22"/>
              </w:rPr>
              <w:t>Psycholeptica</w:t>
            </w:r>
            <w:proofErr w:type="spellEnd"/>
            <w:r w:rsidRPr="005F055E">
              <w:rPr>
                <w:rFonts w:cs="Calibri"/>
                <w:color w:val="000000"/>
                <w:sz w:val="22"/>
              </w:rPr>
              <w:t xml:space="preserve"> met psychoanaleptica</w:t>
            </w:r>
          </w:p>
        </w:tc>
      </w:tr>
      <w:tr w:rsidRPr="005F055E" w:rsidR="00CF4A75" w:rsidTr="005E2643" w14:paraId="5304D0DB"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0A5DFECE" w14:textId="77777777">
            <w:pPr>
              <w:suppressAutoHyphens/>
              <w:spacing w:line="240" w:lineRule="auto"/>
              <w:rPr>
                <w:rFonts w:cs="Calibri"/>
                <w:color w:val="000000"/>
                <w:sz w:val="22"/>
              </w:rPr>
            </w:pPr>
            <w:proofErr w:type="spellStart"/>
            <w:r w:rsidRPr="005F055E">
              <w:rPr>
                <w:rFonts w:cs="Calibri"/>
                <w:color w:val="000000"/>
                <w:sz w:val="22"/>
              </w:rPr>
              <w:t>Psychostimul</w:t>
            </w:r>
            <w:proofErr w:type="spellEnd"/>
            <w:r w:rsidRPr="005F055E">
              <w:rPr>
                <w:rFonts w:cs="Calibri"/>
                <w:color w:val="000000"/>
                <w:sz w:val="22"/>
              </w:rPr>
              <w:t xml:space="preserve">., </w:t>
            </w:r>
            <w:proofErr w:type="spellStart"/>
            <w:r w:rsidRPr="005F055E">
              <w:rPr>
                <w:rFonts w:cs="Calibri"/>
                <w:color w:val="000000"/>
                <w:sz w:val="22"/>
              </w:rPr>
              <w:t>midd</w:t>
            </w:r>
            <w:proofErr w:type="spellEnd"/>
            <w:r w:rsidRPr="005F055E">
              <w:rPr>
                <w:rFonts w:cs="Calibri"/>
                <w:color w:val="000000"/>
                <w:sz w:val="22"/>
              </w:rPr>
              <w:t xml:space="preserve"> adhd/</w:t>
            </w:r>
            <w:proofErr w:type="spellStart"/>
            <w:r w:rsidRPr="005F055E">
              <w:rPr>
                <w:rFonts w:cs="Calibri"/>
                <w:color w:val="000000"/>
                <w:sz w:val="22"/>
              </w:rPr>
              <w:t>nootropica</w:t>
            </w:r>
            <w:proofErr w:type="spellEnd"/>
          </w:p>
        </w:tc>
      </w:tr>
      <w:tr w:rsidRPr="005F055E" w:rsidR="00CF4A75" w:rsidTr="005E2643" w14:paraId="2FA74B9B"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7ACD4399" w14:textId="77777777">
            <w:pPr>
              <w:suppressAutoHyphens/>
              <w:spacing w:line="240" w:lineRule="auto"/>
              <w:rPr>
                <w:rFonts w:cs="Calibri"/>
                <w:color w:val="000000"/>
                <w:sz w:val="22"/>
              </w:rPr>
            </w:pPr>
            <w:proofErr w:type="spellStart"/>
            <w:r w:rsidRPr="005F055E">
              <w:rPr>
                <w:rFonts w:cs="Calibri"/>
                <w:color w:val="000000"/>
                <w:sz w:val="22"/>
              </w:rPr>
              <w:t>Rontgencontrastmidd</w:t>
            </w:r>
            <w:proofErr w:type="spellEnd"/>
            <w:r w:rsidRPr="005F055E">
              <w:rPr>
                <w:rFonts w:cs="Calibri"/>
                <w:color w:val="000000"/>
                <w:sz w:val="22"/>
              </w:rPr>
              <w:t>, niet-gejodeerd</w:t>
            </w:r>
          </w:p>
        </w:tc>
      </w:tr>
      <w:tr w:rsidRPr="005F055E" w:rsidR="00CF4A75" w:rsidTr="005E2643" w14:paraId="2FF6577C"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400C3913" w14:textId="77777777">
            <w:pPr>
              <w:suppressAutoHyphens/>
              <w:spacing w:line="240" w:lineRule="auto"/>
              <w:rPr>
                <w:rFonts w:cs="Calibri"/>
                <w:color w:val="000000"/>
                <w:sz w:val="22"/>
              </w:rPr>
            </w:pPr>
            <w:proofErr w:type="spellStart"/>
            <w:r w:rsidRPr="005F055E">
              <w:rPr>
                <w:rFonts w:cs="Calibri"/>
                <w:color w:val="000000"/>
                <w:sz w:val="22"/>
              </w:rPr>
              <w:t>Rontgencontrastmiddelen</w:t>
            </w:r>
            <w:proofErr w:type="spellEnd"/>
            <w:r w:rsidRPr="005F055E">
              <w:rPr>
                <w:rFonts w:cs="Calibri"/>
                <w:color w:val="000000"/>
                <w:sz w:val="22"/>
              </w:rPr>
              <w:t>, gejodeerd</w:t>
            </w:r>
          </w:p>
        </w:tc>
      </w:tr>
      <w:tr w:rsidRPr="005F055E" w:rsidR="00CF4A75" w:rsidTr="005E2643" w14:paraId="0BF584C8"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1886F1C3" w14:textId="77777777">
            <w:pPr>
              <w:suppressAutoHyphens/>
              <w:spacing w:line="240" w:lineRule="auto"/>
              <w:rPr>
                <w:rFonts w:cs="Calibri"/>
                <w:color w:val="000000"/>
                <w:sz w:val="22"/>
              </w:rPr>
            </w:pPr>
            <w:proofErr w:type="spellStart"/>
            <w:r w:rsidRPr="005F055E">
              <w:rPr>
                <w:rFonts w:cs="Calibri"/>
                <w:color w:val="000000"/>
                <w:sz w:val="22"/>
              </w:rPr>
              <w:t>Scabies</w:t>
            </w:r>
            <w:proofErr w:type="spellEnd"/>
            <w:r w:rsidRPr="005F055E">
              <w:rPr>
                <w:rFonts w:cs="Calibri"/>
                <w:color w:val="000000"/>
                <w:sz w:val="22"/>
              </w:rPr>
              <w:t>- en pediculosemiddelen</w:t>
            </w:r>
          </w:p>
        </w:tc>
      </w:tr>
      <w:tr w:rsidRPr="005F055E" w:rsidR="00CF4A75" w:rsidTr="005E2643" w14:paraId="74A5E3B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64F3B64F" w14:textId="77777777">
            <w:pPr>
              <w:suppressAutoHyphens/>
              <w:spacing w:line="240" w:lineRule="auto"/>
              <w:rPr>
                <w:rFonts w:cs="Calibri"/>
                <w:color w:val="000000"/>
                <w:sz w:val="22"/>
              </w:rPr>
            </w:pPr>
            <w:r w:rsidRPr="005F055E">
              <w:rPr>
                <w:rFonts w:cs="Calibri"/>
                <w:color w:val="000000"/>
                <w:sz w:val="22"/>
              </w:rPr>
              <w:t>Schildklier</w:t>
            </w:r>
          </w:p>
        </w:tc>
      </w:tr>
      <w:tr w:rsidRPr="005F055E" w:rsidR="00CF4A75" w:rsidTr="005E2643" w14:paraId="084CA85D"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1B1ED135" w14:textId="77777777">
            <w:pPr>
              <w:suppressAutoHyphens/>
              <w:spacing w:line="240" w:lineRule="auto"/>
              <w:rPr>
                <w:rFonts w:cs="Calibri"/>
                <w:color w:val="000000"/>
                <w:sz w:val="22"/>
              </w:rPr>
            </w:pPr>
            <w:proofErr w:type="spellStart"/>
            <w:r w:rsidRPr="005F055E">
              <w:rPr>
                <w:rFonts w:cs="Calibri"/>
                <w:color w:val="000000"/>
                <w:sz w:val="22"/>
              </w:rPr>
              <w:t>Sel.calc.antagon.m</w:t>
            </w:r>
            <w:proofErr w:type="spellEnd"/>
            <w:r w:rsidRPr="005F055E">
              <w:rPr>
                <w:rFonts w:cs="Calibri"/>
                <w:color w:val="000000"/>
                <w:sz w:val="22"/>
              </w:rPr>
              <w:t xml:space="preserve"> directe hart-</w:t>
            </w:r>
            <w:proofErr w:type="spellStart"/>
            <w:r w:rsidRPr="005F055E">
              <w:rPr>
                <w:rFonts w:cs="Calibri"/>
                <w:color w:val="000000"/>
                <w:sz w:val="22"/>
              </w:rPr>
              <w:t>eff</w:t>
            </w:r>
            <w:proofErr w:type="spellEnd"/>
          </w:p>
        </w:tc>
      </w:tr>
      <w:tr w:rsidRPr="005F055E" w:rsidR="00CF4A75" w:rsidTr="005E2643" w14:paraId="5A1FF2A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7FE39D8C" w14:textId="77777777">
            <w:pPr>
              <w:suppressAutoHyphens/>
              <w:spacing w:line="240" w:lineRule="auto"/>
              <w:rPr>
                <w:rFonts w:cs="Calibri"/>
                <w:color w:val="000000"/>
                <w:sz w:val="22"/>
              </w:rPr>
            </w:pPr>
            <w:proofErr w:type="spellStart"/>
            <w:r w:rsidRPr="005F055E">
              <w:rPr>
                <w:rFonts w:cs="Calibri"/>
                <w:color w:val="000000"/>
                <w:sz w:val="22"/>
              </w:rPr>
              <w:t>Sel.calc.antagon.m</w:t>
            </w:r>
            <w:proofErr w:type="spellEnd"/>
            <w:r w:rsidRPr="005F055E">
              <w:rPr>
                <w:rFonts w:cs="Calibri"/>
                <w:color w:val="000000"/>
                <w:sz w:val="22"/>
              </w:rPr>
              <w:t xml:space="preserve"> </w:t>
            </w:r>
            <w:proofErr w:type="spellStart"/>
            <w:r w:rsidRPr="005F055E">
              <w:rPr>
                <w:rFonts w:cs="Calibri"/>
                <w:color w:val="000000"/>
                <w:sz w:val="22"/>
              </w:rPr>
              <w:t>vnl</w:t>
            </w:r>
            <w:proofErr w:type="spellEnd"/>
            <w:r w:rsidRPr="005F055E">
              <w:rPr>
                <w:rFonts w:cs="Calibri"/>
                <w:color w:val="000000"/>
                <w:sz w:val="22"/>
              </w:rPr>
              <w:t xml:space="preserve"> </w:t>
            </w:r>
            <w:proofErr w:type="spellStart"/>
            <w:r w:rsidRPr="005F055E">
              <w:rPr>
                <w:rFonts w:cs="Calibri"/>
                <w:color w:val="000000"/>
                <w:sz w:val="22"/>
              </w:rPr>
              <w:t>vasc</w:t>
            </w:r>
            <w:proofErr w:type="spellEnd"/>
            <w:r w:rsidRPr="005F055E">
              <w:rPr>
                <w:rFonts w:cs="Calibri"/>
                <w:color w:val="000000"/>
                <w:sz w:val="22"/>
              </w:rPr>
              <w:t xml:space="preserve"> werking</w:t>
            </w:r>
          </w:p>
        </w:tc>
      </w:tr>
      <w:tr w:rsidRPr="005F055E" w:rsidR="00CF4A75" w:rsidTr="005E2643" w14:paraId="241A76AD"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16ADC991" w14:textId="77777777">
            <w:pPr>
              <w:suppressAutoHyphens/>
              <w:spacing w:line="240" w:lineRule="auto"/>
              <w:rPr>
                <w:rFonts w:cs="Calibri"/>
                <w:color w:val="000000"/>
                <w:sz w:val="22"/>
              </w:rPr>
            </w:pPr>
            <w:r w:rsidRPr="005F055E">
              <w:rPr>
                <w:rFonts w:cs="Calibri"/>
                <w:color w:val="000000"/>
                <w:sz w:val="22"/>
              </w:rPr>
              <w:t>Sera</w:t>
            </w:r>
          </w:p>
        </w:tc>
      </w:tr>
      <w:tr w:rsidRPr="005F055E" w:rsidR="00CF4A75" w:rsidTr="005E2643" w14:paraId="21A3325C"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6478AC3" w14:textId="77777777">
            <w:pPr>
              <w:suppressAutoHyphens/>
              <w:spacing w:line="240" w:lineRule="auto"/>
              <w:rPr>
                <w:rFonts w:cs="Calibri"/>
                <w:color w:val="000000"/>
                <w:sz w:val="22"/>
              </w:rPr>
            </w:pPr>
            <w:r w:rsidRPr="005F055E">
              <w:rPr>
                <w:rFonts w:cs="Calibri"/>
                <w:color w:val="000000"/>
                <w:sz w:val="22"/>
              </w:rPr>
              <w:t>Skelet</w:t>
            </w:r>
          </w:p>
        </w:tc>
      </w:tr>
      <w:tr w:rsidRPr="005F055E" w:rsidR="00CF4A75" w:rsidTr="005E2643" w14:paraId="16288CE2"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0CCFACE5" w14:textId="77777777">
            <w:pPr>
              <w:suppressAutoHyphens/>
              <w:spacing w:line="240" w:lineRule="auto"/>
              <w:rPr>
                <w:rFonts w:cs="Calibri"/>
                <w:color w:val="000000"/>
                <w:sz w:val="22"/>
              </w:rPr>
            </w:pPr>
            <w:r w:rsidRPr="005F055E">
              <w:rPr>
                <w:rFonts w:cs="Calibri"/>
                <w:color w:val="000000"/>
                <w:sz w:val="22"/>
              </w:rPr>
              <w:t>Spasmolytica met analgetica</w:t>
            </w:r>
          </w:p>
        </w:tc>
      </w:tr>
      <w:tr w:rsidRPr="005F055E" w:rsidR="00CF4A75" w:rsidTr="005E2643" w14:paraId="300A3E5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CB17CB7" w14:textId="77777777">
            <w:pPr>
              <w:suppressAutoHyphens/>
              <w:spacing w:line="240" w:lineRule="auto"/>
              <w:rPr>
                <w:rFonts w:cs="Calibri"/>
                <w:color w:val="000000"/>
                <w:sz w:val="22"/>
              </w:rPr>
            </w:pPr>
            <w:r w:rsidRPr="005F055E">
              <w:rPr>
                <w:rFonts w:cs="Calibri"/>
                <w:color w:val="000000"/>
                <w:sz w:val="22"/>
              </w:rPr>
              <w:t xml:space="preserve">Spasmolytica met </w:t>
            </w:r>
            <w:proofErr w:type="spellStart"/>
            <w:r w:rsidRPr="005F055E">
              <w:rPr>
                <w:rFonts w:cs="Calibri"/>
                <w:color w:val="000000"/>
                <w:sz w:val="22"/>
              </w:rPr>
              <w:t>psycholeptica</w:t>
            </w:r>
            <w:proofErr w:type="spellEnd"/>
          </w:p>
        </w:tc>
      </w:tr>
      <w:tr w:rsidRPr="005F055E" w:rsidR="00CF4A75" w:rsidTr="005E2643" w14:paraId="2E734873"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140567FE" w14:textId="77777777">
            <w:pPr>
              <w:suppressAutoHyphens/>
              <w:spacing w:line="240" w:lineRule="auto"/>
              <w:rPr>
                <w:rFonts w:cs="Calibri"/>
                <w:color w:val="000000"/>
                <w:sz w:val="22"/>
              </w:rPr>
            </w:pPr>
            <w:r w:rsidRPr="005F055E">
              <w:rPr>
                <w:rFonts w:cs="Calibri"/>
                <w:color w:val="000000"/>
                <w:sz w:val="22"/>
              </w:rPr>
              <w:t xml:space="preserve">Sulfonamiden en </w:t>
            </w:r>
            <w:proofErr w:type="spellStart"/>
            <w:r w:rsidRPr="005F055E">
              <w:rPr>
                <w:rFonts w:cs="Calibri"/>
                <w:color w:val="000000"/>
                <w:sz w:val="22"/>
              </w:rPr>
              <w:t>trimethoprim</w:t>
            </w:r>
            <w:proofErr w:type="spellEnd"/>
          </w:p>
        </w:tc>
      </w:tr>
      <w:tr w:rsidRPr="005F055E" w:rsidR="00CF4A75" w:rsidTr="005E2643" w14:paraId="395FE21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17AF4111" w14:textId="77777777">
            <w:pPr>
              <w:suppressAutoHyphens/>
              <w:spacing w:line="240" w:lineRule="auto"/>
              <w:rPr>
                <w:rFonts w:cs="Calibri"/>
                <w:color w:val="000000"/>
                <w:sz w:val="22"/>
              </w:rPr>
            </w:pPr>
            <w:r w:rsidRPr="005F055E">
              <w:rPr>
                <w:rFonts w:cs="Calibri"/>
                <w:color w:val="000000"/>
                <w:sz w:val="22"/>
              </w:rPr>
              <w:t>Sympathicomimetica v system gebruik</w:t>
            </w:r>
          </w:p>
        </w:tc>
      </w:tr>
      <w:tr w:rsidRPr="005F055E" w:rsidR="00CF4A75" w:rsidTr="005E2643" w14:paraId="7DAD4903"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2E729AE7" w14:textId="77777777">
            <w:pPr>
              <w:suppressAutoHyphens/>
              <w:spacing w:line="240" w:lineRule="auto"/>
              <w:rPr>
                <w:rFonts w:cs="Calibri"/>
                <w:color w:val="000000"/>
                <w:sz w:val="22"/>
              </w:rPr>
            </w:pPr>
            <w:r w:rsidRPr="005F055E">
              <w:rPr>
                <w:rFonts w:cs="Calibri"/>
                <w:color w:val="000000"/>
                <w:sz w:val="22"/>
              </w:rPr>
              <w:t>Sympathicomimetica voor inhalatie</w:t>
            </w:r>
          </w:p>
        </w:tc>
      </w:tr>
      <w:tr w:rsidRPr="005F055E" w:rsidR="00CF4A75" w:rsidTr="005E2643" w14:paraId="7D9C0E0C"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7BD6E1A9" w14:textId="77777777">
            <w:pPr>
              <w:suppressAutoHyphens/>
              <w:spacing w:line="240" w:lineRule="auto"/>
              <w:rPr>
                <w:rFonts w:cs="Calibri"/>
                <w:color w:val="000000"/>
                <w:sz w:val="22"/>
              </w:rPr>
            </w:pPr>
            <w:r w:rsidRPr="005F055E">
              <w:rPr>
                <w:rFonts w:cs="Calibri"/>
                <w:color w:val="000000"/>
                <w:sz w:val="22"/>
              </w:rPr>
              <w:t>Tetracyclines</w:t>
            </w:r>
          </w:p>
        </w:tc>
      </w:tr>
      <w:tr w:rsidRPr="005F055E" w:rsidR="00CF4A75" w:rsidTr="005E2643" w14:paraId="676E59AA"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66D3D3B9" w14:textId="77777777">
            <w:pPr>
              <w:suppressAutoHyphens/>
              <w:spacing w:line="240" w:lineRule="auto"/>
              <w:rPr>
                <w:rFonts w:cs="Calibri"/>
                <w:color w:val="000000"/>
                <w:sz w:val="22"/>
              </w:rPr>
            </w:pPr>
            <w:proofErr w:type="spellStart"/>
            <w:r w:rsidRPr="005F055E">
              <w:rPr>
                <w:rFonts w:cs="Calibri"/>
                <w:color w:val="000000"/>
                <w:sz w:val="22"/>
              </w:rPr>
              <w:t>Thyreomimetica</w:t>
            </w:r>
            <w:proofErr w:type="spellEnd"/>
          </w:p>
        </w:tc>
      </w:tr>
      <w:tr w:rsidRPr="005F055E" w:rsidR="00CF4A75" w:rsidTr="005E2643" w14:paraId="3F418A2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0F72B976" w14:textId="77777777">
            <w:pPr>
              <w:suppressAutoHyphens/>
              <w:spacing w:line="240" w:lineRule="auto"/>
              <w:rPr>
                <w:rFonts w:cs="Calibri"/>
                <w:color w:val="000000"/>
                <w:sz w:val="22"/>
              </w:rPr>
            </w:pPr>
            <w:proofErr w:type="spellStart"/>
            <w:r w:rsidRPr="005F055E">
              <w:rPr>
                <w:rFonts w:cs="Calibri"/>
                <w:color w:val="000000"/>
                <w:sz w:val="22"/>
              </w:rPr>
              <w:t>Thyreostatica</w:t>
            </w:r>
            <w:proofErr w:type="spellEnd"/>
          </w:p>
        </w:tc>
      </w:tr>
      <w:tr w:rsidRPr="005F055E" w:rsidR="00CF4A75" w:rsidTr="005E2643" w14:paraId="3F4F8C36"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505DF367" w14:textId="77777777">
            <w:pPr>
              <w:suppressAutoHyphens/>
              <w:spacing w:line="240" w:lineRule="auto"/>
              <w:rPr>
                <w:rFonts w:cs="Calibri"/>
                <w:color w:val="000000"/>
                <w:sz w:val="22"/>
              </w:rPr>
            </w:pPr>
            <w:r w:rsidRPr="005F055E">
              <w:rPr>
                <w:rFonts w:cs="Calibri"/>
                <w:color w:val="000000"/>
                <w:sz w:val="22"/>
              </w:rPr>
              <w:t>Tonica</w:t>
            </w:r>
          </w:p>
        </w:tc>
      </w:tr>
      <w:tr w:rsidRPr="005F055E" w:rsidR="00CF4A75" w:rsidTr="005E2643" w14:paraId="7131349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69C2CCA1" w14:textId="77777777">
            <w:pPr>
              <w:suppressAutoHyphens/>
              <w:spacing w:line="240" w:lineRule="auto"/>
              <w:rPr>
                <w:rFonts w:cs="Calibri"/>
                <w:color w:val="000000"/>
                <w:sz w:val="22"/>
              </w:rPr>
            </w:pPr>
            <w:r w:rsidRPr="005F055E">
              <w:rPr>
                <w:rFonts w:cs="Calibri"/>
                <w:color w:val="000000"/>
                <w:sz w:val="22"/>
              </w:rPr>
              <w:t>Tuberculosemiddelen</w:t>
            </w:r>
          </w:p>
        </w:tc>
      </w:tr>
      <w:tr w:rsidRPr="005F055E" w:rsidR="00CF4A75" w:rsidTr="005E2643" w14:paraId="46A634CE"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07BBB1F2" w14:textId="77777777">
            <w:pPr>
              <w:suppressAutoHyphens/>
              <w:spacing w:line="240" w:lineRule="auto"/>
              <w:rPr>
                <w:rFonts w:cs="Calibri"/>
                <w:color w:val="000000"/>
                <w:sz w:val="22"/>
              </w:rPr>
            </w:pPr>
            <w:r w:rsidRPr="005F055E">
              <w:rPr>
                <w:rFonts w:cs="Calibri"/>
                <w:color w:val="000000"/>
                <w:sz w:val="22"/>
              </w:rPr>
              <w:t>Tumor</w:t>
            </w:r>
          </w:p>
        </w:tc>
      </w:tr>
      <w:tr w:rsidRPr="005F055E" w:rsidR="00CF4A75" w:rsidTr="005E2643" w14:paraId="70440A2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71449CE6" w14:textId="77777777">
            <w:pPr>
              <w:suppressAutoHyphens/>
              <w:spacing w:line="240" w:lineRule="auto"/>
              <w:rPr>
                <w:rFonts w:cs="Calibri"/>
                <w:color w:val="000000"/>
                <w:sz w:val="22"/>
              </w:rPr>
            </w:pPr>
            <w:proofErr w:type="spellStart"/>
            <w:r w:rsidRPr="005F055E">
              <w:rPr>
                <w:rFonts w:cs="Calibri"/>
                <w:color w:val="000000"/>
                <w:sz w:val="22"/>
              </w:rPr>
              <w:t>Vasodilatantia</w:t>
            </w:r>
            <w:proofErr w:type="spellEnd"/>
            <w:r w:rsidRPr="005F055E">
              <w:rPr>
                <w:rFonts w:cs="Calibri"/>
                <w:color w:val="000000"/>
                <w:sz w:val="22"/>
              </w:rPr>
              <w:t xml:space="preserve"> bij hartziekten</w:t>
            </w:r>
          </w:p>
        </w:tc>
      </w:tr>
      <w:tr w:rsidRPr="005F055E" w:rsidR="00CF4A75" w:rsidTr="005E2643" w14:paraId="6F6A4388"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7D458773" w14:textId="77777777">
            <w:pPr>
              <w:suppressAutoHyphens/>
              <w:spacing w:line="240" w:lineRule="auto"/>
              <w:rPr>
                <w:rFonts w:cs="Calibri"/>
                <w:color w:val="000000"/>
                <w:sz w:val="22"/>
              </w:rPr>
            </w:pPr>
            <w:proofErr w:type="spellStart"/>
            <w:r w:rsidRPr="005F055E">
              <w:rPr>
                <w:rFonts w:cs="Calibri"/>
                <w:color w:val="000000"/>
                <w:sz w:val="22"/>
              </w:rPr>
              <w:t>Vermageringsmiddelen,excl</w:t>
            </w:r>
            <w:proofErr w:type="spellEnd"/>
            <w:r w:rsidRPr="005F055E">
              <w:rPr>
                <w:rFonts w:cs="Calibri"/>
                <w:color w:val="000000"/>
                <w:sz w:val="22"/>
              </w:rPr>
              <w:t xml:space="preserve"> </w:t>
            </w:r>
            <w:proofErr w:type="spellStart"/>
            <w:r w:rsidRPr="005F055E">
              <w:rPr>
                <w:rFonts w:cs="Calibri"/>
                <w:color w:val="000000"/>
                <w:sz w:val="22"/>
              </w:rPr>
              <w:t>dieetprod</w:t>
            </w:r>
            <w:proofErr w:type="spellEnd"/>
          </w:p>
        </w:tc>
      </w:tr>
      <w:tr w:rsidRPr="005F055E" w:rsidR="00CF4A75" w:rsidTr="005E2643" w14:paraId="524E6FEC"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5AADA2E1" w14:textId="77777777">
            <w:pPr>
              <w:suppressAutoHyphens/>
              <w:spacing w:line="240" w:lineRule="auto"/>
              <w:rPr>
                <w:rFonts w:cs="Calibri"/>
                <w:color w:val="000000"/>
                <w:sz w:val="22"/>
              </w:rPr>
            </w:pPr>
            <w:r w:rsidRPr="005F055E">
              <w:rPr>
                <w:rFonts w:cs="Calibri"/>
                <w:color w:val="000000"/>
                <w:sz w:val="22"/>
              </w:rPr>
              <w:t>Vertigomiddelen</w:t>
            </w:r>
          </w:p>
        </w:tc>
      </w:tr>
      <w:tr w:rsidRPr="005F055E" w:rsidR="00CF4A75" w:rsidTr="005E2643" w14:paraId="7E3345BB"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262896F0" w14:textId="77777777">
            <w:pPr>
              <w:suppressAutoHyphens/>
              <w:spacing w:line="240" w:lineRule="auto"/>
              <w:rPr>
                <w:rFonts w:cs="Calibri"/>
                <w:color w:val="000000"/>
                <w:sz w:val="22"/>
              </w:rPr>
            </w:pPr>
            <w:r w:rsidRPr="005F055E">
              <w:rPr>
                <w:rFonts w:cs="Calibri"/>
                <w:color w:val="000000"/>
                <w:sz w:val="22"/>
              </w:rPr>
              <w:t>Virale vaccins</w:t>
            </w:r>
          </w:p>
        </w:tc>
      </w:tr>
      <w:tr w:rsidRPr="005F055E" w:rsidR="00CF4A75" w:rsidTr="005E2643" w14:paraId="7C937A13"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10072141" w14:textId="77777777">
            <w:pPr>
              <w:suppressAutoHyphens/>
              <w:spacing w:line="240" w:lineRule="auto"/>
              <w:rPr>
                <w:rFonts w:cs="Calibri"/>
                <w:color w:val="000000"/>
                <w:sz w:val="22"/>
              </w:rPr>
            </w:pPr>
            <w:r w:rsidRPr="005F055E">
              <w:rPr>
                <w:rFonts w:cs="Calibri"/>
                <w:color w:val="000000"/>
                <w:sz w:val="22"/>
              </w:rPr>
              <w:t xml:space="preserve">Vit A en D, </w:t>
            </w:r>
            <w:proofErr w:type="spellStart"/>
            <w:r w:rsidRPr="005F055E">
              <w:rPr>
                <w:rFonts w:cs="Calibri"/>
                <w:color w:val="000000"/>
                <w:sz w:val="22"/>
              </w:rPr>
              <w:t>incl</w:t>
            </w:r>
            <w:proofErr w:type="spellEnd"/>
            <w:r w:rsidRPr="005F055E">
              <w:rPr>
                <w:rFonts w:cs="Calibri"/>
                <w:color w:val="000000"/>
                <w:sz w:val="22"/>
              </w:rPr>
              <w:t xml:space="preserve"> </w:t>
            </w:r>
            <w:proofErr w:type="spellStart"/>
            <w:r w:rsidRPr="005F055E">
              <w:rPr>
                <w:rFonts w:cs="Calibri"/>
                <w:color w:val="000000"/>
                <w:sz w:val="22"/>
              </w:rPr>
              <w:t>comb</w:t>
            </w:r>
            <w:proofErr w:type="spellEnd"/>
            <w:r w:rsidRPr="005F055E">
              <w:rPr>
                <w:rFonts w:cs="Calibri"/>
                <w:color w:val="000000"/>
                <w:sz w:val="22"/>
              </w:rPr>
              <w:t>. v deze twee</w:t>
            </w:r>
          </w:p>
        </w:tc>
      </w:tr>
      <w:tr w:rsidRPr="005F055E" w:rsidR="00CF4A75" w:rsidTr="005E2643" w14:paraId="00082698"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40BF2556" w14:textId="77777777">
            <w:pPr>
              <w:suppressAutoHyphens/>
              <w:spacing w:line="240" w:lineRule="auto"/>
              <w:rPr>
                <w:rFonts w:cs="Calibri"/>
                <w:color w:val="000000"/>
                <w:sz w:val="22"/>
              </w:rPr>
            </w:pPr>
            <w:r w:rsidRPr="005F055E">
              <w:rPr>
                <w:rFonts w:cs="Calibri"/>
                <w:color w:val="000000"/>
                <w:sz w:val="22"/>
              </w:rPr>
              <w:t xml:space="preserve">Vit B1, </w:t>
            </w:r>
            <w:proofErr w:type="spellStart"/>
            <w:r w:rsidRPr="005F055E">
              <w:rPr>
                <w:rFonts w:cs="Calibri"/>
                <w:color w:val="000000"/>
                <w:sz w:val="22"/>
              </w:rPr>
              <w:t>enkelv</w:t>
            </w:r>
            <w:proofErr w:type="spellEnd"/>
            <w:r w:rsidRPr="005F055E">
              <w:rPr>
                <w:rFonts w:cs="Calibri"/>
                <w:color w:val="000000"/>
                <w:sz w:val="22"/>
              </w:rPr>
              <w:t>. en met B6 en/of B12</w:t>
            </w:r>
          </w:p>
        </w:tc>
      </w:tr>
      <w:tr w:rsidRPr="005F055E" w:rsidR="00CF4A75" w:rsidTr="005E2643" w14:paraId="1D6FDF4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53BD3A3C" w14:textId="77777777">
            <w:pPr>
              <w:suppressAutoHyphens/>
              <w:spacing w:line="240" w:lineRule="auto"/>
              <w:rPr>
                <w:rFonts w:cs="Calibri"/>
                <w:color w:val="000000"/>
                <w:sz w:val="22"/>
              </w:rPr>
            </w:pPr>
            <w:r w:rsidRPr="005F055E">
              <w:rPr>
                <w:rFonts w:cs="Calibri"/>
                <w:color w:val="000000"/>
                <w:sz w:val="22"/>
              </w:rPr>
              <w:t xml:space="preserve">Vitamine B complex, </w:t>
            </w:r>
            <w:proofErr w:type="spellStart"/>
            <w:r w:rsidRPr="005F055E">
              <w:rPr>
                <w:rFonts w:cs="Calibri"/>
                <w:color w:val="000000"/>
                <w:sz w:val="22"/>
              </w:rPr>
              <w:t>incl</w:t>
            </w:r>
            <w:proofErr w:type="spellEnd"/>
            <w:r w:rsidRPr="005F055E">
              <w:rPr>
                <w:rFonts w:cs="Calibri"/>
                <w:color w:val="000000"/>
                <w:sz w:val="22"/>
              </w:rPr>
              <w:t xml:space="preserve"> </w:t>
            </w:r>
            <w:proofErr w:type="spellStart"/>
            <w:r w:rsidRPr="005F055E">
              <w:rPr>
                <w:rFonts w:cs="Calibri"/>
                <w:color w:val="000000"/>
                <w:sz w:val="22"/>
              </w:rPr>
              <w:t>comb.prep</w:t>
            </w:r>
            <w:proofErr w:type="spellEnd"/>
          </w:p>
        </w:tc>
      </w:tr>
      <w:tr w:rsidRPr="005F055E" w:rsidR="00CF4A75" w:rsidTr="005E2643" w14:paraId="21E36868"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67D6435E" w14:textId="77777777">
            <w:pPr>
              <w:suppressAutoHyphens/>
              <w:spacing w:line="240" w:lineRule="auto"/>
              <w:rPr>
                <w:rFonts w:cs="Calibri"/>
                <w:color w:val="000000"/>
                <w:sz w:val="22"/>
              </w:rPr>
            </w:pPr>
            <w:r w:rsidRPr="005F055E">
              <w:rPr>
                <w:rFonts w:cs="Calibri"/>
                <w:color w:val="000000"/>
                <w:sz w:val="22"/>
              </w:rPr>
              <w:t>Vitamine B12 en foliumzuur</w:t>
            </w:r>
          </w:p>
        </w:tc>
      </w:tr>
      <w:tr w:rsidRPr="005F055E" w:rsidR="00CF4A75" w:rsidTr="005E2643" w14:paraId="431F8DC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2C292FE7" w14:textId="77777777">
            <w:pPr>
              <w:suppressAutoHyphens/>
              <w:spacing w:line="240" w:lineRule="auto"/>
              <w:rPr>
                <w:rFonts w:cs="Calibri"/>
                <w:color w:val="000000"/>
                <w:sz w:val="22"/>
              </w:rPr>
            </w:pPr>
            <w:r w:rsidRPr="005F055E">
              <w:rPr>
                <w:rFonts w:cs="Calibri"/>
                <w:color w:val="000000"/>
                <w:sz w:val="22"/>
              </w:rPr>
              <w:t xml:space="preserve">Vitamine K en overige </w:t>
            </w:r>
            <w:proofErr w:type="spellStart"/>
            <w:r w:rsidRPr="005F055E">
              <w:rPr>
                <w:rFonts w:cs="Calibri"/>
                <w:color w:val="000000"/>
                <w:sz w:val="22"/>
              </w:rPr>
              <w:t>haemostatica</w:t>
            </w:r>
            <w:proofErr w:type="spellEnd"/>
          </w:p>
        </w:tc>
      </w:tr>
      <w:tr w:rsidRPr="005F055E" w:rsidR="00CF4A75" w:rsidTr="005E2643" w14:paraId="5EC844D2" w14:textId="77777777">
        <w:trPr>
          <w:trHeight w:val="290"/>
        </w:trPr>
        <w:tc>
          <w:tcPr>
            <w:tcW w:w="3920" w:type="dxa"/>
            <w:tcBorders>
              <w:top w:val="single" w:color="A9D08E" w:sz="4" w:space="0"/>
              <w:left w:val="nil"/>
              <w:bottom w:val="single" w:color="A9D08E" w:sz="4" w:space="0"/>
              <w:right w:val="single" w:color="A9D08E" w:sz="4" w:space="0"/>
            </w:tcBorders>
            <w:shd w:val="clear" w:color="auto" w:fill="auto"/>
            <w:noWrap/>
            <w:vAlign w:val="bottom"/>
            <w:hideMark/>
          </w:tcPr>
          <w:p w:rsidRPr="005F055E" w:rsidR="00CF4A75" w:rsidP="00180EEB" w:rsidRDefault="00CF4A75" w14:paraId="2C8E00FA" w14:textId="77777777">
            <w:pPr>
              <w:suppressAutoHyphens/>
              <w:spacing w:line="240" w:lineRule="auto"/>
              <w:rPr>
                <w:rFonts w:cs="Calibri"/>
                <w:color w:val="000000"/>
                <w:sz w:val="22"/>
              </w:rPr>
            </w:pPr>
            <w:proofErr w:type="spellStart"/>
            <w:r w:rsidRPr="005F055E">
              <w:rPr>
                <w:rFonts w:cs="Calibri"/>
                <w:color w:val="000000"/>
                <w:sz w:val="22"/>
              </w:rPr>
              <w:t>Wondhelende</w:t>
            </w:r>
            <w:proofErr w:type="spellEnd"/>
            <w:r w:rsidRPr="005F055E">
              <w:rPr>
                <w:rFonts w:cs="Calibri"/>
                <w:color w:val="000000"/>
                <w:sz w:val="22"/>
              </w:rPr>
              <w:t xml:space="preserve"> middelen</w:t>
            </w:r>
          </w:p>
        </w:tc>
      </w:tr>
      <w:tr w:rsidRPr="005F055E" w:rsidR="00CF4A75" w:rsidTr="005E2643" w14:paraId="104A4BD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5F055E" w:rsidR="00CF4A75" w:rsidP="00180EEB" w:rsidRDefault="00CF4A75" w14:paraId="44050980" w14:textId="77777777">
            <w:pPr>
              <w:suppressAutoHyphens/>
              <w:spacing w:line="240" w:lineRule="auto"/>
              <w:rPr>
                <w:rFonts w:cs="Calibri"/>
                <w:color w:val="000000"/>
                <w:sz w:val="22"/>
              </w:rPr>
            </w:pPr>
            <w:r w:rsidRPr="005F055E">
              <w:rPr>
                <w:rFonts w:cs="Calibri"/>
                <w:color w:val="000000"/>
                <w:sz w:val="22"/>
              </w:rPr>
              <w:t>Zuigelingenvoeding</w:t>
            </w:r>
          </w:p>
        </w:tc>
      </w:tr>
    </w:tbl>
    <w:p w:rsidRPr="005F055E" w:rsidR="00D535AF" w:rsidP="00180EEB" w:rsidRDefault="00D535AF" w14:paraId="7C080D8D" w14:textId="77777777">
      <w:pPr>
        <w:suppressAutoHyphens/>
      </w:pPr>
    </w:p>
    <w:p w:rsidRPr="005F055E" w:rsidR="00D535AF" w:rsidP="00180EEB" w:rsidRDefault="003E7003" w14:paraId="395B0394" w14:textId="77777777">
      <w:pPr>
        <w:suppressAutoHyphens/>
      </w:pPr>
      <w:r w:rsidRPr="005F055E">
        <w:t>Vraag 469</w:t>
      </w:r>
    </w:p>
    <w:p w:rsidRPr="005F055E" w:rsidR="00D535AF" w:rsidP="00180EEB" w:rsidRDefault="003E7003" w14:paraId="66F53DC9" w14:textId="77777777">
      <w:pPr>
        <w:suppressAutoHyphens/>
      </w:pPr>
      <w:r w:rsidRPr="005F055E">
        <w:t>Hoeveel zijn patiënten die gebruik maken van zelfzorggeneesmiddelen per jaar naar verwachting gemiddeld kwijt als de bezuiniging hierop per 2027 ingaat?</w:t>
      </w:r>
    </w:p>
    <w:p w:rsidRPr="005F055E" w:rsidR="003E7003" w:rsidP="00180EEB" w:rsidRDefault="003E7003" w14:paraId="72ECCB8E" w14:textId="1F1E42CC">
      <w:pPr>
        <w:suppressAutoHyphens/>
      </w:pPr>
      <w:r w:rsidRPr="005F055E">
        <w:t>Antwoord</w:t>
      </w:r>
    </w:p>
    <w:p w:rsidRPr="005F055E" w:rsidR="008D2F23" w:rsidP="00180EEB" w:rsidRDefault="008D2F23" w14:paraId="47DB1DFD" w14:textId="192CC931">
      <w:pPr>
        <w:suppressAutoHyphens/>
        <w:spacing w:line="240" w:lineRule="atLeast"/>
        <w:rPr>
          <w:szCs w:val="18"/>
          <w:lang w:eastAsia="nl-NL"/>
        </w:rPr>
      </w:pPr>
      <w:r w:rsidRPr="005F055E">
        <w:rPr>
          <w:szCs w:val="18"/>
          <w:lang w:eastAsia="nl-NL"/>
        </w:rPr>
        <w:t>Omdat er nog geen besluit is genomen over welke geneesmiddelen vanwege de taakstellende bezuiniging van € 70 miljoen niet langer (volledig) worden vergoed is deze vraag op dit moment niet goed te beantwoorden. De minister van VWS brengt momenteel de mogelijkheden in kaart, in afstemming met het Zorginstituut Nederland, de KNMP en Zorgverzekeraars Nederland. Het Zorginstituut adviseert de minister over het opnemen of uitnemen van zorg en de gevolgen daarvan, waaronder extramurale geneesmiddelen.</w:t>
      </w:r>
    </w:p>
    <w:p w:rsidRPr="005F055E" w:rsidR="008D2F23" w:rsidP="00180EEB" w:rsidRDefault="008D2F23" w14:paraId="3C1A422F" w14:textId="7824F948">
      <w:pPr>
        <w:suppressAutoHyphens/>
        <w:spacing w:line="240" w:lineRule="atLeast"/>
        <w:rPr>
          <w:szCs w:val="18"/>
          <w:lang w:eastAsia="nl-NL"/>
        </w:rPr>
      </w:pPr>
      <w:r w:rsidRPr="005F055E">
        <w:rPr>
          <w:szCs w:val="18"/>
          <w:lang w:eastAsia="nl-NL"/>
        </w:rPr>
        <w:t>Het Zorginstituut heeft een advies over allergiemiddelen in voorbereiding. Hiervan maken zo’n 1,5 miljoen mensen gebruik. De gemiddelde vergoeding voor allergiemiddelen exclusie btw was in 2023 € 37,25 per persoon per jaar. Op dit moment is dit advies in consultatie</w:t>
      </w:r>
      <w:r w:rsidRPr="005F055E">
        <w:rPr>
          <w:szCs w:val="18"/>
          <w:vertAlign w:val="superscript"/>
          <w:lang w:eastAsia="nl-NL"/>
        </w:rPr>
        <w:footnoteReference w:id="177"/>
      </w:r>
      <w:r w:rsidRPr="005F055E">
        <w:rPr>
          <w:szCs w:val="18"/>
          <w:lang w:eastAsia="nl-NL"/>
        </w:rPr>
        <w:t xml:space="preserve">. </w:t>
      </w:r>
    </w:p>
    <w:p w:rsidRPr="005F055E" w:rsidR="00D535AF" w:rsidP="00180EEB" w:rsidRDefault="00D535AF" w14:paraId="44A54A45" w14:textId="77777777">
      <w:pPr>
        <w:suppressAutoHyphens/>
      </w:pPr>
    </w:p>
    <w:p w:rsidRPr="005F055E" w:rsidR="00D535AF" w:rsidP="00180EEB" w:rsidRDefault="003E7003" w14:paraId="4D77B51E" w14:textId="77777777">
      <w:pPr>
        <w:suppressAutoHyphens/>
      </w:pPr>
      <w:r w:rsidRPr="005F055E">
        <w:t>Vraag 470</w:t>
      </w:r>
    </w:p>
    <w:p w:rsidRPr="005F055E" w:rsidR="00D535AF" w:rsidP="00180EEB" w:rsidRDefault="003E7003" w14:paraId="185EC69D" w14:textId="77777777">
      <w:pPr>
        <w:suppressAutoHyphens/>
      </w:pPr>
      <w:r w:rsidRPr="005F055E">
        <w:t>Welke zelfzorggeneesmiddelen worden het meest gebruikt en worden het meest vergoed?</w:t>
      </w:r>
    </w:p>
    <w:p w:rsidRPr="005F055E" w:rsidR="003E7003" w:rsidP="00180EEB" w:rsidRDefault="003E7003" w14:paraId="0149F8B5" w14:textId="4235788E">
      <w:pPr>
        <w:suppressAutoHyphens/>
      </w:pPr>
      <w:r w:rsidRPr="005F055E">
        <w:t>Antwoord</w:t>
      </w:r>
    </w:p>
    <w:p w:rsidRPr="005F055E" w:rsidR="00CF4A75" w:rsidP="00180EEB" w:rsidRDefault="00CF4A75" w14:paraId="34BF8311" w14:textId="77777777">
      <w:pPr>
        <w:suppressAutoHyphens/>
        <w:rPr>
          <w:szCs w:val="18"/>
        </w:rPr>
      </w:pPr>
      <w:r w:rsidRPr="005F055E">
        <w:rPr>
          <w:szCs w:val="18"/>
        </w:rPr>
        <w:t>Van de zelfzorggeneesmiddelen die worden vergoed vanuit de Zorgverzekering worden maagmiddelen het meest gebruikt. In 2024 betrof het 2.244.150 gebruikers en waren de totale uitgaven aan deze middelen vanuit de zorgverzekering ongeveer 60 miljoen euro.</w:t>
      </w:r>
    </w:p>
    <w:p w:rsidRPr="005F055E" w:rsidR="00D535AF" w:rsidP="00180EEB" w:rsidRDefault="00D535AF" w14:paraId="30D56937" w14:textId="77777777">
      <w:pPr>
        <w:suppressAutoHyphens/>
      </w:pPr>
    </w:p>
    <w:p w:rsidRPr="005F055E" w:rsidR="00D535AF" w:rsidP="00180EEB" w:rsidRDefault="003E7003" w14:paraId="789DAA72" w14:textId="77777777">
      <w:pPr>
        <w:suppressAutoHyphens/>
      </w:pPr>
      <w:r w:rsidRPr="005F055E">
        <w:t>Vraag 471</w:t>
      </w:r>
    </w:p>
    <w:p w:rsidRPr="005F055E" w:rsidR="00D535AF" w:rsidP="00180EEB" w:rsidRDefault="003E7003" w14:paraId="17D73644" w14:textId="77777777">
      <w:pPr>
        <w:suppressAutoHyphens/>
      </w:pPr>
      <w:r w:rsidRPr="005F055E">
        <w:t>Wat zijn per sector de bedragen en ramingsgrond als gevolg van het opvangen van de extra zorgvraag naar aanleiding van het verlagen van het eigen risico vanaf 2027?</w:t>
      </w:r>
    </w:p>
    <w:p w:rsidRPr="005F055E" w:rsidR="003E7003" w:rsidP="00180EEB" w:rsidRDefault="003E7003" w14:paraId="0DD6DD72" w14:textId="5B34E8E3">
      <w:pPr>
        <w:suppressAutoHyphens/>
      </w:pPr>
      <w:r w:rsidRPr="005F055E">
        <w:t>Antwoord</w:t>
      </w:r>
    </w:p>
    <w:p w:rsidRPr="005F055E" w:rsidR="008D2F23" w:rsidP="00180EEB" w:rsidRDefault="008D2F23" w14:paraId="44BAC0D2" w14:textId="77777777">
      <w:pPr>
        <w:suppressAutoHyphens/>
        <w:rPr>
          <w:szCs w:val="20"/>
          <w:lang w:eastAsia="nl-NL"/>
        </w:rPr>
      </w:pPr>
      <w:r w:rsidRPr="005F055E">
        <w:rPr>
          <w:szCs w:val="20"/>
          <w:lang w:eastAsia="nl-NL"/>
        </w:rPr>
        <w:t xml:space="preserve">De verdeling van het remgeld per </w:t>
      </w:r>
      <w:proofErr w:type="spellStart"/>
      <w:r w:rsidRPr="005F055E">
        <w:rPr>
          <w:szCs w:val="20"/>
          <w:lang w:eastAsia="nl-NL"/>
        </w:rPr>
        <w:t>Zvw</w:t>
      </w:r>
      <w:proofErr w:type="spellEnd"/>
      <w:r w:rsidRPr="005F055E">
        <w:rPr>
          <w:szCs w:val="20"/>
          <w:lang w:eastAsia="nl-NL"/>
        </w:rPr>
        <w:t>-sector:</w:t>
      </w:r>
    </w:p>
    <w:tbl>
      <w:tblPr>
        <w:tblW w:w="8921" w:type="dxa"/>
        <w:tblInd w:w="-147" w:type="dxa"/>
        <w:tblCellMar>
          <w:left w:w="70" w:type="dxa"/>
          <w:right w:w="70" w:type="dxa"/>
        </w:tblCellMar>
        <w:tblLook w:val="04A0" w:firstRow="1" w:lastRow="0" w:firstColumn="1" w:lastColumn="0" w:noHBand="0" w:noVBand="1"/>
      </w:tblPr>
      <w:tblGrid>
        <w:gridCol w:w="4962"/>
        <w:gridCol w:w="845"/>
        <w:gridCol w:w="1038"/>
        <w:gridCol w:w="1038"/>
        <w:gridCol w:w="1038"/>
      </w:tblGrid>
      <w:tr w:rsidRPr="005F055E" w:rsidR="008D2F23" w:rsidTr="008D2F23" w14:paraId="608A9CB2" w14:textId="77777777">
        <w:trPr>
          <w:trHeight w:val="290"/>
        </w:trPr>
        <w:tc>
          <w:tcPr>
            <w:tcW w:w="49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055E" w:rsidR="008D2F23" w:rsidP="00180EEB" w:rsidRDefault="008D2F23" w14:paraId="24498BAD" w14:textId="56A4BDD5">
            <w:pPr>
              <w:suppressAutoHyphens/>
              <w:spacing w:after="0"/>
              <w:rPr>
                <w:b/>
                <w:bCs/>
                <w:color w:val="000000"/>
                <w:sz w:val="20"/>
                <w:szCs w:val="20"/>
                <w:lang w:eastAsia="nl-NL"/>
              </w:rPr>
            </w:pPr>
            <w:r w:rsidRPr="005F055E">
              <w:rPr>
                <w:b/>
                <w:bCs/>
                <w:color w:val="000000"/>
                <w:sz w:val="20"/>
                <w:szCs w:val="20"/>
                <w:lang w:eastAsia="nl-NL"/>
              </w:rPr>
              <w:t>Verdeling remgeld over IZA-sectoren</w:t>
            </w:r>
            <w:r w:rsidRPr="005F055E" w:rsidR="00D73F76">
              <w:rPr>
                <w:b/>
                <w:bCs/>
                <w:color w:val="000000"/>
                <w:sz w:val="20"/>
                <w:szCs w:val="20"/>
                <w:lang w:eastAsia="nl-NL"/>
              </w:rPr>
              <w:t xml:space="preserve"> </w:t>
            </w:r>
            <w:r w:rsidRPr="005F055E">
              <w:rPr>
                <w:b/>
                <w:bCs/>
                <w:color w:val="000000"/>
                <w:sz w:val="20"/>
                <w:szCs w:val="20"/>
                <w:lang w:eastAsia="nl-NL"/>
              </w:rPr>
              <w:t>(bedragen x € 1 miljoen)</w:t>
            </w:r>
          </w:p>
        </w:tc>
        <w:tc>
          <w:tcPr>
            <w:tcW w:w="845" w:type="dxa"/>
            <w:tcBorders>
              <w:top w:val="single" w:color="auto" w:sz="4" w:space="0"/>
              <w:left w:val="nil"/>
              <w:bottom w:val="single" w:color="auto" w:sz="4" w:space="0"/>
              <w:right w:val="single" w:color="auto" w:sz="4" w:space="0"/>
            </w:tcBorders>
            <w:shd w:val="clear" w:color="auto" w:fill="auto"/>
            <w:noWrap/>
            <w:hideMark/>
          </w:tcPr>
          <w:p w:rsidRPr="005F055E" w:rsidR="008D2F23" w:rsidP="00180EEB" w:rsidRDefault="008D2F23" w14:paraId="348030A2" w14:textId="77777777">
            <w:pPr>
              <w:suppressAutoHyphens/>
              <w:spacing w:after="0"/>
              <w:rPr>
                <w:b/>
                <w:bCs/>
                <w:color w:val="000000"/>
                <w:sz w:val="20"/>
                <w:szCs w:val="20"/>
                <w:lang w:eastAsia="nl-NL"/>
              </w:rPr>
            </w:pPr>
            <w:r w:rsidRPr="005F055E">
              <w:rPr>
                <w:color w:val="000000"/>
                <w:sz w:val="20"/>
                <w:szCs w:val="20"/>
                <w:lang w:eastAsia="nl-NL"/>
              </w:rPr>
              <w:t> </w:t>
            </w:r>
            <w:r w:rsidRPr="005F055E">
              <w:rPr>
                <w:b/>
                <w:bCs/>
                <w:color w:val="000000"/>
                <w:sz w:val="20"/>
                <w:szCs w:val="20"/>
                <w:lang w:eastAsia="nl-NL"/>
              </w:rPr>
              <w:t>2027</w:t>
            </w:r>
          </w:p>
        </w:tc>
        <w:tc>
          <w:tcPr>
            <w:tcW w:w="1038" w:type="dxa"/>
            <w:tcBorders>
              <w:top w:val="single" w:color="auto" w:sz="4" w:space="0"/>
              <w:left w:val="nil"/>
              <w:bottom w:val="single" w:color="auto" w:sz="4" w:space="0"/>
              <w:right w:val="single" w:color="auto" w:sz="4" w:space="0"/>
            </w:tcBorders>
            <w:shd w:val="clear" w:color="auto" w:fill="auto"/>
            <w:noWrap/>
            <w:hideMark/>
          </w:tcPr>
          <w:p w:rsidRPr="005F055E" w:rsidR="008D2F23" w:rsidP="00180EEB" w:rsidRDefault="008D2F23" w14:paraId="34D686F3" w14:textId="77777777">
            <w:pPr>
              <w:suppressAutoHyphens/>
              <w:spacing w:after="0"/>
              <w:rPr>
                <w:b/>
                <w:bCs/>
                <w:color w:val="000000"/>
                <w:sz w:val="20"/>
                <w:szCs w:val="20"/>
                <w:lang w:eastAsia="nl-NL"/>
              </w:rPr>
            </w:pPr>
            <w:r w:rsidRPr="005F055E">
              <w:rPr>
                <w:b/>
                <w:bCs/>
                <w:color w:val="000000"/>
                <w:sz w:val="20"/>
                <w:szCs w:val="20"/>
                <w:lang w:eastAsia="nl-NL"/>
              </w:rPr>
              <w:t>2028</w:t>
            </w:r>
          </w:p>
        </w:tc>
        <w:tc>
          <w:tcPr>
            <w:tcW w:w="1038" w:type="dxa"/>
            <w:tcBorders>
              <w:top w:val="single" w:color="auto" w:sz="4" w:space="0"/>
              <w:left w:val="nil"/>
              <w:bottom w:val="single" w:color="auto" w:sz="4" w:space="0"/>
              <w:right w:val="single" w:color="auto" w:sz="4" w:space="0"/>
            </w:tcBorders>
            <w:shd w:val="clear" w:color="auto" w:fill="auto"/>
            <w:noWrap/>
            <w:hideMark/>
          </w:tcPr>
          <w:p w:rsidRPr="005F055E" w:rsidR="008D2F23" w:rsidP="00180EEB" w:rsidRDefault="008D2F23" w14:paraId="2503F8C9" w14:textId="77777777">
            <w:pPr>
              <w:suppressAutoHyphens/>
              <w:spacing w:after="0"/>
              <w:rPr>
                <w:b/>
                <w:bCs/>
                <w:color w:val="000000"/>
                <w:sz w:val="20"/>
                <w:szCs w:val="20"/>
                <w:lang w:eastAsia="nl-NL"/>
              </w:rPr>
            </w:pPr>
            <w:r w:rsidRPr="005F055E">
              <w:rPr>
                <w:b/>
                <w:bCs/>
                <w:color w:val="000000"/>
                <w:sz w:val="20"/>
                <w:szCs w:val="20"/>
                <w:lang w:eastAsia="nl-NL"/>
              </w:rPr>
              <w:t>2029</w:t>
            </w:r>
          </w:p>
        </w:tc>
        <w:tc>
          <w:tcPr>
            <w:tcW w:w="1038" w:type="dxa"/>
            <w:tcBorders>
              <w:top w:val="single" w:color="auto" w:sz="4" w:space="0"/>
              <w:left w:val="nil"/>
              <w:bottom w:val="single" w:color="auto" w:sz="4" w:space="0"/>
              <w:right w:val="single" w:color="auto" w:sz="4" w:space="0"/>
            </w:tcBorders>
            <w:shd w:val="clear" w:color="auto" w:fill="auto"/>
            <w:noWrap/>
            <w:hideMark/>
          </w:tcPr>
          <w:p w:rsidRPr="005F055E" w:rsidR="008D2F23" w:rsidP="00180EEB" w:rsidRDefault="008D2F23" w14:paraId="246C0F10" w14:textId="77777777">
            <w:pPr>
              <w:suppressAutoHyphens/>
              <w:spacing w:after="0"/>
              <w:rPr>
                <w:b/>
                <w:bCs/>
                <w:color w:val="000000"/>
                <w:sz w:val="20"/>
                <w:szCs w:val="20"/>
                <w:lang w:eastAsia="nl-NL"/>
              </w:rPr>
            </w:pPr>
            <w:r w:rsidRPr="005F055E">
              <w:rPr>
                <w:b/>
                <w:bCs/>
                <w:color w:val="000000"/>
                <w:sz w:val="20"/>
                <w:szCs w:val="20"/>
                <w:lang w:eastAsia="nl-NL"/>
              </w:rPr>
              <w:t>2030</w:t>
            </w:r>
          </w:p>
        </w:tc>
      </w:tr>
      <w:tr w:rsidRPr="005F055E" w:rsidR="008D2F23" w:rsidTr="005E2643" w14:paraId="50893D5F" w14:textId="77777777">
        <w:trPr>
          <w:trHeight w:val="290"/>
        </w:trPr>
        <w:tc>
          <w:tcPr>
            <w:tcW w:w="4962" w:type="dxa"/>
            <w:tcBorders>
              <w:top w:val="nil"/>
              <w:left w:val="single" w:color="auto" w:sz="4" w:space="0"/>
              <w:bottom w:val="single" w:color="auto" w:sz="4" w:space="0"/>
              <w:right w:val="single" w:color="auto" w:sz="4" w:space="0"/>
            </w:tcBorders>
            <w:shd w:val="clear" w:color="auto" w:fill="auto"/>
            <w:noWrap/>
            <w:vAlign w:val="bottom"/>
            <w:hideMark/>
          </w:tcPr>
          <w:p w:rsidRPr="005F055E" w:rsidR="008D2F23" w:rsidP="00180EEB" w:rsidRDefault="008D2F23" w14:paraId="40AA483C" w14:textId="77777777">
            <w:pPr>
              <w:suppressAutoHyphens/>
              <w:spacing w:after="0"/>
              <w:rPr>
                <w:color w:val="000000"/>
                <w:sz w:val="20"/>
                <w:szCs w:val="20"/>
                <w:lang w:eastAsia="nl-NL"/>
              </w:rPr>
            </w:pPr>
            <w:r w:rsidRPr="005F055E">
              <w:rPr>
                <w:color w:val="000000"/>
                <w:sz w:val="20"/>
                <w:szCs w:val="20"/>
                <w:lang w:eastAsia="nl-NL"/>
              </w:rPr>
              <w:t>MSZ</w:t>
            </w:r>
          </w:p>
        </w:tc>
        <w:tc>
          <w:tcPr>
            <w:tcW w:w="845"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5FA1EB07" w14:textId="77777777">
            <w:pPr>
              <w:suppressAutoHyphens/>
              <w:spacing w:after="0"/>
              <w:rPr>
                <w:sz w:val="20"/>
                <w:szCs w:val="20"/>
                <w:lang w:eastAsia="nl-NL"/>
              </w:rPr>
            </w:pPr>
            <w:r w:rsidRPr="005F055E">
              <w:rPr>
                <w:color w:val="000000"/>
                <w:sz w:val="20"/>
                <w:szCs w:val="20"/>
                <w:lang w:eastAsia="nl-NL"/>
              </w:rPr>
              <w:t>676</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61C26573" w14:textId="77777777">
            <w:pPr>
              <w:suppressAutoHyphens/>
              <w:spacing w:after="0"/>
              <w:rPr>
                <w:sz w:val="20"/>
                <w:szCs w:val="20"/>
                <w:lang w:eastAsia="nl-NL"/>
              </w:rPr>
            </w:pPr>
            <w:r w:rsidRPr="005F055E">
              <w:rPr>
                <w:color w:val="000000"/>
                <w:sz w:val="20"/>
                <w:szCs w:val="20"/>
                <w:lang w:eastAsia="nl-NL"/>
              </w:rPr>
              <w:t>763</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79BADAEB" w14:textId="77777777">
            <w:pPr>
              <w:suppressAutoHyphens/>
              <w:spacing w:after="0"/>
              <w:rPr>
                <w:sz w:val="20"/>
                <w:szCs w:val="20"/>
                <w:lang w:eastAsia="nl-NL"/>
              </w:rPr>
            </w:pPr>
            <w:r w:rsidRPr="005F055E">
              <w:rPr>
                <w:color w:val="000000"/>
                <w:sz w:val="20"/>
                <w:szCs w:val="20"/>
                <w:lang w:eastAsia="nl-NL"/>
              </w:rPr>
              <w:t>763</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106D6A07" w14:textId="77777777">
            <w:pPr>
              <w:suppressAutoHyphens/>
              <w:spacing w:after="0"/>
              <w:rPr>
                <w:sz w:val="20"/>
                <w:szCs w:val="20"/>
                <w:lang w:eastAsia="nl-NL"/>
              </w:rPr>
            </w:pPr>
            <w:r w:rsidRPr="005F055E">
              <w:rPr>
                <w:color w:val="000000"/>
                <w:sz w:val="20"/>
                <w:szCs w:val="20"/>
                <w:lang w:eastAsia="nl-NL"/>
              </w:rPr>
              <w:t>763</w:t>
            </w:r>
          </w:p>
        </w:tc>
      </w:tr>
      <w:tr w:rsidRPr="005F055E" w:rsidR="008D2F23" w:rsidTr="005E2643" w14:paraId="0873E108" w14:textId="77777777">
        <w:trPr>
          <w:trHeight w:val="290"/>
        </w:trPr>
        <w:tc>
          <w:tcPr>
            <w:tcW w:w="4962" w:type="dxa"/>
            <w:tcBorders>
              <w:top w:val="nil"/>
              <w:left w:val="single" w:color="auto" w:sz="4" w:space="0"/>
              <w:bottom w:val="single" w:color="auto" w:sz="4" w:space="0"/>
              <w:right w:val="single" w:color="auto" w:sz="4" w:space="0"/>
            </w:tcBorders>
            <w:shd w:val="clear" w:color="auto" w:fill="auto"/>
            <w:noWrap/>
            <w:vAlign w:val="bottom"/>
            <w:hideMark/>
          </w:tcPr>
          <w:p w:rsidRPr="005F055E" w:rsidR="008D2F23" w:rsidP="00180EEB" w:rsidRDefault="00D55762" w14:paraId="3C045382" w14:textId="4AF314A7">
            <w:pPr>
              <w:suppressAutoHyphens/>
              <w:spacing w:after="0"/>
              <w:rPr>
                <w:color w:val="000000"/>
                <w:sz w:val="20"/>
                <w:szCs w:val="20"/>
                <w:lang w:eastAsia="nl-NL"/>
              </w:rPr>
            </w:pPr>
            <w:r>
              <w:rPr>
                <w:color w:val="000000"/>
                <w:sz w:val="20"/>
                <w:szCs w:val="20"/>
                <w:lang w:eastAsia="nl-NL"/>
              </w:rPr>
              <w:t>GGZ</w:t>
            </w:r>
          </w:p>
        </w:tc>
        <w:tc>
          <w:tcPr>
            <w:tcW w:w="845"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0D046E95" w14:textId="77777777">
            <w:pPr>
              <w:suppressAutoHyphens/>
              <w:spacing w:after="0"/>
              <w:rPr>
                <w:sz w:val="20"/>
                <w:szCs w:val="20"/>
                <w:lang w:eastAsia="nl-NL"/>
              </w:rPr>
            </w:pPr>
            <w:r w:rsidRPr="005F055E">
              <w:rPr>
                <w:color w:val="000000"/>
                <w:sz w:val="20"/>
                <w:szCs w:val="20"/>
                <w:lang w:eastAsia="nl-NL"/>
              </w:rPr>
              <w:t>123</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7E13011F" w14:textId="77777777">
            <w:pPr>
              <w:suppressAutoHyphens/>
              <w:spacing w:after="0"/>
              <w:rPr>
                <w:sz w:val="20"/>
                <w:szCs w:val="20"/>
                <w:lang w:eastAsia="nl-NL"/>
              </w:rPr>
            </w:pPr>
            <w:r w:rsidRPr="005F055E">
              <w:rPr>
                <w:color w:val="000000"/>
                <w:sz w:val="20"/>
                <w:szCs w:val="20"/>
                <w:lang w:eastAsia="nl-NL"/>
              </w:rPr>
              <w:t>139</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3A1F0EE7" w14:textId="77777777">
            <w:pPr>
              <w:suppressAutoHyphens/>
              <w:spacing w:after="0"/>
              <w:rPr>
                <w:sz w:val="20"/>
                <w:szCs w:val="20"/>
                <w:lang w:eastAsia="nl-NL"/>
              </w:rPr>
            </w:pPr>
            <w:r w:rsidRPr="005F055E">
              <w:rPr>
                <w:color w:val="000000"/>
                <w:sz w:val="20"/>
                <w:szCs w:val="20"/>
                <w:lang w:eastAsia="nl-NL"/>
              </w:rPr>
              <w:t>139</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548B8B82" w14:textId="77777777">
            <w:pPr>
              <w:suppressAutoHyphens/>
              <w:spacing w:after="0"/>
              <w:rPr>
                <w:sz w:val="20"/>
                <w:szCs w:val="20"/>
                <w:lang w:eastAsia="nl-NL"/>
              </w:rPr>
            </w:pPr>
            <w:r w:rsidRPr="005F055E">
              <w:rPr>
                <w:color w:val="000000"/>
                <w:sz w:val="20"/>
                <w:szCs w:val="20"/>
                <w:lang w:eastAsia="nl-NL"/>
              </w:rPr>
              <w:t>139</w:t>
            </w:r>
          </w:p>
        </w:tc>
      </w:tr>
      <w:tr w:rsidRPr="005F055E" w:rsidR="008D2F23" w:rsidTr="005E2643" w14:paraId="014B68A2" w14:textId="77777777">
        <w:trPr>
          <w:trHeight w:val="290"/>
        </w:trPr>
        <w:tc>
          <w:tcPr>
            <w:tcW w:w="4962" w:type="dxa"/>
            <w:tcBorders>
              <w:top w:val="nil"/>
              <w:left w:val="single" w:color="auto" w:sz="4" w:space="0"/>
              <w:bottom w:val="single" w:color="auto" w:sz="4" w:space="0"/>
              <w:right w:val="single" w:color="auto" w:sz="4" w:space="0"/>
            </w:tcBorders>
            <w:shd w:val="clear" w:color="auto" w:fill="auto"/>
            <w:noWrap/>
            <w:vAlign w:val="bottom"/>
            <w:hideMark/>
          </w:tcPr>
          <w:p w:rsidRPr="005F055E" w:rsidR="008D2F23" w:rsidP="00180EEB" w:rsidRDefault="008D2F23" w14:paraId="608CAB79" w14:textId="77777777">
            <w:pPr>
              <w:suppressAutoHyphens/>
              <w:spacing w:after="0"/>
              <w:rPr>
                <w:color w:val="000000"/>
                <w:sz w:val="20"/>
                <w:szCs w:val="20"/>
                <w:lang w:eastAsia="nl-NL"/>
              </w:rPr>
            </w:pPr>
            <w:r w:rsidRPr="005F055E">
              <w:rPr>
                <w:color w:val="000000"/>
                <w:sz w:val="20"/>
                <w:szCs w:val="20"/>
                <w:lang w:eastAsia="nl-NL"/>
              </w:rPr>
              <w:t>Wijkverpleging</w:t>
            </w:r>
          </w:p>
        </w:tc>
        <w:tc>
          <w:tcPr>
            <w:tcW w:w="845"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0F9B2A4F" w14:textId="77777777">
            <w:pPr>
              <w:suppressAutoHyphens/>
              <w:spacing w:after="0"/>
              <w:rPr>
                <w:sz w:val="20"/>
                <w:szCs w:val="20"/>
                <w:lang w:eastAsia="nl-NL"/>
              </w:rPr>
            </w:pPr>
            <w:r w:rsidRPr="005F055E">
              <w:rPr>
                <w:color w:val="000000"/>
                <w:sz w:val="20"/>
                <w:szCs w:val="20"/>
                <w:lang w:eastAsia="nl-NL"/>
              </w:rPr>
              <w:t>39</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4EB2DB03" w14:textId="77777777">
            <w:pPr>
              <w:suppressAutoHyphens/>
              <w:spacing w:after="0"/>
              <w:rPr>
                <w:sz w:val="20"/>
                <w:szCs w:val="20"/>
                <w:lang w:eastAsia="nl-NL"/>
              </w:rPr>
            </w:pPr>
            <w:r w:rsidRPr="005F055E">
              <w:rPr>
                <w:color w:val="000000"/>
                <w:sz w:val="20"/>
                <w:szCs w:val="20"/>
                <w:lang w:eastAsia="nl-NL"/>
              </w:rPr>
              <w:t>44</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3E88D26A" w14:textId="77777777">
            <w:pPr>
              <w:suppressAutoHyphens/>
              <w:spacing w:after="0"/>
              <w:rPr>
                <w:sz w:val="20"/>
                <w:szCs w:val="20"/>
                <w:lang w:eastAsia="nl-NL"/>
              </w:rPr>
            </w:pPr>
            <w:r w:rsidRPr="005F055E">
              <w:rPr>
                <w:color w:val="000000"/>
                <w:sz w:val="20"/>
                <w:szCs w:val="20"/>
                <w:lang w:eastAsia="nl-NL"/>
              </w:rPr>
              <w:t>44</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1FCFB8F" w14:textId="77777777">
            <w:pPr>
              <w:suppressAutoHyphens/>
              <w:spacing w:after="0"/>
              <w:rPr>
                <w:sz w:val="20"/>
                <w:szCs w:val="20"/>
                <w:lang w:eastAsia="nl-NL"/>
              </w:rPr>
            </w:pPr>
            <w:r w:rsidRPr="005F055E">
              <w:rPr>
                <w:color w:val="000000"/>
                <w:sz w:val="20"/>
                <w:szCs w:val="20"/>
                <w:lang w:eastAsia="nl-NL"/>
              </w:rPr>
              <w:t>44</w:t>
            </w:r>
          </w:p>
        </w:tc>
      </w:tr>
      <w:tr w:rsidRPr="005F055E" w:rsidR="008D2F23" w:rsidTr="005E2643" w14:paraId="65F1D3CD" w14:textId="77777777">
        <w:trPr>
          <w:trHeight w:val="290"/>
        </w:trPr>
        <w:tc>
          <w:tcPr>
            <w:tcW w:w="4962" w:type="dxa"/>
            <w:tcBorders>
              <w:top w:val="nil"/>
              <w:left w:val="single" w:color="auto" w:sz="4" w:space="0"/>
              <w:bottom w:val="single" w:color="auto" w:sz="4" w:space="0"/>
              <w:right w:val="single" w:color="auto" w:sz="4" w:space="0"/>
            </w:tcBorders>
            <w:shd w:val="clear" w:color="auto" w:fill="auto"/>
            <w:noWrap/>
            <w:vAlign w:val="bottom"/>
            <w:hideMark/>
          </w:tcPr>
          <w:p w:rsidRPr="005F055E" w:rsidR="008D2F23" w:rsidP="00180EEB" w:rsidRDefault="008D2F23" w14:paraId="44F9AD7F" w14:textId="77777777">
            <w:pPr>
              <w:suppressAutoHyphens/>
              <w:spacing w:after="0"/>
              <w:rPr>
                <w:color w:val="000000"/>
                <w:sz w:val="20"/>
                <w:szCs w:val="20"/>
                <w:lang w:eastAsia="nl-NL"/>
              </w:rPr>
            </w:pPr>
            <w:r w:rsidRPr="005F055E">
              <w:rPr>
                <w:color w:val="000000"/>
                <w:sz w:val="20"/>
                <w:szCs w:val="20"/>
                <w:lang w:eastAsia="nl-NL"/>
              </w:rPr>
              <w:t>Huisartsenzorg</w:t>
            </w:r>
          </w:p>
        </w:tc>
        <w:tc>
          <w:tcPr>
            <w:tcW w:w="845"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3981C624" w14:textId="77777777">
            <w:pPr>
              <w:suppressAutoHyphens/>
              <w:spacing w:after="0"/>
              <w:rPr>
                <w:sz w:val="20"/>
                <w:szCs w:val="20"/>
                <w:lang w:eastAsia="nl-NL"/>
              </w:rPr>
            </w:pPr>
            <w:r w:rsidRPr="005F055E">
              <w:rPr>
                <w:color w:val="000000"/>
                <w:sz w:val="20"/>
                <w:szCs w:val="20"/>
                <w:lang w:eastAsia="nl-NL"/>
              </w:rPr>
              <w:t>99</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429B32B0" w14:textId="77777777">
            <w:pPr>
              <w:suppressAutoHyphens/>
              <w:spacing w:after="0"/>
              <w:rPr>
                <w:sz w:val="20"/>
                <w:szCs w:val="20"/>
                <w:lang w:eastAsia="nl-NL"/>
              </w:rPr>
            </w:pPr>
            <w:r w:rsidRPr="005F055E">
              <w:rPr>
                <w:color w:val="000000"/>
                <w:sz w:val="20"/>
                <w:szCs w:val="20"/>
                <w:lang w:eastAsia="nl-NL"/>
              </w:rPr>
              <w:t>112</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56F45B15" w14:textId="77777777">
            <w:pPr>
              <w:suppressAutoHyphens/>
              <w:spacing w:after="0"/>
              <w:rPr>
                <w:sz w:val="20"/>
                <w:szCs w:val="20"/>
                <w:lang w:eastAsia="nl-NL"/>
              </w:rPr>
            </w:pPr>
            <w:r w:rsidRPr="005F055E">
              <w:rPr>
                <w:color w:val="000000"/>
                <w:sz w:val="20"/>
                <w:szCs w:val="20"/>
                <w:lang w:eastAsia="nl-NL"/>
              </w:rPr>
              <w:t>112</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775729F7" w14:textId="77777777">
            <w:pPr>
              <w:suppressAutoHyphens/>
              <w:spacing w:after="0"/>
              <w:rPr>
                <w:sz w:val="20"/>
                <w:szCs w:val="20"/>
                <w:lang w:eastAsia="nl-NL"/>
              </w:rPr>
            </w:pPr>
            <w:r w:rsidRPr="005F055E">
              <w:rPr>
                <w:color w:val="000000"/>
                <w:sz w:val="20"/>
                <w:szCs w:val="20"/>
                <w:lang w:eastAsia="nl-NL"/>
              </w:rPr>
              <w:t>112</w:t>
            </w:r>
          </w:p>
        </w:tc>
      </w:tr>
      <w:tr w:rsidRPr="005F055E" w:rsidR="008D2F23" w:rsidTr="005E2643" w14:paraId="47B0F8D3" w14:textId="77777777">
        <w:trPr>
          <w:trHeight w:val="290"/>
        </w:trPr>
        <w:tc>
          <w:tcPr>
            <w:tcW w:w="4962" w:type="dxa"/>
            <w:tcBorders>
              <w:top w:val="nil"/>
              <w:left w:val="single" w:color="auto" w:sz="4" w:space="0"/>
              <w:bottom w:val="single" w:color="auto" w:sz="4" w:space="0"/>
              <w:right w:val="single" w:color="auto" w:sz="4" w:space="0"/>
            </w:tcBorders>
            <w:shd w:val="clear" w:color="auto" w:fill="auto"/>
            <w:noWrap/>
            <w:vAlign w:val="bottom"/>
            <w:hideMark/>
          </w:tcPr>
          <w:p w:rsidRPr="005F055E" w:rsidR="008D2F23" w:rsidP="00180EEB" w:rsidRDefault="008D2F23" w14:paraId="09574F0B" w14:textId="77777777">
            <w:pPr>
              <w:suppressAutoHyphens/>
              <w:spacing w:after="0"/>
              <w:rPr>
                <w:color w:val="000000"/>
                <w:sz w:val="20"/>
                <w:szCs w:val="20"/>
                <w:lang w:eastAsia="nl-NL"/>
              </w:rPr>
            </w:pPr>
            <w:r w:rsidRPr="005F055E">
              <w:rPr>
                <w:color w:val="000000"/>
                <w:sz w:val="20"/>
                <w:szCs w:val="20"/>
                <w:lang w:eastAsia="nl-NL"/>
              </w:rPr>
              <w:t>MDZ</w:t>
            </w:r>
            <w:r w:rsidRPr="005F055E">
              <w:rPr>
                <w:color w:val="000000"/>
                <w:sz w:val="20"/>
                <w:szCs w:val="20"/>
                <w:vertAlign w:val="superscript"/>
                <w:lang w:eastAsia="nl-NL"/>
              </w:rPr>
              <w:footnoteReference w:id="178"/>
            </w:r>
          </w:p>
        </w:tc>
        <w:tc>
          <w:tcPr>
            <w:tcW w:w="845"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75801E3A" w14:textId="77777777">
            <w:pPr>
              <w:suppressAutoHyphens/>
              <w:spacing w:after="0"/>
              <w:rPr>
                <w:sz w:val="20"/>
                <w:szCs w:val="20"/>
                <w:lang w:eastAsia="nl-NL"/>
              </w:rPr>
            </w:pPr>
            <w:r w:rsidRPr="005F055E">
              <w:rPr>
                <w:color w:val="000000"/>
                <w:sz w:val="20"/>
                <w:szCs w:val="20"/>
                <w:lang w:eastAsia="nl-NL"/>
              </w:rPr>
              <w:t>21</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4F1490FA" w14:textId="77777777">
            <w:pPr>
              <w:suppressAutoHyphens/>
              <w:spacing w:after="0"/>
              <w:rPr>
                <w:sz w:val="20"/>
                <w:szCs w:val="20"/>
                <w:lang w:eastAsia="nl-NL"/>
              </w:rPr>
            </w:pPr>
            <w:r w:rsidRPr="005F055E">
              <w:rPr>
                <w:color w:val="000000"/>
                <w:sz w:val="20"/>
                <w:szCs w:val="20"/>
                <w:lang w:eastAsia="nl-NL"/>
              </w:rPr>
              <w:t>24</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630AB50A" w14:textId="77777777">
            <w:pPr>
              <w:suppressAutoHyphens/>
              <w:spacing w:after="0"/>
              <w:rPr>
                <w:sz w:val="20"/>
                <w:szCs w:val="20"/>
                <w:lang w:eastAsia="nl-NL"/>
              </w:rPr>
            </w:pPr>
            <w:r w:rsidRPr="005F055E">
              <w:rPr>
                <w:color w:val="000000"/>
                <w:sz w:val="20"/>
                <w:szCs w:val="20"/>
                <w:lang w:eastAsia="nl-NL"/>
              </w:rPr>
              <w:t>24</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CD021E4" w14:textId="77777777">
            <w:pPr>
              <w:suppressAutoHyphens/>
              <w:spacing w:after="0"/>
              <w:rPr>
                <w:sz w:val="20"/>
                <w:szCs w:val="20"/>
                <w:lang w:eastAsia="nl-NL"/>
              </w:rPr>
            </w:pPr>
            <w:r w:rsidRPr="005F055E">
              <w:rPr>
                <w:color w:val="000000"/>
                <w:sz w:val="20"/>
                <w:szCs w:val="20"/>
                <w:lang w:eastAsia="nl-NL"/>
              </w:rPr>
              <w:t>24</w:t>
            </w:r>
          </w:p>
        </w:tc>
      </w:tr>
      <w:tr w:rsidRPr="005F055E" w:rsidR="008D2F23" w:rsidTr="005E2643" w14:paraId="6709DFEB" w14:textId="77777777">
        <w:trPr>
          <w:trHeight w:val="290"/>
        </w:trPr>
        <w:tc>
          <w:tcPr>
            <w:tcW w:w="4962" w:type="dxa"/>
            <w:tcBorders>
              <w:top w:val="nil"/>
              <w:left w:val="single" w:color="auto" w:sz="4" w:space="0"/>
              <w:bottom w:val="single" w:color="auto" w:sz="4" w:space="0"/>
              <w:right w:val="single" w:color="auto" w:sz="4" w:space="0"/>
            </w:tcBorders>
            <w:shd w:val="clear" w:color="auto" w:fill="auto"/>
            <w:noWrap/>
            <w:vAlign w:val="bottom"/>
            <w:hideMark/>
          </w:tcPr>
          <w:p w:rsidRPr="005F055E" w:rsidR="008D2F23" w:rsidP="00180EEB" w:rsidRDefault="008D2F23" w14:paraId="6B469E0D" w14:textId="77777777">
            <w:pPr>
              <w:suppressAutoHyphens/>
              <w:spacing w:after="0"/>
              <w:rPr>
                <w:b/>
                <w:bCs/>
                <w:color w:val="000000"/>
                <w:sz w:val="20"/>
                <w:szCs w:val="20"/>
                <w:lang w:eastAsia="nl-NL"/>
              </w:rPr>
            </w:pPr>
            <w:r w:rsidRPr="005F055E">
              <w:rPr>
                <w:b/>
                <w:bCs/>
                <w:color w:val="000000"/>
                <w:sz w:val="20"/>
                <w:szCs w:val="20"/>
                <w:lang w:eastAsia="nl-NL"/>
              </w:rPr>
              <w:t>TOTAAL</w:t>
            </w:r>
          </w:p>
        </w:tc>
        <w:tc>
          <w:tcPr>
            <w:tcW w:w="845"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0F2A4C0A" w14:textId="77777777">
            <w:pPr>
              <w:suppressAutoHyphens/>
              <w:spacing w:after="0"/>
              <w:rPr>
                <w:b/>
                <w:bCs/>
                <w:sz w:val="20"/>
                <w:szCs w:val="20"/>
                <w:lang w:eastAsia="nl-NL"/>
              </w:rPr>
            </w:pPr>
            <w:r w:rsidRPr="005F055E">
              <w:rPr>
                <w:color w:val="000000"/>
                <w:sz w:val="20"/>
                <w:szCs w:val="20"/>
                <w:lang w:eastAsia="nl-NL"/>
              </w:rPr>
              <w:t>958</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64B3E416" w14:textId="77777777">
            <w:pPr>
              <w:suppressAutoHyphens/>
              <w:spacing w:after="0"/>
              <w:rPr>
                <w:b/>
                <w:bCs/>
                <w:sz w:val="20"/>
                <w:szCs w:val="20"/>
                <w:lang w:eastAsia="nl-NL"/>
              </w:rPr>
            </w:pPr>
            <w:r w:rsidRPr="005F055E">
              <w:rPr>
                <w:color w:val="000000"/>
                <w:sz w:val="20"/>
                <w:szCs w:val="20"/>
                <w:lang w:eastAsia="nl-NL"/>
              </w:rPr>
              <w:t>1.081</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644212A1" w14:textId="77777777">
            <w:pPr>
              <w:suppressAutoHyphens/>
              <w:spacing w:after="0"/>
              <w:rPr>
                <w:b/>
                <w:bCs/>
                <w:sz w:val="20"/>
                <w:szCs w:val="20"/>
                <w:lang w:eastAsia="nl-NL"/>
              </w:rPr>
            </w:pPr>
            <w:r w:rsidRPr="005F055E">
              <w:rPr>
                <w:color w:val="000000"/>
                <w:sz w:val="20"/>
                <w:szCs w:val="20"/>
                <w:lang w:eastAsia="nl-NL"/>
              </w:rPr>
              <w:t>1.081</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55D1A73E" w14:textId="77777777">
            <w:pPr>
              <w:suppressAutoHyphens/>
              <w:spacing w:after="0"/>
              <w:rPr>
                <w:b/>
                <w:bCs/>
                <w:sz w:val="20"/>
                <w:szCs w:val="20"/>
                <w:lang w:eastAsia="nl-NL"/>
              </w:rPr>
            </w:pPr>
            <w:r w:rsidRPr="005F055E">
              <w:rPr>
                <w:color w:val="000000"/>
                <w:sz w:val="20"/>
                <w:szCs w:val="20"/>
                <w:lang w:eastAsia="nl-NL"/>
              </w:rPr>
              <w:t>1.081</w:t>
            </w:r>
          </w:p>
        </w:tc>
      </w:tr>
      <w:tr w:rsidRPr="005F055E" w:rsidR="008D2F23" w:rsidTr="005E2643" w14:paraId="6BB738B7" w14:textId="77777777">
        <w:trPr>
          <w:trHeight w:val="290"/>
        </w:trPr>
        <w:tc>
          <w:tcPr>
            <w:tcW w:w="4962" w:type="dxa"/>
            <w:tcBorders>
              <w:top w:val="nil"/>
              <w:left w:val="single" w:color="auto" w:sz="4" w:space="0"/>
              <w:bottom w:val="single" w:color="auto" w:sz="4" w:space="0"/>
              <w:right w:val="single" w:color="auto" w:sz="4" w:space="0"/>
            </w:tcBorders>
            <w:shd w:val="clear" w:color="auto" w:fill="auto"/>
            <w:noWrap/>
            <w:vAlign w:val="bottom"/>
            <w:hideMark/>
          </w:tcPr>
          <w:p w:rsidRPr="005F055E" w:rsidR="008D2F23" w:rsidP="00180EEB" w:rsidRDefault="008D2F23" w14:paraId="00E037E1" w14:textId="77777777">
            <w:pPr>
              <w:suppressAutoHyphens/>
              <w:spacing w:after="0"/>
              <w:rPr>
                <w:color w:val="000000"/>
                <w:sz w:val="20"/>
                <w:szCs w:val="20"/>
                <w:lang w:eastAsia="nl-NL"/>
              </w:rPr>
            </w:pPr>
            <w:r w:rsidRPr="005F055E">
              <w:rPr>
                <w:color w:val="000000"/>
                <w:sz w:val="20"/>
                <w:szCs w:val="20"/>
                <w:lang w:eastAsia="nl-NL"/>
              </w:rPr>
              <w:t> </w:t>
            </w:r>
          </w:p>
        </w:tc>
        <w:tc>
          <w:tcPr>
            <w:tcW w:w="845" w:type="dxa"/>
            <w:tcBorders>
              <w:top w:val="nil"/>
              <w:left w:val="nil"/>
              <w:bottom w:val="single" w:color="auto" w:sz="4" w:space="0"/>
              <w:right w:val="single" w:color="auto" w:sz="4" w:space="0"/>
            </w:tcBorders>
            <w:shd w:val="clear" w:color="auto" w:fill="auto"/>
            <w:noWrap/>
            <w:vAlign w:val="bottom"/>
          </w:tcPr>
          <w:p w:rsidRPr="005F055E" w:rsidR="008D2F23" w:rsidP="00180EEB" w:rsidRDefault="008D2F23" w14:paraId="34CC6FBB" w14:textId="77777777">
            <w:pPr>
              <w:suppressAutoHyphens/>
              <w:spacing w:after="0"/>
              <w:rPr>
                <w:color w:val="000000"/>
                <w:sz w:val="20"/>
                <w:szCs w:val="20"/>
                <w:lang w:eastAsia="nl-NL"/>
              </w:rPr>
            </w:pPr>
          </w:p>
        </w:tc>
        <w:tc>
          <w:tcPr>
            <w:tcW w:w="1038" w:type="dxa"/>
            <w:tcBorders>
              <w:top w:val="nil"/>
              <w:left w:val="nil"/>
              <w:bottom w:val="single" w:color="auto" w:sz="4" w:space="0"/>
              <w:right w:val="single" w:color="auto" w:sz="4" w:space="0"/>
            </w:tcBorders>
            <w:shd w:val="clear" w:color="auto" w:fill="auto"/>
            <w:noWrap/>
            <w:vAlign w:val="bottom"/>
          </w:tcPr>
          <w:p w:rsidRPr="005F055E" w:rsidR="008D2F23" w:rsidP="00180EEB" w:rsidRDefault="008D2F23" w14:paraId="21E72D3B" w14:textId="77777777">
            <w:pPr>
              <w:suppressAutoHyphens/>
              <w:spacing w:after="0"/>
              <w:rPr>
                <w:color w:val="000000"/>
                <w:sz w:val="20"/>
                <w:szCs w:val="20"/>
                <w:lang w:eastAsia="nl-NL"/>
              </w:rPr>
            </w:pPr>
          </w:p>
        </w:tc>
        <w:tc>
          <w:tcPr>
            <w:tcW w:w="1038" w:type="dxa"/>
            <w:tcBorders>
              <w:top w:val="nil"/>
              <w:left w:val="nil"/>
              <w:bottom w:val="single" w:color="auto" w:sz="4" w:space="0"/>
              <w:right w:val="single" w:color="auto" w:sz="4" w:space="0"/>
            </w:tcBorders>
            <w:shd w:val="clear" w:color="auto" w:fill="auto"/>
            <w:noWrap/>
            <w:vAlign w:val="bottom"/>
          </w:tcPr>
          <w:p w:rsidRPr="005F055E" w:rsidR="008D2F23" w:rsidP="00180EEB" w:rsidRDefault="008D2F23" w14:paraId="3CBEFCAC" w14:textId="77777777">
            <w:pPr>
              <w:suppressAutoHyphens/>
              <w:spacing w:after="0"/>
              <w:rPr>
                <w:color w:val="000000"/>
                <w:sz w:val="20"/>
                <w:szCs w:val="20"/>
                <w:lang w:eastAsia="nl-NL"/>
              </w:rPr>
            </w:pPr>
          </w:p>
        </w:tc>
        <w:tc>
          <w:tcPr>
            <w:tcW w:w="1038" w:type="dxa"/>
            <w:tcBorders>
              <w:top w:val="nil"/>
              <w:left w:val="nil"/>
              <w:bottom w:val="single" w:color="auto" w:sz="4" w:space="0"/>
              <w:right w:val="single" w:color="auto" w:sz="4" w:space="0"/>
            </w:tcBorders>
            <w:shd w:val="clear" w:color="auto" w:fill="auto"/>
            <w:noWrap/>
            <w:vAlign w:val="bottom"/>
          </w:tcPr>
          <w:p w:rsidRPr="005F055E" w:rsidR="008D2F23" w:rsidP="00180EEB" w:rsidRDefault="008D2F23" w14:paraId="05F03894" w14:textId="77777777">
            <w:pPr>
              <w:suppressAutoHyphens/>
              <w:spacing w:after="0"/>
              <w:rPr>
                <w:color w:val="000000"/>
                <w:sz w:val="20"/>
                <w:szCs w:val="20"/>
                <w:lang w:eastAsia="nl-NL"/>
              </w:rPr>
            </w:pPr>
          </w:p>
        </w:tc>
      </w:tr>
      <w:tr w:rsidRPr="005F055E" w:rsidR="008D2F23" w:rsidTr="005E2643" w14:paraId="60CBE5CA" w14:textId="77777777">
        <w:trPr>
          <w:trHeight w:val="290"/>
        </w:trPr>
        <w:tc>
          <w:tcPr>
            <w:tcW w:w="4962" w:type="dxa"/>
            <w:tcBorders>
              <w:top w:val="nil"/>
              <w:left w:val="single" w:color="auto" w:sz="4" w:space="0"/>
              <w:bottom w:val="single" w:color="auto" w:sz="4" w:space="0"/>
              <w:right w:val="single" w:color="auto" w:sz="4" w:space="0"/>
            </w:tcBorders>
            <w:shd w:val="clear" w:color="auto" w:fill="auto"/>
            <w:noWrap/>
            <w:vAlign w:val="bottom"/>
            <w:hideMark/>
          </w:tcPr>
          <w:p w:rsidRPr="005F055E" w:rsidR="008D2F23" w:rsidP="00180EEB" w:rsidRDefault="008D2F23" w14:paraId="6F07B219" w14:textId="77777777">
            <w:pPr>
              <w:suppressAutoHyphens/>
              <w:spacing w:after="0"/>
              <w:rPr>
                <w:b/>
                <w:bCs/>
                <w:sz w:val="20"/>
                <w:szCs w:val="20"/>
                <w:lang w:eastAsia="nl-NL"/>
              </w:rPr>
            </w:pPr>
            <w:r w:rsidRPr="005F055E">
              <w:rPr>
                <w:b/>
                <w:bCs/>
                <w:sz w:val="20"/>
                <w:szCs w:val="20"/>
                <w:lang w:eastAsia="nl-NL"/>
              </w:rPr>
              <w:t>Verdeling remgeld over niet IZA-sectoren</w:t>
            </w:r>
          </w:p>
        </w:tc>
        <w:tc>
          <w:tcPr>
            <w:tcW w:w="845" w:type="dxa"/>
            <w:tcBorders>
              <w:top w:val="nil"/>
              <w:left w:val="nil"/>
              <w:bottom w:val="single" w:color="auto" w:sz="4" w:space="0"/>
              <w:right w:val="single" w:color="auto" w:sz="4" w:space="0"/>
            </w:tcBorders>
            <w:shd w:val="clear" w:color="auto" w:fill="auto"/>
            <w:noWrap/>
            <w:vAlign w:val="bottom"/>
          </w:tcPr>
          <w:p w:rsidRPr="005F055E" w:rsidR="008D2F23" w:rsidP="00180EEB" w:rsidRDefault="008D2F23" w14:paraId="15485F66" w14:textId="77777777">
            <w:pPr>
              <w:suppressAutoHyphens/>
              <w:spacing w:after="0"/>
              <w:rPr>
                <w:sz w:val="20"/>
                <w:szCs w:val="20"/>
                <w:lang w:eastAsia="nl-NL"/>
              </w:rPr>
            </w:pPr>
            <w:r w:rsidRPr="005F055E">
              <w:rPr>
                <w:color w:val="000000"/>
                <w:sz w:val="20"/>
                <w:szCs w:val="20"/>
                <w:lang w:eastAsia="nl-NL"/>
              </w:rPr>
              <w:t> </w:t>
            </w:r>
            <w:r w:rsidRPr="005F055E">
              <w:rPr>
                <w:b/>
                <w:bCs/>
                <w:color w:val="000000"/>
                <w:sz w:val="20"/>
                <w:szCs w:val="20"/>
                <w:lang w:eastAsia="nl-NL"/>
              </w:rPr>
              <w:t>2027</w:t>
            </w:r>
          </w:p>
        </w:tc>
        <w:tc>
          <w:tcPr>
            <w:tcW w:w="1038" w:type="dxa"/>
            <w:tcBorders>
              <w:top w:val="nil"/>
              <w:left w:val="nil"/>
              <w:bottom w:val="single" w:color="auto" w:sz="4" w:space="0"/>
              <w:right w:val="single" w:color="auto" w:sz="4" w:space="0"/>
            </w:tcBorders>
            <w:shd w:val="clear" w:color="auto" w:fill="auto"/>
            <w:noWrap/>
            <w:vAlign w:val="bottom"/>
          </w:tcPr>
          <w:p w:rsidRPr="005F055E" w:rsidR="008D2F23" w:rsidP="00180EEB" w:rsidRDefault="008D2F23" w14:paraId="14807857" w14:textId="77777777">
            <w:pPr>
              <w:suppressAutoHyphens/>
              <w:spacing w:after="0"/>
              <w:rPr>
                <w:sz w:val="20"/>
                <w:szCs w:val="20"/>
                <w:lang w:eastAsia="nl-NL"/>
              </w:rPr>
            </w:pPr>
            <w:r w:rsidRPr="005F055E">
              <w:rPr>
                <w:b/>
                <w:bCs/>
                <w:color w:val="000000"/>
                <w:sz w:val="20"/>
                <w:szCs w:val="20"/>
                <w:lang w:eastAsia="nl-NL"/>
              </w:rPr>
              <w:t>2028</w:t>
            </w:r>
          </w:p>
        </w:tc>
        <w:tc>
          <w:tcPr>
            <w:tcW w:w="1038" w:type="dxa"/>
            <w:tcBorders>
              <w:top w:val="nil"/>
              <w:left w:val="nil"/>
              <w:bottom w:val="single" w:color="auto" w:sz="4" w:space="0"/>
              <w:right w:val="single" w:color="auto" w:sz="4" w:space="0"/>
            </w:tcBorders>
            <w:shd w:val="clear" w:color="auto" w:fill="auto"/>
            <w:noWrap/>
            <w:vAlign w:val="bottom"/>
          </w:tcPr>
          <w:p w:rsidRPr="005F055E" w:rsidR="008D2F23" w:rsidP="00180EEB" w:rsidRDefault="008D2F23" w14:paraId="1F95627F" w14:textId="77777777">
            <w:pPr>
              <w:suppressAutoHyphens/>
              <w:spacing w:after="0"/>
              <w:rPr>
                <w:sz w:val="20"/>
                <w:szCs w:val="20"/>
                <w:lang w:eastAsia="nl-NL"/>
              </w:rPr>
            </w:pPr>
            <w:r w:rsidRPr="005F055E">
              <w:rPr>
                <w:b/>
                <w:bCs/>
                <w:color w:val="000000"/>
                <w:sz w:val="20"/>
                <w:szCs w:val="20"/>
                <w:lang w:eastAsia="nl-NL"/>
              </w:rPr>
              <w:t>2029</w:t>
            </w:r>
          </w:p>
        </w:tc>
        <w:tc>
          <w:tcPr>
            <w:tcW w:w="1038" w:type="dxa"/>
            <w:tcBorders>
              <w:top w:val="nil"/>
              <w:left w:val="nil"/>
              <w:bottom w:val="single" w:color="auto" w:sz="4" w:space="0"/>
              <w:right w:val="single" w:color="auto" w:sz="4" w:space="0"/>
            </w:tcBorders>
            <w:shd w:val="clear" w:color="auto" w:fill="auto"/>
            <w:noWrap/>
            <w:vAlign w:val="bottom"/>
          </w:tcPr>
          <w:p w:rsidRPr="005F055E" w:rsidR="008D2F23" w:rsidP="00180EEB" w:rsidRDefault="008D2F23" w14:paraId="40F06127" w14:textId="77777777">
            <w:pPr>
              <w:suppressAutoHyphens/>
              <w:spacing w:after="0"/>
              <w:rPr>
                <w:sz w:val="20"/>
                <w:szCs w:val="20"/>
                <w:lang w:eastAsia="nl-NL"/>
              </w:rPr>
            </w:pPr>
            <w:r w:rsidRPr="005F055E">
              <w:rPr>
                <w:b/>
                <w:bCs/>
                <w:color w:val="000000"/>
                <w:sz w:val="20"/>
                <w:szCs w:val="20"/>
                <w:lang w:eastAsia="nl-NL"/>
              </w:rPr>
              <w:t>2030</w:t>
            </w:r>
          </w:p>
        </w:tc>
      </w:tr>
      <w:tr w:rsidRPr="005F055E" w:rsidR="008D2F23" w:rsidTr="005E2643" w14:paraId="7300AC71" w14:textId="77777777">
        <w:trPr>
          <w:trHeight w:val="290"/>
        </w:trPr>
        <w:tc>
          <w:tcPr>
            <w:tcW w:w="4962" w:type="dxa"/>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093B614F" w14:textId="77777777">
            <w:pPr>
              <w:suppressAutoHyphens/>
              <w:spacing w:after="0"/>
              <w:rPr>
                <w:color w:val="000000"/>
                <w:sz w:val="20"/>
                <w:szCs w:val="20"/>
                <w:lang w:eastAsia="nl-NL"/>
              </w:rPr>
            </w:pPr>
            <w:r w:rsidRPr="005F055E">
              <w:rPr>
                <w:color w:val="000000"/>
                <w:sz w:val="20"/>
                <w:szCs w:val="20"/>
                <w:lang w:eastAsia="nl-NL"/>
              </w:rPr>
              <w:t xml:space="preserve">Tandheelkundige zorg </w:t>
            </w:r>
            <w:proofErr w:type="spellStart"/>
            <w:r w:rsidRPr="005F055E">
              <w:rPr>
                <w:color w:val="000000"/>
                <w:sz w:val="20"/>
                <w:szCs w:val="20"/>
                <w:lang w:eastAsia="nl-NL"/>
              </w:rPr>
              <w:t>Zvw</w:t>
            </w:r>
            <w:proofErr w:type="spellEnd"/>
          </w:p>
        </w:tc>
        <w:tc>
          <w:tcPr>
            <w:tcW w:w="845"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4610CEE4" w14:textId="77777777">
            <w:pPr>
              <w:suppressAutoHyphens/>
              <w:spacing w:after="0"/>
              <w:rPr>
                <w:color w:val="000000"/>
                <w:sz w:val="20"/>
                <w:szCs w:val="20"/>
                <w:lang w:eastAsia="nl-NL"/>
              </w:rPr>
            </w:pPr>
            <w:r w:rsidRPr="005F055E">
              <w:rPr>
                <w:color w:val="000000"/>
                <w:sz w:val="20"/>
                <w:szCs w:val="20"/>
                <w:lang w:eastAsia="nl-NL"/>
              </w:rPr>
              <w:t>26</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0DDDEDB4" w14:textId="77777777">
            <w:pPr>
              <w:suppressAutoHyphens/>
              <w:spacing w:after="0"/>
              <w:rPr>
                <w:color w:val="000000"/>
                <w:sz w:val="20"/>
                <w:szCs w:val="20"/>
                <w:lang w:eastAsia="nl-NL"/>
              </w:rPr>
            </w:pPr>
            <w:r w:rsidRPr="005F055E">
              <w:rPr>
                <w:color w:val="000000"/>
                <w:sz w:val="20"/>
                <w:szCs w:val="20"/>
                <w:lang w:eastAsia="nl-NL"/>
              </w:rPr>
              <w:t>29</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15F4C2F2" w14:textId="77777777">
            <w:pPr>
              <w:suppressAutoHyphens/>
              <w:spacing w:after="0"/>
              <w:rPr>
                <w:color w:val="000000"/>
                <w:sz w:val="20"/>
                <w:szCs w:val="20"/>
                <w:lang w:eastAsia="nl-NL"/>
              </w:rPr>
            </w:pPr>
            <w:r w:rsidRPr="005F055E">
              <w:rPr>
                <w:color w:val="000000"/>
                <w:sz w:val="20"/>
                <w:szCs w:val="20"/>
                <w:lang w:eastAsia="nl-NL"/>
              </w:rPr>
              <w:t>29</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69E78C5D" w14:textId="77777777">
            <w:pPr>
              <w:suppressAutoHyphens/>
              <w:spacing w:after="0"/>
              <w:rPr>
                <w:color w:val="000000"/>
                <w:sz w:val="20"/>
                <w:szCs w:val="20"/>
                <w:lang w:eastAsia="nl-NL"/>
              </w:rPr>
            </w:pPr>
            <w:r w:rsidRPr="005F055E">
              <w:rPr>
                <w:color w:val="000000"/>
                <w:sz w:val="20"/>
                <w:szCs w:val="20"/>
                <w:lang w:eastAsia="nl-NL"/>
              </w:rPr>
              <w:t>29</w:t>
            </w:r>
          </w:p>
        </w:tc>
      </w:tr>
      <w:tr w:rsidRPr="005F055E" w:rsidR="008D2F23" w:rsidTr="005E2643" w14:paraId="459A76B6" w14:textId="77777777">
        <w:trPr>
          <w:trHeight w:val="290"/>
        </w:trPr>
        <w:tc>
          <w:tcPr>
            <w:tcW w:w="4962" w:type="dxa"/>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7BE45106" w14:textId="77777777">
            <w:pPr>
              <w:suppressAutoHyphens/>
              <w:spacing w:after="0"/>
              <w:rPr>
                <w:color w:val="000000"/>
                <w:sz w:val="20"/>
                <w:szCs w:val="20"/>
                <w:lang w:eastAsia="nl-NL"/>
              </w:rPr>
            </w:pPr>
            <w:r w:rsidRPr="005F055E">
              <w:rPr>
                <w:color w:val="000000"/>
                <w:sz w:val="20"/>
                <w:szCs w:val="20"/>
                <w:lang w:eastAsia="nl-NL"/>
              </w:rPr>
              <w:t>Zorg voor zintuiglijk gehandicapten</w:t>
            </w:r>
          </w:p>
        </w:tc>
        <w:tc>
          <w:tcPr>
            <w:tcW w:w="845"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01055BA1" w14:textId="77777777">
            <w:pPr>
              <w:suppressAutoHyphens/>
              <w:spacing w:after="0"/>
              <w:rPr>
                <w:color w:val="000000"/>
                <w:sz w:val="20"/>
                <w:szCs w:val="20"/>
                <w:lang w:eastAsia="nl-NL"/>
              </w:rPr>
            </w:pPr>
            <w:r w:rsidRPr="005F055E">
              <w:rPr>
                <w:color w:val="000000"/>
                <w:sz w:val="20"/>
                <w:szCs w:val="20"/>
                <w:lang w:eastAsia="nl-NL"/>
              </w:rPr>
              <w:t>6</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4598DA1F" w14:textId="77777777">
            <w:pPr>
              <w:suppressAutoHyphens/>
              <w:spacing w:after="0"/>
              <w:rPr>
                <w:color w:val="000000"/>
                <w:sz w:val="20"/>
                <w:szCs w:val="20"/>
                <w:lang w:eastAsia="nl-NL"/>
              </w:rPr>
            </w:pPr>
            <w:r w:rsidRPr="005F055E">
              <w:rPr>
                <w:color w:val="000000"/>
                <w:sz w:val="20"/>
                <w:szCs w:val="20"/>
                <w:lang w:eastAsia="nl-NL"/>
              </w:rPr>
              <w:t>7</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13F4BEAB" w14:textId="77777777">
            <w:pPr>
              <w:suppressAutoHyphens/>
              <w:spacing w:after="0"/>
              <w:rPr>
                <w:color w:val="000000"/>
                <w:sz w:val="20"/>
                <w:szCs w:val="20"/>
                <w:lang w:eastAsia="nl-NL"/>
              </w:rPr>
            </w:pPr>
            <w:r w:rsidRPr="005F055E">
              <w:rPr>
                <w:color w:val="000000"/>
                <w:sz w:val="20"/>
                <w:szCs w:val="20"/>
                <w:lang w:eastAsia="nl-NL"/>
              </w:rPr>
              <w:t>7</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F43582D" w14:textId="77777777">
            <w:pPr>
              <w:suppressAutoHyphens/>
              <w:spacing w:after="0"/>
              <w:rPr>
                <w:color w:val="000000"/>
                <w:sz w:val="20"/>
                <w:szCs w:val="20"/>
                <w:lang w:eastAsia="nl-NL"/>
              </w:rPr>
            </w:pPr>
            <w:r w:rsidRPr="005F055E">
              <w:rPr>
                <w:color w:val="000000"/>
                <w:sz w:val="20"/>
                <w:szCs w:val="20"/>
                <w:lang w:eastAsia="nl-NL"/>
              </w:rPr>
              <w:t>7</w:t>
            </w:r>
          </w:p>
        </w:tc>
      </w:tr>
      <w:tr w:rsidRPr="005F055E" w:rsidR="008D2F23" w:rsidTr="005E2643" w14:paraId="3E72E891" w14:textId="77777777">
        <w:trPr>
          <w:trHeight w:val="290"/>
        </w:trPr>
        <w:tc>
          <w:tcPr>
            <w:tcW w:w="4962" w:type="dxa"/>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51C8FF14" w14:textId="77777777">
            <w:pPr>
              <w:suppressAutoHyphens/>
              <w:spacing w:after="0"/>
              <w:rPr>
                <w:color w:val="000000"/>
                <w:sz w:val="20"/>
                <w:szCs w:val="20"/>
                <w:lang w:eastAsia="nl-NL"/>
              </w:rPr>
            </w:pPr>
            <w:r w:rsidRPr="005F055E">
              <w:rPr>
                <w:color w:val="000000"/>
                <w:sz w:val="20"/>
                <w:szCs w:val="20"/>
                <w:lang w:eastAsia="nl-NL"/>
              </w:rPr>
              <w:t>Paramedische zorg</w:t>
            </w:r>
          </w:p>
        </w:tc>
        <w:tc>
          <w:tcPr>
            <w:tcW w:w="845"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6EE8FBD" w14:textId="77777777">
            <w:pPr>
              <w:suppressAutoHyphens/>
              <w:spacing w:after="0"/>
              <w:rPr>
                <w:color w:val="000000"/>
                <w:sz w:val="20"/>
                <w:szCs w:val="20"/>
                <w:lang w:eastAsia="nl-NL"/>
              </w:rPr>
            </w:pPr>
            <w:r w:rsidRPr="005F055E">
              <w:rPr>
                <w:color w:val="000000"/>
                <w:sz w:val="20"/>
                <w:szCs w:val="20"/>
                <w:lang w:eastAsia="nl-NL"/>
              </w:rPr>
              <w:t>29</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90D0799" w14:textId="77777777">
            <w:pPr>
              <w:suppressAutoHyphens/>
              <w:spacing w:after="0"/>
              <w:rPr>
                <w:color w:val="000000"/>
                <w:sz w:val="20"/>
                <w:szCs w:val="20"/>
                <w:lang w:eastAsia="nl-NL"/>
              </w:rPr>
            </w:pPr>
            <w:r w:rsidRPr="005F055E">
              <w:rPr>
                <w:color w:val="000000"/>
                <w:sz w:val="20"/>
                <w:szCs w:val="20"/>
                <w:lang w:eastAsia="nl-NL"/>
              </w:rPr>
              <w:t>33</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73E94C6D" w14:textId="77777777">
            <w:pPr>
              <w:suppressAutoHyphens/>
              <w:spacing w:after="0"/>
              <w:rPr>
                <w:color w:val="000000"/>
                <w:sz w:val="20"/>
                <w:szCs w:val="20"/>
                <w:lang w:eastAsia="nl-NL"/>
              </w:rPr>
            </w:pPr>
            <w:r w:rsidRPr="005F055E">
              <w:rPr>
                <w:color w:val="000000"/>
                <w:sz w:val="20"/>
                <w:szCs w:val="20"/>
                <w:lang w:eastAsia="nl-NL"/>
              </w:rPr>
              <w:t>33</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5825D540" w14:textId="77777777">
            <w:pPr>
              <w:suppressAutoHyphens/>
              <w:spacing w:after="0"/>
              <w:rPr>
                <w:color w:val="000000"/>
                <w:sz w:val="20"/>
                <w:szCs w:val="20"/>
                <w:lang w:eastAsia="nl-NL"/>
              </w:rPr>
            </w:pPr>
            <w:r w:rsidRPr="005F055E">
              <w:rPr>
                <w:color w:val="000000"/>
                <w:sz w:val="20"/>
                <w:szCs w:val="20"/>
                <w:lang w:eastAsia="nl-NL"/>
              </w:rPr>
              <w:t>33</w:t>
            </w:r>
          </w:p>
        </w:tc>
      </w:tr>
      <w:tr w:rsidRPr="005F055E" w:rsidR="008D2F23" w:rsidTr="005E2643" w14:paraId="46006AD4" w14:textId="77777777">
        <w:trPr>
          <w:trHeight w:val="290"/>
        </w:trPr>
        <w:tc>
          <w:tcPr>
            <w:tcW w:w="4962" w:type="dxa"/>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5950E73A" w14:textId="77777777">
            <w:pPr>
              <w:suppressAutoHyphens/>
              <w:spacing w:after="0"/>
              <w:rPr>
                <w:color w:val="000000"/>
                <w:sz w:val="20"/>
                <w:szCs w:val="20"/>
                <w:lang w:eastAsia="nl-NL"/>
              </w:rPr>
            </w:pPr>
            <w:r w:rsidRPr="005F055E">
              <w:rPr>
                <w:color w:val="000000"/>
                <w:sz w:val="20"/>
                <w:szCs w:val="20"/>
                <w:lang w:eastAsia="nl-NL"/>
              </w:rPr>
              <w:t xml:space="preserve">Overig curatieve zorg </w:t>
            </w:r>
            <w:proofErr w:type="spellStart"/>
            <w:r w:rsidRPr="005F055E">
              <w:rPr>
                <w:color w:val="000000"/>
                <w:sz w:val="20"/>
                <w:szCs w:val="20"/>
                <w:lang w:eastAsia="nl-NL"/>
              </w:rPr>
              <w:t>Zvw</w:t>
            </w:r>
            <w:proofErr w:type="spellEnd"/>
          </w:p>
        </w:tc>
        <w:tc>
          <w:tcPr>
            <w:tcW w:w="845"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0FC39322" w14:textId="77777777">
            <w:pPr>
              <w:suppressAutoHyphens/>
              <w:spacing w:after="0"/>
              <w:rPr>
                <w:color w:val="000000"/>
                <w:sz w:val="20"/>
                <w:szCs w:val="20"/>
                <w:lang w:eastAsia="nl-NL"/>
              </w:rPr>
            </w:pPr>
            <w:r w:rsidRPr="005F055E">
              <w:rPr>
                <w:color w:val="000000"/>
                <w:sz w:val="20"/>
                <w:szCs w:val="20"/>
                <w:lang w:eastAsia="nl-NL"/>
              </w:rPr>
              <w:t>21</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5CF04AE1" w14:textId="77777777">
            <w:pPr>
              <w:suppressAutoHyphens/>
              <w:spacing w:after="0"/>
              <w:rPr>
                <w:color w:val="000000"/>
                <w:sz w:val="20"/>
                <w:szCs w:val="20"/>
                <w:lang w:eastAsia="nl-NL"/>
              </w:rPr>
            </w:pPr>
            <w:r w:rsidRPr="005F055E">
              <w:rPr>
                <w:color w:val="000000"/>
                <w:sz w:val="20"/>
                <w:szCs w:val="20"/>
                <w:lang w:eastAsia="nl-NL"/>
              </w:rPr>
              <w:t>24</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0975772D" w14:textId="77777777">
            <w:pPr>
              <w:suppressAutoHyphens/>
              <w:spacing w:after="0"/>
              <w:rPr>
                <w:color w:val="000000"/>
                <w:sz w:val="20"/>
                <w:szCs w:val="20"/>
                <w:lang w:eastAsia="nl-NL"/>
              </w:rPr>
            </w:pPr>
            <w:r w:rsidRPr="005F055E">
              <w:rPr>
                <w:color w:val="000000"/>
                <w:sz w:val="20"/>
                <w:szCs w:val="20"/>
                <w:lang w:eastAsia="nl-NL"/>
              </w:rPr>
              <w:t>24</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7A69C03A" w14:textId="77777777">
            <w:pPr>
              <w:suppressAutoHyphens/>
              <w:spacing w:after="0"/>
              <w:rPr>
                <w:color w:val="000000"/>
                <w:sz w:val="20"/>
                <w:szCs w:val="20"/>
                <w:lang w:eastAsia="nl-NL"/>
              </w:rPr>
            </w:pPr>
            <w:r w:rsidRPr="005F055E">
              <w:rPr>
                <w:color w:val="000000"/>
                <w:sz w:val="20"/>
                <w:szCs w:val="20"/>
                <w:lang w:eastAsia="nl-NL"/>
              </w:rPr>
              <w:t>24</w:t>
            </w:r>
          </w:p>
        </w:tc>
      </w:tr>
      <w:tr w:rsidRPr="005F055E" w:rsidR="008D2F23" w:rsidTr="005E2643" w14:paraId="5CF91798" w14:textId="77777777">
        <w:trPr>
          <w:trHeight w:val="290"/>
        </w:trPr>
        <w:tc>
          <w:tcPr>
            <w:tcW w:w="4962" w:type="dxa"/>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190F274D" w14:textId="77777777">
            <w:pPr>
              <w:suppressAutoHyphens/>
              <w:spacing w:after="0"/>
              <w:rPr>
                <w:color w:val="000000"/>
                <w:sz w:val="20"/>
                <w:szCs w:val="20"/>
                <w:lang w:eastAsia="nl-NL"/>
              </w:rPr>
            </w:pPr>
            <w:r w:rsidRPr="005F055E">
              <w:rPr>
                <w:color w:val="000000"/>
                <w:sz w:val="20"/>
                <w:szCs w:val="20"/>
                <w:lang w:eastAsia="nl-NL"/>
              </w:rPr>
              <w:t>Ambulancezorg</w:t>
            </w:r>
          </w:p>
        </w:tc>
        <w:tc>
          <w:tcPr>
            <w:tcW w:w="845"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7563781B" w14:textId="77777777">
            <w:pPr>
              <w:suppressAutoHyphens/>
              <w:spacing w:after="0"/>
              <w:rPr>
                <w:color w:val="000000"/>
                <w:sz w:val="20"/>
                <w:szCs w:val="20"/>
                <w:lang w:eastAsia="nl-NL"/>
              </w:rPr>
            </w:pPr>
            <w:r w:rsidRPr="005F055E">
              <w:rPr>
                <w:color w:val="000000"/>
                <w:sz w:val="20"/>
                <w:szCs w:val="20"/>
                <w:lang w:eastAsia="nl-NL"/>
              </w:rPr>
              <w:t>25</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04039A6D" w14:textId="77777777">
            <w:pPr>
              <w:suppressAutoHyphens/>
              <w:spacing w:after="0"/>
              <w:rPr>
                <w:color w:val="000000"/>
                <w:sz w:val="20"/>
                <w:szCs w:val="20"/>
                <w:lang w:eastAsia="nl-NL"/>
              </w:rPr>
            </w:pPr>
            <w:r w:rsidRPr="005F055E">
              <w:rPr>
                <w:color w:val="000000"/>
                <w:sz w:val="20"/>
                <w:szCs w:val="20"/>
                <w:lang w:eastAsia="nl-NL"/>
              </w:rPr>
              <w:t>28</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1947E965" w14:textId="77777777">
            <w:pPr>
              <w:suppressAutoHyphens/>
              <w:spacing w:after="0"/>
              <w:rPr>
                <w:color w:val="000000"/>
                <w:sz w:val="20"/>
                <w:szCs w:val="20"/>
                <w:lang w:eastAsia="nl-NL"/>
              </w:rPr>
            </w:pPr>
            <w:r w:rsidRPr="005F055E">
              <w:rPr>
                <w:color w:val="000000"/>
                <w:sz w:val="20"/>
                <w:szCs w:val="20"/>
                <w:lang w:eastAsia="nl-NL"/>
              </w:rPr>
              <w:t>28</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76D17818" w14:textId="77777777">
            <w:pPr>
              <w:suppressAutoHyphens/>
              <w:spacing w:after="0"/>
              <w:rPr>
                <w:color w:val="000000"/>
                <w:sz w:val="20"/>
                <w:szCs w:val="20"/>
                <w:lang w:eastAsia="nl-NL"/>
              </w:rPr>
            </w:pPr>
            <w:r w:rsidRPr="005F055E">
              <w:rPr>
                <w:color w:val="000000"/>
                <w:sz w:val="20"/>
                <w:szCs w:val="20"/>
                <w:lang w:eastAsia="nl-NL"/>
              </w:rPr>
              <w:t>28</w:t>
            </w:r>
          </w:p>
        </w:tc>
      </w:tr>
      <w:tr w:rsidRPr="005F055E" w:rsidR="008D2F23" w:rsidTr="005E2643" w14:paraId="79851DFD" w14:textId="77777777">
        <w:trPr>
          <w:trHeight w:val="290"/>
        </w:trPr>
        <w:tc>
          <w:tcPr>
            <w:tcW w:w="4962" w:type="dxa"/>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5B0B0B31" w14:textId="77777777">
            <w:pPr>
              <w:suppressAutoHyphens/>
              <w:spacing w:after="0"/>
              <w:rPr>
                <w:color w:val="000000"/>
                <w:sz w:val="20"/>
                <w:szCs w:val="20"/>
                <w:lang w:eastAsia="nl-NL"/>
              </w:rPr>
            </w:pPr>
            <w:r w:rsidRPr="005F055E">
              <w:rPr>
                <w:color w:val="000000"/>
                <w:sz w:val="20"/>
                <w:szCs w:val="20"/>
                <w:lang w:eastAsia="nl-NL"/>
              </w:rPr>
              <w:t>Overig ziekenvervoer</w:t>
            </w:r>
          </w:p>
        </w:tc>
        <w:tc>
          <w:tcPr>
            <w:tcW w:w="845"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51B942FF" w14:textId="77777777">
            <w:pPr>
              <w:suppressAutoHyphens/>
              <w:spacing w:after="0"/>
              <w:rPr>
                <w:color w:val="000000"/>
                <w:sz w:val="20"/>
                <w:szCs w:val="20"/>
                <w:lang w:eastAsia="nl-NL"/>
              </w:rPr>
            </w:pPr>
            <w:r w:rsidRPr="005F055E">
              <w:rPr>
                <w:color w:val="000000"/>
                <w:sz w:val="20"/>
                <w:szCs w:val="20"/>
                <w:lang w:eastAsia="nl-NL"/>
              </w:rPr>
              <w:t>3</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4B4C1591" w14:textId="77777777">
            <w:pPr>
              <w:suppressAutoHyphens/>
              <w:spacing w:after="0"/>
              <w:rPr>
                <w:color w:val="000000"/>
                <w:sz w:val="20"/>
                <w:szCs w:val="20"/>
                <w:lang w:eastAsia="nl-NL"/>
              </w:rPr>
            </w:pPr>
            <w:r w:rsidRPr="005F055E">
              <w:rPr>
                <w:color w:val="000000"/>
                <w:sz w:val="20"/>
                <w:szCs w:val="20"/>
                <w:lang w:eastAsia="nl-NL"/>
              </w:rPr>
              <w:t>4</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40E428DA" w14:textId="77777777">
            <w:pPr>
              <w:suppressAutoHyphens/>
              <w:spacing w:after="0"/>
              <w:rPr>
                <w:color w:val="000000"/>
                <w:sz w:val="20"/>
                <w:szCs w:val="20"/>
                <w:lang w:eastAsia="nl-NL"/>
              </w:rPr>
            </w:pPr>
            <w:r w:rsidRPr="005F055E">
              <w:rPr>
                <w:color w:val="000000"/>
                <w:sz w:val="20"/>
                <w:szCs w:val="20"/>
                <w:lang w:eastAsia="nl-NL"/>
              </w:rPr>
              <w:t>4</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0C00107C" w14:textId="77777777">
            <w:pPr>
              <w:suppressAutoHyphens/>
              <w:spacing w:after="0"/>
              <w:rPr>
                <w:color w:val="000000"/>
                <w:sz w:val="20"/>
                <w:szCs w:val="20"/>
                <w:lang w:eastAsia="nl-NL"/>
              </w:rPr>
            </w:pPr>
            <w:r w:rsidRPr="005F055E">
              <w:rPr>
                <w:color w:val="000000"/>
                <w:sz w:val="20"/>
                <w:szCs w:val="20"/>
                <w:lang w:eastAsia="nl-NL"/>
              </w:rPr>
              <w:t>4</w:t>
            </w:r>
          </w:p>
        </w:tc>
      </w:tr>
      <w:tr w:rsidRPr="005F055E" w:rsidR="008D2F23" w:rsidTr="005E2643" w14:paraId="1159EC6A" w14:textId="77777777">
        <w:trPr>
          <w:trHeight w:val="290"/>
        </w:trPr>
        <w:tc>
          <w:tcPr>
            <w:tcW w:w="4962" w:type="dxa"/>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02DC74EA" w14:textId="77777777">
            <w:pPr>
              <w:suppressAutoHyphens/>
              <w:spacing w:after="0"/>
              <w:rPr>
                <w:color w:val="000000"/>
                <w:sz w:val="20"/>
                <w:szCs w:val="20"/>
                <w:lang w:eastAsia="nl-NL"/>
              </w:rPr>
            </w:pPr>
            <w:r w:rsidRPr="005F055E">
              <w:rPr>
                <w:color w:val="000000"/>
                <w:sz w:val="20"/>
                <w:szCs w:val="20"/>
                <w:lang w:eastAsia="nl-NL"/>
              </w:rPr>
              <w:t>Apotheekzorg</w:t>
            </w:r>
          </w:p>
        </w:tc>
        <w:tc>
          <w:tcPr>
            <w:tcW w:w="845"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5E7DEE2D" w14:textId="77777777">
            <w:pPr>
              <w:suppressAutoHyphens/>
              <w:spacing w:after="0"/>
              <w:rPr>
                <w:color w:val="000000"/>
                <w:sz w:val="20"/>
                <w:szCs w:val="20"/>
                <w:lang w:eastAsia="nl-NL"/>
              </w:rPr>
            </w:pPr>
            <w:r w:rsidRPr="005F055E">
              <w:rPr>
                <w:color w:val="000000"/>
                <w:sz w:val="20"/>
                <w:szCs w:val="20"/>
                <w:lang w:eastAsia="nl-NL"/>
              </w:rPr>
              <w:t>152</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02724E5" w14:textId="77777777">
            <w:pPr>
              <w:suppressAutoHyphens/>
              <w:spacing w:after="0"/>
              <w:rPr>
                <w:color w:val="000000"/>
                <w:sz w:val="20"/>
                <w:szCs w:val="20"/>
                <w:lang w:eastAsia="nl-NL"/>
              </w:rPr>
            </w:pPr>
            <w:r w:rsidRPr="005F055E">
              <w:rPr>
                <w:color w:val="000000"/>
                <w:sz w:val="20"/>
                <w:szCs w:val="20"/>
                <w:lang w:eastAsia="nl-NL"/>
              </w:rPr>
              <w:t>172</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18BF28EE" w14:textId="77777777">
            <w:pPr>
              <w:suppressAutoHyphens/>
              <w:spacing w:after="0"/>
              <w:rPr>
                <w:color w:val="000000"/>
                <w:sz w:val="20"/>
                <w:szCs w:val="20"/>
                <w:lang w:eastAsia="nl-NL"/>
              </w:rPr>
            </w:pPr>
            <w:r w:rsidRPr="005F055E">
              <w:rPr>
                <w:color w:val="000000"/>
                <w:sz w:val="20"/>
                <w:szCs w:val="20"/>
                <w:lang w:eastAsia="nl-NL"/>
              </w:rPr>
              <w:t>172</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7891EDBA" w14:textId="77777777">
            <w:pPr>
              <w:suppressAutoHyphens/>
              <w:spacing w:after="0"/>
              <w:rPr>
                <w:color w:val="000000"/>
                <w:sz w:val="20"/>
                <w:szCs w:val="20"/>
                <w:lang w:eastAsia="nl-NL"/>
              </w:rPr>
            </w:pPr>
            <w:r w:rsidRPr="005F055E">
              <w:rPr>
                <w:color w:val="000000"/>
                <w:sz w:val="20"/>
                <w:szCs w:val="20"/>
                <w:lang w:eastAsia="nl-NL"/>
              </w:rPr>
              <w:t>172</w:t>
            </w:r>
          </w:p>
        </w:tc>
      </w:tr>
      <w:tr w:rsidRPr="005F055E" w:rsidR="008D2F23" w:rsidTr="005E2643" w14:paraId="3B07DFE9" w14:textId="77777777">
        <w:trPr>
          <w:trHeight w:val="290"/>
        </w:trPr>
        <w:tc>
          <w:tcPr>
            <w:tcW w:w="4962" w:type="dxa"/>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41CF4B17" w14:textId="77777777">
            <w:pPr>
              <w:suppressAutoHyphens/>
              <w:spacing w:after="0"/>
              <w:rPr>
                <w:color w:val="000000"/>
                <w:sz w:val="20"/>
                <w:szCs w:val="20"/>
                <w:lang w:eastAsia="nl-NL"/>
              </w:rPr>
            </w:pPr>
            <w:r w:rsidRPr="005F055E">
              <w:rPr>
                <w:color w:val="000000"/>
                <w:sz w:val="20"/>
                <w:szCs w:val="20"/>
                <w:lang w:eastAsia="nl-NL"/>
              </w:rPr>
              <w:t>Hulpmiddelen</w:t>
            </w:r>
          </w:p>
        </w:tc>
        <w:tc>
          <w:tcPr>
            <w:tcW w:w="845"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48808E1E" w14:textId="77777777">
            <w:pPr>
              <w:suppressAutoHyphens/>
              <w:spacing w:after="0"/>
              <w:rPr>
                <w:color w:val="000000"/>
                <w:sz w:val="20"/>
                <w:szCs w:val="20"/>
                <w:lang w:eastAsia="nl-NL"/>
              </w:rPr>
            </w:pPr>
            <w:r w:rsidRPr="005F055E">
              <w:rPr>
                <w:color w:val="000000"/>
                <w:sz w:val="20"/>
                <w:szCs w:val="20"/>
                <w:lang w:eastAsia="nl-NL"/>
              </w:rPr>
              <w:t>53</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06D8E9CC" w14:textId="77777777">
            <w:pPr>
              <w:suppressAutoHyphens/>
              <w:spacing w:after="0"/>
              <w:rPr>
                <w:color w:val="000000"/>
                <w:sz w:val="20"/>
                <w:szCs w:val="20"/>
                <w:lang w:eastAsia="nl-NL"/>
              </w:rPr>
            </w:pPr>
            <w:r w:rsidRPr="005F055E">
              <w:rPr>
                <w:color w:val="000000"/>
                <w:sz w:val="20"/>
                <w:szCs w:val="20"/>
                <w:lang w:eastAsia="nl-NL"/>
              </w:rPr>
              <w:t>60</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4A8DE2DE" w14:textId="77777777">
            <w:pPr>
              <w:suppressAutoHyphens/>
              <w:spacing w:after="0"/>
              <w:rPr>
                <w:color w:val="000000"/>
                <w:sz w:val="20"/>
                <w:szCs w:val="20"/>
                <w:lang w:eastAsia="nl-NL"/>
              </w:rPr>
            </w:pPr>
            <w:r w:rsidRPr="005F055E">
              <w:rPr>
                <w:color w:val="000000"/>
                <w:sz w:val="20"/>
                <w:szCs w:val="20"/>
                <w:lang w:eastAsia="nl-NL"/>
              </w:rPr>
              <w:t>60</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40453B7C" w14:textId="77777777">
            <w:pPr>
              <w:suppressAutoHyphens/>
              <w:spacing w:after="0"/>
              <w:rPr>
                <w:color w:val="000000"/>
                <w:sz w:val="20"/>
                <w:szCs w:val="20"/>
                <w:lang w:eastAsia="nl-NL"/>
              </w:rPr>
            </w:pPr>
            <w:r w:rsidRPr="005F055E">
              <w:rPr>
                <w:color w:val="000000"/>
                <w:sz w:val="20"/>
                <w:szCs w:val="20"/>
                <w:lang w:eastAsia="nl-NL"/>
              </w:rPr>
              <w:t>60</w:t>
            </w:r>
          </w:p>
        </w:tc>
      </w:tr>
      <w:tr w:rsidRPr="005F055E" w:rsidR="008D2F23" w:rsidTr="005E2643" w14:paraId="79FF7E95" w14:textId="77777777">
        <w:trPr>
          <w:trHeight w:val="290"/>
        </w:trPr>
        <w:tc>
          <w:tcPr>
            <w:tcW w:w="4962" w:type="dxa"/>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3825BBA5" w14:textId="77777777">
            <w:pPr>
              <w:suppressAutoHyphens/>
              <w:spacing w:after="0"/>
              <w:rPr>
                <w:color w:val="000000"/>
                <w:sz w:val="20"/>
                <w:szCs w:val="20"/>
                <w:lang w:eastAsia="nl-NL"/>
              </w:rPr>
            </w:pPr>
            <w:r w:rsidRPr="005F055E">
              <w:rPr>
                <w:color w:val="000000"/>
                <w:sz w:val="20"/>
                <w:szCs w:val="20"/>
                <w:lang w:eastAsia="nl-NL"/>
              </w:rPr>
              <w:t>Grensoverschrijdende zorg (in MPB)</w:t>
            </w:r>
          </w:p>
        </w:tc>
        <w:tc>
          <w:tcPr>
            <w:tcW w:w="845"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1A9C8628" w14:textId="77777777">
            <w:pPr>
              <w:suppressAutoHyphens/>
              <w:spacing w:after="0"/>
              <w:rPr>
                <w:color w:val="000000"/>
                <w:sz w:val="20"/>
                <w:szCs w:val="20"/>
                <w:lang w:eastAsia="nl-NL"/>
              </w:rPr>
            </w:pPr>
            <w:r w:rsidRPr="005F055E">
              <w:rPr>
                <w:color w:val="000000"/>
                <w:sz w:val="20"/>
                <w:szCs w:val="20"/>
                <w:lang w:eastAsia="nl-NL"/>
              </w:rPr>
              <w:t>14</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01D35E83" w14:textId="77777777">
            <w:pPr>
              <w:suppressAutoHyphens/>
              <w:spacing w:after="0"/>
              <w:rPr>
                <w:color w:val="000000"/>
                <w:sz w:val="20"/>
                <w:szCs w:val="20"/>
                <w:lang w:eastAsia="nl-NL"/>
              </w:rPr>
            </w:pPr>
            <w:r w:rsidRPr="005F055E">
              <w:rPr>
                <w:color w:val="000000"/>
                <w:sz w:val="20"/>
                <w:szCs w:val="20"/>
                <w:lang w:eastAsia="nl-NL"/>
              </w:rPr>
              <w:t>16</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4DD80FD" w14:textId="77777777">
            <w:pPr>
              <w:suppressAutoHyphens/>
              <w:spacing w:after="0"/>
              <w:rPr>
                <w:color w:val="000000"/>
                <w:sz w:val="20"/>
                <w:szCs w:val="20"/>
                <w:lang w:eastAsia="nl-NL"/>
              </w:rPr>
            </w:pPr>
            <w:r w:rsidRPr="005F055E">
              <w:rPr>
                <w:color w:val="000000"/>
                <w:sz w:val="20"/>
                <w:szCs w:val="20"/>
                <w:lang w:eastAsia="nl-NL"/>
              </w:rPr>
              <w:t>16</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60AA22A2" w14:textId="77777777">
            <w:pPr>
              <w:suppressAutoHyphens/>
              <w:spacing w:after="0"/>
              <w:rPr>
                <w:color w:val="000000"/>
                <w:sz w:val="20"/>
                <w:szCs w:val="20"/>
                <w:lang w:eastAsia="nl-NL"/>
              </w:rPr>
            </w:pPr>
            <w:r w:rsidRPr="005F055E">
              <w:rPr>
                <w:color w:val="000000"/>
                <w:sz w:val="20"/>
                <w:szCs w:val="20"/>
                <w:lang w:eastAsia="nl-NL"/>
              </w:rPr>
              <w:t>16</w:t>
            </w:r>
          </w:p>
        </w:tc>
      </w:tr>
      <w:tr w:rsidRPr="005F055E" w:rsidR="008D2F23" w:rsidTr="005E2643" w14:paraId="00E38A4E" w14:textId="77777777">
        <w:trPr>
          <w:trHeight w:val="290"/>
        </w:trPr>
        <w:tc>
          <w:tcPr>
            <w:tcW w:w="4962" w:type="dxa"/>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59A8233F" w14:textId="77777777">
            <w:pPr>
              <w:suppressAutoHyphens/>
              <w:spacing w:after="0"/>
              <w:rPr>
                <w:color w:val="000000"/>
                <w:sz w:val="20"/>
                <w:szCs w:val="20"/>
                <w:lang w:eastAsia="nl-NL"/>
              </w:rPr>
            </w:pPr>
            <w:r w:rsidRPr="005F055E">
              <w:rPr>
                <w:color w:val="000000"/>
                <w:sz w:val="20"/>
                <w:szCs w:val="20"/>
                <w:lang w:eastAsia="nl-NL"/>
              </w:rPr>
              <w:t>Geriatrische revalidatiezorg/Eerstelijnsverblijf</w:t>
            </w:r>
          </w:p>
        </w:tc>
        <w:tc>
          <w:tcPr>
            <w:tcW w:w="845"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25D1150" w14:textId="77777777">
            <w:pPr>
              <w:suppressAutoHyphens/>
              <w:spacing w:after="0"/>
              <w:rPr>
                <w:color w:val="000000"/>
                <w:sz w:val="20"/>
                <w:szCs w:val="20"/>
                <w:lang w:eastAsia="nl-NL"/>
              </w:rPr>
            </w:pPr>
            <w:r w:rsidRPr="005F055E">
              <w:rPr>
                <w:color w:val="000000"/>
                <w:sz w:val="20"/>
                <w:szCs w:val="20"/>
                <w:lang w:eastAsia="nl-NL"/>
              </w:rPr>
              <w:t>36</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676DF357" w14:textId="77777777">
            <w:pPr>
              <w:suppressAutoHyphens/>
              <w:spacing w:after="0"/>
              <w:rPr>
                <w:color w:val="000000"/>
                <w:sz w:val="20"/>
                <w:szCs w:val="20"/>
                <w:lang w:eastAsia="nl-NL"/>
              </w:rPr>
            </w:pPr>
            <w:r w:rsidRPr="005F055E">
              <w:rPr>
                <w:color w:val="000000"/>
                <w:sz w:val="20"/>
                <w:szCs w:val="20"/>
                <w:lang w:eastAsia="nl-NL"/>
              </w:rPr>
              <w:t>41</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001D432D" w14:textId="77777777">
            <w:pPr>
              <w:suppressAutoHyphens/>
              <w:spacing w:after="0"/>
              <w:rPr>
                <w:color w:val="000000"/>
                <w:sz w:val="20"/>
                <w:szCs w:val="20"/>
                <w:lang w:eastAsia="nl-NL"/>
              </w:rPr>
            </w:pPr>
            <w:r w:rsidRPr="005F055E">
              <w:rPr>
                <w:color w:val="000000"/>
                <w:sz w:val="20"/>
                <w:szCs w:val="20"/>
                <w:lang w:eastAsia="nl-NL"/>
              </w:rPr>
              <w:t>41</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7DA6BE68" w14:textId="77777777">
            <w:pPr>
              <w:suppressAutoHyphens/>
              <w:spacing w:after="0"/>
              <w:rPr>
                <w:color w:val="000000"/>
                <w:sz w:val="20"/>
                <w:szCs w:val="20"/>
                <w:lang w:eastAsia="nl-NL"/>
              </w:rPr>
            </w:pPr>
            <w:r w:rsidRPr="005F055E">
              <w:rPr>
                <w:color w:val="000000"/>
                <w:sz w:val="20"/>
                <w:szCs w:val="20"/>
                <w:lang w:eastAsia="nl-NL"/>
              </w:rPr>
              <w:t>41</w:t>
            </w:r>
          </w:p>
        </w:tc>
      </w:tr>
      <w:tr w:rsidRPr="005F055E" w:rsidR="008D2F23" w:rsidTr="005E2643" w14:paraId="1A129C7E" w14:textId="77777777">
        <w:trPr>
          <w:trHeight w:val="290"/>
        </w:trPr>
        <w:tc>
          <w:tcPr>
            <w:tcW w:w="4962" w:type="dxa"/>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343D9134" w14:textId="77777777">
            <w:pPr>
              <w:suppressAutoHyphens/>
              <w:spacing w:after="0"/>
              <w:rPr>
                <w:color w:val="000000"/>
                <w:sz w:val="20"/>
                <w:szCs w:val="20"/>
                <w:lang w:eastAsia="nl-NL"/>
              </w:rPr>
            </w:pPr>
            <w:r w:rsidRPr="005F055E">
              <w:rPr>
                <w:b/>
                <w:bCs/>
                <w:color w:val="000000"/>
                <w:sz w:val="20"/>
                <w:szCs w:val="20"/>
                <w:lang w:eastAsia="nl-NL"/>
              </w:rPr>
              <w:t>TOTAAL</w:t>
            </w:r>
          </w:p>
        </w:tc>
        <w:tc>
          <w:tcPr>
            <w:tcW w:w="845"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38F83A94" w14:textId="77777777">
            <w:pPr>
              <w:suppressAutoHyphens/>
              <w:spacing w:after="0"/>
              <w:rPr>
                <w:color w:val="000000"/>
                <w:sz w:val="20"/>
                <w:szCs w:val="20"/>
                <w:lang w:eastAsia="nl-NL"/>
              </w:rPr>
            </w:pPr>
            <w:r w:rsidRPr="005F055E">
              <w:rPr>
                <w:b/>
                <w:bCs/>
                <w:color w:val="000000"/>
                <w:sz w:val="20"/>
                <w:szCs w:val="20"/>
                <w:lang w:eastAsia="nl-NL"/>
              </w:rPr>
              <w:t>365</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5EC1812" w14:textId="77777777">
            <w:pPr>
              <w:suppressAutoHyphens/>
              <w:spacing w:after="0"/>
              <w:rPr>
                <w:color w:val="000000"/>
                <w:sz w:val="20"/>
                <w:szCs w:val="20"/>
                <w:lang w:eastAsia="nl-NL"/>
              </w:rPr>
            </w:pPr>
            <w:r w:rsidRPr="005F055E">
              <w:rPr>
                <w:b/>
                <w:bCs/>
                <w:color w:val="000000"/>
                <w:sz w:val="20"/>
                <w:szCs w:val="20"/>
                <w:lang w:eastAsia="nl-NL"/>
              </w:rPr>
              <w:t>411</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6D6433AB" w14:textId="77777777">
            <w:pPr>
              <w:suppressAutoHyphens/>
              <w:spacing w:after="0"/>
              <w:rPr>
                <w:color w:val="000000"/>
                <w:sz w:val="20"/>
                <w:szCs w:val="20"/>
                <w:lang w:eastAsia="nl-NL"/>
              </w:rPr>
            </w:pPr>
            <w:r w:rsidRPr="005F055E">
              <w:rPr>
                <w:b/>
                <w:bCs/>
                <w:color w:val="000000"/>
                <w:sz w:val="20"/>
                <w:szCs w:val="20"/>
                <w:lang w:eastAsia="nl-NL"/>
              </w:rPr>
              <w:t>411</w:t>
            </w:r>
          </w:p>
        </w:tc>
        <w:tc>
          <w:tcPr>
            <w:tcW w:w="1038" w:type="dxa"/>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381F0BC0" w14:textId="77777777">
            <w:pPr>
              <w:suppressAutoHyphens/>
              <w:spacing w:after="0"/>
              <w:rPr>
                <w:color w:val="000000"/>
                <w:sz w:val="20"/>
                <w:szCs w:val="20"/>
                <w:lang w:eastAsia="nl-NL"/>
              </w:rPr>
            </w:pPr>
            <w:r w:rsidRPr="005F055E">
              <w:rPr>
                <w:b/>
                <w:bCs/>
                <w:color w:val="000000"/>
                <w:sz w:val="20"/>
                <w:szCs w:val="20"/>
                <w:lang w:eastAsia="nl-NL"/>
              </w:rPr>
              <w:t>411</w:t>
            </w:r>
          </w:p>
        </w:tc>
      </w:tr>
    </w:tbl>
    <w:p w:rsidRPr="005F055E" w:rsidR="008D2F23" w:rsidP="00180EEB" w:rsidRDefault="008D2F23" w14:paraId="528C86DF" w14:textId="68F4F340">
      <w:pPr>
        <w:suppressAutoHyphens/>
        <w:rPr>
          <w:szCs w:val="20"/>
          <w:lang w:eastAsia="nl-NL"/>
        </w:rPr>
      </w:pPr>
      <w:r w:rsidRPr="005F055E">
        <w:rPr>
          <w:szCs w:val="20"/>
          <w:lang w:eastAsia="nl-NL"/>
        </w:rPr>
        <w:t xml:space="preserve">Het resterende remgeld is ingezet voor afspraken in het AZWA voor doorbraakmiddelen (€ 0,4 miljard), preventie, opleiden en sociaal domein (€ 0,24 miljard). </w:t>
      </w:r>
    </w:p>
    <w:p w:rsidRPr="005F055E" w:rsidR="008D2F23" w:rsidP="00180EEB" w:rsidRDefault="008D2F23" w14:paraId="1613DDCA" w14:textId="0CC3A09B">
      <w:pPr>
        <w:suppressAutoHyphens/>
        <w:rPr>
          <w:szCs w:val="20"/>
          <w:lang w:eastAsia="nl-NL"/>
        </w:rPr>
      </w:pPr>
      <w:r w:rsidRPr="005F055E">
        <w:rPr>
          <w:szCs w:val="20"/>
          <w:lang w:eastAsia="nl-NL"/>
        </w:rPr>
        <w:t xml:space="preserve">De standen van de </w:t>
      </w:r>
      <w:proofErr w:type="spellStart"/>
      <w:r w:rsidRPr="005F055E">
        <w:rPr>
          <w:szCs w:val="20"/>
          <w:lang w:eastAsia="nl-NL"/>
        </w:rPr>
        <w:t>Zvw</w:t>
      </w:r>
      <w:proofErr w:type="spellEnd"/>
      <w:r w:rsidRPr="005F055E">
        <w:rPr>
          <w:szCs w:val="20"/>
          <w:lang w:eastAsia="nl-NL"/>
        </w:rPr>
        <w:t>-sectoren (de grondslagen) in de ontwerpbegroting 2026, incl. de verdeling van het remgeld.</w:t>
      </w:r>
    </w:p>
    <w:tbl>
      <w:tblPr>
        <w:tblW w:w="5160" w:type="pct"/>
        <w:tblInd w:w="-289" w:type="dxa"/>
        <w:tblCellMar>
          <w:left w:w="70" w:type="dxa"/>
          <w:right w:w="70" w:type="dxa"/>
        </w:tblCellMar>
        <w:tblLook w:val="04A0" w:firstRow="1" w:lastRow="0" w:firstColumn="1" w:lastColumn="0" w:noHBand="0" w:noVBand="1"/>
      </w:tblPr>
      <w:tblGrid>
        <w:gridCol w:w="5806"/>
        <w:gridCol w:w="875"/>
        <w:gridCol w:w="875"/>
        <w:gridCol w:w="875"/>
        <w:gridCol w:w="875"/>
      </w:tblGrid>
      <w:tr w:rsidRPr="005F055E" w:rsidR="008D2F23" w:rsidTr="00D71325" w14:paraId="6585F2FF" w14:textId="77777777">
        <w:trPr>
          <w:trHeight w:val="612"/>
        </w:trPr>
        <w:tc>
          <w:tcPr>
            <w:tcW w:w="281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3B6B946E" w14:textId="77777777">
            <w:pPr>
              <w:suppressAutoHyphens/>
              <w:spacing w:after="0"/>
              <w:rPr>
                <w:b/>
                <w:bCs/>
                <w:color w:val="000000"/>
                <w:sz w:val="20"/>
                <w:szCs w:val="20"/>
                <w:lang w:eastAsia="nl-NL"/>
              </w:rPr>
            </w:pPr>
            <w:r w:rsidRPr="005F055E">
              <w:rPr>
                <w:b/>
                <w:bCs/>
                <w:color w:val="000000"/>
                <w:sz w:val="20"/>
                <w:szCs w:val="20"/>
                <w:lang w:eastAsia="nl-NL"/>
              </w:rPr>
              <w:t xml:space="preserve">Stand ontwerpbegroting per </w:t>
            </w:r>
            <w:proofErr w:type="spellStart"/>
            <w:r w:rsidRPr="005F055E">
              <w:rPr>
                <w:b/>
                <w:bCs/>
                <w:color w:val="000000"/>
                <w:sz w:val="20"/>
                <w:szCs w:val="20"/>
                <w:lang w:eastAsia="nl-NL"/>
              </w:rPr>
              <w:t>Zvw</w:t>
            </w:r>
            <w:proofErr w:type="spellEnd"/>
            <w:r w:rsidRPr="005F055E">
              <w:rPr>
                <w:b/>
                <w:bCs/>
                <w:color w:val="000000"/>
                <w:sz w:val="20"/>
                <w:szCs w:val="20"/>
                <w:lang w:eastAsia="nl-NL"/>
              </w:rPr>
              <w:t xml:space="preserve">-sector incl. remgeld </w:t>
            </w:r>
          </w:p>
          <w:p w:rsidRPr="005F055E" w:rsidR="008D2F23" w:rsidP="00180EEB" w:rsidRDefault="008D2F23" w14:paraId="292A0B57" w14:textId="77777777">
            <w:pPr>
              <w:suppressAutoHyphens/>
              <w:spacing w:after="0"/>
              <w:rPr>
                <w:b/>
                <w:bCs/>
                <w:color w:val="000000"/>
                <w:sz w:val="20"/>
                <w:szCs w:val="20"/>
                <w:lang w:eastAsia="nl-NL"/>
              </w:rPr>
            </w:pPr>
            <w:r w:rsidRPr="005F055E">
              <w:rPr>
                <w:b/>
                <w:bCs/>
                <w:color w:val="000000"/>
                <w:sz w:val="20"/>
                <w:szCs w:val="20"/>
                <w:lang w:eastAsia="nl-NL"/>
              </w:rPr>
              <w:t>(bedragen x € 1 miljoen)</w:t>
            </w:r>
          </w:p>
        </w:tc>
        <w:tc>
          <w:tcPr>
            <w:tcW w:w="771" w:type="pct"/>
            <w:tcBorders>
              <w:top w:val="single" w:color="auto" w:sz="4" w:space="0"/>
              <w:left w:val="nil"/>
              <w:bottom w:val="single" w:color="auto" w:sz="4" w:space="0"/>
              <w:right w:val="single" w:color="auto" w:sz="4" w:space="0"/>
            </w:tcBorders>
            <w:shd w:val="clear" w:color="auto" w:fill="auto"/>
            <w:noWrap/>
          </w:tcPr>
          <w:p w:rsidRPr="005F055E" w:rsidR="008D2F23" w:rsidP="00180EEB" w:rsidRDefault="008D2F23" w14:paraId="4D01D81B" w14:textId="7F9DF4F6">
            <w:pPr>
              <w:suppressAutoHyphens/>
              <w:spacing w:after="0"/>
              <w:rPr>
                <w:color w:val="000000"/>
                <w:sz w:val="20"/>
                <w:szCs w:val="20"/>
                <w:lang w:eastAsia="nl-NL"/>
              </w:rPr>
            </w:pPr>
            <w:r w:rsidRPr="005F055E">
              <w:rPr>
                <w:color w:val="000000"/>
                <w:sz w:val="20"/>
                <w:szCs w:val="20"/>
                <w:lang w:eastAsia="nl-NL"/>
              </w:rPr>
              <w:t> </w:t>
            </w:r>
            <w:r w:rsidRPr="005F055E">
              <w:rPr>
                <w:b/>
                <w:bCs/>
                <w:color w:val="000000"/>
                <w:sz w:val="20"/>
                <w:szCs w:val="20"/>
                <w:lang w:eastAsia="nl-NL"/>
              </w:rPr>
              <w:t>2027</w:t>
            </w:r>
          </w:p>
        </w:tc>
        <w:tc>
          <w:tcPr>
            <w:tcW w:w="470" w:type="pct"/>
            <w:tcBorders>
              <w:top w:val="single" w:color="auto" w:sz="4" w:space="0"/>
              <w:left w:val="nil"/>
              <w:bottom w:val="single" w:color="auto" w:sz="4" w:space="0"/>
              <w:right w:val="single" w:color="auto" w:sz="4" w:space="0"/>
            </w:tcBorders>
            <w:shd w:val="clear" w:color="auto" w:fill="auto"/>
            <w:noWrap/>
          </w:tcPr>
          <w:p w:rsidRPr="005F055E" w:rsidR="008D2F23" w:rsidP="00180EEB" w:rsidRDefault="008D2F23" w14:paraId="5ACC52EE" w14:textId="69CB7FEB">
            <w:pPr>
              <w:suppressAutoHyphens/>
              <w:spacing w:after="0"/>
              <w:rPr>
                <w:b/>
                <w:bCs/>
                <w:color w:val="000000"/>
                <w:sz w:val="20"/>
                <w:szCs w:val="20"/>
                <w:lang w:eastAsia="nl-NL"/>
              </w:rPr>
            </w:pPr>
            <w:r w:rsidRPr="005F055E">
              <w:rPr>
                <w:b/>
                <w:bCs/>
                <w:color w:val="000000"/>
                <w:sz w:val="20"/>
                <w:szCs w:val="20"/>
                <w:lang w:eastAsia="nl-NL"/>
              </w:rPr>
              <w:t>2028</w:t>
            </w:r>
          </w:p>
        </w:tc>
        <w:tc>
          <w:tcPr>
            <w:tcW w:w="470" w:type="pct"/>
            <w:tcBorders>
              <w:top w:val="single" w:color="auto" w:sz="4" w:space="0"/>
              <w:left w:val="nil"/>
              <w:bottom w:val="single" w:color="auto" w:sz="4" w:space="0"/>
              <w:right w:val="single" w:color="auto" w:sz="4" w:space="0"/>
            </w:tcBorders>
            <w:shd w:val="clear" w:color="auto" w:fill="auto"/>
            <w:noWrap/>
          </w:tcPr>
          <w:p w:rsidRPr="005F055E" w:rsidR="008D2F23" w:rsidP="00180EEB" w:rsidRDefault="008D2F23" w14:paraId="6B966D78" w14:textId="3EF752A2">
            <w:pPr>
              <w:suppressAutoHyphens/>
              <w:spacing w:after="0"/>
              <w:rPr>
                <w:b/>
                <w:bCs/>
                <w:color w:val="000000"/>
                <w:sz w:val="20"/>
                <w:szCs w:val="20"/>
                <w:lang w:eastAsia="nl-NL"/>
              </w:rPr>
            </w:pPr>
            <w:r w:rsidRPr="005F055E">
              <w:rPr>
                <w:b/>
                <w:bCs/>
                <w:color w:val="000000"/>
                <w:sz w:val="20"/>
                <w:szCs w:val="20"/>
                <w:lang w:eastAsia="nl-NL"/>
              </w:rPr>
              <w:t>2029</w:t>
            </w:r>
          </w:p>
        </w:tc>
        <w:tc>
          <w:tcPr>
            <w:tcW w:w="470" w:type="pct"/>
            <w:tcBorders>
              <w:top w:val="single" w:color="auto" w:sz="4" w:space="0"/>
              <w:left w:val="nil"/>
              <w:bottom w:val="single" w:color="auto" w:sz="4" w:space="0"/>
              <w:right w:val="single" w:color="auto" w:sz="4" w:space="0"/>
            </w:tcBorders>
            <w:shd w:val="clear" w:color="auto" w:fill="auto"/>
            <w:noWrap/>
          </w:tcPr>
          <w:p w:rsidRPr="005F055E" w:rsidR="008D2F23" w:rsidP="00180EEB" w:rsidRDefault="008D2F23" w14:paraId="04F27BD9" w14:textId="3129D8C9">
            <w:pPr>
              <w:suppressAutoHyphens/>
              <w:spacing w:after="0"/>
              <w:rPr>
                <w:b/>
                <w:bCs/>
                <w:color w:val="000000"/>
                <w:sz w:val="20"/>
                <w:szCs w:val="20"/>
                <w:lang w:eastAsia="nl-NL"/>
              </w:rPr>
            </w:pPr>
            <w:r w:rsidRPr="005F055E">
              <w:rPr>
                <w:b/>
                <w:bCs/>
                <w:color w:val="000000"/>
                <w:sz w:val="20"/>
                <w:szCs w:val="20"/>
                <w:lang w:eastAsia="nl-NL"/>
              </w:rPr>
              <w:t>2030</w:t>
            </w:r>
          </w:p>
        </w:tc>
      </w:tr>
      <w:tr w:rsidRPr="005F055E" w:rsidR="008D2F23" w:rsidTr="00D71325" w14:paraId="0286E70F" w14:textId="77777777">
        <w:trPr>
          <w:trHeight w:val="290"/>
        </w:trPr>
        <w:tc>
          <w:tcPr>
            <w:tcW w:w="2819" w:type="pct"/>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5EC7FF32" w14:textId="77777777">
            <w:pPr>
              <w:suppressAutoHyphens/>
              <w:spacing w:after="0"/>
              <w:rPr>
                <w:b/>
                <w:bCs/>
                <w:color w:val="000000"/>
                <w:sz w:val="20"/>
                <w:szCs w:val="20"/>
                <w:lang w:eastAsia="nl-NL"/>
              </w:rPr>
            </w:pPr>
            <w:r w:rsidRPr="005F055E">
              <w:rPr>
                <w:b/>
                <w:bCs/>
                <w:color w:val="000000"/>
                <w:sz w:val="20"/>
                <w:szCs w:val="20"/>
                <w:lang w:eastAsia="nl-NL"/>
              </w:rPr>
              <w:t>IZA-sectoren</w:t>
            </w:r>
          </w:p>
        </w:tc>
        <w:tc>
          <w:tcPr>
            <w:tcW w:w="771" w:type="pct"/>
            <w:tcBorders>
              <w:top w:val="nil"/>
              <w:left w:val="nil"/>
              <w:bottom w:val="single" w:color="auto" w:sz="4" w:space="0"/>
              <w:right w:val="single" w:color="auto" w:sz="4" w:space="0"/>
            </w:tcBorders>
            <w:shd w:val="clear" w:color="auto" w:fill="auto"/>
            <w:noWrap/>
            <w:vAlign w:val="center"/>
          </w:tcPr>
          <w:p w:rsidRPr="005F055E" w:rsidR="008D2F23" w:rsidP="00180EEB" w:rsidRDefault="008D2F23" w14:paraId="399603D8" w14:textId="13B5A8E2">
            <w:pPr>
              <w:suppressAutoHyphens/>
              <w:spacing w:after="0"/>
              <w:rPr>
                <w:color w:val="000000"/>
                <w:sz w:val="20"/>
                <w:szCs w:val="20"/>
                <w:lang w:eastAsia="nl-NL"/>
              </w:rPr>
            </w:pPr>
          </w:p>
        </w:tc>
        <w:tc>
          <w:tcPr>
            <w:tcW w:w="470" w:type="pct"/>
            <w:tcBorders>
              <w:top w:val="nil"/>
              <w:left w:val="nil"/>
              <w:bottom w:val="single" w:color="auto" w:sz="4" w:space="0"/>
              <w:right w:val="single" w:color="auto" w:sz="4" w:space="0"/>
            </w:tcBorders>
            <w:shd w:val="clear" w:color="auto" w:fill="auto"/>
            <w:noWrap/>
            <w:vAlign w:val="center"/>
          </w:tcPr>
          <w:p w:rsidRPr="005F055E" w:rsidR="008D2F23" w:rsidP="00180EEB" w:rsidRDefault="008D2F23" w14:paraId="4B1E57C6" w14:textId="6291F01E">
            <w:pPr>
              <w:suppressAutoHyphens/>
              <w:spacing w:after="0"/>
              <w:rPr>
                <w:b/>
                <w:bCs/>
                <w:color w:val="000000"/>
                <w:sz w:val="20"/>
                <w:szCs w:val="20"/>
                <w:lang w:eastAsia="nl-NL"/>
              </w:rPr>
            </w:pPr>
          </w:p>
        </w:tc>
        <w:tc>
          <w:tcPr>
            <w:tcW w:w="470" w:type="pct"/>
            <w:tcBorders>
              <w:top w:val="nil"/>
              <w:left w:val="nil"/>
              <w:bottom w:val="single" w:color="auto" w:sz="4" w:space="0"/>
              <w:right w:val="single" w:color="auto" w:sz="4" w:space="0"/>
            </w:tcBorders>
            <w:shd w:val="clear" w:color="auto" w:fill="auto"/>
            <w:noWrap/>
            <w:vAlign w:val="center"/>
          </w:tcPr>
          <w:p w:rsidRPr="005F055E" w:rsidR="008D2F23" w:rsidP="00180EEB" w:rsidRDefault="008D2F23" w14:paraId="661A2CC1" w14:textId="5624F32D">
            <w:pPr>
              <w:suppressAutoHyphens/>
              <w:spacing w:after="0"/>
              <w:rPr>
                <w:b/>
                <w:bCs/>
                <w:color w:val="000000"/>
                <w:sz w:val="20"/>
                <w:szCs w:val="20"/>
                <w:lang w:eastAsia="nl-NL"/>
              </w:rPr>
            </w:pPr>
          </w:p>
        </w:tc>
        <w:tc>
          <w:tcPr>
            <w:tcW w:w="470" w:type="pct"/>
            <w:tcBorders>
              <w:top w:val="nil"/>
              <w:left w:val="nil"/>
              <w:bottom w:val="single" w:color="auto" w:sz="4" w:space="0"/>
              <w:right w:val="single" w:color="auto" w:sz="4" w:space="0"/>
            </w:tcBorders>
            <w:shd w:val="clear" w:color="auto" w:fill="auto"/>
            <w:noWrap/>
            <w:vAlign w:val="center"/>
          </w:tcPr>
          <w:p w:rsidRPr="005F055E" w:rsidR="008D2F23" w:rsidP="00180EEB" w:rsidRDefault="008D2F23" w14:paraId="1533E28D" w14:textId="0667C609">
            <w:pPr>
              <w:suppressAutoHyphens/>
              <w:spacing w:after="0"/>
              <w:rPr>
                <w:b/>
                <w:bCs/>
                <w:color w:val="000000"/>
                <w:sz w:val="20"/>
                <w:szCs w:val="20"/>
                <w:lang w:eastAsia="nl-NL"/>
              </w:rPr>
            </w:pPr>
          </w:p>
        </w:tc>
      </w:tr>
      <w:tr w:rsidRPr="005F055E" w:rsidR="008D2F23" w:rsidTr="00D71325" w14:paraId="5B8FA965" w14:textId="77777777">
        <w:trPr>
          <w:trHeight w:val="290"/>
        </w:trPr>
        <w:tc>
          <w:tcPr>
            <w:tcW w:w="2819" w:type="pct"/>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0C5AE7E5" w14:textId="77777777">
            <w:pPr>
              <w:suppressAutoHyphens/>
              <w:spacing w:after="0"/>
              <w:rPr>
                <w:color w:val="000000"/>
                <w:sz w:val="20"/>
                <w:szCs w:val="20"/>
                <w:lang w:eastAsia="nl-NL"/>
              </w:rPr>
            </w:pPr>
            <w:r w:rsidRPr="005F055E">
              <w:rPr>
                <w:color w:val="000000"/>
                <w:sz w:val="20"/>
                <w:szCs w:val="20"/>
                <w:lang w:eastAsia="nl-NL"/>
              </w:rPr>
              <w:t>MSZ</w:t>
            </w:r>
          </w:p>
        </w:tc>
        <w:tc>
          <w:tcPr>
            <w:tcW w:w="771"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167EED93" w14:textId="77777777">
            <w:pPr>
              <w:suppressAutoHyphens/>
              <w:spacing w:after="0"/>
              <w:rPr>
                <w:color w:val="000000"/>
                <w:sz w:val="20"/>
                <w:szCs w:val="20"/>
                <w:lang w:eastAsia="nl-NL"/>
              </w:rPr>
            </w:pPr>
            <w:r w:rsidRPr="005F055E">
              <w:rPr>
                <w:color w:val="000000"/>
                <w:sz w:val="20"/>
                <w:szCs w:val="20"/>
                <w:lang w:eastAsia="nl-NL"/>
              </w:rPr>
              <w:t>32.427</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1E6CDF69" w14:textId="77777777">
            <w:pPr>
              <w:suppressAutoHyphens/>
              <w:spacing w:after="0"/>
              <w:rPr>
                <w:color w:val="000000"/>
                <w:sz w:val="20"/>
                <w:szCs w:val="20"/>
                <w:lang w:eastAsia="nl-NL"/>
              </w:rPr>
            </w:pPr>
            <w:r w:rsidRPr="005F055E">
              <w:rPr>
                <w:color w:val="000000"/>
                <w:sz w:val="20"/>
                <w:szCs w:val="20"/>
                <w:lang w:eastAsia="nl-NL"/>
              </w:rPr>
              <w:t>32.514</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51C38085" w14:textId="77777777">
            <w:pPr>
              <w:suppressAutoHyphens/>
              <w:spacing w:after="0"/>
              <w:rPr>
                <w:color w:val="000000"/>
                <w:sz w:val="20"/>
                <w:szCs w:val="20"/>
                <w:lang w:eastAsia="nl-NL"/>
              </w:rPr>
            </w:pPr>
            <w:r w:rsidRPr="005F055E">
              <w:rPr>
                <w:color w:val="000000"/>
                <w:sz w:val="20"/>
                <w:szCs w:val="20"/>
                <w:lang w:eastAsia="nl-NL"/>
              </w:rPr>
              <w:t>32.514</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54264771" w14:textId="77777777">
            <w:pPr>
              <w:suppressAutoHyphens/>
              <w:spacing w:after="0"/>
              <w:rPr>
                <w:color w:val="000000"/>
                <w:sz w:val="20"/>
                <w:szCs w:val="20"/>
                <w:lang w:eastAsia="nl-NL"/>
              </w:rPr>
            </w:pPr>
            <w:r w:rsidRPr="005F055E">
              <w:rPr>
                <w:color w:val="000000"/>
                <w:sz w:val="20"/>
                <w:szCs w:val="20"/>
                <w:lang w:eastAsia="nl-NL"/>
              </w:rPr>
              <w:t>32.514</w:t>
            </w:r>
          </w:p>
        </w:tc>
      </w:tr>
      <w:tr w:rsidRPr="005F055E" w:rsidR="008D2F23" w:rsidTr="00D71325" w14:paraId="46B925D7" w14:textId="77777777">
        <w:trPr>
          <w:trHeight w:val="290"/>
        </w:trPr>
        <w:tc>
          <w:tcPr>
            <w:tcW w:w="2819" w:type="pct"/>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D55762" w14:paraId="31625E62" w14:textId="1791A392">
            <w:pPr>
              <w:suppressAutoHyphens/>
              <w:spacing w:after="0"/>
              <w:rPr>
                <w:color w:val="000000"/>
                <w:sz w:val="20"/>
                <w:szCs w:val="20"/>
                <w:lang w:eastAsia="nl-NL"/>
              </w:rPr>
            </w:pPr>
            <w:r>
              <w:rPr>
                <w:color w:val="000000"/>
                <w:sz w:val="20"/>
                <w:szCs w:val="20"/>
                <w:lang w:eastAsia="nl-NL"/>
              </w:rPr>
              <w:t>GGZ</w:t>
            </w:r>
          </w:p>
        </w:tc>
        <w:tc>
          <w:tcPr>
            <w:tcW w:w="771"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5CBB583" w14:textId="77777777">
            <w:pPr>
              <w:suppressAutoHyphens/>
              <w:spacing w:after="0"/>
              <w:rPr>
                <w:color w:val="000000"/>
                <w:sz w:val="20"/>
                <w:szCs w:val="20"/>
                <w:lang w:eastAsia="nl-NL"/>
              </w:rPr>
            </w:pPr>
            <w:r w:rsidRPr="005F055E">
              <w:rPr>
                <w:color w:val="000000"/>
                <w:sz w:val="20"/>
                <w:szCs w:val="20"/>
                <w:lang w:eastAsia="nl-NL"/>
              </w:rPr>
              <w:t>5.934</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12FF2940" w14:textId="77777777">
            <w:pPr>
              <w:suppressAutoHyphens/>
              <w:spacing w:after="0"/>
              <w:rPr>
                <w:color w:val="000000"/>
                <w:sz w:val="20"/>
                <w:szCs w:val="20"/>
                <w:lang w:eastAsia="nl-NL"/>
              </w:rPr>
            </w:pPr>
            <w:r w:rsidRPr="005F055E">
              <w:rPr>
                <w:color w:val="000000"/>
                <w:sz w:val="20"/>
                <w:szCs w:val="20"/>
                <w:lang w:eastAsia="nl-NL"/>
              </w:rPr>
              <w:t>5.973</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61DE3ABD" w14:textId="77777777">
            <w:pPr>
              <w:suppressAutoHyphens/>
              <w:spacing w:after="0"/>
              <w:rPr>
                <w:color w:val="000000"/>
                <w:sz w:val="20"/>
                <w:szCs w:val="20"/>
                <w:lang w:eastAsia="nl-NL"/>
              </w:rPr>
            </w:pPr>
            <w:r w:rsidRPr="005F055E">
              <w:rPr>
                <w:color w:val="000000"/>
                <w:sz w:val="20"/>
                <w:szCs w:val="20"/>
                <w:lang w:eastAsia="nl-NL"/>
              </w:rPr>
              <w:t>5.973</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580513C" w14:textId="77777777">
            <w:pPr>
              <w:suppressAutoHyphens/>
              <w:spacing w:after="0"/>
              <w:rPr>
                <w:color w:val="000000"/>
                <w:sz w:val="20"/>
                <w:szCs w:val="20"/>
                <w:lang w:eastAsia="nl-NL"/>
              </w:rPr>
            </w:pPr>
            <w:r w:rsidRPr="005F055E">
              <w:rPr>
                <w:color w:val="000000"/>
                <w:sz w:val="20"/>
                <w:szCs w:val="20"/>
                <w:lang w:eastAsia="nl-NL"/>
              </w:rPr>
              <w:t>5.973</w:t>
            </w:r>
          </w:p>
        </w:tc>
      </w:tr>
      <w:tr w:rsidRPr="005F055E" w:rsidR="008D2F23" w:rsidTr="00D71325" w14:paraId="7C541692" w14:textId="77777777">
        <w:trPr>
          <w:trHeight w:val="290"/>
        </w:trPr>
        <w:tc>
          <w:tcPr>
            <w:tcW w:w="2819" w:type="pct"/>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47ED880A" w14:textId="77777777">
            <w:pPr>
              <w:suppressAutoHyphens/>
              <w:spacing w:after="0"/>
              <w:rPr>
                <w:color w:val="000000"/>
                <w:sz w:val="20"/>
                <w:szCs w:val="20"/>
                <w:lang w:eastAsia="nl-NL"/>
              </w:rPr>
            </w:pPr>
            <w:r w:rsidRPr="005F055E">
              <w:rPr>
                <w:color w:val="000000"/>
                <w:sz w:val="20"/>
                <w:szCs w:val="20"/>
                <w:lang w:eastAsia="nl-NL"/>
              </w:rPr>
              <w:t>Wijkverpleging</w:t>
            </w:r>
          </w:p>
        </w:tc>
        <w:tc>
          <w:tcPr>
            <w:tcW w:w="771"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7E88C6CA" w14:textId="77777777">
            <w:pPr>
              <w:suppressAutoHyphens/>
              <w:spacing w:after="0"/>
              <w:rPr>
                <w:color w:val="000000"/>
                <w:sz w:val="20"/>
                <w:szCs w:val="20"/>
                <w:lang w:eastAsia="nl-NL"/>
              </w:rPr>
            </w:pPr>
            <w:r w:rsidRPr="005F055E">
              <w:rPr>
                <w:color w:val="000000"/>
                <w:sz w:val="20"/>
                <w:szCs w:val="20"/>
                <w:lang w:eastAsia="nl-NL"/>
              </w:rPr>
              <w:t>3.849</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603F2772" w14:textId="77777777">
            <w:pPr>
              <w:suppressAutoHyphens/>
              <w:spacing w:after="0"/>
              <w:rPr>
                <w:color w:val="000000"/>
                <w:sz w:val="20"/>
                <w:szCs w:val="20"/>
                <w:lang w:eastAsia="nl-NL"/>
              </w:rPr>
            </w:pPr>
            <w:r w:rsidRPr="005F055E">
              <w:rPr>
                <w:color w:val="000000"/>
                <w:sz w:val="20"/>
                <w:szCs w:val="20"/>
                <w:lang w:eastAsia="nl-NL"/>
              </w:rPr>
              <w:t>3.934</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71D92830" w14:textId="77777777">
            <w:pPr>
              <w:suppressAutoHyphens/>
              <w:spacing w:after="0"/>
              <w:rPr>
                <w:color w:val="000000"/>
                <w:sz w:val="20"/>
                <w:szCs w:val="20"/>
                <w:lang w:eastAsia="nl-NL"/>
              </w:rPr>
            </w:pPr>
            <w:r w:rsidRPr="005F055E">
              <w:rPr>
                <w:color w:val="000000"/>
                <w:sz w:val="20"/>
                <w:szCs w:val="20"/>
                <w:lang w:eastAsia="nl-NL"/>
              </w:rPr>
              <w:t>3.876</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32E7A93B" w14:textId="77777777">
            <w:pPr>
              <w:suppressAutoHyphens/>
              <w:spacing w:after="0"/>
              <w:rPr>
                <w:color w:val="000000"/>
                <w:sz w:val="20"/>
                <w:szCs w:val="20"/>
                <w:lang w:eastAsia="nl-NL"/>
              </w:rPr>
            </w:pPr>
            <w:r w:rsidRPr="005F055E">
              <w:rPr>
                <w:color w:val="000000"/>
                <w:sz w:val="20"/>
                <w:szCs w:val="20"/>
                <w:lang w:eastAsia="nl-NL"/>
              </w:rPr>
              <w:t>3.822</w:t>
            </w:r>
          </w:p>
        </w:tc>
      </w:tr>
      <w:tr w:rsidRPr="005F055E" w:rsidR="008D2F23" w:rsidTr="00D71325" w14:paraId="7614C46F" w14:textId="77777777">
        <w:trPr>
          <w:trHeight w:val="290"/>
        </w:trPr>
        <w:tc>
          <w:tcPr>
            <w:tcW w:w="2819" w:type="pct"/>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40F2CC96" w14:textId="77777777">
            <w:pPr>
              <w:suppressAutoHyphens/>
              <w:spacing w:after="0"/>
              <w:rPr>
                <w:color w:val="000000"/>
                <w:sz w:val="20"/>
                <w:szCs w:val="20"/>
                <w:lang w:eastAsia="nl-NL"/>
              </w:rPr>
            </w:pPr>
            <w:r w:rsidRPr="005F055E">
              <w:rPr>
                <w:color w:val="000000"/>
                <w:sz w:val="20"/>
                <w:szCs w:val="20"/>
                <w:lang w:eastAsia="nl-NL"/>
              </w:rPr>
              <w:t>Huisartsenzorg</w:t>
            </w:r>
          </w:p>
        </w:tc>
        <w:tc>
          <w:tcPr>
            <w:tcW w:w="771"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3D9F5F8C" w14:textId="77777777">
            <w:pPr>
              <w:suppressAutoHyphens/>
              <w:spacing w:after="0"/>
              <w:rPr>
                <w:color w:val="000000"/>
                <w:sz w:val="20"/>
                <w:szCs w:val="20"/>
                <w:lang w:eastAsia="nl-NL"/>
              </w:rPr>
            </w:pPr>
            <w:r w:rsidRPr="005F055E">
              <w:rPr>
                <w:color w:val="000000"/>
                <w:sz w:val="20"/>
                <w:szCs w:val="20"/>
                <w:lang w:eastAsia="nl-NL"/>
              </w:rPr>
              <w:t>5.086</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6215B86" w14:textId="77777777">
            <w:pPr>
              <w:suppressAutoHyphens/>
              <w:spacing w:after="0"/>
              <w:rPr>
                <w:color w:val="000000"/>
                <w:sz w:val="20"/>
                <w:szCs w:val="20"/>
                <w:lang w:eastAsia="nl-NL"/>
              </w:rPr>
            </w:pPr>
            <w:r w:rsidRPr="005F055E">
              <w:rPr>
                <w:color w:val="000000"/>
                <w:sz w:val="20"/>
                <w:szCs w:val="20"/>
                <w:lang w:eastAsia="nl-NL"/>
              </w:rPr>
              <w:t>5.274</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68C0D91A" w14:textId="77777777">
            <w:pPr>
              <w:suppressAutoHyphens/>
              <w:spacing w:after="0"/>
              <w:rPr>
                <w:color w:val="000000"/>
                <w:sz w:val="20"/>
                <w:szCs w:val="20"/>
                <w:lang w:eastAsia="nl-NL"/>
              </w:rPr>
            </w:pPr>
            <w:r w:rsidRPr="005F055E">
              <w:rPr>
                <w:color w:val="000000"/>
                <w:sz w:val="20"/>
                <w:szCs w:val="20"/>
                <w:lang w:eastAsia="nl-NL"/>
              </w:rPr>
              <w:t>5.274</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4955A7D7" w14:textId="77777777">
            <w:pPr>
              <w:suppressAutoHyphens/>
              <w:spacing w:after="0"/>
              <w:rPr>
                <w:color w:val="000000"/>
                <w:sz w:val="20"/>
                <w:szCs w:val="20"/>
                <w:lang w:eastAsia="nl-NL"/>
              </w:rPr>
            </w:pPr>
            <w:r w:rsidRPr="005F055E">
              <w:rPr>
                <w:color w:val="000000"/>
                <w:sz w:val="20"/>
                <w:szCs w:val="20"/>
                <w:lang w:eastAsia="nl-NL"/>
              </w:rPr>
              <w:t>5.274</w:t>
            </w:r>
          </w:p>
        </w:tc>
      </w:tr>
      <w:tr w:rsidRPr="005F055E" w:rsidR="008D2F23" w:rsidTr="00D71325" w14:paraId="3074DA10" w14:textId="77777777">
        <w:trPr>
          <w:trHeight w:val="290"/>
        </w:trPr>
        <w:tc>
          <w:tcPr>
            <w:tcW w:w="2819" w:type="pct"/>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15C0D4A8" w14:textId="77777777">
            <w:pPr>
              <w:suppressAutoHyphens/>
              <w:spacing w:after="0"/>
              <w:rPr>
                <w:color w:val="000000"/>
                <w:sz w:val="20"/>
                <w:szCs w:val="20"/>
                <w:lang w:eastAsia="nl-NL"/>
              </w:rPr>
            </w:pPr>
            <w:r w:rsidRPr="005F055E">
              <w:rPr>
                <w:color w:val="000000"/>
                <w:sz w:val="20"/>
                <w:szCs w:val="20"/>
                <w:lang w:eastAsia="nl-NL"/>
              </w:rPr>
              <w:t>MDZ</w:t>
            </w:r>
          </w:p>
        </w:tc>
        <w:tc>
          <w:tcPr>
            <w:tcW w:w="771"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1AAEE1A" w14:textId="77777777">
            <w:pPr>
              <w:suppressAutoHyphens/>
              <w:spacing w:after="0"/>
              <w:rPr>
                <w:color w:val="000000"/>
                <w:sz w:val="20"/>
                <w:szCs w:val="20"/>
                <w:lang w:eastAsia="nl-NL"/>
              </w:rPr>
            </w:pPr>
            <w:r w:rsidRPr="005F055E">
              <w:rPr>
                <w:color w:val="000000"/>
                <w:sz w:val="20"/>
                <w:szCs w:val="20"/>
                <w:lang w:eastAsia="nl-NL"/>
              </w:rPr>
              <w:t>1.176</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357D1058" w14:textId="77777777">
            <w:pPr>
              <w:suppressAutoHyphens/>
              <w:spacing w:after="0"/>
              <w:rPr>
                <w:color w:val="000000"/>
                <w:sz w:val="20"/>
                <w:szCs w:val="20"/>
                <w:lang w:eastAsia="nl-NL"/>
              </w:rPr>
            </w:pPr>
            <w:r w:rsidRPr="005F055E">
              <w:rPr>
                <w:color w:val="000000"/>
                <w:sz w:val="20"/>
                <w:szCs w:val="20"/>
                <w:lang w:eastAsia="nl-NL"/>
              </w:rPr>
              <w:t>1.233</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19E8E2F4" w14:textId="77777777">
            <w:pPr>
              <w:suppressAutoHyphens/>
              <w:spacing w:after="0"/>
              <w:rPr>
                <w:color w:val="000000"/>
                <w:sz w:val="20"/>
                <w:szCs w:val="20"/>
                <w:lang w:eastAsia="nl-NL"/>
              </w:rPr>
            </w:pPr>
            <w:r w:rsidRPr="005F055E">
              <w:rPr>
                <w:color w:val="000000"/>
                <w:sz w:val="20"/>
                <w:szCs w:val="20"/>
                <w:lang w:eastAsia="nl-NL"/>
              </w:rPr>
              <w:t>1.233</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16575C19" w14:textId="77777777">
            <w:pPr>
              <w:suppressAutoHyphens/>
              <w:spacing w:after="0"/>
              <w:rPr>
                <w:color w:val="000000"/>
                <w:sz w:val="20"/>
                <w:szCs w:val="20"/>
                <w:lang w:eastAsia="nl-NL"/>
              </w:rPr>
            </w:pPr>
            <w:r w:rsidRPr="005F055E">
              <w:rPr>
                <w:color w:val="000000"/>
                <w:sz w:val="20"/>
                <w:szCs w:val="20"/>
                <w:lang w:eastAsia="nl-NL"/>
              </w:rPr>
              <w:t>1.233</w:t>
            </w:r>
          </w:p>
        </w:tc>
      </w:tr>
      <w:tr w:rsidRPr="005F055E" w:rsidR="008D2F23" w:rsidTr="00D71325" w14:paraId="1781CAD1" w14:textId="77777777">
        <w:trPr>
          <w:trHeight w:val="290"/>
        </w:trPr>
        <w:tc>
          <w:tcPr>
            <w:tcW w:w="2819" w:type="pct"/>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0DDE6D62" w14:textId="77777777">
            <w:pPr>
              <w:suppressAutoHyphens/>
              <w:spacing w:after="0"/>
              <w:rPr>
                <w:b/>
                <w:bCs/>
                <w:color w:val="000000"/>
                <w:sz w:val="20"/>
                <w:szCs w:val="20"/>
                <w:lang w:eastAsia="nl-NL"/>
              </w:rPr>
            </w:pPr>
            <w:r w:rsidRPr="005F055E">
              <w:rPr>
                <w:b/>
                <w:bCs/>
                <w:color w:val="000000"/>
                <w:sz w:val="20"/>
                <w:szCs w:val="20"/>
                <w:lang w:eastAsia="nl-NL"/>
              </w:rPr>
              <w:t>TOTAAL</w:t>
            </w:r>
          </w:p>
        </w:tc>
        <w:tc>
          <w:tcPr>
            <w:tcW w:w="771"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9170CB7" w14:textId="77777777">
            <w:pPr>
              <w:suppressAutoHyphens/>
              <w:spacing w:after="0"/>
              <w:rPr>
                <w:b/>
                <w:bCs/>
                <w:color w:val="000000"/>
                <w:sz w:val="20"/>
                <w:szCs w:val="20"/>
                <w:lang w:eastAsia="nl-NL"/>
              </w:rPr>
            </w:pPr>
            <w:r w:rsidRPr="005F055E">
              <w:rPr>
                <w:b/>
                <w:bCs/>
                <w:color w:val="000000"/>
                <w:sz w:val="20"/>
                <w:szCs w:val="20"/>
                <w:lang w:eastAsia="nl-NL"/>
              </w:rPr>
              <w:t>48.471</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744F8039" w14:textId="77777777">
            <w:pPr>
              <w:suppressAutoHyphens/>
              <w:spacing w:after="0"/>
              <w:rPr>
                <w:b/>
                <w:bCs/>
                <w:color w:val="000000"/>
                <w:sz w:val="20"/>
                <w:szCs w:val="20"/>
                <w:lang w:eastAsia="nl-NL"/>
              </w:rPr>
            </w:pPr>
            <w:r w:rsidRPr="005F055E">
              <w:rPr>
                <w:b/>
                <w:bCs/>
                <w:color w:val="000000"/>
                <w:sz w:val="20"/>
                <w:szCs w:val="20"/>
                <w:lang w:eastAsia="nl-NL"/>
              </w:rPr>
              <w:t>48.928</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8F7104E" w14:textId="77777777">
            <w:pPr>
              <w:suppressAutoHyphens/>
              <w:spacing w:after="0"/>
              <w:rPr>
                <w:b/>
                <w:bCs/>
                <w:color w:val="000000"/>
                <w:sz w:val="20"/>
                <w:szCs w:val="20"/>
                <w:lang w:eastAsia="nl-NL"/>
              </w:rPr>
            </w:pPr>
            <w:r w:rsidRPr="005F055E">
              <w:rPr>
                <w:b/>
                <w:bCs/>
                <w:color w:val="000000"/>
                <w:sz w:val="20"/>
                <w:szCs w:val="20"/>
                <w:lang w:eastAsia="nl-NL"/>
              </w:rPr>
              <w:t>48.869</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9395515" w14:textId="77777777">
            <w:pPr>
              <w:suppressAutoHyphens/>
              <w:spacing w:after="0"/>
              <w:rPr>
                <w:b/>
                <w:bCs/>
                <w:color w:val="000000"/>
                <w:sz w:val="20"/>
                <w:szCs w:val="20"/>
                <w:lang w:eastAsia="nl-NL"/>
              </w:rPr>
            </w:pPr>
            <w:r w:rsidRPr="005F055E">
              <w:rPr>
                <w:b/>
                <w:bCs/>
                <w:color w:val="000000"/>
                <w:sz w:val="20"/>
                <w:szCs w:val="20"/>
                <w:lang w:eastAsia="nl-NL"/>
              </w:rPr>
              <w:t>48.815</w:t>
            </w:r>
          </w:p>
        </w:tc>
      </w:tr>
      <w:tr w:rsidRPr="005F055E" w:rsidR="008D2F23" w:rsidTr="00D71325" w14:paraId="4B87C379" w14:textId="77777777">
        <w:trPr>
          <w:trHeight w:val="290"/>
        </w:trPr>
        <w:tc>
          <w:tcPr>
            <w:tcW w:w="2819" w:type="pct"/>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694E72A3" w14:textId="77777777">
            <w:pPr>
              <w:suppressAutoHyphens/>
              <w:spacing w:after="0"/>
              <w:rPr>
                <w:color w:val="000000"/>
                <w:sz w:val="20"/>
                <w:szCs w:val="20"/>
                <w:lang w:eastAsia="nl-NL"/>
              </w:rPr>
            </w:pPr>
            <w:r w:rsidRPr="005F055E">
              <w:rPr>
                <w:color w:val="000000"/>
                <w:sz w:val="20"/>
                <w:szCs w:val="20"/>
                <w:lang w:eastAsia="nl-NL"/>
              </w:rPr>
              <w:t> </w:t>
            </w:r>
          </w:p>
        </w:tc>
        <w:tc>
          <w:tcPr>
            <w:tcW w:w="771"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0190D8B2" w14:textId="77777777">
            <w:pPr>
              <w:suppressAutoHyphens/>
              <w:spacing w:after="0"/>
              <w:rPr>
                <w:color w:val="000000"/>
                <w:sz w:val="20"/>
                <w:szCs w:val="20"/>
                <w:lang w:eastAsia="nl-NL"/>
              </w:rPr>
            </w:pPr>
            <w:r w:rsidRPr="005F055E">
              <w:rPr>
                <w:color w:val="000000"/>
                <w:sz w:val="20"/>
                <w:szCs w:val="20"/>
                <w:lang w:eastAsia="nl-NL"/>
              </w:rPr>
              <w:t> </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CD5D359" w14:textId="77777777">
            <w:pPr>
              <w:suppressAutoHyphens/>
              <w:spacing w:after="0"/>
              <w:rPr>
                <w:color w:val="000000"/>
                <w:sz w:val="20"/>
                <w:szCs w:val="20"/>
                <w:lang w:eastAsia="nl-NL"/>
              </w:rPr>
            </w:pPr>
            <w:r w:rsidRPr="005F055E">
              <w:rPr>
                <w:color w:val="000000"/>
                <w:sz w:val="20"/>
                <w:szCs w:val="20"/>
                <w:lang w:eastAsia="nl-NL"/>
              </w:rPr>
              <w:t> </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219B708" w14:textId="77777777">
            <w:pPr>
              <w:suppressAutoHyphens/>
              <w:spacing w:after="0"/>
              <w:rPr>
                <w:color w:val="000000"/>
                <w:sz w:val="20"/>
                <w:szCs w:val="20"/>
                <w:lang w:eastAsia="nl-NL"/>
              </w:rPr>
            </w:pPr>
            <w:r w:rsidRPr="005F055E">
              <w:rPr>
                <w:color w:val="000000"/>
                <w:sz w:val="20"/>
                <w:szCs w:val="20"/>
                <w:lang w:eastAsia="nl-NL"/>
              </w:rPr>
              <w:t> </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4F8F67A3" w14:textId="77777777">
            <w:pPr>
              <w:suppressAutoHyphens/>
              <w:spacing w:after="0"/>
              <w:rPr>
                <w:color w:val="000000"/>
                <w:sz w:val="20"/>
                <w:szCs w:val="20"/>
                <w:lang w:eastAsia="nl-NL"/>
              </w:rPr>
            </w:pPr>
            <w:r w:rsidRPr="005F055E">
              <w:rPr>
                <w:color w:val="000000"/>
                <w:sz w:val="20"/>
                <w:szCs w:val="20"/>
                <w:lang w:eastAsia="nl-NL"/>
              </w:rPr>
              <w:t> </w:t>
            </w:r>
          </w:p>
        </w:tc>
      </w:tr>
      <w:tr w:rsidRPr="005F055E" w:rsidR="008D2F23" w:rsidTr="00D71325" w14:paraId="1A2A2E13" w14:textId="77777777">
        <w:trPr>
          <w:trHeight w:val="290"/>
        </w:trPr>
        <w:tc>
          <w:tcPr>
            <w:tcW w:w="2819" w:type="pct"/>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3262E6A7" w14:textId="77777777">
            <w:pPr>
              <w:suppressAutoHyphens/>
              <w:spacing w:after="0"/>
              <w:rPr>
                <w:b/>
                <w:bCs/>
                <w:color w:val="000000"/>
                <w:sz w:val="20"/>
                <w:szCs w:val="20"/>
                <w:lang w:eastAsia="nl-NL"/>
              </w:rPr>
            </w:pPr>
            <w:r w:rsidRPr="005F055E">
              <w:rPr>
                <w:b/>
                <w:bCs/>
                <w:color w:val="000000"/>
                <w:sz w:val="20"/>
                <w:szCs w:val="20"/>
                <w:lang w:eastAsia="nl-NL"/>
              </w:rPr>
              <w:t>niet IZA-sectoren</w:t>
            </w:r>
          </w:p>
        </w:tc>
        <w:tc>
          <w:tcPr>
            <w:tcW w:w="771"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17376B83" w14:textId="77777777">
            <w:pPr>
              <w:suppressAutoHyphens/>
              <w:spacing w:after="0"/>
              <w:rPr>
                <w:color w:val="000000"/>
                <w:sz w:val="20"/>
                <w:szCs w:val="20"/>
                <w:lang w:eastAsia="nl-NL"/>
              </w:rPr>
            </w:pPr>
            <w:r w:rsidRPr="005F055E">
              <w:rPr>
                <w:color w:val="000000"/>
                <w:sz w:val="20"/>
                <w:szCs w:val="20"/>
                <w:lang w:eastAsia="nl-NL"/>
              </w:rPr>
              <w:t> </w:t>
            </w:r>
            <w:r w:rsidRPr="005F055E">
              <w:rPr>
                <w:b/>
                <w:bCs/>
                <w:color w:val="000000"/>
                <w:sz w:val="20"/>
                <w:szCs w:val="20"/>
                <w:lang w:eastAsia="nl-NL"/>
              </w:rPr>
              <w:t>2027</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44244812" w14:textId="77777777">
            <w:pPr>
              <w:suppressAutoHyphens/>
              <w:spacing w:after="0"/>
              <w:rPr>
                <w:color w:val="000000"/>
                <w:sz w:val="20"/>
                <w:szCs w:val="20"/>
                <w:lang w:eastAsia="nl-NL"/>
              </w:rPr>
            </w:pPr>
            <w:r w:rsidRPr="005F055E">
              <w:rPr>
                <w:b/>
                <w:bCs/>
                <w:color w:val="000000"/>
                <w:sz w:val="20"/>
                <w:szCs w:val="20"/>
                <w:lang w:eastAsia="nl-NL"/>
              </w:rPr>
              <w:t>2028</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3EEDBF51" w14:textId="77777777">
            <w:pPr>
              <w:suppressAutoHyphens/>
              <w:spacing w:after="0"/>
              <w:rPr>
                <w:color w:val="000000"/>
                <w:sz w:val="20"/>
                <w:szCs w:val="20"/>
                <w:lang w:eastAsia="nl-NL"/>
              </w:rPr>
            </w:pPr>
            <w:r w:rsidRPr="005F055E">
              <w:rPr>
                <w:b/>
                <w:bCs/>
                <w:color w:val="000000"/>
                <w:sz w:val="20"/>
                <w:szCs w:val="20"/>
                <w:lang w:eastAsia="nl-NL"/>
              </w:rPr>
              <w:t>2029</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41D16C07" w14:textId="77777777">
            <w:pPr>
              <w:suppressAutoHyphens/>
              <w:spacing w:after="0"/>
              <w:rPr>
                <w:color w:val="000000"/>
                <w:sz w:val="20"/>
                <w:szCs w:val="20"/>
                <w:lang w:eastAsia="nl-NL"/>
              </w:rPr>
            </w:pPr>
            <w:r w:rsidRPr="005F055E">
              <w:rPr>
                <w:b/>
                <w:bCs/>
                <w:color w:val="000000"/>
                <w:sz w:val="20"/>
                <w:szCs w:val="20"/>
                <w:lang w:eastAsia="nl-NL"/>
              </w:rPr>
              <w:t>2030</w:t>
            </w:r>
          </w:p>
        </w:tc>
      </w:tr>
      <w:tr w:rsidRPr="005F055E" w:rsidR="008D2F23" w:rsidTr="00D71325" w14:paraId="6B6F1BE9" w14:textId="77777777">
        <w:trPr>
          <w:trHeight w:val="290"/>
        </w:trPr>
        <w:tc>
          <w:tcPr>
            <w:tcW w:w="2819" w:type="pct"/>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5F364719" w14:textId="77777777">
            <w:pPr>
              <w:suppressAutoHyphens/>
              <w:spacing w:after="0"/>
              <w:rPr>
                <w:color w:val="000000"/>
                <w:sz w:val="20"/>
                <w:szCs w:val="20"/>
                <w:lang w:eastAsia="nl-NL"/>
              </w:rPr>
            </w:pPr>
            <w:r w:rsidRPr="005F055E">
              <w:rPr>
                <w:color w:val="000000"/>
                <w:sz w:val="20"/>
                <w:szCs w:val="20"/>
                <w:lang w:eastAsia="nl-NL"/>
              </w:rPr>
              <w:t xml:space="preserve">Tandheelkundige zorg </w:t>
            </w:r>
            <w:proofErr w:type="spellStart"/>
            <w:r w:rsidRPr="005F055E">
              <w:rPr>
                <w:color w:val="000000"/>
                <w:sz w:val="20"/>
                <w:szCs w:val="20"/>
                <w:lang w:eastAsia="nl-NL"/>
              </w:rPr>
              <w:t>Zvw</w:t>
            </w:r>
            <w:proofErr w:type="spellEnd"/>
          </w:p>
        </w:tc>
        <w:tc>
          <w:tcPr>
            <w:tcW w:w="771"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40526CC3" w14:textId="77777777">
            <w:pPr>
              <w:suppressAutoHyphens/>
              <w:spacing w:after="0"/>
              <w:rPr>
                <w:color w:val="000000"/>
                <w:sz w:val="20"/>
                <w:szCs w:val="20"/>
                <w:lang w:eastAsia="nl-NL"/>
              </w:rPr>
            </w:pPr>
            <w:r w:rsidRPr="005F055E">
              <w:rPr>
                <w:color w:val="000000"/>
                <w:sz w:val="20"/>
                <w:szCs w:val="20"/>
                <w:lang w:eastAsia="nl-NL"/>
              </w:rPr>
              <w:t>1.059</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35235726" w14:textId="77777777">
            <w:pPr>
              <w:suppressAutoHyphens/>
              <w:spacing w:after="0"/>
              <w:rPr>
                <w:color w:val="000000"/>
                <w:sz w:val="20"/>
                <w:szCs w:val="20"/>
                <w:lang w:eastAsia="nl-NL"/>
              </w:rPr>
            </w:pPr>
            <w:r w:rsidRPr="005F055E">
              <w:rPr>
                <w:color w:val="000000"/>
                <w:sz w:val="20"/>
                <w:szCs w:val="20"/>
                <w:lang w:eastAsia="nl-NL"/>
              </w:rPr>
              <w:t>1.062</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7D30C45" w14:textId="77777777">
            <w:pPr>
              <w:suppressAutoHyphens/>
              <w:spacing w:after="0"/>
              <w:rPr>
                <w:color w:val="000000"/>
                <w:sz w:val="20"/>
                <w:szCs w:val="20"/>
                <w:lang w:eastAsia="nl-NL"/>
              </w:rPr>
            </w:pPr>
            <w:r w:rsidRPr="005F055E">
              <w:rPr>
                <w:color w:val="000000"/>
                <w:sz w:val="20"/>
                <w:szCs w:val="20"/>
                <w:lang w:eastAsia="nl-NL"/>
              </w:rPr>
              <w:t>1.062</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668A8722" w14:textId="77777777">
            <w:pPr>
              <w:suppressAutoHyphens/>
              <w:spacing w:after="0"/>
              <w:rPr>
                <w:color w:val="000000"/>
                <w:sz w:val="20"/>
                <w:szCs w:val="20"/>
                <w:lang w:eastAsia="nl-NL"/>
              </w:rPr>
            </w:pPr>
            <w:r w:rsidRPr="005F055E">
              <w:rPr>
                <w:color w:val="000000"/>
                <w:sz w:val="20"/>
                <w:szCs w:val="20"/>
                <w:lang w:eastAsia="nl-NL"/>
              </w:rPr>
              <w:t>1.062</w:t>
            </w:r>
          </w:p>
        </w:tc>
      </w:tr>
      <w:tr w:rsidRPr="005F055E" w:rsidR="008D2F23" w:rsidTr="00D71325" w14:paraId="0D12515D" w14:textId="77777777">
        <w:trPr>
          <w:trHeight w:val="290"/>
        </w:trPr>
        <w:tc>
          <w:tcPr>
            <w:tcW w:w="2819" w:type="pct"/>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208E9D74" w14:textId="77777777">
            <w:pPr>
              <w:suppressAutoHyphens/>
              <w:spacing w:after="0"/>
              <w:rPr>
                <w:color w:val="000000"/>
                <w:sz w:val="20"/>
                <w:szCs w:val="20"/>
                <w:lang w:eastAsia="nl-NL"/>
              </w:rPr>
            </w:pPr>
            <w:r w:rsidRPr="005F055E">
              <w:rPr>
                <w:color w:val="000000"/>
                <w:sz w:val="20"/>
                <w:szCs w:val="20"/>
                <w:lang w:eastAsia="nl-NL"/>
              </w:rPr>
              <w:t>Zorg voor zintuiglijk gehandicapten</w:t>
            </w:r>
          </w:p>
        </w:tc>
        <w:tc>
          <w:tcPr>
            <w:tcW w:w="771"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1A3B1C85" w14:textId="77777777">
            <w:pPr>
              <w:suppressAutoHyphens/>
              <w:spacing w:after="0"/>
              <w:rPr>
                <w:color w:val="000000"/>
                <w:sz w:val="20"/>
                <w:szCs w:val="20"/>
                <w:lang w:eastAsia="nl-NL"/>
              </w:rPr>
            </w:pPr>
            <w:r w:rsidRPr="005F055E">
              <w:rPr>
                <w:color w:val="000000"/>
                <w:sz w:val="20"/>
                <w:szCs w:val="20"/>
                <w:lang w:eastAsia="nl-NL"/>
              </w:rPr>
              <w:t>258</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68C1E8B0" w14:textId="77777777">
            <w:pPr>
              <w:suppressAutoHyphens/>
              <w:spacing w:after="0"/>
              <w:rPr>
                <w:color w:val="000000"/>
                <w:sz w:val="20"/>
                <w:szCs w:val="20"/>
                <w:lang w:eastAsia="nl-NL"/>
              </w:rPr>
            </w:pPr>
            <w:r w:rsidRPr="005F055E">
              <w:rPr>
                <w:color w:val="000000"/>
                <w:sz w:val="20"/>
                <w:szCs w:val="20"/>
                <w:lang w:eastAsia="nl-NL"/>
              </w:rPr>
              <w:t>259</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7208A7FD" w14:textId="77777777">
            <w:pPr>
              <w:suppressAutoHyphens/>
              <w:spacing w:after="0"/>
              <w:rPr>
                <w:color w:val="000000"/>
                <w:sz w:val="20"/>
                <w:szCs w:val="20"/>
                <w:lang w:eastAsia="nl-NL"/>
              </w:rPr>
            </w:pPr>
            <w:r w:rsidRPr="005F055E">
              <w:rPr>
                <w:color w:val="000000"/>
                <w:sz w:val="20"/>
                <w:szCs w:val="20"/>
                <w:lang w:eastAsia="nl-NL"/>
              </w:rPr>
              <w:t>259</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51217F02" w14:textId="77777777">
            <w:pPr>
              <w:suppressAutoHyphens/>
              <w:spacing w:after="0"/>
              <w:rPr>
                <w:color w:val="000000"/>
                <w:sz w:val="20"/>
                <w:szCs w:val="20"/>
                <w:lang w:eastAsia="nl-NL"/>
              </w:rPr>
            </w:pPr>
            <w:r w:rsidRPr="005F055E">
              <w:rPr>
                <w:color w:val="000000"/>
                <w:sz w:val="20"/>
                <w:szCs w:val="20"/>
                <w:lang w:eastAsia="nl-NL"/>
              </w:rPr>
              <w:t>259</w:t>
            </w:r>
          </w:p>
        </w:tc>
      </w:tr>
      <w:tr w:rsidRPr="005F055E" w:rsidR="008D2F23" w:rsidTr="00D71325" w14:paraId="1325179F" w14:textId="77777777">
        <w:trPr>
          <w:trHeight w:val="290"/>
        </w:trPr>
        <w:tc>
          <w:tcPr>
            <w:tcW w:w="2819" w:type="pct"/>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12C803E7" w14:textId="77777777">
            <w:pPr>
              <w:suppressAutoHyphens/>
              <w:spacing w:after="0"/>
              <w:rPr>
                <w:color w:val="000000"/>
                <w:sz w:val="20"/>
                <w:szCs w:val="20"/>
                <w:lang w:eastAsia="nl-NL"/>
              </w:rPr>
            </w:pPr>
            <w:r w:rsidRPr="005F055E">
              <w:rPr>
                <w:color w:val="000000"/>
                <w:sz w:val="20"/>
                <w:szCs w:val="20"/>
                <w:lang w:eastAsia="nl-NL"/>
              </w:rPr>
              <w:t>Paramedische zorg</w:t>
            </w:r>
          </w:p>
        </w:tc>
        <w:tc>
          <w:tcPr>
            <w:tcW w:w="771"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1E4A615A" w14:textId="77777777">
            <w:pPr>
              <w:suppressAutoHyphens/>
              <w:spacing w:after="0"/>
              <w:rPr>
                <w:color w:val="000000"/>
                <w:sz w:val="20"/>
                <w:szCs w:val="20"/>
                <w:lang w:eastAsia="nl-NL"/>
              </w:rPr>
            </w:pPr>
            <w:r w:rsidRPr="005F055E">
              <w:rPr>
                <w:color w:val="000000"/>
                <w:sz w:val="20"/>
                <w:szCs w:val="20"/>
                <w:lang w:eastAsia="nl-NL"/>
              </w:rPr>
              <w:t>1.191</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6858886" w14:textId="77777777">
            <w:pPr>
              <w:suppressAutoHyphens/>
              <w:spacing w:after="0"/>
              <w:rPr>
                <w:color w:val="000000"/>
                <w:sz w:val="20"/>
                <w:szCs w:val="20"/>
                <w:lang w:eastAsia="nl-NL"/>
              </w:rPr>
            </w:pPr>
            <w:r w:rsidRPr="005F055E">
              <w:rPr>
                <w:color w:val="000000"/>
                <w:sz w:val="20"/>
                <w:szCs w:val="20"/>
                <w:lang w:eastAsia="nl-NL"/>
              </w:rPr>
              <w:t>1.194</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6BD33373" w14:textId="77777777">
            <w:pPr>
              <w:suppressAutoHyphens/>
              <w:spacing w:after="0"/>
              <w:rPr>
                <w:color w:val="000000"/>
                <w:sz w:val="20"/>
                <w:szCs w:val="20"/>
                <w:lang w:eastAsia="nl-NL"/>
              </w:rPr>
            </w:pPr>
            <w:r w:rsidRPr="005F055E">
              <w:rPr>
                <w:color w:val="000000"/>
                <w:sz w:val="20"/>
                <w:szCs w:val="20"/>
                <w:lang w:eastAsia="nl-NL"/>
              </w:rPr>
              <w:t>1.194</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069BA84" w14:textId="77777777">
            <w:pPr>
              <w:suppressAutoHyphens/>
              <w:spacing w:after="0"/>
              <w:rPr>
                <w:color w:val="000000"/>
                <w:sz w:val="20"/>
                <w:szCs w:val="20"/>
                <w:lang w:eastAsia="nl-NL"/>
              </w:rPr>
            </w:pPr>
            <w:r w:rsidRPr="005F055E">
              <w:rPr>
                <w:color w:val="000000"/>
                <w:sz w:val="20"/>
                <w:szCs w:val="20"/>
                <w:lang w:eastAsia="nl-NL"/>
              </w:rPr>
              <w:t>1.194</w:t>
            </w:r>
          </w:p>
        </w:tc>
      </w:tr>
      <w:tr w:rsidRPr="005F055E" w:rsidR="008D2F23" w:rsidTr="00D71325" w14:paraId="2A86CCFF" w14:textId="77777777">
        <w:trPr>
          <w:trHeight w:val="290"/>
        </w:trPr>
        <w:tc>
          <w:tcPr>
            <w:tcW w:w="2819" w:type="pct"/>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1107F50C" w14:textId="77777777">
            <w:pPr>
              <w:suppressAutoHyphens/>
              <w:spacing w:after="0"/>
              <w:rPr>
                <w:color w:val="000000"/>
                <w:sz w:val="20"/>
                <w:szCs w:val="20"/>
                <w:lang w:eastAsia="nl-NL"/>
              </w:rPr>
            </w:pPr>
            <w:r w:rsidRPr="005F055E">
              <w:rPr>
                <w:color w:val="000000"/>
                <w:sz w:val="20"/>
                <w:szCs w:val="20"/>
                <w:lang w:eastAsia="nl-NL"/>
              </w:rPr>
              <w:t xml:space="preserve">Overig curatieve zorg </w:t>
            </w:r>
            <w:proofErr w:type="spellStart"/>
            <w:r w:rsidRPr="005F055E">
              <w:rPr>
                <w:color w:val="000000"/>
                <w:sz w:val="20"/>
                <w:szCs w:val="20"/>
                <w:lang w:eastAsia="nl-NL"/>
              </w:rPr>
              <w:t>Zvw</w:t>
            </w:r>
            <w:proofErr w:type="spellEnd"/>
          </w:p>
        </w:tc>
        <w:tc>
          <w:tcPr>
            <w:tcW w:w="771"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79508F5E" w14:textId="77777777">
            <w:pPr>
              <w:suppressAutoHyphens/>
              <w:spacing w:after="0"/>
              <w:rPr>
                <w:color w:val="000000"/>
                <w:sz w:val="20"/>
                <w:szCs w:val="20"/>
                <w:lang w:eastAsia="nl-NL"/>
              </w:rPr>
            </w:pPr>
            <w:r w:rsidRPr="005F055E">
              <w:rPr>
                <w:color w:val="000000"/>
                <w:sz w:val="20"/>
                <w:szCs w:val="20"/>
                <w:lang w:eastAsia="nl-NL"/>
              </w:rPr>
              <w:t>689</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2990A54" w14:textId="77777777">
            <w:pPr>
              <w:suppressAutoHyphens/>
              <w:spacing w:after="0"/>
              <w:rPr>
                <w:color w:val="000000"/>
                <w:sz w:val="20"/>
                <w:szCs w:val="20"/>
                <w:lang w:eastAsia="nl-NL"/>
              </w:rPr>
            </w:pPr>
            <w:r w:rsidRPr="005F055E">
              <w:rPr>
                <w:color w:val="000000"/>
                <w:sz w:val="20"/>
                <w:szCs w:val="20"/>
                <w:lang w:eastAsia="nl-NL"/>
              </w:rPr>
              <w:t>689</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642DF1AF" w14:textId="77777777">
            <w:pPr>
              <w:suppressAutoHyphens/>
              <w:spacing w:after="0"/>
              <w:rPr>
                <w:color w:val="000000"/>
                <w:sz w:val="20"/>
                <w:szCs w:val="20"/>
                <w:lang w:eastAsia="nl-NL"/>
              </w:rPr>
            </w:pPr>
            <w:r w:rsidRPr="005F055E">
              <w:rPr>
                <w:color w:val="000000"/>
                <w:sz w:val="20"/>
                <w:szCs w:val="20"/>
                <w:lang w:eastAsia="nl-NL"/>
              </w:rPr>
              <w:t>689</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519DB71E" w14:textId="77777777">
            <w:pPr>
              <w:suppressAutoHyphens/>
              <w:spacing w:after="0"/>
              <w:rPr>
                <w:color w:val="000000"/>
                <w:sz w:val="20"/>
                <w:szCs w:val="20"/>
                <w:lang w:eastAsia="nl-NL"/>
              </w:rPr>
            </w:pPr>
            <w:r w:rsidRPr="005F055E">
              <w:rPr>
                <w:color w:val="000000"/>
                <w:sz w:val="20"/>
                <w:szCs w:val="20"/>
                <w:lang w:eastAsia="nl-NL"/>
              </w:rPr>
              <w:t>689</w:t>
            </w:r>
          </w:p>
        </w:tc>
      </w:tr>
      <w:tr w:rsidRPr="005F055E" w:rsidR="008D2F23" w:rsidTr="00D71325" w14:paraId="36ECB7CD" w14:textId="77777777">
        <w:trPr>
          <w:trHeight w:val="290"/>
        </w:trPr>
        <w:tc>
          <w:tcPr>
            <w:tcW w:w="2819" w:type="pct"/>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107316F9" w14:textId="77777777">
            <w:pPr>
              <w:suppressAutoHyphens/>
              <w:spacing w:after="0"/>
              <w:rPr>
                <w:color w:val="000000"/>
                <w:sz w:val="20"/>
                <w:szCs w:val="20"/>
                <w:lang w:eastAsia="nl-NL"/>
              </w:rPr>
            </w:pPr>
            <w:r w:rsidRPr="005F055E">
              <w:rPr>
                <w:color w:val="000000"/>
                <w:sz w:val="20"/>
                <w:szCs w:val="20"/>
                <w:lang w:eastAsia="nl-NL"/>
              </w:rPr>
              <w:t>Ambulancezorg</w:t>
            </w:r>
          </w:p>
        </w:tc>
        <w:tc>
          <w:tcPr>
            <w:tcW w:w="771"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A451B1C" w14:textId="77777777">
            <w:pPr>
              <w:suppressAutoHyphens/>
              <w:spacing w:after="0"/>
              <w:rPr>
                <w:color w:val="000000"/>
                <w:sz w:val="20"/>
                <w:szCs w:val="20"/>
                <w:lang w:eastAsia="nl-NL"/>
              </w:rPr>
            </w:pPr>
            <w:r w:rsidRPr="005F055E">
              <w:rPr>
                <w:color w:val="000000"/>
                <w:sz w:val="20"/>
                <w:szCs w:val="20"/>
                <w:lang w:eastAsia="nl-NL"/>
              </w:rPr>
              <w:t>1.031</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382DD40B" w14:textId="77777777">
            <w:pPr>
              <w:suppressAutoHyphens/>
              <w:spacing w:after="0"/>
              <w:rPr>
                <w:color w:val="000000"/>
                <w:sz w:val="20"/>
                <w:szCs w:val="20"/>
                <w:lang w:eastAsia="nl-NL"/>
              </w:rPr>
            </w:pPr>
            <w:r w:rsidRPr="005F055E">
              <w:rPr>
                <w:color w:val="000000"/>
                <w:sz w:val="20"/>
                <w:szCs w:val="20"/>
                <w:lang w:eastAsia="nl-NL"/>
              </w:rPr>
              <w:t>1.034</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512C7FCA" w14:textId="77777777">
            <w:pPr>
              <w:suppressAutoHyphens/>
              <w:spacing w:after="0"/>
              <w:rPr>
                <w:color w:val="000000"/>
                <w:sz w:val="20"/>
                <w:szCs w:val="20"/>
                <w:lang w:eastAsia="nl-NL"/>
              </w:rPr>
            </w:pPr>
            <w:r w:rsidRPr="005F055E">
              <w:rPr>
                <w:color w:val="000000"/>
                <w:sz w:val="20"/>
                <w:szCs w:val="20"/>
                <w:lang w:eastAsia="nl-NL"/>
              </w:rPr>
              <w:t>1.034</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332F4166" w14:textId="77777777">
            <w:pPr>
              <w:suppressAutoHyphens/>
              <w:spacing w:after="0"/>
              <w:rPr>
                <w:color w:val="000000"/>
                <w:sz w:val="20"/>
                <w:szCs w:val="20"/>
                <w:lang w:eastAsia="nl-NL"/>
              </w:rPr>
            </w:pPr>
            <w:r w:rsidRPr="005F055E">
              <w:rPr>
                <w:color w:val="000000"/>
                <w:sz w:val="20"/>
                <w:szCs w:val="20"/>
                <w:lang w:eastAsia="nl-NL"/>
              </w:rPr>
              <w:t>1.034</w:t>
            </w:r>
          </w:p>
        </w:tc>
      </w:tr>
      <w:tr w:rsidRPr="005F055E" w:rsidR="008D2F23" w:rsidTr="00D71325" w14:paraId="2613C4EE" w14:textId="77777777">
        <w:trPr>
          <w:trHeight w:val="290"/>
        </w:trPr>
        <w:tc>
          <w:tcPr>
            <w:tcW w:w="2819" w:type="pct"/>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325413D5" w14:textId="77777777">
            <w:pPr>
              <w:suppressAutoHyphens/>
              <w:spacing w:after="0"/>
              <w:rPr>
                <w:color w:val="000000"/>
                <w:sz w:val="20"/>
                <w:szCs w:val="20"/>
                <w:lang w:eastAsia="nl-NL"/>
              </w:rPr>
            </w:pPr>
            <w:r w:rsidRPr="005F055E">
              <w:rPr>
                <w:color w:val="000000"/>
                <w:sz w:val="20"/>
                <w:szCs w:val="20"/>
                <w:lang w:eastAsia="nl-NL"/>
              </w:rPr>
              <w:t>Overig ziekenvervoer</w:t>
            </w:r>
          </w:p>
        </w:tc>
        <w:tc>
          <w:tcPr>
            <w:tcW w:w="771"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5E899C7B" w14:textId="77777777">
            <w:pPr>
              <w:suppressAutoHyphens/>
              <w:spacing w:after="0"/>
              <w:rPr>
                <w:color w:val="000000"/>
                <w:sz w:val="20"/>
                <w:szCs w:val="20"/>
                <w:lang w:eastAsia="nl-NL"/>
              </w:rPr>
            </w:pPr>
            <w:r w:rsidRPr="005F055E">
              <w:rPr>
                <w:color w:val="000000"/>
                <w:sz w:val="20"/>
                <w:szCs w:val="20"/>
                <w:lang w:eastAsia="nl-NL"/>
              </w:rPr>
              <w:t>121</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60450D2C" w14:textId="77777777">
            <w:pPr>
              <w:suppressAutoHyphens/>
              <w:spacing w:after="0"/>
              <w:rPr>
                <w:color w:val="000000"/>
                <w:sz w:val="20"/>
                <w:szCs w:val="20"/>
                <w:lang w:eastAsia="nl-NL"/>
              </w:rPr>
            </w:pPr>
            <w:r w:rsidRPr="005F055E">
              <w:rPr>
                <w:color w:val="000000"/>
                <w:sz w:val="20"/>
                <w:szCs w:val="20"/>
                <w:lang w:eastAsia="nl-NL"/>
              </w:rPr>
              <w:t>122</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54173FCD" w14:textId="77777777">
            <w:pPr>
              <w:suppressAutoHyphens/>
              <w:spacing w:after="0"/>
              <w:rPr>
                <w:color w:val="000000"/>
                <w:sz w:val="20"/>
                <w:szCs w:val="20"/>
                <w:lang w:eastAsia="nl-NL"/>
              </w:rPr>
            </w:pPr>
            <w:r w:rsidRPr="005F055E">
              <w:rPr>
                <w:color w:val="000000"/>
                <w:sz w:val="20"/>
                <w:szCs w:val="20"/>
                <w:lang w:eastAsia="nl-NL"/>
              </w:rPr>
              <w:t>122</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1AF78E1E" w14:textId="77777777">
            <w:pPr>
              <w:suppressAutoHyphens/>
              <w:spacing w:after="0"/>
              <w:rPr>
                <w:color w:val="000000"/>
                <w:sz w:val="20"/>
                <w:szCs w:val="20"/>
                <w:lang w:eastAsia="nl-NL"/>
              </w:rPr>
            </w:pPr>
            <w:r w:rsidRPr="005F055E">
              <w:rPr>
                <w:color w:val="000000"/>
                <w:sz w:val="20"/>
                <w:szCs w:val="20"/>
                <w:lang w:eastAsia="nl-NL"/>
              </w:rPr>
              <w:t>122</w:t>
            </w:r>
          </w:p>
        </w:tc>
      </w:tr>
      <w:tr w:rsidRPr="005F055E" w:rsidR="008D2F23" w:rsidTr="00D71325" w14:paraId="72B51283" w14:textId="77777777">
        <w:trPr>
          <w:trHeight w:val="290"/>
        </w:trPr>
        <w:tc>
          <w:tcPr>
            <w:tcW w:w="2819" w:type="pct"/>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5F76A27F" w14:textId="77777777">
            <w:pPr>
              <w:suppressAutoHyphens/>
              <w:spacing w:after="0"/>
              <w:rPr>
                <w:color w:val="000000"/>
                <w:sz w:val="20"/>
                <w:szCs w:val="20"/>
                <w:lang w:eastAsia="nl-NL"/>
              </w:rPr>
            </w:pPr>
            <w:r w:rsidRPr="005F055E">
              <w:rPr>
                <w:color w:val="000000"/>
                <w:sz w:val="20"/>
                <w:szCs w:val="20"/>
                <w:lang w:eastAsia="nl-NL"/>
              </w:rPr>
              <w:t>Apotheekzorg</w:t>
            </w:r>
          </w:p>
        </w:tc>
        <w:tc>
          <w:tcPr>
            <w:tcW w:w="771"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6544B947" w14:textId="77777777">
            <w:pPr>
              <w:suppressAutoHyphens/>
              <w:spacing w:after="0"/>
              <w:rPr>
                <w:color w:val="000000"/>
                <w:sz w:val="20"/>
                <w:szCs w:val="20"/>
                <w:lang w:eastAsia="nl-NL"/>
              </w:rPr>
            </w:pPr>
            <w:r w:rsidRPr="005F055E">
              <w:rPr>
                <w:color w:val="000000"/>
                <w:sz w:val="20"/>
                <w:szCs w:val="20"/>
                <w:lang w:eastAsia="nl-NL"/>
              </w:rPr>
              <w:t>6.274</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1884BC27" w14:textId="77777777">
            <w:pPr>
              <w:suppressAutoHyphens/>
              <w:spacing w:after="0"/>
              <w:rPr>
                <w:color w:val="000000"/>
                <w:sz w:val="20"/>
                <w:szCs w:val="20"/>
                <w:lang w:eastAsia="nl-NL"/>
              </w:rPr>
            </w:pPr>
            <w:r w:rsidRPr="005F055E">
              <w:rPr>
                <w:color w:val="000000"/>
                <w:sz w:val="20"/>
                <w:szCs w:val="20"/>
                <w:lang w:eastAsia="nl-NL"/>
              </w:rPr>
              <w:t>6.289</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3732D21A" w14:textId="77777777">
            <w:pPr>
              <w:suppressAutoHyphens/>
              <w:spacing w:after="0"/>
              <w:rPr>
                <w:color w:val="000000"/>
                <w:sz w:val="20"/>
                <w:szCs w:val="20"/>
                <w:lang w:eastAsia="nl-NL"/>
              </w:rPr>
            </w:pPr>
            <w:r w:rsidRPr="005F055E">
              <w:rPr>
                <w:color w:val="000000"/>
                <w:sz w:val="20"/>
                <w:szCs w:val="20"/>
                <w:lang w:eastAsia="nl-NL"/>
              </w:rPr>
              <w:t>6.284</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33B2F02F" w14:textId="77777777">
            <w:pPr>
              <w:suppressAutoHyphens/>
              <w:spacing w:after="0"/>
              <w:rPr>
                <w:color w:val="000000"/>
                <w:sz w:val="20"/>
                <w:szCs w:val="20"/>
                <w:lang w:eastAsia="nl-NL"/>
              </w:rPr>
            </w:pPr>
            <w:r w:rsidRPr="005F055E">
              <w:rPr>
                <w:color w:val="000000"/>
                <w:sz w:val="20"/>
                <w:szCs w:val="20"/>
                <w:lang w:eastAsia="nl-NL"/>
              </w:rPr>
              <w:t>6.284</w:t>
            </w:r>
          </w:p>
        </w:tc>
      </w:tr>
      <w:tr w:rsidRPr="005F055E" w:rsidR="008D2F23" w:rsidTr="00D71325" w14:paraId="5D48B0AC" w14:textId="77777777">
        <w:trPr>
          <w:trHeight w:val="290"/>
        </w:trPr>
        <w:tc>
          <w:tcPr>
            <w:tcW w:w="2819" w:type="pct"/>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27942AD2" w14:textId="77777777">
            <w:pPr>
              <w:suppressAutoHyphens/>
              <w:spacing w:after="0"/>
              <w:rPr>
                <w:color w:val="000000"/>
                <w:sz w:val="20"/>
                <w:szCs w:val="20"/>
                <w:lang w:eastAsia="nl-NL"/>
              </w:rPr>
            </w:pPr>
            <w:r w:rsidRPr="005F055E">
              <w:rPr>
                <w:color w:val="000000"/>
                <w:sz w:val="20"/>
                <w:szCs w:val="20"/>
                <w:lang w:eastAsia="nl-NL"/>
              </w:rPr>
              <w:t>Hulpmiddelen</w:t>
            </w:r>
          </w:p>
        </w:tc>
        <w:tc>
          <w:tcPr>
            <w:tcW w:w="771"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7A3B7E3F" w14:textId="77777777">
            <w:pPr>
              <w:suppressAutoHyphens/>
              <w:spacing w:after="0"/>
              <w:rPr>
                <w:color w:val="000000"/>
                <w:sz w:val="20"/>
                <w:szCs w:val="20"/>
                <w:lang w:eastAsia="nl-NL"/>
              </w:rPr>
            </w:pPr>
            <w:r w:rsidRPr="005F055E">
              <w:rPr>
                <w:color w:val="000000"/>
                <w:sz w:val="20"/>
                <w:szCs w:val="20"/>
                <w:lang w:eastAsia="nl-NL"/>
              </w:rPr>
              <w:t>2.211</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57672D6C" w14:textId="77777777">
            <w:pPr>
              <w:suppressAutoHyphens/>
              <w:spacing w:after="0"/>
              <w:rPr>
                <w:color w:val="000000"/>
                <w:sz w:val="20"/>
                <w:szCs w:val="20"/>
                <w:lang w:eastAsia="nl-NL"/>
              </w:rPr>
            </w:pPr>
            <w:r w:rsidRPr="005F055E">
              <w:rPr>
                <w:color w:val="000000"/>
                <w:sz w:val="20"/>
                <w:szCs w:val="20"/>
                <w:lang w:eastAsia="nl-NL"/>
              </w:rPr>
              <w:t>2.218</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C466FDD" w14:textId="77777777">
            <w:pPr>
              <w:suppressAutoHyphens/>
              <w:spacing w:after="0"/>
              <w:rPr>
                <w:color w:val="000000"/>
                <w:sz w:val="20"/>
                <w:szCs w:val="20"/>
                <w:lang w:eastAsia="nl-NL"/>
              </w:rPr>
            </w:pPr>
            <w:r w:rsidRPr="005F055E">
              <w:rPr>
                <w:color w:val="000000"/>
                <w:sz w:val="20"/>
                <w:szCs w:val="20"/>
                <w:lang w:eastAsia="nl-NL"/>
              </w:rPr>
              <w:t>2.218</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53E2CC8" w14:textId="77777777">
            <w:pPr>
              <w:suppressAutoHyphens/>
              <w:spacing w:after="0"/>
              <w:rPr>
                <w:color w:val="000000"/>
                <w:sz w:val="20"/>
                <w:szCs w:val="20"/>
                <w:lang w:eastAsia="nl-NL"/>
              </w:rPr>
            </w:pPr>
            <w:r w:rsidRPr="005F055E">
              <w:rPr>
                <w:color w:val="000000"/>
                <w:sz w:val="20"/>
                <w:szCs w:val="20"/>
                <w:lang w:eastAsia="nl-NL"/>
              </w:rPr>
              <w:t>2.218</w:t>
            </w:r>
          </w:p>
        </w:tc>
      </w:tr>
      <w:tr w:rsidRPr="005F055E" w:rsidR="008D2F23" w:rsidTr="00D71325" w14:paraId="6DFB78F4" w14:textId="77777777">
        <w:trPr>
          <w:trHeight w:val="290"/>
        </w:trPr>
        <w:tc>
          <w:tcPr>
            <w:tcW w:w="2819" w:type="pct"/>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48AEA348" w14:textId="77777777">
            <w:pPr>
              <w:suppressAutoHyphens/>
              <w:spacing w:after="0"/>
              <w:rPr>
                <w:color w:val="000000"/>
                <w:sz w:val="20"/>
                <w:szCs w:val="20"/>
                <w:lang w:eastAsia="nl-NL"/>
              </w:rPr>
            </w:pPr>
            <w:r w:rsidRPr="005F055E">
              <w:rPr>
                <w:color w:val="000000"/>
                <w:sz w:val="20"/>
                <w:szCs w:val="20"/>
                <w:lang w:eastAsia="nl-NL"/>
              </w:rPr>
              <w:t>Grensoverschrijdende zorg (in MPB)</w:t>
            </w:r>
          </w:p>
        </w:tc>
        <w:tc>
          <w:tcPr>
            <w:tcW w:w="771"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6EBAD11A" w14:textId="77777777">
            <w:pPr>
              <w:suppressAutoHyphens/>
              <w:spacing w:after="0"/>
              <w:rPr>
                <w:color w:val="000000"/>
                <w:sz w:val="20"/>
                <w:szCs w:val="20"/>
                <w:lang w:eastAsia="nl-NL"/>
              </w:rPr>
            </w:pPr>
            <w:r w:rsidRPr="005F055E">
              <w:rPr>
                <w:color w:val="000000"/>
                <w:sz w:val="20"/>
                <w:szCs w:val="20"/>
                <w:lang w:eastAsia="nl-NL"/>
              </w:rPr>
              <w:t>607</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0FF4CB62" w14:textId="77777777">
            <w:pPr>
              <w:suppressAutoHyphens/>
              <w:spacing w:after="0"/>
              <w:rPr>
                <w:color w:val="000000"/>
                <w:sz w:val="20"/>
                <w:szCs w:val="20"/>
                <w:lang w:eastAsia="nl-NL"/>
              </w:rPr>
            </w:pPr>
            <w:r w:rsidRPr="005F055E">
              <w:rPr>
                <w:color w:val="000000"/>
                <w:sz w:val="20"/>
                <w:szCs w:val="20"/>
                <w:lang w:eastAsia="nl-NL"/>
              </w:rPr>
              <w:t>609</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3D2B28AC" w14:textId="77777777">
            <w:pPr>
              <w:suppressAutoHyphens/>
              <w:spacing w:after="0"/>
              <w:rPr>
                <w:color w:val="000000"/>
                <w:sz w:val="20"/>
                <w:szCs w:val="20"/>
                <w:lang w:eastAsia="nl-NL"/>
              </w:rPr>
            </w:pPr>
            <w:r w:rsidRPr="005F055E">
              <w:rPr>
                <w:color w:val="000000"/>
                <w:sz w:val="20"/>
                <w:szCs w:val="20"/>
                <w:lang w:eastAsia="nl-NL"/>
              </w:rPr>
              <w:t>609</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3BC41F8F" w14:textId="77777777">
            <w:pPr>
              <w:suppressAutoHyphens/>
              <w:spacing w:after="0"/>
              <w:rPr>
                <w:color w:val="000000"/>
                <w:sz w:val="20"/>
                <w:szCs w:val="20"/>
                <w:lang w:eastAsia="nl-NL"/>
              </w:rPr>
            </w:pPr>
            <w:r w:rsidRPr="005F055E">
              <w:rPr>
                <w:color w:val="000000"/>
                <w:sz w:val="20"/>
                <w:szCs w:val="20"/>
                <w:lang w:eastAsia="nl-NL"/>
              </w:rPr>
              <w:t>609</w:t>
            </w:r>
          </w:p>
        </w:tc>
      </w:tr>
      <w:tr w:rsidRPr="005F055E" w:rsidR="008D2F23" w:rsidTr="00D71325" w14:paraId="6FCF1135" w14:textId="77777777">
        <w:trPr>
          <w:trHeight w:val="290"/>
        </w:trPr>
        <w:tc>
          <w:tcPr>
            <w:tcW w:w="2819" w:type="pct"/>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635C17D5" w14:textId="77777777">
            <w:pPr>
              <w:suppressAutoHyphens/>
              <w:spacing w:after="0"/>
              <w:rPr>
                <w:color w:val="000000"/>
                <w:sz w:val="20"/>
                <w:szCs w:val="20"/>
                <w:lang w:eastAsia="nl-NL"/>
              </w:rPr>
            </w:pPr>
            <w:r w:rsidRPr="005F055E">
              <w:rPr>
                <w:color w:val="000000"/>
                <w:sz w:val="20"/>
                <w:szCs w:val="20"/>
                <w:lang w:eastAsia="nl-NL"/>
              </w:rPr>
              <w:t>Geriatrische revalidatiezorg/Eerstelijnsverblijf</w:t>
            </w:r>
          </w:p>
        </w:tc>
        <w:tc>
          <w:tcPr>
            <w:tcW w:w="771"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5F0B357F" w14:textId="77777777">
            <w:pPr>
              <w:suppressAutoHyphens/>
              <w:spacing w:after="0"/>
              <w:rPr>
                <w:color w:val="000000"/>
                <w:sz w:val="20"/>
                <w:szCs w:val="20"/>
                <w:lang w:eastAsia="nl-NL"/>
              </w:rPr>
            </w:pPr>
            <w:r w:rsidRPr="005F055E">
              <w:rPr>
                <w:color w:val="000000"/>
                <w:sz w:val="20"/>
                <w:szCs w:val="20"/>
                <w:lang w:eastAsia="nl-NL"/>
              </w:rPr>
              <w:t>1.584</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4C103149" w14:textId="77777777">
            <w:pPr>
              <w:suppressAutoHyphens/>
              <w:spacing w:after="0"/>
              <w:rPr>
                <w:color w:val="000000"/>
                <w:sz w:val="20"/>
                <w:szCs w:val="20"/>
                <w:lang w:eastAsia="nl-NL"/>
              </w:rPr>
            </w:pPr>
            <w:r w:rsidRPr="005F055E">
              <w:rPr>
                <w:color w:val="000000"/>
                <w:sz w:val="20"/>
                <w:szCs w:val="20"/>
                <w:lang w:eastAsia="nl-NL"/>
              </w:rPr>
              <w:t>1.588</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243FA9CB" w14:textId="77777777">
            <w:pPr>
              <w:suppressAutoHyphens/>
              <w:spacing w:after="0"/>
              <w:rPr>
                <w:color w:val="000000"/>
                <w:sz w:val="20"/>
                <w:szCs w:val="20"/>
                <w:lang w:eastAsia="nl-NL"/>
              </w:rPr>
            </w:pPr>
            <w:r w:rsidRPr="005F055E">
              <w:rPr>
                <w:color w:val="000000"/>
                <w:sz w:val="20"/>
                <w:szCs w:val="20"/>
                <w:lang w:eastAsia="nl-NL"/>
              </w:rPr>
              <w:t>1.588</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39619648" w14:textId="77777777">
            <w:pPr>
              <w:suppressAutoHyphens/>
              <w:spacing w:after="0"/>
              <w:rPr>
                <w:color w:val="000000"/>
                <w:sz w:val="20"/>
                <w:szCs w:val="20"/>
                <w:lang w:eastAsia="nl-NL"/>
              </w:rPr>
            </w:pPr>
            <w:r w:rsidRPr="005F055E">
              <w:rPr>
                <w:color w:val="000000"/>
                <w:sz w:val="20"/>
                <w:szCs w:val="20"/>
                <w:lang w:eastAsia="nl-NL"/>
              </w:rPr>
              <w:t>1.588</w:t>
            </w:r>
          </w:p>
        </w:tc>
      </w:tr>
      <w:tr w:rsidRPr="005F055E" w:rsidR="008D2F23" w:rsidTr="00D71325" w14:paraId="1E93264F" w14:textId="77777777">
        <w:trPr>
          <w:trHeight w:val="290"/>
        </w:trPr>
        <w:tc>
          <w:tcPr>
            <w:tcW w:w="2819" w:type="pct"/>
            <w:tcBorders>
              <w:top w:val="nil"/>
              <w:left w:val="single" w:color="auto" w:sz="4" w:space="0"/>
              <w:bottom w:val="single" w:color="auto" w:sz="4" w:space="0"/>
              <w:right w:val="single" w:color="auto" w:sz="4" w:space="0"/>
            </w:tcBorders>
            <w:shd w:val="clear" w:color="auto" w:fill="auto"/>
            <w:noWrap/>
            <w:vAlign w:val="center"/>
            <w:hideMark/>
          </w:tcPr>
          <w:p w:rsidRPr="005F055E" w:rsidR="008D2F23" w:rsidP="00180EEB" w:rsidRDefault="008D2F23" w14:paraId="75D42246" w14:textId="77777777">
            <w:pPr>
              <w:suppressAutoHyphens/>
              <w:spacing w:after="0"/>
              <w:rPr>
                <w:b/>
                <w:bCs/>
                <w:color w:val="000000"/>
                <w:sz w:val="20"/>
                <w:szCs w:val="20"/>
                <w:lang w:eastAsia="nl-NL"/>
              </w:rPr>
            </w:pPr>
            <w:r w:rsidRPr="005F055E">
              <w:rPr>
                <w:b/>
                <w:bCs/>
                <w:color w:val="000000"/>
                <w:sz w:val="20"/>
                <w:szCs w:val="20"/>
                <w:lang w:eastAsia="nl-NL"/>
              </w:rPr>
              <w:t>TOTAAL</w:t>
            </w:r>
          </w:p>
        </w:tc>
        <w:tc>
          <w:tcPr>
            <w:tcW w:w="771"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6633D9BA" w14:textId="77777777">
            <w:pPr>
              <w:suppressAutoHyphens/>
              <w:spacing w:after="0"/>
              <w:rPr>
                <w:b/>
                <w:bCs/>
                <w:color w:val="000000"/>
                <w:sz w:val="20"/>
                <w:szCs w:val="20"/>
                <w:lang w:eastAsia="nl-NL"/>
              </w:rPr>
            </w:pPr>
            <w:r w:rsidRPr="005F055E">
              <w:rPr>
                <w:b/>
                <w:bCs/>
                <w:color w:val="000000"/>
                <w:sz w:val="20"/>
                <w:szCs w:val="20"/>
                <w:lang w:eastAsia="nl-NL"/>
              </w:rPr>
              <w:t>15.025</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6E34AFFA" w14:textId="77777777">
            <w:pPr>
              <w:suppressAutoHyphens/>
              <w:spacing w:after="0"/>
              <w:rPr>
                <w:b/>
                <w:bCs/>
                <w:color w:val="000000"/>
                <w:sz w:val="20"/>
                <w:szCs w:val="20"/>
                <w:lang w:eastAsia="nl-NL"/>
              </w:rPr>
            </w:pPr>
            <w:r w:rsidRPr="005F055E">
              <w:rPr>
                <w:b/>
                <w:bCs/>
                <w:color w:val="000000"/>
                <w:sz w:val="20"/>
                <w:szCs w:val="20"/>
                <w:lang w:eastAsia="nl-NL"/>
              </w:rPr>
              <w:t>15.065</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764FE9E0" w14:textId="77777777">
            <w:pPr>
              <w:suppressAutoHyphens/>
              <w:spacing w:after="0"/>
              <w:rPr>
                <w:b/>
                <w:bCs/>
                <w:color w:val="000000"/>
                <w:sz w:val="20"/>
                <w:szCs w:val="20"/>
                <w:lang w:eastAsia="nl-NL"/>
              </w:rPr>
            </w:pPr>
            <w:r w:rsidRPr="005F055E">
              <w:rPr>
                <w:b/>
                <w:bCs/>
                <w:color w:val="000000"/>
                <w:sz w:val="20"/>
                <w:szCs w:val="20"/>
                <w:lang w:eastAsia="nl-NL"/>
              </w:rPr>
              <w:t>15.060</w:t>
            </w:r>
          </w:p>
        </w:tc>
        <w:tc>
          <w:tcPr>
            <w:tcW w:w="470" w:type="pct"/>
            <w:tcBorders>
              <w:top w:val="nil"/>
              <w:left w:val="nil"/>
              <w:bottom w:val="single" w:color="auto" w:sz="4" w:space="0"/>
              <w:right w:val="single" w:color="auto" w:sz="4" w:space="0"/>
            </w:tcBorders>
            <w:shd w:val="clear" w:color="auto" w:fill="auto"/>
            <w:noWrap/>
            <w:vAlign w:val="bottom"/>
            <w:hideMark/>
          </w:tcPr>
          <w:p w:rsidRPr="005F055E" w:rsidR="008D2F23" w:rsidP="00180EEB" w:rsidRDefault="008D2F23" w14:paraId="72CC317B" w14:textId="77777777">
            <w:pPr>
              <w:suppressAutoHyphens/>
              <w:spacing w:after="0"/>
              <w:rPr>
                <w:b/>
                <w:bCs/>
                <w:color w:val="000000"/>
                <w:sz w:val="20"/>
                <w:szCs w:val="20"/>
                <w:lang w:eastAsia="nl-NL"/>
              </w:rPr>
            </w:pPr>
            <w:r w:rsidRPr="005F055E">
              <w:rPr>
                <w:b/>
                <w:bCs/>
                <w:color w:val="000000"/>
                <w:sz w:val="20"/>
                <w:szCs w:val="20"/>
                <w:lang w:eastAsia="nl-NL"/>
              </w:rPr>
              <w:t>15.060</w:t>
            </w:r>
          </w:p>
        </w:tc>
      </w:tr>
    </w:tbl>
    <w:p w:rsidRPr="005F055E" w:rsidR="00D535AF" w:rsidP="00180EEB" w:rsidRDefault="00D535AF" w14:paraId="3FD150D4" w14:textId="77777777">
      <w:pPr>
        <w:suppressAutoHyphens/>
      </w:pPr>
    </w:p>
    <w:p w:rsidRPr="005F055E" w:rsidR="00D535AF" w:rsidP="00180EEB" w:rsidRDefault="003E7003" w14:paraId="03C55E4B" w14:textId="77777777">
      <w:pPr>
        <w:suppressAutoHyphens/>
      </w:pPr>
      <w:r w:rsidRPr="005F055E">
        <w:t>Vraag 472</w:t>
      </w:r>
    </w:p>
    <w:p w:rsidRPr="005F055E" w:rsidR="00D535AF" w:rsidP="00180EEB" w:rsidRDefault="003E7003" w14:paraId="6B5B484E" w14:textId="77777777">
      <w:pPr>
        <w:suppressAutoHyphens/>
      </w:pPr>
      <w:r w:rsidRPr="005F055E">
        <w:t xml:space="preserve">Wat is de geraamde omvang van </w:t>
      </w:r>
      <w:proofErr w:type="spellStart"/>
      <w:r w:rsidRPr="005F055E">
        <w:t>onderuitputting</w:t>
      </w:r>
      <w:proofErr w:type="spellEnd"/>
      <w:r w:rsidRPr="005F055E">
        <w:t xml:space="preserve"> in 2026 en 2027 per </w:t>
      </w:r>
      <w:proofErr w:type="spellStart"/>
      <w:r w:rsidRPr="005F055E">
        <w:t>Zvw</w:t>
      </w:r>
      <w:proofErr w:type="spellEnd"/>
      <w:r w:rsidRPr="005F055E">
        <w:t>-sector (inclusief ziekenhuiszorg en wijkverpleging), waar is deze begroot en voor welke doeleinden wordt zij ingezet?</w:t>
      </w:r>
    </w:p>
    <w:p w:rsidRPr="005F055E" w:rsidR="003E7003" w:rsidP="00180EEB" w:rsidRDefault="003E7003" w14:paraId="06FA1FE8" w14:textId="4C76244C">
      <w:pPr>
        <w:suppressAutoHyphens/>
      </w:pPr>
      <w:r w:rsidRPr="005F055E">
        <w:t>Antwoord</w:t>
      </w:r>
    </w:p>
    <w:p w:rsidRPr="005F055E" w:rsidR="008D2F23" w:rsidP="00180EEB" w:rsidRDefault="008D2F23" w14:paraId="2C6D8E46" w14:textId="77777777">
      <w:pPr>
        <w:suppressAutoHyphens/>
        <w:spacing w:line="240" w:lineRule="atLeast"/>
        <w:rPr>
          <w:szCs w:val="20"/>
          <w:lang w:eastAsia="nl-NL"/>
        </w:rPr>
      </w:pPr>
      <w:r w:rsidRPr="005F055E">
        <w:rPr>
          <w:szCs w:val="20"/>
          <w:lang w:eastAsia="nl-NL"/>
        </w:rPr>
        <w:t xml:space="preserve">Onder </w:t>
      </w:r>
      <w:proofErr w:type="spellStart"/>
      <w:r w:rsidRPr="005F055E">
        <w:rPr>
          <w:szCs w:val="20"/>
          <w:lang w:eastAsia="nl-NL"/>
        </w:rPr>
        <w:t>onderuitputting</w:t>
      </w:r>
      <w:proofErr w:type="spellEnd"/>
      <w:r w:rsidRPr="005F055E">
        <w:rPr>
          <w:szCs w:val="20"/>
          <w:lang w:eastAsia="nl-NL"/>
        </w:rPr>
        <w:t xml:space="preserve"> wordt doorgaans een meevaller verstaan die zich voordoet ten opzichte van de begroting van enig jaar. Op basis van uitvoeringscijfers die VWS elk jaar in het najaar ontvangt valt een eerste beeld van de </w:t>
      </w:r>
      <w:proofErr w:type="spellStart"/>
      <w:r w:rsidRPr="005F055E">
        <w:rPr>
          <w:szCs w:val="20"/>
          <w:lang w:eastAsia="nl-NL"/>
        </w:rPr>
        <w:t>onderuitputting</w:t>
      </w:r>
      <w:proofErr w:type="spellEnd"/>
      <w:r w:rsidRPr="005F055E">
        <w:rPr>
          <w:szCs w:val="20"/>
          <w:lang w:eastAsia="nl-NL"/>
        </w:rPr>
        <w:t xml:space="preserve"> voor het lopende jaar te bepalen. Uw Kamer wordt hierover via de begrotingsstukken geïnformeerd.</w:t>
      </w:r>
    </w:p>
    <w:p w:rsidRPr="005F055E" w:rsidR="008D2F23" w:rsidP="00180EEB" w:rsidRDefault="008D2F23" w14:paraId="01F7CC3B" w14:textId="2CFCA828">
      <w:pPr>
        <w:suppressAutoHyphens/>
        <w:spacing w:line="240" w:lineRule="atLeast"/>
        <w:rPr>
          <w:szCs w:val="20"/>
          <w:lang w:eastAsia="nl-NL"/>
        </w:rPr>
      </w:pPr>
      <w:r w:rsidRPr="005F055E">
        <w:rPr>
          <w:szCs w:val="20"/>
          <w:lang w:eastAsia="nl-NL"/>
        </w:rPr>
        <w:t xml:space="preserve">Een deel van de </w:t>
      </w:r>
      <w:proofErr w:type="spellStart"/>
      <w:r w:rsidRPr="005F055E">
        <w:rPr>
          <w:szCs w:val="20"/>
          <w:lang w:eastAsia="nl-NL"/>
        </w:rPr>
        <w:t>onderuitputting</w:t>
      </w:r>
      <w:proofErr w:type="spellEnd"/>
      <w:r w:rsidRPr="005F055E">
        <w:rPr>
          <w:szCs w:val="20"/>
          <w:lang w:eastAsia="nl-NL"/>
        </w:rPr>
        <w:t xml:space="preserve"> die zich voordoet wordt structureel verwerkt. In onderstaande tabel staat de doorwerking van mee- en tegenvallers sinds de start van het huidige kabinet </w:t>
      </w:r>
      <w:r w:rsidRPr="005F055E" w:rsidR="00AB4F6B">
        <w:rPr>
          <w:szCs w:val="20"/>
          <w:lang w:eastAsia="nl-NL"/>
        </w:rPr>
        <w:t xml:space="preserve">(het beeld op basis van de actualisatiecijfers die we na twee kwartalen in 2025 ontvangen hebben) </w:t>
      </w:r>
      <w:r w:rsidRPr="005F055E">
        <w:rPr>
          <w:szCs w:val="20"/>
          <w:lang w:eastAsia="nl-NL"/>
        </w:rPr>
        <w:t xml:space="preserve">naar 2026 en 2027 vermeld. Dit betreft dus bijstellingen in 2026 en 2027 ten opzichte van de raming 2026 en 2027 uit de raming ten tijde van de start van het huidige kabinet. </w:t>
      </w:r>
    </w:p>
    <w:p w:rsidR="008D2F23" w:rsidP="00180EEB" w:rsidRDefault="008D2F23" w14:paraId="53D85F45" w14:textId="3D7C4042">
      <w:pPr>
        <w:suppressAutoHyphens/>
        <w:spacing w:line="240" w:lineRule="atLeast"/>
        <w:rPr>
          <w:szCs w:val="20"/>
          <w:lang w:eastAsia="nl-NL"/>
        </w:rPr>
      </w:pPr>
      <w:r w:rsidRPr="005F055E">
        <w:rPr>
          <w:szCs w:val="20"/>
          <w:lang w:eastAsia="nl-NL"/>
        </w:rPr>
        <w:t>Het in onderstaande tabel gemelde saldo van mee- en tegenvallers is eerst ingezet voor budgettaire problematiek bij VWS, en daarna voor lastenverlichting.</w:t>
      </w:r>
    </w:p>
    <w:p w:rsidRPr="005F055E" w:rsidR="00180EEB" w:rsidP="00180EEB" w:rsidRDefault="00180EEB" w14:paraId="38BCE0B0" w14:textId="77777777">
      <w:pPr>
        <w:suppressAutoHyphens/>
        <w:spacing w:line="240" w:lineRule="atLeast"/>
        <w:rPr>
          <w:szCs w:val="20"/>
          <w:lang w:eastAsia="nl-NL"/>
        </w:rPr>
      </w:pPr>
    </w:p>
    <w:p w:rsidRPr="005F055E" w:rsidR="008D2F23" w:rsidP="00180EEB" w:rsidRDefault="008D2F23" w14:paraId="2ECBB388" w14:textId="77777777">
      <w:pPr>
        <w:suppressAutoHyphens/>
        <w:spacing w:line="240" w:lineRule="atLeast"/>
        <w:rPr>
          <w:i/>
          <w:iCs/>
          <w:szCs w:val="20"/>
          <w:lang w:eastAsia="nl-NL"/>
        </w:rPr>
      </w:pPr>
      <w:r w:rsidRPr="005F055E">
        <w:rPr>
          <w:i/>
          <w:iCs/>
          <w:szCs w:val="20"/>
          <w:lang w:eastAsia="nl-NL"/>
        </w:rPr>
        <w:t>Tabel: Mee- en tegenvallers ten opzichte van de meerjarige raming uit de Begroting 2024 in miljoenen</w:t>
      </w:r>
    </w:p>
    <w:tbl>
      <w:tblPr>
        <w:tblStyle w:val="TableGrid15"/>
        <w:tblW w:w="0" w:type="auto"/>
        <w:tblLook w:val="04A0" w:firstRow="1" w:lastRow="0" w:firstColumn="1" w:lastColumn="0" w:noHBand="0" w:noVBand="1"/>
      </w:tblPr>
      <w:tblGrid>
        <w:gridCol w:w="4253"/>
        <w:gridCol w:w="1418"/>
        <w:gridCol w:w="1418"/>
      </w:tblGrid>
      <w:tr w:rsidRPr="005F055E" w:rsidR="008D2F23" w:rsidTr="005E2643" w14:paraId="59E05242" w14:textId="77777777">
        <w:tc>
          <w:tcPr>
            <w:tcW w:w="4253" w:type="dxa"/>
          </w:tcPr>
          <w:p w:rsidRPr="005F055E" w:rsidR="008D2F23" w:rsidP="00180EEB" w:rsidRDefault="008D2F23" w14:paraId="57B33D99" w14:textId="77777777">
            <w:pPr>
              <w:suppressAutoHyphens/>
              <w:spacing w:line="240" w:lineRule="atLeast"/>
              <w:rPr>
                <w:b/>
                <w:bCs/>
                <w:szCs w:val="20"/>
                <w:lang w:eastAsia="nl-NL"/>
              </w:rPr>
            </w:pPr>
          </w:p>
        </w:tc>
        <w:tc>
          <w:tcPr>
            <w:tcW w:w="1418" w:type="dxa"/>
          </w:tcPr>
          <w:p w:rsidRPr="005F055E" w:rsidR="008D2F23" w:rsidP="00180EEB" w:rsidRDefault="008D2F23" w14:paraId="124F0494" w14:textId="77777777">
            <w:pPr>
              <w:suppressAutoHyphens/>
              <w:spacing w:line="240" w:lineRule="atLeast"/>
              <w:rPr>
                <w:b/>
                <w:bCs/>
                <w:szCs w:val="20"/>
                <w:lang w:eastAsia="nl-NL"/>
              </w:rPr>
            </w:pPr>
            <w:r w:rsidRPr="005F055E">
              <w:rPr>
                <w:b/>
                <w:bCs/>
                <w:szCs w:val="20"/>
                <w:lang w:eastAsia="nl-NL"/>
              </w:rPr>
              <w:t>2026</w:t>
            </w:r>
          </w:p>
        </w:tc>
        <w:tc>
          <w:tcPr>
            <w:tcW w:w="1418" w:type="dxa"/>
          </w:tcPr>
          <w:p w:rsidRPr="005F055E" w:rsidR="008D2F23" w:rsidP="00180EEB" w:rsidRDefault="008D2F23" w14:paraId="7C6F6E1D" w14:textId="77777777">
            <w:pPr>
              <w:suppressAutoHyphens/>
              <w:spacing w:line="240" w:lineRule="atLeast"/>
              <w:rPr>
                <w:b/>
                <w:bCs/>
                <w:szCs w:val="20"/>
                <w:lang w:eastAsia="nl-NL"/>
              </w:rPr>
            </w:pPr>
            <w:r w:rsidRPr="005F055E">
              <w:rPr>
                <w:b/>
                <w:bCs/>
                <w:szCs w:val="20"/>
                <w:lang w:eastAsia="nl-NL"/>
              </w:rPr>
              <w:t>2027</w:t>
            </w:r>
          </w:p>
        </w:tc>
      </w:tr>
      <w:tr w:rsidRPr="005F055E" w:rsidR="008D2F23" w:rsidTr="005E2643" w14:paraId="6C62CCBF" w14:textId="77777777">
        <w:tc>
          <w:tcPr>
            <w:tcW w:w="4253" w:type="dxa"/>
          </w:tcPr>
          <w:p w:rsidRPr="005F055E" w:rsidR="008D2F23" w:rsidP="00180EEB" w:rsidRDefault="008D2F23" w14:paraId="0DC09468" w14:textId="77777777">
            <w:pPr>
              <w:suppressAutoHyphens/>
              <w:spacing w:line="240" w:lineRule="atLeast"/>
              <w:rPr>
                <w:szCs w:val="20"/>
                <w:lang w:eastAsia="nl-NL"/>
              </w:rPr>
            </w:pPr>
            <w:r w:rsidRPr="005F055E">
              <w:rPr>
                <w:szCs w:val="20"/>
                <w:lang w:eastAsia="nl-NL"/>
              </w:rPr>
              <w:t>Huisartsen</w:t>
            </w:r>
          </w:p>
        </w:tc>
        <w:tc>
          <w:tcPr>
            <w:tcW w:w="1418" w:type="dxa"/>
          </w:tcPr>
          <w:p w:rsidRPr="005F055E" w:rsidR="008D2F23" w:rsidP="00180EEB" w:rsidRDefault="008D2F23" w14:paraId="300A18DF" w14:textId="77777777">
            <w:pPr>
              <w:suppressAutoHyphens/>
              <w:spacing w:line="240" w:lineRule="atLeast"/>
              <w:rPr>
                <w:szCs w:val="20"/>
                <w:lang w:eastAsia="nl-NL"/>
              </w:rPr>
            </w:pPr>
          </w:p>
        </w:tc>
        <w:tc>
          <w:tcPr>
            <w:tcW w:w="1418" w:type="dxa"/>
          </w:tcPr>
          <w:p w:rsidRPr="005F055E" w:rsidR="008D2F23" w:rsidP="00180EEB" w:rsidRDefault="008D2F23" w14:paraId="0E68FA9B" w14:textId="77777777">
            <w:pPr>
              <w:suppressAutoHyphens/>
              <w:spacing w:line="240" w:lineRule="atLeast"/>
              <w:rPr>
                <w:szCs w:val="20"/>
                <w:lang w:eastAsia="nl-NL"/>
              </w:rPr>
            </w:pPr>
          </w:p>
        </w:tc>
      </w:tr>
      <w:tr w:rsidRPr="005F055E" w:rsidR="008D2F23" w:rsidTr="005E2643" w14:paraId="76B4B585" w14:textId="77777777">
        <w:tc>
          <w:tcPr>
            <w:tcW w:w="4253" w:type="dxa"/>
          </w:tcPr>
          <w:p w:rsidRPr="005F055E" w:rsidR="008D2F23" w:rsidP="00180EEB" w:rsidRDefault="008D2F23" w14:paraId="25559D52" w14:textId="77777777">
            <w:pPr>
              <w:suppressAutoHyphens/>
              <w:spacing w:line="240" w:lineRule="atLeast"/>
              <w:rPr>
                <w:szCs w:val="20"/>
                <w:lang w:eastAsia="nl-NL"/>
              </w:rPr>
            </w:pPr>
            <w:r w:rsidRPr="005F055E">
              <w:rPr>
                <w:szCs w:val="20"/>
                <w:lang w:eastAsia="nl-NL"/>
              </w:rPr>
              <w:t>Tandheelkundige zorg</w:t>
            </w:r>
          </w:p>
        </w:tc>
        <w:tc>
          <w:tcPr>
            <w:tcW w:w="1418" w:type="dxa"/>
          </w:tcPr>
          <w:p w:rsidRPr="005F055E" w:rsidR="008D2F23" w:rsidP="00180EEB" w:rsidRDefault="008D2F23" w14:paraId="608115D9" w14:textId="77777777">
            <w:pPr>
              <w:suppressAutoHyphens/>
              <w:spacing w:line="240" w:lineRule="atLeast"/>
              <w:rPr>
                <w:szCs w:val="20"/>
                <w:lang w:eastAsia="nl-NL"/>
              </w:rPr>
            </w:pPr>
            <w:r w:rsidRPr="005F055E">
              <w:rPr>
                <w:szCs w:val="20"/>
                <w:lang w:eastAsia="nl-NL"/>
              </w:rPr>
              <w:t>-42</w:t>
            </w:r>
          </w:p>
        </w:tc>
        <w:tc>
          <w:tcPr>
            <w:tcW w:w="1418" w:type="dxa"/>
          </w:tcPr>
          <w:p w:rsidRPr="005F055E" w:rsidR="008D2F23" w:rsidP="00180EEB" w:rsidRDefault="008D2F23" w14:paraId="53301579" w14:textId="77777777">
            <w:pPr>
              <w:suppressAutoHyphens/>
              <w:spacing w:line="240" w:lineRule="atLeast"/>
              <w:rPr>
                <w:szCs w:val="20"/>
                <w:lang w:eastAsia="nl-NL"/>
              </w:rPr>
            </w:pPr>
            <w:r w:rsidRPr="005F055E">
              <w:rPr>
                <w:szCs w:val="20"/>
                <w:lang w:eastAsia="nl-NL"/>
              </w:rPr>
              <w:t>-42</w:t>
            </w:r>
          </w:p>
        </w:tc>
      </w:tr>
      <w:tr w:rsidRPr="005F055E" w:rsidR="008D2F23" w:rsidTr="005E2643" w14:paraId="5FB40503" w14:textId="77777777">
        <w:tc>
          <w:tcPr>
            <w:tcW w:w="4253" w:type="dxa"/>
          </w:tcPr>
          <w:p w:rsidRPr="005F055E" w:rsidR="008D2F23" w:rsidP="00180EEB" w:rsidRDefault="008D2F23" w14:paraId="0DA4A51B" w14:textId="77777777">
            <w:pPr>
              <w:suppressAutoHyphens/>
              <w:spacing w:line="240" w:lineRule="atLeast"/>
              <w:rPr>
                <w:szCs w:val="20"/>
                <w:lang w:eastAsia="nl-NL"/>
              </w:rPr>
            </w:pPr>
            <w:r w:rsidRPr="005F055E">
              <w:rPr>
                <w:szCs w:val="20"/>
                <w:lang w:eastAsia="nl-NL"/>
              </w:rPr>
              <w:t>Verloskundige zorg</w:t>
            </w:r>
          </w:p>
        </w:tc>
        <w:tc>
          <w:tcPr>
            <w:tcW w:w="1418" w:type="dxa"/>
          </w:tcPr>
          <w:p w:rsidRPr="005F055E" w:rsidR="008D2F23" w:rsidP="00180EEB" w:rsidRDefault="008D2F23" w14:paraId="005EC4F8" w14:textId="77777777">
            <w:pPr>
              <w:suppressAutoHyphens/>
              <w:spacing w:line="240" w:lineRule="atLeast"/>
              <w:rPr>
                <w:szCs w:val="20"/>
                <w:lang w:eastAsia="nl-NL"/>
              </w:rPr>
            </w:pPr>
            <w:r w:rsidRPr="005F055E">
              <w:rPr>
                <w:szCs w:val="20"/>
                <w:lang w:eastAsia="nl-NL"/>
              </w:rPr>
              <w:t>5</w:t>
            </w:r>
          </w:p>
        </w:tc>
        <w:tc>
          <w:tcPr>
            <w:tcW w:w="1418" w:type="dxa"/>
          </w:tcPr>
          <w:p w:rsidRPr="005F055E" w:rsidR="008D2F23" w:rsidP="00180EEB" w:rsidRDefault="008D2F23" w14:paraId="4EB70E7F" w14:textId="77777777">
            <w:pPr>
              <w:suppressAutoHyphens/>
              <w:spacing w:line="240" w:lineRule="atLeast"/>
              <w:rPr>
                <w:szCs w:val="20"/>
                <w:lang w:eastAsia="nl-NL"/>
              </w:rPr>
            </w:pPr>
            <w:r w:rsidRPr="005F055E">
              <w:rPr>
                <w:szCs w:val="20"/>
                <w:lang w:eastAsia="nl-NL"/>
              </w:rPr>
              <w:t>5</w:t>
            </w:r>
          </w:p>
        </w:tc>
      </w:tr>
      <w:tr w:rsidRPr="005F055E" w:rsidR="008D2F23" w:rsidTr="005E2643" w14:paraId="11D5E0F0" w14:textId="77777777">
        <w:tc>
          <w:tcPr>
            <w:tcW w:w="4253" w:type="dxa"/>
          </w:tcPr>
          <w:p w:rsidRPr="005F055E" w:rsidR="008D2F23" w:rsidP="00180EEB" w:rsidRDefault="008D2F23" w14:paraId="18313B61" w14:textId="77777777">
            <w:pPr>
              <w:suppressAutoHyphens/>
              <w:spacing w:line="240" w:lineRule="atLeast"/>
              <w:rPr>
                <w:szCs w:val="20"/>
                <w:lang w:eastAsia="nl-NL"/>
              </w:rPr>
            </w:pPr>
            <w:r w:rsidRPr="005F055E">
              <w:rPr>
                <w:szCs w:val="20"/>
                <w:lang w:eastAsia="nl-NL"/>
              </w:rPr>
              <w:t>Kraamzorg</w:t>
            </w:r>
          </w:p>
        </w:tc>
        <w:tc>
          <w:tcPr>
            <w:tcW w:w="1418" w:type="dxa"/>
          </w:tcPr>
          <w:p w:rsidRPr="005F055E" w:rsidR="008D2F23" w:rsidP="00180EEB" w:rsidRDefault="008D2F23" w14:paraId="33BFB24F" w14:textId="77777777">
            <w:pPr>
              <w:suppressAutoHyphens/>
              <w:spacing w:line="240" w:lineRule="atLeast"/>
              <w:rPr>
                <w:szCs w:val="20"/>
                <w:lang w:eastAsia="nl-NL"/>
              </w:rPr>
            </w:pPr>
            <w:r w:rsidRPr="005F055E">
              <w:rPr>
                <w:szCs w:val="20"/>
                <w:lang w:eastAsia="nl-NL"/>
              </w:rPr>
              <w:t>-17</w:t>
            </w:r>
          </w:p>
        </w:tc>
        <w:tc>
          <w:tcPr>
            <w:tcW w:w="1418" w:type="dxa"/>
          </w:tcPr>
          <w:p w:rsidRPr="005F055E" w:rsidR="008D2F23" w:rsidP="00180EEB" w:rsidRDefault="008D2F23" w14:paraId="5C2851C5" w14:textId="77777777">
            <w:pPr>
              <w:suppressAutoHyphens/>
              <w:spacing w:line="240" w:lineRule="atLeast"/>
              <w:rPr>
                <w:szCs w:val="20"/>
                <w:lang w:eastAsia="nl-NL"/>
              </w:rPr>
            </w:pPr>
            <w:r w:rsidRPr="005F055E">
              <w:rPr>
                <w:szCs w:val="20"/>
                <w:lang w:eastAsia="nl-NL"/>
              </w:rPr>
              <w:t>-17</w:t>
            </w:r>
          </w:p>
        </w:tc>
      </w:tr>
      <w:tr w:rsidRPr="005F055E" w:rsidR="008D2F23" w:rsidTr="005E2643" w14:paraId="4E448AB5" w14:textId="77777777">
        <w:tc>
          <w:tcPr>
            <w:tcW w:w="4253" w:type="dxa"/>
          </w:tcPr>
          <w:p w:rsidRPr="005F055E" w:rsidR="008D2F23" w:rsidP="00180EEB" w:rsidRDefault="008D2F23" w14:paraId="55232004" w14:textId="77777777">
            <w:pPr>
              <w:suppressAutoHyphens/>
              <w:spacing w:line="240" w:lineRule="atLeast"/>
              <w:rPr>
                <w:szCs w:val="20"/>
                <w:lang w:eastAsia="nl-NL"/>
              </w:rPr>
            </w:pPr>
            <w:r w:rsidRPr="005F055E">
              <w:rPr>
                <w:szCs w:val="20"/>
                <w:lang w:eastAsia="nl-NL"/>
              </w:rPr>
              <w:t>Zintuiglijk gehandicapten</w:t>
            </w:r>
          </w:p>
        </w:tc>
        <w:tc>
          <w:tcPr>
            <w:tcW w:w="1418" w:type="dxa"/>
          </w:tcPr>
          <w:p w:rsidRPr="005F055E" w:rsidR="008D2F23" w:rsidP="00180EEB" w:rsidRDefault="008D2F23" w14:paraId="3F902892" w14:textId="77777777">
            <w:pPr>
              <w:suppressAutoHyphens/>
              <w:spacing w:line="240" w:lineRule="atLeast"/>
              <w:rPr>
                <w:szCs w:val="20"/>
                <w:lang w:eastAsia="nl-NL"/>
              </w:rPr>
            </w:pPr>
            <w:r w:rsidRPr="005F055E">
              <w:rPr>
                <w:szCs w:val="20"/>
                <w:lang w:eastAsia="nl-NL"/>
              </w:rPr>
              <w:t>11</w:t>
            </w:r>
          </w:p>
        </w:tc>
        <w:tc>
          <w:tcPr>
            <w:tcW w:w="1418" w:type="dxa"/>
          </w:tcPr>
          <w:p w:rsidRPr="005F055E" w:rsidR="008D2F23" w:rsidP="00180EEB" w:rsidRDefault="008D2F23" w14:paraId="18715131" w14:textId="77777777">
            <w:pPr>
              <w:suppressAutoHyphens/>
              <w:spacing w:line="240" w:lineRule="atLeast"/>
              <w:rPr>
                <w:szCs w:val="20"/>
                <w:lang w:eastAsia="nl-NL"/>
              </w:rPr>
            </w:pPr>
            <w:r w:rsidRPr="005F055E">
              <w:rPr>
                <w:szCs w:val="20"/>
                <w:lang w:eastAsia="nl-NL"/>
              </w:rPr>
              <w:t>11</w:t>
            </w:r>
          </w:p>
        </w:tc>
      </w:tr>
      <w:tr w:rsidRPr="005F055E" w:rsidR="008D2F23" w:rsidTr="005E2643" w14:paraId="458E0696" w14:textId="77777777">
        <w:tc>
          <w:tcPr>
            <w:tcW w:w="4253" w:type="dxa"/>
          </w:tcPr>
          <w:p w:rsidRPr="005F055E" w:rsidR="008D2F23" w:rsidP="00180EEB" w:rsidRDefault="008D2F23" w14:paraId="368A2DA7" w14:textId="77777777">
            <w:pPr>
              <w:suppressAutoHyphens/>
              <w:spacing w:line="240" w:lineRule="atLeast"/>
              <w:rPr>
                <w:szCs w:val="20"/>
                <w:lang w:eastAsia="nl-NL"/>
              </w:rPr>
            </w:pPr>
            <w:r w:rsidRPr="005F055E">
              <w:rPr>
                <w:szCs w:val="20"/>
                <w:lang w:eastAsia="nl-NL"/>
              </w:rPr>
              <w:t>Wijkverpleging</w:t>
            </w:r>
          </w:p>
        </w:tc>
        <w:tc>
          <w:tcPr>
            <w:tcW w:w="1418" w:type="dxa"/>
          </w:tcPr>
          <w:p w:rsidRPr="005F055E" w:rsidR="008D2F23" w:rsidP="00180EEB" w:rsidRDefault="008D2F23" w14:paraId="6E0628B8" w14:textId="77777777">
            <w:pPr>
              <w:suppressAutoHyphens/>
              <w:spacing w:line="240" w:lineRule="atLeast"/>
              <w:rPr>
                <w:szCs w:val="20"/>
                <w:lang w:eastAsia="nl-NL"/>
              </w:rPr>
            </w:pPr>
            <w:r w:rsidRPr="005F055E">
              <w:rPr>
                <w:szCs w:val="20"/>
                <w:lang w:eastAsia="nl-NL"/>
              </w:rPr>
              <w:t>-1015</w:t>
            </w:r>
          </w:p>
        </w:tc>
        <w:tc>
          <w:tcPr>
            <w:tcW w:w="1418" w:type="dxa"/>
          </w:tcPr>
          <w:p w:rsidRPr="005F055E" w:rsidR="008D2F23" w:rsidP="00180EEB" w:rsidRDefault="008D2F23" w14:paraId="7D551EDD" w14:textId="77777777">
            <w:pPr>
              <w:suppressAutoHyphens/>
              <w:spacing w:line="240" w:lineRule="atLeast"/>
              <w:rPr>
                <w:szCs w:val="20"/>
                <w:lang w:eastAsia="nl-NL"/>
              </w:rPr>
            </w:pPr>
            <w:r w:rsidRPr="005F055E">
              <w:rPr>
                <w:szCs w:val="20"/>
                <w:lang w:eastAsia="nl-NL"/>
              </w:rPr>
              <w:t>-1015</w:t>
            </w:r>
          </w:p>
        </w:tc>
      </w:tr>
      <w:tr w:rsidRPr="005F055E" w:rsidR="008D2F23" w:rsidTr="005E2643" w14:paraId="501DE206" w14:textId="77777777">
        <w:tc>
          <w:tcPr>
            <w:tcW w:w="4253" w:type="dxa"/>
          </w:tcPr>
          <w:p w:rsidRPr="005F055E" w:rsidR="008D2F23" w:rsidP="00180EEB" w:rsidRDefault="008D2F23" w14:paraId="749F7D88" w14:textId="77777777">
            <w:pPr>
              <w:suppressAutoHyphens/>
              <w:spacing w:line="240" w:lineRule="atLeast"/>
              <w:rPr>
                <w:szCs w:val="20"/>
                <w:lang w:eastAsia="nl-NL"/>
              </w:rPr>
            </w:pPr>
            <w:r w:rsidRPr="005F055E">
              <w:rPr>
                <w:szCs w:val="20"/>
                <w:lang w:eastAsia="nl-NL"/>
              </w:rPr>
              <w:t>Paramedische zorg</w:t>
            </w:r>
          </w:p>
        </w:tc>
        <w:tc>
          <w:tcPr>
            <w:tcW w:w="1418" w:type="dxa"/>
          </w:tcPr>
          <w:p w:rsidRPr="005F055E" w:rsidR="008D2F23" w:rsidP="00180EEB" w:rsidRDefault="008D2F23" w14:paraId="259FD0D4" w14:textId="77777777">
            <w:pPr>
              <w:suppressAutoHyphens/>
              <w:spacing w:line="240" w:lineRule="atLeast"/>
              <w:rPr>
                <w:szCs w:val="20"/>
                <w:lang w:eastAsia="nl-NL"/>
              </w:rPr>
            </w:pPr>
            <w:r w:rsidRPr="005F055E">
              <w:rPr>
                <w:szCs w:val="20"/>
                <w:lang w:eastAsia="nl-NL"/>
              </w:rPr>
              <w:t>28</w:t>
            </w:r>
          </w:p>
        </w:tc>
        <w:tc>
          <w:tcPr>
            <w:tcW w:w="1418" w:type="dxa"/>
          </w:tcPr>
          <w:p w:rsidRPr="005F055E" w:rsidR="008D2F23" w:rsidP="00180EEB" w:rsidRDefault="008D2F23" w14:paraId="7F1B29C2" w14:textId="77777777">
            <w:pPr>
              <w:suppressAutoHyphens/>
              <w:spacing w:line="240" w:lineRule="atLeast"/>
              <w:rPr>
                <w:szCs w:val="20"/>
                <w:lang w:eastAsia="nl-NL"/>
              </w:rPr>
            </w:pPr>
            <w:r w:rsidRPr="005F055E">
              <w:rPr>
                <w:szCs w:val="20"/>
                <w:lang w:eastAsia="nl-NL"/>
              </w:rPr>
              <w:t>28</w:t>
            </w:r>
          </w:p>
        </w:tc>
      </w:tr>
      <w:tr w:rsidRPr="005F055E" w:rsidR="008D2F23" w:rsidTr="005E2643" w14:paraId="3F380485" w14:textId="77777777">
        <w:tc>
          <w:tcPr>
            <w:tcW w:w="4253" w:type="dxa"/>
          </w:tcPr>
          <w:p w:rsidRPr="005F055E" w:rsidR="008D2F23" w:rsidP="00180EEB" w:rsidRDefault="008D2F23" w14:paraId="2574E569" w14:textId="77777777">
            <w:pPr>
              <w:suppressAutoHyphens/>
              <w:spacing w:line="240" w:lineRule="atLeast"/>
              <w:rPr>
                <w:szCs w:val="20"/>
                <w:lang w:eastAsia="nl-NL"/>
              </w:rPr>
            </w:pPr>
            <w:r w:rsidRPr="005F055E">
              <w:rPr>
                <w:szCs w:val="20"/>
                <w:lang w:eastAsia="nl-NL"/>
              </w:rPr>
              <w:t>Overige curatieve zorg</w:t>
            </w:r>
          </w:p>
        </w:tc>
        <w:tc>
          <w:tcPr>
            <w:tcW w:w="1418" w:type="dxa"/>
          </w:tcPr>
          <w:p w:rsidRPr="005F055E" w:rsidR="008D2F23" w:rsidP="00180EEB" w:rsidRDefault="008D2F23" w14:paraId="1091AFD5" w14:textId="77777777">
            <w:pPr>
              <w:suppressAutoHyphens/>
              <w:spacing w:line="240" w:lineRule="atLeast"/>
              <w:rPr>
                <w:szCs w:val="20"/>
                <w:lang w:eastAsia="nl-NL"/>
              </w:rPr>
            </w:pPr>
            <w:r w:rsidRPr="005F055E">
              <w:rPr>
                <w:szCs w:val="20"/>
                <w:lang w:eastAsia="nl-NL"/>
              </w:rPr>
              <w:t>-1</w:t>
            </w:r>
          </w:p>
        </w:tc>
        <w:tc>
          <w:tcPr>
            <w:tcW w:w="1418" w:type="dxa"/>
          </w:tcPr>
          <w:p w:rsidRPr="005F055E" w:rsidR="008D2F23" w:rsidP="00180EEB" w:rsidRDefault="008D2F23" w14:paraId="40134B2E" w14:textId="77777777">
            <w:pPr>
              <w:suppressAutoHyphens/>
              <w:spacing w:line="240" w:lineRule="atLeast"/>
              <w:rPr>
                <w:szCs w:val="20"/>
                <w:lang w:eastAsia="nl-NL"/>
              </w:rPr>
            </w:pPr>
            <w:r w:rsidRPr="005F055E">
              <w:rPr>
                <w:szCs w:val="20"/>
                <w:lang w:eastAsia="nl-NL"/>
              </w:rPr>
              <w:t>-1</w:t>
            </w:r>
          </w:p>
        </w:tc>
      </w:tr>
      <w:tr w:rsidRPr="005F055E" w:rsidR="008D2F23" w:rsidTr="005E2643" w14:paraId="5C9C4720" w14:textId="77777777">
        <w:tc>
          <w:tcPr>
            <w:tcW w:w="4253" w:type="dxa"/>
          </w:tcPr>
          <w:p w:rsidRPr="005F055E" w:rsidR="008D2F23" w:rsidP="00180EEB" w:rsidRDefault="008D2F23" w14:paraId="63122FDE" w14:textId="77777777">
            <w:pPr>
              <w:suppressAutoHyphens/>
              <w:spacing w:line="240" w:lineRule="atLeast"/>
              <w:rPr>
                <w:szCs w:val="20"/>
                <w:lang w:eastAsia="nl-NL"/>
              </w:rPr>
            </w:pPr>
            <w:proofErr w:type="spellStart"/>
            <w:r w:rsidRPr="005F055E">
              <w:rPr>
                <w:szCs w:val="20"/>
                <w:lang w:eastAsia="nl-NL"/>
              </w:rPr>
              <w:t>Beschikbaarheidbijdr</w:t>
            </w:r>
            <w:proofErr w:type="spellEnd"/>
            <w:r w:rsidRPr="005F055E">
              <w:rPr>
                <w:szCs w:val="20"/>
                <w:lang w:eastAsia="nl-NL"/>
              </w:rPr>
              <w:t>. Academische zorg</w:t>
            </w:r>
          </w:p>
        </w:tc>
        <w:tc>
          <w:tcPr>
            <w:tcW w:w="1418" w:type="dxa"/>
          </w:tcPr>
          <w:p w:rsidRPr="005F055E" w:rsidR="008D2F23" w:rsidP="00180EEB" w:rsidRDefault="008D2F23" w14:paraId="4BC3316A" w14:textId="77777777">
            <w:pPr>
              <w:suppressAutoHyphens/>
              <w:spacing w:line="240" w:lineRule="atLeast"/>
              <w:rPr>
                <w:szCs w:val="20"/>
                <w:lang w:eastAsia="nl-NL"/>
              </w:rPr>
            </w:pPr>
            <w:r w:rsidRPr="005F055E">
              <w:rPr>
                <w:szCs w:val="20"/>
                <w:lang w:eastAsia="nl-NL"/>
              </w:rPr>
              <w:t>-14</w:t>
            </w:r>
          </w:p>
        </w:tc>
        <w:tc>
          <w:tcPr>
            <w:tcW w:w="1418" w:type="dxa"/>
          </w:tcPr>
          <w:p w:rsidRPr="005F055E" w:rsidR="008D2F23" w:rsidP="00180EEB" w:rsidRDefault="008D2F23" w14:paraId="1A4B7A37" w14:textId="77777777">
            <w:pPr>
              <w:suppressAutoHyphens/>
              <w:spacing w:line="240" w:lineRule="atLeast"/>
              <w:rPr>
                <w:szCs w:val="20"/>
                <w:lang w:eastAsia="nl-NL"/>
              </w:rPr>
            </w:pPr>
            <w:r w:rsidRPr="005F055E">
              <w:rPr>
                <w:szCs w:val="20"/>
                <w:lang w:eastAsia="nl-NL"/>
              </w:rPr>
              <w:t>-14</w:t>
            </w:r>
          </w:p>
        </w:tc>
      </w:tr>
      <w:tr w:rsidRPr="005F055E" w:rsidR="008D2F23" w:rsidTr="005E2643" w14:paraId="00FA6D0B" w14:textId="77777777">
        <w:tc>
          <w:tcPr>
            <w:tcW w:w="4253" w:type="dxa"/>
          </w:tcPr>
          <w:p w:rsidRPr="005F055E" w:rsidR="008D2F23" w:rsidP="00180EEB" w:rsidRDefault="008D2F23" w14:paraId="72618AD6" w14:textId="77777777">
            <w:pPr>
              <w:suppressAutoHyphens/>
              <w:spacing w:line="240" w:lineRule="atLeast"/>
              <w:rPr>
                <w:szCs w:val="20"/>
                <w:lang w:eastAsia="nl-NL"/>
              </w:rPr>
            </w:pPr>
            <w:proofErr w:type="spellStart"/>
            <w:r w:rsidRPr="005F055E">
              <w:rPr>
                <w:szCs w:val="20"/>
                <w:lang w:eastAsia="nl-NL"/>
              </w:rPr>
              <w:t>Beschikbaarheidbijdr</w:t>
            </w:r>
            <w:proofErr w:type="spellEnd"/>
            <w:r w:rsidRPr="005F055E">
              <w:rPr>
                <w:szCs w:val="20"/>
                <w:lang w:eastAsia="nl-NL"/>
              </w:rPr>
              <w:t xml:space="preserve">. </w:t>
            </w:r>
            <w:proofErr w:type="spellStart"/>
            <w:r w:rsidRPr="005F055E">
              <w:rPr>
                <w:szCs w:val="20"/>
                <w:lang w:eastAsia="nl-NL"/>
              </w:rPr>
              <w:t>Kapitaall</w:t>
            </w:r>
            <w:proofErr w:type="spellEnd"/>
            <w:r w:rsidRPr="005F055E">
              <w:rPr>
                <w:szCs w:val="20"/>
                <w:lang w:eastAsia="nl-NL"/>
              </w:rPr>
              <w:t>. Acad. zorg</w:t>
            </w:r>
          </w:p>
        </w:tc>
        <w:tc>
          <w:tcPr>
            <w:tcW w:w="1418" w:type="dxa"/>
          </w:tcPr>
          <w:p w:rsidRPr="005F055E" w:rsidR="008D2F23" w:rsidP="00180EEB" w:rsidRDefault="008D2F23" w14:paraId="23182962" w14:textId="77777777">
            <w:pPr>
              <w:suppressAutoHyphens/>
              <w:spacing w:line="240" w:lineRule="atLeast"/>
              <w:rPr>
                <w:szCs w:val="20"/>
                <w:lang w:eastAsia="nl-NL"/>
              </w:rPr>
            </w:pPr>
            <w:r w:rsidRPr="005F055E">
              <w:rPr>
                <w:szCs w:val="20"/>
                <w:lang w:eastAsia="nl-NL"/>
              </w:rPr>
              <w:t>1</w:t>
            </w:r>
          </w:p>
        </w:tc>
        <w:tc>
          <w:tcPr>
            <w:tcW w:w="1418" w:type="dxa"/>
          </w:tcPr>
          <w:p w:rsidRPr="005F055E" w:rsidR="008D2F23" w:rsidP="00180EEB" w:rsidRDefault="008D2F23" w14:paraId="70F84EF8" w14:textId="77777777">
            <w:pPr>
              <w:suppressAutoHyphens/>
              <w:spacing w:line="240" w:lineRule="atLeast"/>
              <w:rPr>
                <w:szCs w:val="20"/>
                <w:lang w:eastAsia="nl-NL"/>
              </w:rPr>
            </w:pPr>
            <w:r w:rsidRPr="005F055E">
              <w:rPr>
                <w:szCs w:val="20"/>
                <w:lang w:eastAsia="nl-NL"/>
              </w:rPr>
              <w:t>1</w:t>
            </w:r>
          </w:p>
        </w:tc>
      </w:tr>
      <w:tr w:rsidRPr="005F055E" w:rsidR="008D2F23" w:rsidTr="005E2643" w14:paraId="66CF4777" w14:textId="77777777">
        <w:tc>
          <w:tcPr>
            <w:tcW w:w="4253" w:type="dxa"/>
          </w:tcPr>
          <w:p w:rsidRPr="005F055E" w:rsidR="008D2F23" w:rsidP="00180EEB" w:rsidRDefault="008D2F23" w14:paraId="2235F6AC" w14:textId="77777777">
            <w:pPr>
              <w:suppressAutoHyphens/>
              <w:spacing w:line="240" w:lineRule="atLeast"/>
              <w:rPr>
                <w:szCs w:val="20"/>
                <w:lang w:eastAsia="nl-NL"/>
              </w:rPr>
            </w:pPr>
            <w:r w:rsidRPr="005F055E">
              <w:rPr>
                <w:szCs w:val="20"/>
                <w:lang w:eastAsia="nl-NL"/>
              </w:rPr>
              <w:t>Medisch Specialistische zorg</w:t>
            </w:r>
          </w:p>
        </w:tc>
        <w:tc>
          <w:tcPr>
            <w:tcW w:w="1418" w:type="dxa"/>
          </w:tcPr>
          <w:p w:rsidRPr="005F055E" w:rsidR="008D2F23" w:rsidP="00180EEB" w:rsidRDefault="008D2F23" w14:paraId="0B44D664" w14:textId="77777777">
            <w:pPr>
              <w:suppressAutoHyphens/>
              <w:spacing w:line="240" w:lineRule="atLeast"/>
              <w:rPr>
                <w:szCs w:val="20"/>
                <w:lang w:eastAsia="nl-NL"/>
              </w:rPr>
            </w:pPr>
            <w:r w:rsidRPr="005F055E">
              <w:rPr>
                <w:szCs w:val="20"/>
                <w:lang w:eastAsia="nl-NL"/>
              </w:rPr>
              <w:t>-75</w:t>
            </w:r>
          </w:p>
        </w:tc>
        <w:tc>
          <w:tcPr>
            <w:tcW w:w="1418" w:type="dxa"/>
          </w:tcPr>
          <w:p w:rsidRPr="005F055E" w:rsidR="008D2F23" w:rsidP="00180EEB" w:rsidRDefault="008D2F23" w14:paraId="6AE17841" w14:textId="77777777">
            <w:pPr>
              <w:suppressAutoHyphens/>
              <w:spacing w:line="240" w:lineRule="atLeast"/>
              <w:rPr>
                <w:szCs w:val="20"/>
                <w:lang w:eastAsia="nl-NL"/>
              </w:rPr>
            </w:pPr>
            <w:r w:rsidRPr="005F055E">
              <w:rPr>
                <w:szCs w:val="20"/>
                <w:lang w:eastAsia="nl-NL"/>
              </w:rPr>
              <w:t>-75</w:t>
            </w:r>
          </w:p>
        </w:tc>
      </w:tr>
      <w:tr w:rsidRPr="005F055E" w:rsidR="008D2F23" w:rsidTr="005E2643" w14:paraId="02158245" w14:textId="77777777">
        <w:tc>
          <w:tcPr>
            <w:tcW w:w="4253" w:type="dxa"/>
          </w:tcPr>
          <w:p w:rsidRPr="005F055E" w:rsidR="008D2F23" w:rsidP="00180EEB" w:rsidRDefault="008D2F23" w14:paraId="38F58D67" w14:textId="77777777">
            <w:pPr>
              <w:suppressAutoHyphens/>
              <w:spacing w:line="240" w:lineRule="atLeast"/>
              <w:rPr>
                <w:szCs w:val="20"/>
                <w:lang w:eastAsia="nl-NL"/>
              </w:rPr>
            </w:pPr>
            <w:r w:rsidRPr="005F055E">
              <w:rPr>
                <w:szCs w:val="20"/>
                <w:lang w:eastAsia="nl-NL"/>
              </w:rPr>
              <w:t>Ambulancevervoer</w:t>
            </w:r>
          </w:p>
        </w:tc>
        <w:tc>
          <w:tcPr>
            <w:tcW w:w="1418" w:type="dxa"/>
          </w:tcPr>
          <w:p w:rsidRPr="005F055E" w:rsidR="008D2F23" w:rsidP="00180EEB" w:rsidRDefault="008D2F23" w14:paraId="3F3E74D8" w14:textId="77777777">
            <w:pPr>
              <w:suppressAutoHyphens/>
              <w:spacing w:line="240" w:lineRule="atLeast"/>
              <w:rPr>
                <w:szCs w:val="20"/>
                <w:lang w:eastAsia="nl-NL"/>
              </w:rPr>
            </w:pPr>
            <w:r w:rsidRPr="005F055E">
              <w:rPr>
                <w:szCs w:val="20"/>
                <w:lang w:eastAsia="nl-NL"/>
              </w:rPr>
              <w:t>-27</w:t>
            </w:r>
          </w:p>
        </w:tc>
        <w:tc>
          <w:tcPr>
            <w:tcW w:w="1418" w:type="dxa"/>
          </w:tcPr>
          <w:p w:rsidRPr="005F055E" w:rsidR="008D2F23" w:rsidP="00180EEB" w:rsidRDefault="008D2F23" w14:paraId="5A1566CC" w14:textId="77777777">
            <w:pPr>
              <w:suppressAutoHyphens/>
              <w:spacing w:line="240" w:lineRule="atLeast"/>
              <w:rPr>
                <w:szCs w:val="20"/>
                <w:lang w:eastAsia="nl-NL"/>
              </w:rPr>
            </w:pPr>
            <w:r w:rsidRPr="005F055E">
              <w:rPr>
                <w:szCs w:val="20"/>
                <w:lang w:eastAsia="nl-NL"/>
              </w:rPr>
              <w:t>-27</w:t>
            </w:r>
          </w:p>
        </w:tc>
      </w:tr>
      <w:tr w:rsidRPr="005F055E" w:rsidR="008D2F23" w:rsidTr="005E2643" w14:paraId="5AFD7D57" w14:textId="77777777">
        <w:tc>
          <w:tcPr>
            <w:tcW w:w="4253" w:type="dxa"/>
          </w:tcPr>
          <w:p w:rsidRPr="005F055E" w:rsidR="008D2F23" w:rsidP="00180EEB" w:rsidRDefault="008D2F23" w14:paraId="0E334299" w14:textId="77777777">
            <w:pPr>
              <w:suppressAutoHyphens/>
              <w:spacing w:line="240" w:lineRule="atLeast"/>
              <w:rPr>
                <w:szCs w:val="20"/>
                <w:lang w:eastAsia="nl-NL"/>
              </w:rPr>
            </w:pPr>
            <w:r w:rsidRPr="005F055E">
              <w:rPr>
                <w:szCs w:val="20"/>
                <w:lang w:eastAsia="nl-NL"/>
              </w:rPr>
              <w:t>Overig ziekenvervoer</w:t>
            </w:r>
          </w:p>
        </w:tc>
        <w:tc>
          <w:tcPr>
            <w:tcW w:w="1418" w:type="dxa"/>
          </w:tcPr>
          <w:p w:rsidRPr="005F055E" w:rsidR="008D2F23" w:rsidP="00180EEB" w:rsidRDefault="008D2F23" w14:paraId="5F8E9D88" w14:textId="77777777">
            <w:pPr>
              <w:suppressAutoHyphens/>
              <w:spacing w:line="240" w:lineRule="atLeast"/>
              <w:rPr>
                <w:szCs w:val="20"/>
                <w:lang w:eastAsia="nl-NL"/>
              </w:rPr>
            </w:pPr>
            <w:r w:rsidRPr="005F055E">
              <w:rPr>
                <w:szCs w:val="20"/>
                <w:lang w:eastAsia="nl-NL"/>
              </w:rPr>
              <w:t>-40</w:t>
            </w:r>
          </w:p>
        </w:tc>
        <w:tc>
          <w:tcPr>
            <w:tcW w:w="1418" w:type="dxa"/>
          </w:tcPr>
          <w:p w:rsidRPr="005F055E" w:rsidR="008D2F23" w:rsidP="00180EEB" w:rsidRDefault="008D2F23" w14:paraId="7D3E52DA" w14:textId="77777777">
            <w:pPr>
              <w:suppressAutoHyphens/>
              <w:spacing w:line="240" w:lineRule="atLeast"/>
              <w:rPr>
                <w:szCs w:val="20"/>
                <w:lang w:eastAsia="nl-NL"/>
              </w:rPr>
            </w:pPr>
            <w:r w:rsidRPr="005F055E">
              <w:rPr>
                <w:szCs w:val="20"/>
                <w:lang w:eastAsia="nl-NL"/>
              </w:rPr>
              <w:t>-40</w:t>
            </w:r>
          </w:p>
        </w:tc>
      </w:tr>
      <w:tr w:rsidRPr="005F055E" w:rsidR="008D2F23" w:rsidTr="005E2643" w14:paraId="1522AE4A" w14:textId="77777777">
        <w:tc>
          <w:tcPr>
            <w:tcW w:w="4253" w:type="dxa"/>
          </w:tcPr>
          <w:p w:rsidRPr="005F055E" w:rsidR="008D2F23" w:rsidP="00180EEB" w:rsidRDefault="008D2F23" w14:paraId="49BE4E18" w14:textId="77777777">
            <w:pPr>
              <w:suppressAutoHyphens/>
              <w:spacing w:line="240" w:lineRule="atLeast"/>
              <w:rPr>
                <w:szCs w:val="20"/>
                <w:lang w:eastAsia="nl-NL"/>
              </w:rPr>
            </w:pPr>
            <w:r w:rsidRPr="005F055E">
              <w:rPr>
                <w:szCs w:val="20"/>
                <w:lang w:eastAsia="nl-NL"/>
              </w:rPr>
              <w:t>Apotheekzorg</w:t>
            </w:r>
          </w:p>
        </w:tc>
        <w:tc>
          <w:tcPr>
            <w:tcW w:w="1418" w:type="dxa"/>
          </w:tcPr>
          <w:p w:rsidRPr="005F055E" w:rsidR="008D2F23" w:rsidP="00180EEB" w:rsidRDefault="008D2F23" w14:paraId="24C6C03E" w14:textId="77777777">
            <w:pPr>
              <w:suppressAutoHyphens/>
              <w:spacing w:line="240" w:lineRule="atLeast"/>
              <w:rPr>
                <w:szCs w:val="20"/>
                <w:lang w:eastAsia="nl-NL"/>
              </w:rPr>
            </w:pPr>
            <w:r w:rsidRPr="005F055E">
              <w:rPr>
                <w:szCs w:val="20"/>
                <w:lang w:eastAsia="nl-NL"/>
              </w:rPr>
              <w:t>-149</w:t>
            </w:r>
          </w:p>
        </w:tc>
        <w:tc>
          <w:tcPr>
            <w:tcW w:w="1418" w:type="dxa"/>
          </w:tcPr>
          <w:p w:rsidRPr="005F055E" w:rsidR="008D2F23" w:rsidP="00180EEB" w:rsidRDefault="008D2F23" w14:paraId="77C9D5F9" w14:textId="77777777">
            <w:pPr>
              <w:suppressAutoHyphens/>
              <w:spacing w:line="240" w:lineRule="atLeast"/>
              <w:rPr>
                <w:szCs w:val="20"/>
                <w:lang w:eastAsia="nl-NL"/>
              </w:rPr>
            </w:pPr>
            <w:r w:rsidRPr="005F055E">
              <w:rPr>
                <w:szCs w:val="20"/>
                <w:lang w:eastAsia="nl-NL"/>
              </w:rPr>
              <w:t>-149</w:t>
            </w:r>
          </w:p>
        </w:tc>
      </w:tr>
      <w:tr w:rsidRPr="005F055E" w:rsidR="008D2F23" w:rsidTr="005E2643" w14:paraId="151ADD38" w14:textId="77777777">
        <w:tc>
          <w:tcPr>
            <w:tcW w:w="4253" w:type="dxa"/>
          </w:tcPr>
          <w:p w:rsidRPr="005F055E" w:rsidR="008D2F23" w:rsidP="00180EEB" w:rsidRDefault="008D2F23" w14:paraId="6E851809" w14:textId="77777777">
            <w:pPr>
              <w:suppressAutoHyphens/>
              <w:spacing w:line="240" w:lineRule="atLeast"/>
              <w:rPr>
                <w:szCs w:val="20"/>
                <w:lang w:eastAsia="nl-NL"/>
              </w:rPr>
            </w:pPr>
            <w:r w:rsidRPr="005F055E">
              <w:rPr>
                <w:szCs w:val="20"/>
                <w:lang w:eastAsia="nl-NL"/>
              </w:rPr>
              <w:t>Hulpmiddelen</w:t>
            </w:r>
          </w:p>
        </w:tc>
        <w:tc>
          <w:tcPr>
            <w:tcW w:w="1418" w:type="dxa"/>
          </w:tcPr>
          <w:p w:rsidRPr="005F055E" w:rsidR="008D2F23" w:rsidP="00180EEB" w:rsidRDefault="008D2F23" w14:paraId="02F7F23B" w14:textId="77777777">
            <w:pPr>
              <w:suppressAutoHyphens/>
              <w:spacing w:line="240" w:lineRule="atLeast"/>
              <w:rPr>
                <w:szCs w:val="20"/>
                <w:lang w:eastAsia="nl-NL"/>
              </w:rPr>
            </w:pPr>
            <w:r w:rsidRPr="005F055E">
              <w:rPr>
                <w:szCs w:val="20"/>
                <w:lang w:eastAsia="nl-NL"/>
              </w:rPr>
              <w:t>-27</w:t>
            </w:r>
          </w:p>
        </w:tc>
        <w:tc>
          <w:tcPr>
            <w:tcW w:w="1418" w:type="dxa"/>
          </w:tcPr>
          <w:p w:rsidRPr="005F055E" w:rsidR="008D2F23" w:rsidP="00180EEB" w:rsidRDefault="008D2F23" w14:paraId="7D1476B4" w14:textId="77777777">
            <w:pPr>
              <w:suppressAutoHyphens/>
              <w:spacing w:line="240" w:lineRule="atLeast"/>
              <w:rPr>
                <w:szCs w:val="20"/>
                <w:lang w:eastAsia="nl-NL"/>
              </w:rPr>
            </w:pPr>
            <w:r w:rsidRPr="005F055E">
              <w:rPr>
                <w:szCs w:val="20"/>
                <w:lang w:eastAsia="nl-NL"/>
              </w:rPr>
              <w:t>-27</w:t>
            </w:r>
          </w:p>
        </w:tc>
      </w:tr>
      <w:tr w:rsidRPr="005F055E" w:rsidR="008D2F23" w:rsidTr="005E2643" w14:paraId="0FEC10EC" w14:textId="77777777">
        <w:tc>
          <w:tcPr>
            <w:tcW w:w="4253" w:type="dxa"/>
          </w:tcPr>
          <w:p w:rsidRPr="005F055E" w:rsidR="008D2F23" w:rsidP="00180EEB" w:rsidRDefault="00D55762" w14:paraId="42A56145" w14:textId="7A290C64">
            <w:pPr>
              <w:suppressAutoHyphens/>
              <w:spacing w:line="240" w:lineRule="atLeast"/>
              <w:rPr>
                <w:szCs w:val="20"/>
                <w:lang w:eastAsia="nl-NL"/>
              </w:rPr>
            </w:pPr>
            <w:r>
              <w:rPr>
                <w:szCs w:val="20"/>
                <w:lang w:eastAsia="nl-NL"/>
              </w:rPr>
              <w:t>GGZ</w:t>
            </w:r>
          </w:p>
        </w:tc>
        <w:tc>
          <w:tcPr>
            <w:tcW w:w="1418" w:type="dxa"/>
          </w:tcPr>
          <w:p w:rsidRPr="005F055E" w:rsidR="008D2F23" w:rsidP="00180EEB" w:rsidRDefault="008D2F23" w14:paraId="5D91692F" w14:textId="77777777">
            <w:pPr>
              <w:suppressAutoHyphens/>
              <w:spacing w:line="240" w:lineRule="atLeast"/>
              <w:rPr>
                <w:szCs w:val="20"/>
                <w:lang w:eastAsia="nl-NL"/>
              </w:rPr>
            </w:pPr>
            <w:r w:rsidRPr="005F055E">
              <w:rPr>
                <w:szCs w:val="20"/>
                <w:lang w:eastAsia="nl-NL"/>
              </w:rPr>
              <w:t>202</w:t>
            </w:r>
          </w:p>
        </w:tc>
        <w:tc>
          <w:tcPr>
            <w:tcW w:w="1418" w:type="dxa"/>
          </w:tcPr>
          <w:p w:rsidRPr="005F055E" w:rsidR="008D2F23" w:rsidP="00180EEB" w:rsidRDefault="008D2F23" w14:paraId="2E7D171A" w14:textId="77777777">
            <w:pPr>
              <w:suppressAutoHyphens/>
              <w:spacing w:line="240" w:lineRule="atLeast"/>
              <w:rPr>
                <w:szCs w:val="20"/>
                <w:lang w:eastAsia="nl-NL"/>
              </w:rPr>
            </w:pPr>
            <w:r w:rsidRPr="005F055E">
              <w:rPr>
                <w:szCs w:val="20"/>
                <w:lang w:eastAsia="nl-NL"/>
              </w:rPr>
              <w:t>202</w:t>
            </w:r>
          </w:p>
        </w:tc>
      </w:tr>
      <w:tr w:rsidRPr="005F055E" w:rsidR="008D2F23" w:rsidTr="005E2643" w14:paraId="27BFFA2C" w14:textId="77777777">
        <w:tc>
          <w:tcPr>
            <w:tcW w:w="4253" w:type="dxa"/>
          </w:tcPr>
          <w:p w:rsidRPr="005F055E" w:rsidR="008D2F23" w:rsidP="00180EEB" w:rsidRDefault="008D2F23" w14:paraId="6E51E45B" w14:textId="77777777">
            <w:pPr>
              <w:suppressAutoHyphens/>
              <w:spacing w:line="240" w:lineRule="atLeast"/>
              <w:rPr>
                <w:szCs w:val="20"/>
                <w:lang w:eastAsia="nl-NL"/>
              </w:rPr>
            </w:pPr>
            <w:r w:rsidRPr="005F055E">
              <w:rPr>
                <w:szCs w:val="20"/>
                <w:lang w:eastAsia="nl-NL"/>
              </w:rPr>
              <w:t>Grensoverschrijdende zorg</w:t>
            </w:r>
          </w:p>
        </w:tc>
        <w:tc>
          <w:tcPr>
            <w:tcW w:w="1418" w:type="dxa"/>
          </w:tcPr>
          <w:p w:rsidRPr="005F055E" w:rsidR="008D2F23" w:rsidP="00180EEB" w:rsidRDefault="008D2F23" w14:paraId="56B260DB" w14:textId="77777777">
            <w:pPr>
              <w:suppressAutoHyphens/>
              <w:spacing w:line="240" w:lineRule="atLeast"/>
              <w:rPr>
                <w:szCs w:val="20"/>
                <w:lang w:eastAsia="nl-NL"/>
              </w:rPr>
            </w:pPr>
            <w:r w:rsidRPr="005F055E">
              <w:rPr>
                <w:szCs w:val="20"/>
                <w:lang w:eastAsia="nl-NL"/>
              </w:rPr>
              <w:t>70</w:t>
            </w:r>
          </w:p>
        </w:tc>
        <w:tc>
          <w:tcPr>
            <w:tcW w:w="1418" w:type="dxa"/>
          </w:tcPr>
          <w:p w:rsidRPr="005F055E" w:rsidR="008D2F23" w:rsidP="00180EEB" w:rsidRDefault="008D2F23" w14:paraId="143A9DAF" w14:textId="77777777">
            <w:pPr>
              <w:suppressAutoHyphens/>
              <w:spacing w:line="240" w:lineRule="atLeast"/>
              <w:rPr>
                <w:szCs w:val="20"/>
                <w:lang w:eastAsia="nl-NL"/>
              </w:rPr>
            </w:pPr>
            <w:r w:rsidRPr="005F055E">
              <w:rPr>
                <w:szCs w:val="20"/>
                <w:lang w:eastAsia="nl-NL"/>
              </w:rPr>
              <w:t>70</w:t>
            </w:r>
          </w:p>
        </w:tc>
      </w:tr>
      <w:tr w:rsidRPr="005F055E" w:rsidR="008D2F23" w:rsidTr="005E2643" w14:paraId="3CB9AF9B" w14:textId="77777777">
        <w:tc>
          <w:tcPr>
            <w:tcW w:w="4253" w:type="dxa"/>
          </w:tcPr>
          <w:p w:rsidRPr="005F055E" w:rsidR="008D2F23" w:rsidP="00180EEB" w:rsidRDefault="008D2F23" w14:paraId="0AED3B49" w14:textId="77777777">
            <w:pPr>
              <w:suppressAutoHyphens/>
              <w:spacing w:line="240" w:lineRule="atLeast"/>
              <w:rPr>
                <w:szCs w:val="20"/>
                <w:lang w:eastAsia="nl-NL"/>
              </w:rPr>
            </w:pPr>
            <w:r w:rsidRPr="005F055E">
              <w:rPr>
                <w:szCs w:val="20"/>
                <w:lang w:eastAsia="nl-NL"/>
              </w:rPr>
              <w:t>Multidisciplinaire zorg</w:t>
            </w:r>
          </w:p>
        </w:tc>
        <w:tc>
          <w:tcPr>
            <w:tcW w:w="1418" w:type="dxa"/>
          </w:tcPr>
          <w:p w:rsidRPr="005F055E" w:rsidR="008D2F23" w:rsidP="00180EEB" w:rsidRDefault="008D2F23" w14:paraId="4A081611" w14:textId="77777777">
            <w:pPr>
              <w:suppressAutoHyphens/>
              <w:spacing w:line="240" w:lineRule="atLeast"/>
              <w:rPr>
                <w:szCs w:val="20"/>
                <w:lang w:eastAsia="nl-NL"/>
              </w:rPr>
            </w:pPr>
            <w:r w:rsidRPr="005F055E">
              <w:rPr>
                <w:szCs w:val="20"/>
                <w:lang w:eastAsia="nl-NL"/>
              </w:rPr>
              <w:t>7</w:t>
            </w:r>
          </w:p>
        </w:tc>
        <w:tc>
          <w:tcPr>
            <w:tcW w:w="1418" w:type="dxa"/>
          </w:tcPr>
          <w:p w:rsidRPr="005F055E" w:rsidR="008D2F23" w:rsidP="00180EEB" w:rsidRDefault="008D2F23" w14:paraId="33436D02" w14:textId="77777777">
            <w:pPr>
              <w:suppressAutoHyphens/>
              <w:spacing w:line="240" w:lineRule="atLeast"/>
              <w:rPr>
                <w:szCs w:val="20"/>
                <w:lang w:eastAsia="nl-NL"/>
              </w:rPr>
            </w:pPr>
            <w:r w:rsidRPr="005F055E">
              <w:rPr>
                <w:szCs w:val="20"/>
                <w:lang w:eastAsia="nl-NL"/>
              </w:rPr>
              <w:t>7</w:t>
            </w:r>
          </w:p>
        </w:tc>
      </w:tr>
      <w:tr w:rsidRPr="005F055E" w:rsidR="008D2F23" w:rsidTr="005E2643" w14:paraId="3ED9D97B" w14:textId="77777777">
        <w:tc>
          <w:tcPr>
            <w:tcW w:w="4253" w:type="dxa"/>
          </w:tcPr>
          <w:p w:rsidRPr="005F055E" w:rsidR="008D2F23" w:rsidP="00180EEB" w:rsidRDefault="008D2F23" w14:paraId="3A92AAE5" w14:textId="77777777">
            <w:pPr>
              <w:suppressAutoHyphens/>
              <w:spacing w:line="240" w:lineRule="atLeast"/>
              <w:rPr>
                <w:szCs w:val="20"/>
                <w:lang w:eastAsia="nl-NL"/>
              </w:rPr>
            </w:pPr>
            <w:proofErr w:type="spellStart"/>
            <w:r w:rsidRPr="005F055E">
              <w:rPr>
                <w:szCs w:val="20"/>
                <w:lang w:eastAsia="nl-NL"/>
              </w:rPr>
              <w:t>Beschikbaarheidbijdr</w:t>
            </w:r>
            <w:proofErr w:type="spellEnd"/>
            <w:r w:rsidRPr="005F055E">
              <w:rPr>
                <w:szCs w:val="20"/>
                <w:lang w:eastAsia="nl-NL"/>
              </w:rPr>
              <w:t>. Opleidingen</w:t>
            </w:r>
          </w:p>
        </w:tc>
        <w:tc>
          <w:tcPr>
            <w:tcW w:w="1418" w:type="dxa"/>
          </w:tcPr>
          <w:p w:rsidRPr="005F055E" w:rsidR="008D2F23" w:rsidP="00180EEB" w:rsidRDefault="008D2F23" w14:paraId="27B2E803" w14:textId="77777777">
            <w:pPr>
              <w:suppressAutoHyphens/>
              <w:spacing w:line="240" w:lineRule="atLeast"/>
              <w:rPr>
                <w:szCs w:val="20"/>
                <w:lang w:eastAsia="nl-NL"/>
              </w:rPr>
            </w:pPr>
            <w:r w:rsidRPr="005F055E">
              <w:rPr>
                <w:szCs w:val="20"/>
                <w:lang w:eastAsia="nl-NL"/>
              </w:rPr>
              <w:t>-16</w:t>
            </w:r>
          </w:p>
        </w:tc>
        <w:tc>
          <w:tcPr>
            <w:tcW w:w="1418" w:type="dxa"/>
          </w:tcPr>
          <w:p w:rsidRPr="005F055E" w:rsidR="008D2F23" w:rsidP="00180EEB" w:rsidRDefault="008D2F23" w14:paraId="157B863F" w14:textId="77777777">
            <w:pPr>
              <w:suppressAutoHyphens/>
              <w:spacing w:line="240" w:lineRule="atLeast"/>
              <w:rPr>
                <w:szCs w:val="20"/>
                <w:lang w:eastAsia="nl-NL"/>
              </w:rPr>
            </w:pPr>
            <w:r w:rsidRPr="005F055E">
              <w:rPr>
                <w:szCs w:val="20"/>
                <w:lang w:eastAsia="nl-NL"/>
              </w:rPr>
              <w:t>24</w:t>
            </w:r>
          </w:p>
        </w:tc>
      </w:tr>
      <w:tr w:rsidRPr="005F055E" w:rsidR="008D2F23" w:rsidTr="005E2643" w14:paraId="3B9C63AE" w14:textId="77777777">
        <w:tc>
          <w:tcPr>
            <w:tcW w:w="4253" w:type="dxa"/>
          </w:tcPr>
          <w:p w:rsidRPr="005F055E" w:rsidR="008D2F23" w:rsidP="00180EEB" w:rsidRDefault="008D2F23" w14:paraId="46791F2C" w14:textId="77777777">
            <w:pPr>
              <w:suppressAutoHyphens/>
              <w:spacing w:line="240" w:lineRule="atLeast"/>
              <w:rPr>
                <w:szCs w:val="20"/>
                <w:lang w:eastAsia="nl-NL"/>
              </w:rPr>
            </w:pPr>
            <w:r w:rsidRPr="005F055E">
              <w:rPr>
                <w:szCs w:val="20"/>
                <w:lang w:eastAsia="nl-NL"/>
              </w:rPr>
              <w:t>Geriatrische revalidatiezorg</w:t>
            </w:r>
          </w:p>
        </w:tc>
        <w:tc>
          <w:tcPr>
            <w:tcW w:w="1418" w:type="dxa"/>
          </w:tcPr>
          <w:p w:rsidRPr="005F055E" w:rsidR="008D2F23" w:rsidP="00180EEB" w:rsidRDefault="008D2F23" w14:paraId="2FADAC82" w14:textId="77777777">
            <w:pPr>
              <w:suppressAutoHyphens/>
              <w:spacing w:line="240" w:lineRule="atLeast"/>
              <w:rPr>
                <w:szCs w:val="20"/>
                <w:lang w:eastAsia="nl-NL"/>
              </w:rPr>
            </w:pPr>
            <w:r w:rsidRPr="005F055E">
              <w:rPr>
                <w:szCs w:val="20"/>
                <w:lang w:eastAsia="nl-NL"/>
              </w:rPr>
              <w:t>-50</w:t>
            </w:r>
          </w:p>
        </w:tc>
        <w:tc>
          <w:tcPr>
            <w:tcW w:w="1418" w:type="dxa"/>
          </w:tcPr>
          <w:p w:rsidRPr="005F055E" w:rsidR="008D2F23" w:rsidP="00180EEB" w:rsidRDefault="008D2F23" w14:paraId="34BFC2AE" w14:textId="77777777">
            <w:pPr>
              <w:suppressAutoHyphens/>
              <w:spacing w:line="240" w:lineRule="atLeast"/>
              <w:rPr>
                <w:szCs w:val="20"/>
                <w:lang w:eastAsia="nl-NL"/>
              </w:rPr>
            </w:pPr>
            <w:r w:rsidRPr="005F055E">
              <w:rPr>
                <w:szCs w:val="20"/>
                <w:lang w:eastAsia="nl-NL"/>
              </w:rPr>
              <w:t>-50</w:t>
            </w:r>
          </w:p>
        </w:tc>
      </w:tr>
      <w:tr w:rsidRPr="005F055E" w:rsidR="008D2F23" w:rsidTr="005E2643" w14:paraId="2E54CFB5" w14:textId="77777777">
        <w:tc>
          <w:tcPr>
            <w:tcW w:w="4253" w:type="dxa"/>
          </w:tcPr>
          <w:p w:rsidRPr="005F055E" w:rsidR="008D2F23" w:rsidP="00180EEB" w:rsidRDefault="008D2F23" w14:paraId="79A8D536" w14:textId="77777777">
            <w:pPr>
              <w:suppressAutoHyphens/>
              <w:spacing w:line="240" w:lineRule="atLeast"/>
              <w:rPr>
                <w:szCs w:val="20"/>
                <w:lang w:eastAsia="nl-NL"/>
              </w:rPr>
            </w:pPr>
            <w:r w:rsidRPr="005F055E">
              <w:rPr>
                <w:szCs w:val="20"/>
                <w:lang w:eastAsia="nl-NL"/>
              </w:rPr>
              <w:t>Eerstelijnsverblijf</w:t>
            </w:r>
          </w:p>
        </w:tc>
        <w:tc>
          <w:tcPr>
            <w:tcW w:w="1418" w:type="dxa"/>
          </w:tcPr>
          <w:p w:rsidRPr="005F055E" w:rsidR="008D2F23" w:rsidP="00180EEB" w:rsidRDefault="008D2F23" w14:paraId="5D087200" w14:textId="77777777">
            <w:pPr>
              <w:suppressAutoHyphens/>
              <w:spacing w:line="240" w:lineRule="atLeast"/>
              <w:rPr>
                <w:szCs w:val="20"/>
                <w:lang w:eastAsia="nl-NL"/>
              </w:rPr>
            </w:pPr>
            <w:r w:rsidRPr="005F055E">
              <w:rPr>
                <w:szCs w:val="20"/>
                <w:lang w:eastAsia="nl-NL"/>
              </w:rPr>
              <w:t>48</w:t>
            </w:r>
          </w:p>
        </w:tc>
        <w:tc>
          <w:tcPr>
            <w:tcW w:w="1418" w:type="dxa"/>
          </w:tcPr>
          <w:p w:rsidRPr="005F055E" w:rsidR="008D2F23" w:rsidP="00180EEB" w:rsidRDefault="008D2F23" w14:paraId="280A4DBB" w14:textId="77777777">
            <w:pPr>
              <w:suppressAutoHyphens/>
              <w:spacing w:line="240" w:lineRule="atLeast"/>
              <w:rPr>
                <w:szCs w:val="20"/>
                <w:lang w:eastAsia="nl-NL"/>
              </w:rPr>
            </w:pPr>
            <w:r w:rsidRPr="005F055E">
              <w:rPr>
                <w:szCs w:val="20"/>
                <w:lang w:eastAsia="nl-NL"/>
              </w:rPr>
              <w:t>48</w:t>
            </w:r>
          </w:p>
        </w:tc>
      </w:tr>
      <w:tr w:rsidRPr="005F055E" w:rsidR="008D2F23" w:rsidTr="005E2643" w14:paraId="008B26B4" w14:textId="77777777">
        <w:tc>
          <w:tcPr>
            <w:tcW w:w="4253" w:type="dxa"/>
          </w:tcPr>
          <w:p w:rsidRPr="005F055E" w:rsidR="008D2F23" w:rsidP="00180EEB" w:rsidRDefault="008D2F23" w14:paraId="06B12541" w14:textId="77777777">
            <w:pPr>
              <w:suppressAutoHyphens/>
              <w:spacing w:line="240" w:lineRule="atLeast"/>
              <w:rPr>
                <w:szCs w:val="20"/>
                <w:lang w:eastAsia="nl-NL"/>
              </w:rPr>
            </w:pPr>
          </w:p>
        </w:tc>
        <w:tc>
          <w:tcPr>
            <w:tcW w:w="1418" w:type="dxa"/>
          </w:tcPr>
          <w:p w:rsidRPr="005F055E" w:rsidR="008D2F23" w:rsidP="00180EEB" w:rsidRDefault="008D2F23" w14:paraId="54EEE190" w14:textId="77777777">
            <w:pPr>
              <w:suppressAutoHyphens/>
              <w:spacing w:line="240" w:lineRule="atLeast"/>
              <w:rPr>
                <w:szCs w:val="20"/>
                <w:lang w:eastAsia="nl-NL"/>
              </w:rPr>
            </w:pPr>
          </w:p>
        </w:tc>
        <w:tc>
          <w:tcPr>
            <w:tcW w:w="1418" w:type="dxa"/>
          </w:tcPr>
          <w:p w:rsidRPr="005F055E" w:rsidR="008D2F23" w:rsidP="00180EEB" w:rsidRDefault="008D2F23" w14:paraId="6B503EEE" w14:textId="77777777">
            <w:pPr>
              <w:suppressAutoHyphens/>
              <w:spacing w:line="240" w:lineRule="atLeast"/>
              <w:rPr>
                <w:szCs w:val="20"/>
                <w:lang w:eastAsia="nl-NL"/>
              </w:rPr>
            </w:pPr>
          </w:p>
        </w:tc>
      </w:tr>
      <w:tr w:rsidRPr="005F055E" w:rsidR="008D2F23" w:rsidTr="005E2643" w14:paraId="038ED7E7" w14:textId="77777777">
        <w:tc>
          <w:tcPr>
            <w:tcW w:w="4253" w:type="dxa"/>
          </w:tcPr>
          <w:p w:rsidRPr="005F055E" w:rsidR="008D2F23" w:rsidP="00180EEB" w:rsidRDefault="008D2F23" w14:paraId="75586CC7" w14:textId="77777777">
            <w:pPr>
              <w:suppressAutoHyphens/>
              <w:spacing w:line="240" w:lineRule="atLeast"/>
              <w:rPr>
                <w:b/>
                <w:bCs/>
                <w:szCs w:val="20"/>
                <w:lang w:eastAsia="nl-NL"/>
              </w:rPr>
            </w:pPr>
            <w:r w:rsidRPr="005F055E">
              <w:rPr>
                <w:b/>
                <w:bCs/>
                <w:szCs w:val="20"/>
                <w:lang w:eastAsia="nl-NL"/>
              </w:rPr>
              <w:t>Totaal</w:t>
            </w:r>
          </w:p>
        </w:tc>
        <w:tc>
          <w:tcPr>
            <w:tcW w:w="1418" w:type="dxa"/>
          </w:tcPr>
          <w:p w:rsidRPr="005F055E" w:rsidR="008D2F23" w:rsidP="00180EEB" w:rsidRDefault="008D2F23" w14:paraId="5C5200A2" w14:textId="77777777">
            <w:pPr>
              <w:suppressAutoHyphens/>
              <w:spacing w:line="240" w:lineRule="atLeast"/>
              <w:rPr>
                <w:b/>
                <w:bCs/>
                <w:szCs w:val="20"/>
                <w:lang w:eastAsia="nl-NL"/>
              </w:rPr>
            </w:pPr>
            <w:r w:rsidRPr="005F055E">
              <w:rPr>
                <w:b/>
                <w:bCs/>
                <w:szCs w:val="20"/>
                <w:lang w:eastAsia="nl-NL"/>
              </w:rPr>
              <w:t>-1102</w:t>
            </w:r>
          </w:p>
        </w:tc>
        <w:tc>
          <w:tcPr>
            <w:tcW w:w="1418" w:type="dxa"/>
          </w:tcPr>
          <w:p w:rsidRPr="005F055E" w:rsidR="008D2F23" w:rsidP="00180EEB" w:rsidRDefault="008D2F23" w14:paraId="50EF3346" w14:textId="77777777">
            <w:pPr>
              <w:suppressAutoHyphens/>
              <w:spacing w:line="240" w:lineRule="atLeast"/>
              <w:rPr>
                <w:b/>
                <w:bCs/>
                <w:szCs w:val="20"/>
                <w:lang w:eastAsia="nl-NL"/>
              </w:rPr>
            </w:pPr>
            <w:r w:rsidRPr="005F055E">
              <w:rPr>
                <w:b/>
                <w:bCs/>
                <w:szCs w:val="20"/>
                <w:lang w:eastAsia="nl-NL"/>
              </w:rPr>
              <w:t>-1062</w:t>
            </w:r>
          </w:p>
        </w:tc>
      </w:tr>
    </w:tbl>
    <w:p w:rsidRPr="005F055E" w:rsidR="008D2F23" w:rsidP="00180EEB" w:rsidRDefault="008D2F23" w14:paraId="19FD79BC" w14:textId="77777777">
      <w:pPr>
        <w:suppressAutoHyphens/>
        <w:spacing w:line="240" w:lineRule="atLeast"/>
        <w:rPr>
          <w:szCs w:val="20"/>
          <w:lang w:eastAsia="nl-NL"/>
        </w:rPr>
      </w:pPr>
    </w:p>
    <w:p w:rsidRPr="005F055E" w:rsidR="00D535AF" w:rsidP="00180EEB" w:rsidRDefault="003E7003" w14:paraId="5F2504E3" w14:textId="39FC8597">
      <w:pPr>
        <w:suppressAutoHyphens/>
      </w:pPr>
      <w:r w:rsidRPr="005F055E">
        <w:t>Vraag 473</w:t>
      </w:r>
    </w:p>
    <w:p w:rsidRPr="005F055E" w:rsidR="00D535AF" w:rsidP="00180EEB" w:rsidRDefault="003E7003" w14:paraId="156BB0AA" w14:textId="77777777">
      <w:pPr>
        <w:suppressAutoHyphens/>
      </w:pPr>
      <w:r w:rsidRPr="005F055E">
        <w:t>Is er afgezien van de per 2026 voorgenomen tranchering van het eigen risico (€150 per behandeling in de medisch specialistische ziekenhuiszorg)? Wat voor gevolg heeft dit voor de daarbij genoemde begrotingseffecten (€318 miljoen uitgaven/€118 miljoen ontvangsten eigen risico; saldo €200 miljoen) per sector?</w:t>
      </w:r>
    </w:p>
    <w:p w:rsidRPr="005F055E" w:rsidR="003E7003" w:rsidP="00180EEB" w:rsidRDefault="003E7003" w14:paraId="44A6BCD1" w14:textId="17992CF3">
      <w:pPr>
        <w:suppressAutoHyphens/>
      </w:pPr>
      <w:r w:rsidRPr="005F055E">
        <w:t>Antwoord</w:t>
      </w:r>
    </w:p>
    <w:p w:rsidRPr="005F055E" w:rsidR="00CF4A75" w:rsidP="00180EEB" w:rsidRDefault="00913AA3" w14:paraId="4EB4DD50" w14:textId="071E5E64">
      <w:pPr>
        <w:suppressAutoHyphens/>
        <w:spacing w:line="276" w:lineRule="auto"/>
        <w:rPr>
          <w:szCs w:val="18"/>
        </w:rPr>
      </w:pPr>
      <w:r w:rsidRPr="009B1A7B">
        <w:rPr>
          <w:szCs w:val="18"/>
        </w:rPr>
        <w:t>In het Hoofdlijnenakkoord is afgesproken om per 2027 het eigen risico te trancheren met een bedrag van € 50 per behandeling in de medisch specialistische zorg bij een eigen risico van € 165. Om die reden is afgezien van de tranchering van het eigen risico met een bedrag van € 150 per 2026.</w:t>
      </w:r>
      <w:r w:rsidRPr="005F055E" w:rsidR="00CF4A75">
        <w:rPr>
          <w:rStyle w:val="Voetnootmarkering"/>
          <w:szCs w:val="18"/>
        </w:rPr>
        <w:footnoteReference w:id="179"/>
      </w:r>
      <w:r w:rsidRPr="005F055E" w:rsidR="00CF4A75">
        <w:rPr>
          <w:szCs w:val="18"/>
        </w:rPr>
        <w:t xml:space="preserve"> </w:t>
      </w:r>
    </w:p>
    <w:p w:rsidRPr="005F055E" w:rsidR="00CF4A75" w:rsidP="00180EEB" w:rsidRDefault="00CF4A75" w14:paraId="5B7F576E" w14:textId="16213F9E">
      <w:pPr>
        <w:suppressAutoHyphens/>
        <w:spacing w:line="276" w:lineRule="auto"/>
        <w:rPr>
          <w:szCs w:val="18"/>
        </w:rPr>
      </w:pPr>
      <w:r w:rsidRPr="005F055E">
        <w:rPr>
          <w:szCs w:val="18"/>
        </w:rPr>
        <w:t xml:space="preserve">Het niet doorgaan van de tranchering leidt (ten opzichte van het wel doorgaan van tranchering) tot € 318 miljoen hogere zorguitgaven. In onderstaande tabel staat de verdeling hiervan per sector (€ 52 miljoen was gereserveerd op de sector Nominaal en onverdeeld </w:t>
      </w:r>
      <w:proofErr w:type="spellStart"/>
      <w:r w:rsidRPr="005F055E">
        <w:rPr>
          <w:szCs w:val="18"/>
        </w:rPr>
        <w:t>Zvw</w:t>
      </w:r>
      <w:proofErr w:type="spellEnd"/>
      <w:r w:rsidRPr="005F055E">
        <w:rPr>
          <w:szCs w:val="18"/>
        </w:rPr>
        <w:t xml:space="preserve">). Tevens leidt dit tot een € 118 miljoen hogere opbrengst van het eigen risico. </w:t>
      </w:r>
    </w:p>
    <w:tbl>
      <w:tblPr>
        <w:tblW w:w="6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791"/>
        <w:gridCol w:w="1869"/>
      </w:tblGrid>
      <w:tr w:rsidRPr="005F055E" w:rsidR="00CF4A75" w:rsidTr="005E2643" w14:paraId="0C1FF6C8" w14:textId="77777777">
        <w:trPr>
          <w:trHeight w:val="300"/>
        </w:trPr>
        <w:tc>
          <w:tcPr>
            <w:tcW w:w="4791" w:type="dxa"/>
            <w:shd w:val="clear" w:color="auto" w:fill="auto"/>
            <w:noWrap/>
          </w:tcPr>
          <w:p w:rsidRPr="005F055E" w:rsidR="00CF4A75" w:rsidP="00180EEB" w:rsidRDefault="00CF4A75" w14:paraId="3F4A0149" w14:textId="77777777">
            <w:pPr>
              <w:suppressAutoHyphens/>
              <w:spacing w:line="240" w:lineRule="auto"/>
              <w:rPr>
                <w:b/>
                <w:bCs/>
                <w:color w:val="000000"/>
                <w:szCs w:val="18"/>
              </w:rPr>
            </w:pPr>
            <w:r w:rsidRPr="005F055E">
              <w:rPr>
                <w:b/>
                <w:bCs/>
                <w:color w:val="000000"/>
                <w:szCs w:val="18"/>
              </w:rPr>
              <w:t>Sector</w:t>
            </w:r>
          </w:p>
        </w:tc>
        <w:tc>
          <w:tcPr>
            <w:tcW w:w="1869" w:type="dxa"/>
            <w:shd w:val="clear" w:color="auto" w:fill="auto"/>
            <w:noWrap/>
            <w:vAlign w:val="center"/>
          </w:tcPr>
          <w:p w:rsidRPr="005F055E" w:rsidR="00CF4A75" w:rsidP="00180EEB" w:rsidRDefault="00CF4A75" w14:paraId="15201DB2" w14:textId="77777777">
            <w:pPr>
              <w:suppressAutoHyphens/>
              <w:spacing w:line="240" w:lineRule="auto"/>
              <w:rPr>
                <w:b/>
                <w:bCs/>
                <w:color w:val="000000"/>
                <w:szCs w:val="18"/>
              </w:rPr>
            </w:pPr>
            <w:r w:rsidRPr="005F055E">
              <w:rPr>
                <w:b/>
                <w:bCs/>
                <w:color w:val="000000"/>
                <w:szCs w:val="18"/>
              </w:rPr>
              <w:t xml:space="preserve">Bedrag in € </w:t>
            </w:r>
            <w:proofErr w:type="spellStart"/>
            <w:r w:rsidRPr="005F055E">
              <w:rPr>
                <w:b/>
                <w:bCs/>
                <w:color w:val="000000"/>
                <w:szCs w:val="18"/>
              </w:rPr>
              <w:t>mln</w:t>
            </w:r>
            <w:proofErr w:type="spellEnd"/>
          </w:p>
        </w:tc>
      </w:tr>
      <w:tr w:rsidRPr="005F055E" w:rsidR="00CF4A75" w:rsidTr="005E2643" w14:paraId="31DDEE35" w14:textId="77777777">
        <w:trPr>
          <w:trHeight w:val="300"/>
        </w:trPr>
        <w:tc>
          <w:tcPr>
            <w:tcW w:w="4791" w:type="dxa"/>
            <w:shd w:val="clear" w:color="auto" w:fill="auto"/>
            <w:noWrap/>
            <w:hideMark/>
          </w:tcPr>
          <w:p w:rsidRPr="005F055E" w:rsidR="00CF4A75" w:rsidP="00180EEB" w:rsidRDefault="00CF4A75" w14:paraId="414B0437" w14:textId="77777777">
            <w:pPr>
              <w:suppressAutoHyphens/>
              <w:spacing w:line="240" w:lineRule="auto"/>
              <w:rPr>
                <w:color w:val="000000"/>
                <w:szCs w:val="18"/>
              </w:rPr>
            </w:pPr>
            <w:r w:rsidRPr="005F055E">
              <w:rPr>
                <w:color w:val="000000"/>
                <w:szCs w:val="18"/>
              </w:rPr>
              <w:t>Huisartsenzorg</w:t>
            </w:r>
          </w:p>
        </w:tc>
        <w:tc>
          <w:tcPr>
            <w:tcW w:w="1869" w:type="dxa"/>
            <w:shd w:val="clear" w:color="auto" w:fill="auto"/>
            <w:noWrap/>
            <w:vAlign w:val="center"/>
            <w:hideMark/>
          </w:tcPr>
          <w:p w:rsidRPr="005F055E" w:rsidR="00CF4A75" w:rsidP="00180EEB" w:rsidRDefault="00CF4A75" w14:paraId="75ED763D" w14:textId="77777777">
            <w:pPr>
              <w:suppressAutoHyphens/>
              <w:spacing w:line="240" w:lineRule="auto"/>
              <w:rPr>
                <w:color w:val="000000"/>
                <w:szCs w:val="18"/>
              </w:rPr>
            </w:pPr>
            <w:r w:rsidRPr="005F055E">
              <w:rPr>
                <w:color w:val="000000"/>
                <w:szCs w:val="18"/>
              </w:rPr>
              <w:t>21,0</w:t>
            </w:r>
          </w:p>
        </w:tc>
      </w:tr>
      <w:tr w:rsidRPr="005F055E" w:rsidR="00CF4A75" w:rsidTr="005E2643" w14:paraId="755F7CA7" w14:textId="77777777">
        <w:trPr>
          <w:trHeight w:val="300"/>
        </w:trPr>
        <w:tc>
          <w:tcPr>
            <w:tcW w:w="4791" w:type="dxa"/>
            <w:shd w:val="clear" w:color="auto" w:fill="auto"/>
            <w:noWrap/>
            <w:hideMark/>
          </w:tcPr>
          <w:p w:rsidRPr="005F055E" w:rsidR="00CF4A75" w:rsidP="00180EEB" w:rsidRDefault="00CF4A75" w14:paraId="2A083E66" w14:textId="77777777">
            <w:pPr>
              <w:suppressAutoHyphens/>
              <w:spacing w:line="240" w:lineRule="auto"/>
              <w:rPr>
                <w:color w:val="000000"/>
                <w:szCs w:val="18"/>
              </w:rPr>
            </w:pPr>
            <w:r w:rsidRPr="005F055E">
              <w:rPr>
                <w:color w:val="000000"/>
                <w:szCs w:val="18"/>
              </w:rPr>
              <w:t>Multidisciplinaire zorgverlening</w:t>
            </w:r>
          </w:p>
        </w:tc>
        <w:tc>
          <w:tcPr>
            <w:tcW w:w="1869" w:type="dxa"/>
            <w:shd w:val="clear" w:color="auto" w:fill="auto"/>
            <w:noWrap/>
            <w:vAlign w:val="center"/>
            <w:hideMark/>
          </w:tcPr>
          <w:p w:rsidRPr="005F055E" w:rsidR="00CF4A75" w:rsidP="00180EEB" w:rsidRDefault="00CF4A75" w14:paraId="194E8C0D" w14:textId="77777777">
            <w:pPr>
              <w:suppressAutoHyphens/>
              <w:spacing w:line="240" w:lineRule="auto"/>
              <w:rPr>
                <w:color w:val="000000"/>
                <w:szCs w:val="18"/>
              </w:rPr>
            </w:pPr>
            <w:r w:rsidRPr="005F055E">
              <w:rPr>
                <w:color w:val="000000"/>
                <w:szCs w:val="18"/>
              </w:rPr>
              <w:t>4,4</w:t>
            </w:r>
          </w:p>
        </w:tc>
      </w:tr>
      <w:tr w:rsidRPr="005F055E" w:rsidR="00CF4A75" w:rsidTr="005E2643" w14:paraId="7EBC6FAA" w14:textId="77777777">
        <w:trPr>
          <w:trHeight w:val="300"/>
        </w:trPr>
        <w:tc>
          <w:tcPr>
            <w:tcW w:w="4791" w:type="dxa"/>
            <w:shd w:val="clear" w:color="auto" w:fill="auto"/>
            <w:noWrap/>
            <w:hideMark/>
          </w:tcPr>
          <w:p w:rsidRPr="005F055E" w:rsidR="00CF4A75" w:rsidP="00180EEB" w:rsidRDefault="00CF4A75" w14:paraId="6B3DF9C4" w14:textId="77777777">
            <w:pPr>
              <w:suppressAutoHyphens/>
              <w:spacing w:line="240" w:lineRule="auto"/>
              <w:rPr>
                <w:color w:val="000000"/>
                <w:szCs w:val="18"/>
              </w:rPr>
            </w:pPr>
            <w:r w:rsidRPr="005F055E">
              <w:rPr>
                <w:color w:val="000000"/>
                <w:szCs w:val="18"/>
              </w:rPr>
              <w:t>Tandheelkundige zorg</w:t>
            </w:r>
          </w:p>
        </w:tc>
        <w:tc>
          <w:tcPr>
            <w:tcW w:w="1869" w:type="dxa"/>
            <w:shd w:val="clear" w:color="auto" w:fill="auto"/>
            <w:noWrap/>
            <w:vAlign w:val="center"/>
            <w:hideMark/>
          </w:tcPr>
          <w:p w:rsidRPr="005F055E" w:rsidR="00CF4A75" w:rsidP="00180EEB" w:rsidRDefault="00CF4A75" w14:paraId="43A3D202" w14:textId="77777777">
            <w:pPr>
              <w:suppressAutoHyphens/>
              <w:spacing w:line="240" w:lineRule="auto"/>
              <w:rPr>
                <w:color w:val="000000"/>
                <w:szCs w:val="18"/>
              </w:rPr>
            </w:pPr>
            <w:r w:rsidRPr="005F055E">
              <w:rPr>
                <w:color w:val="000000"/>
                <w:szCs w:val="18"/>
              </w:rPr>
              <w:t>4,9</w:t>
            </w:r>
          </w:p>
        </w:tc>
      </w:tr>
      <w:tr w:rsidRPr="005F055E" w:rsidR="00CF4A75" w:rsidTr="005E2643" w14:paraId="73C1B3BD" w14:textId="77777777">
        <w:trPr>
          <w:trHeight w:val="300"/>
        </w:trPr>
        <w:tc>
          <w:tcPr>
            <w:tcW w:w="4791" w:type="dxa"/>
            <w:shd w:val="clear" w:color="auto" w:fill="auto"/>
            <w:noWrap/>
            <w:hideMark/>
          </w:tcPr>
          <w:p w:rsidRPr="005F055E" w:rsidR="00CF4A75" w:rsidP="00180EEB" w:rsidRDefault="00CF4A75" w14:paraId="1E14BDE7" w14:textId="77777777">
            <w:pPr>
              <w:suppressAutoHyphens/>
              <w:spacing w:line="240" w:lineRule="auto"/>
              <w:rPr>
                <w:color w:val="000000"/>
                <w:szCs w:val="18"/>
              </w:rPr>
            </w:pPr>
            <w:r w:rsidRPr="005F055E">
              <w:rPr>
                <w:color w:val="000000"/>
                <w:szCs w:val="18"/>
              </w:rPr>
              <w:t>Paramedische zorg</w:t>
            </w:r>
          </w:p>
        </w:tc>
        <w:tc>
          <w:tcPr>
            <w:tcW w:w="1869" w:type="dxa"/>
            <w:shd w:val="clear" w:color="auto" w:fill="auto"/>
            <w:noWrap/>
            <w:vAlign w:val="center"/>
            <w:hideMark/>
          </w:tcPr>
          <w:p w:rsidRPr="005F055E" w:rsidR="00CF4A75" w:rsidP="00180EEB" w:rsidRDefault="00CF4A75" w14:paraId="1CC60530" w14:textId="77777777">
            <w:pPr>
              <w:suppressAutoHyphens/>
              <w:spacing w:line="240" w:lineRule="auto"/>
              <w:rPr>
                <w:color w:val="000000"/>
                <w:szCs w:val="18"/>
              </w:rPr>
            </w:pPr>
            <w:r w:rsidRPr="005F055E">
              <w:rPr>
                <w:color w:val="000000"/>
                <w:szCs w:val="18"/>
              </w:rPr>
              <w:t>5,6</w:t>
            </w:r>
          </w:p>
        </w:tc>
      </w:tr>
      <w:tr w:rsidRPr="005F055E" w:rsidR="00CF4A75" w:rsidTr="005E2643" w14:paraId="77506328" w14:textId="77777777">
        <w:trPr>
          <w:trHeight w:val="300"/>
        </w:trPr>
        <w:tc>
          <w:tcPr>
            <w:tcW w:w="4791" w:type="dxa"/>
            <w:shd w:val="clear" w:color="auto" w:fill="auto"/>
            <w:noWrap/>
            <w:hideMark/>
          </w:tcPr>
          <w:p w:rsidRPr="005F055E" w:rsidR="00CF4A75" w:rsidP="00180EEB" w:rsidRDefault="00CF4A75" w14:paraId="6919476E" w14:textId="77777777">
            <w:pPr>
              <w:suppressAutoHyphens/>
              <w:spacing w:line="240" w:lineRule="auto"/>
              <w:rPr>
                <w:color w:val="000000"/>
                <w:szCs w:val="18"/>
              </w:rPr>
            </w:pPr>
            <w:r w:rsidRPr="005F055E">
              <w:rPr>
                <w:color w:val="000000"/>
                <w:szCs w:val="18"/>
              </w:rPr>
              <w:t>Zorg voor zintuigelijk gehandicapten</w:t>
            </w:r>
          </w:p>
        </w:tc>
        <w:tc>
          <w:tcPr>
            <w:tcW w:w="1869" w:type="dxa"/>
            <w:shd w:val="clear" w:color="auto" w:fill="auto"/>
            <w:noWrap/>
            <w:vAlign w:val="center"/>
            <w:hideMark/>
          </w:tcPr>
          <w:p w:rsidRPr="005F055E" w:rsidR="00CF4A75" w:rsidP="00180EEB" w:rsidRDefault="00CF4A75" w14:paraId="09D624DA" w14:textId="77777777">
            <w:pPr>
              <w:suppressAutoHyphens/>
              <w:spacing w:line="240" w:lineRule="auto"/>
              <w:rPr>
                <w:color w:val="000000"/>
                <w:szCs w:val="18"/>
              </w:rPr>
            </w:pPr>
            <w:r w:rsidRPr="005F055E">
              <w:rPr>
                <w:color w:val="000000"/>
                <w:szCs w:val="18"/>
              </w:rPr>
              <w:t>1,1</w:t>
            </w:r>
          </w:p>
        </w:tc>
      </w:tr>
      <w:tr w:rsidRPr="005F055E" w:rsidR="00CF4A75" w:rsidTr="005E2643" w14:paraId="6D67DEDB" w14:textId="77777777">
        <w:trPr>
          <w:trHeight w:val="300"/>
        </w:trPr>
        <w:tc>
          <w:tcPr>
            <w:tcW w:w="4791" w:type="dxa"/>
            <w:shd w:val="clear" w:color="auto" w:fill="auto"/>
            <w:noWrap/>
            <w:hideMark/>
          </w:tcPr>
          <w:p w:rsidRPr="005F055E" w:rsidR="00CF4A75" w:rsidP="00180EEB" w:rsidRDefault="00CF4A75" w14:paraId="61F8FCED" w14:textId="77777777">
            <w:pPr>
              <w:suppressAutoHyphens/>
              <w:spacing w:line="240" w:lineRule="auto"/>
              <w:rPr>
                <w:color w:val="000000"/>
                <w:szCs w:val="18"/>
              </w:rPr>
            </w:pPr>
            <w:r w:rsidRPr="005F055E">
              <w:rPr>
                <w:color w:val="000000"/>
                <w:szCs w:val="18"/>
              </w:rPr>
              <w:t>Medisch-specialistische zorg</w:t>
            </w:r>
          </w:p>
        </w:tc>
        <w:tc>
          <w:tcPr>
            <w:tcW w:w="1869" w:type="dxa"/>
            <w:shd w:val="clear" w:color="auto" w:fill="auto"/>
            <w:noWrap/>
            <w:vAlign w:val="center"/>
            <w:hideMark/>
          </w:tcPr>
          <w:p w:rsidRPr="005F055E" w:rsidR="00CF4A75" w:rsidP="00180EEB" w:rsidRDefault="00CF4A75" w14:paraId="280BF2A1" w14:textId="77777777">
            <w:pPr>
              <w:suppressAutoHyphens/>
              <w:spacing w:line="240" w:lineRule="auto"/>
              <w:rPr>
                <w:color w:val="000000"/>
                <w:szCs w:val="18"/>
              </w:rPr>
            </w:pPr>
            <w:r w:rsidRPr="005F055E">
              <w:rPr>
                <w:color w:val="000000"/>
                <w:szCs w:val="18"/>
              </w:rPr>
              <w:t>146,7</w:t>
            </w:r>
          </w:p>
        </w:tc>
      </w:tr>
      <w:tr w:rsidRPr="005F055E" w:rsidR="00CF4A75" w:rsidTr="005E2643" w14:paraId="5412524F" w14:textId="77777777">
        <w:trPr>
          <w:trHeight w:val="300"/>
        </w:trPr>
        <w:tc>
          <w:tcPr>
            <w:tcW w:w="4791" w:type="dxa"/>
            <w:shd w:val="clear" w:color="auto" w:fill="auto"/>
            <w:noWrap/>
            <w:hideMark/>
          </w:tcPr>
          <w:p w:rsidRPr="005F055E" w:rsidR="00CF4A75" w:rsidP="00180EEB" w:rsidRDefault="00CF4A75" w14:paraId="44DD65A1" w14:textId="77777777">
            <w:pPr>
              <w:suppressAutoHyphens/>
              <w:spacing w:line="240" w:lineRule="auto"/>
              <w:rPr>
                <w:color w:val="000000"/>
                <w:szCs w:val="18"/>
              </w:rPr>
            </w:pPr>
            <w:r w:rsidRPr="005F055E">
              <w:rPr>
                <w:color w:val="000000"/>
                <w:szCs w:val="18"/>
              </w:rPr>
              <w:t>Geriatrische revalidatiezorg en eerstelijnsverblijf</w:t>
            </w:r>
          </w:p>
        </w:tc>
        <w:tc>
          <w:tcPr>
            <w:tcW w:w="1869" w:type="dxa"/>
            <w:shd w:val="clear" w:color="auto" w:fill="auto"/>
            <w:noWrap/>
            <w:vAlign w:val="center"/>
            <w:hideMark/>
          </w:tcPr>
          <w:p w:rsidRPr="005F055E" w:rsidR="00CF4A75" w:rsidP="00180EEB" w:rsidRDefault="00CF4A75" w14:paraId="7C90A4E1" w14:textId="77777777">
            <w:pPr>
              <w:suppressAutoHyphens/>
              <w:spacing w:line="240" w:lineRule="auto"/>
              <w:rPr>
                <w:color w:val="000000"/>
                <w:szCs w:val="18"/>
              </w:rPr>
            </w:pPr>
            <w:r w:rsidRPr="005F055E">
              <w:rPr>
                <w:color w:val="000000"/>
                <w:szCs w:val="18"/>
              </w:rPr>
              <w:t>6,8</w:t>
            </w:r>
          </w:p>
        </w:tc>
      </w:tr>
      <w:tr w:rsidRPr="005F055E" w:rsidR="00CF4A75" w:rsidTr="005E2643" w14:paraId="41D6A08B" w14:textId="77777777">
        <w:trPr>
          <w:trHeight w:val="300"/>
        </w:trPr>
        <w:tc>
          <w:tcPr>
            <w:tcW w:w="4791" w:type="dxa"/>
            <w:shd w:val="clear" w:color="auto" w:fill="auto"/>
            <w:noWrap/>
            <w:hideMark/>
          </w:tcPr>
          <w:p w:rsidRPr="005F055E" w:rsidR="00CF4A75" w:rsidP="00180EEB" w:rsidRDefault="00CF4A75" w14:paraId="5DEC833A" w14:textId="77777777">
            <w:pPr>
              <w:suppressAutoHyphens/>
              <w:spacing w:line="240" w:lineRule="auto"/>
              <w:rPr>
                <w:color w:val="000000"/>
                <w:szCs w:val="18"/>
              </w:rPr>
            </w:pPr>
            <w:r w:rsidRPr="005F055E">
              <w:rPr>
                <w:color w:val="000000"/>
                <w:szCs w:val="18"/>
              </w:rPr>
              <w:t>Overig curatieve zorg</w:t>
            </w:r>
          </w:p>
        </w:tc>
        <w:tc>
          <w:tcPr>
            <w:tcW w:w="1869" w:type="dxa"/>
            <w:shd w:val="clear" w:color="auto" w:fill="auto"/>
            <w:noWrap/>
            <w:vAlign w:val="center"/>
            <w:hideMark/>
          </w:tcPr>
          <w:p w:rsidRPr="005F055E" w:rsidR="00CF4A75" w:rsidP="00180EEB" w:rsidRDefault="00CF4A75" w14:paraId="557342CD" w14:textId="77777777">
            <w:pPr>
              <w:suppressAutoHyphens/>
              <w:spacing w:line="240" w:lineRule="auto"/>
              <w:rPr>
                <w:color w:val="000000"/>
                <w:szCs w:val="18"/>
              </w:rPr>
            </w:pPr>
            <w:r w:rsidRPr="005F055E">
              <w:rPr>
                <w:color w:val="000000"/>
                <w:szCs w:val="18"/>
              </w:rPr>
              <w:t>3,7</w:t>
            </w:r>
          </w:p>
        </w:tc>
      </w:tr>
      <w:tr w:rsidRPr="005F055E" w:rsidR="00CF4A75" w:rsidTr="005E2643" w14:paraId="1D690FE9" w14:textId="77777777">
        <w:trPr>
          <w:trHeight w:val="300"/>
        </w:trPr>
        <w:tc>
          <w:tcPr>
            <w:tcW w:w="4791" w:type="dxa"/>
            <w:shd w:val="clear" w:color="auto" w:fill="auto"/>
            <w:noWrap/>
            <w:hideMark/>
          </w:tcPr>
          <w:p w:rsidRPr="005F055E" w:rsidR="00CF4A75" w:rsidP="00180EEB" w:rsidRDefault="00CF4A75" w14:paraId="61D9C7D1" w14:textId="77777777">
            <w:pPr>
              <w:suppressAutoHyphens/>
              <w:spacing w:line="240" w:lineRule="auto"/>
              <w:rPr>
                <w:color w:val="000000"/>
                <w:szCs w:val="18"/>
              </w:rPr>
            </w:pPr>
            <w:r w:rsidRPr="005F055E">
              <w:rPr>
                <w:color w:val="000000"/>
                <w:szCs w:val="18"/>
              </w:rPr>
              <w:t>Geneeskundige geestelijke gezondheidszorg</w:t>
            </w:r>
          </w:p>
        </w:tc>
        <w:tc>
          <w:tcPr>
            <w:tcW w:w="1869" w:type="dxa"/>
            <w:shd w:val="clear" w:color="auto" w:fill="auto"/>
            <w:noWrap/>
            <w:vAlign w:val="center"/>
            <w:hideMark/>
          </w:tcPr>
          <w:p w:rsidRPr="005F055E" w:rsidR="00CF4A75" w:rsidP="00180EEB" w:rsidRDefault="00CF4A75" w14:paraId="7AD3762A" w14:textId="77777777">
            <w:pPr>
              <w:suppressAutoHyphens/>
              <w:spacing w:line="240" w:lineRule="auto"/>
              <w:rPr>
                <w:color w:val="000000"/>
                <w:szCs w:val="18"/>
              </w:rPr>
            </w:pPr>
            <w:r w:rsidRPr="005F055E">
              <w:rPr>
                <w:color w:val="000000"/>
                <w:szCs w:val="18"/>
              </w:rPr>
              <w:t>25,8</w:t>
            </w:r>
          </w:p>
        </w:tc>
      </w:tr>
      <w:tr w:rsidRPr="005F055E" w:rsidR="00CF4A75" w:rsidTr="005E2643" w14:paraId="3DC7398B" w14:textId="77777777">
        <w:trPr>
          <w:trHeight w:val="300"/>
        </w:trPr>
        <w:tc>
          <w:tcPr>
            <w:tcW w:w="4791" w:type="dxa"/>
            <w:shd w:val="clear" w:color="auto" w:fill="auto"/>
            <w:noWrap/>
            <w:hideMark/>
          </w:tcPr>
          <w:p w:rsidRPr="005F055E" w:rsidR="00CF4A75" w:rsidP="00180EEB" w:rsidRDefault="00CF4A75" w14:paraId="629431CA" w14:textId="77777777">
            <w:pPr>
              <w:suppressAutoHyphens/>
              <w:spacing w:line="240" w:lineRule="auto"/>
              <w:rPr>
                <w:color w:val="000000"/>
                <w:szCs w:val="18"/>
              </w:rPr>
            </w:pPr>
            <w:r w:rsidRPr="005F055E">
              <w:rPr>
                <w:color w:val="000000"/>
                <w:szCs w:val="18"/>
              </w:rPr>
              <w:t>Apotheekzorg</w:t>
            </w:r>
          </w:p>
        </w:tc>
        <w:tc>
          <w:tcPr>
            <w:tcW w:w="1869" w:type="dxa"/>
            <w:shd w:val="clear" w:color="auto" w:fill="auto"/>
            <w:noWrap/>
            <w:vAlign w:val="center"/>
            <w:hideMark/>
          </w:tcPr>
          <w:p w:rsidRPr="005F055E" w:rsidR="00CF4A75" w:rsidP="00180EEB" w:rsidRDefault="00CF4A75" w14:paraId="6A46EB8C" w14:textId="77777777">
            <w:pPr>
              <w:suppressAutoHyphens/>
              <w:spacing w:line="240" w:lineRule="auto"/>
              <w:rPr>
                <w:color w:val="000000"/>
                <w:szCs w:val="18"/>
              </w:rPr>
            </w:pPr>
            <w:r w:rsidRPr="005F055E">
              <w:rPr>
                <w:color w:val="000000"/>
                <w:szCs w:val="18"/>
              </w:rPr>
              <w:t>28,1</w:t>
            </w:r>
          </w:p>
        </w:tc>
      </w:tr>
      <w:tr w:rsidRPr="005F055E" w:rsidR="00CF4A75" w:rsidTr="005E2643" w14:paraId="2D3E85EA" w14:textId="77777777">
        <w:trPr>
          <w:trHeight w:val="300"/>
        </w:trPr>
        <w:tc>
          <w:tcPr>
            <w:tcW w:w="4791" w:type="dxa"/>
            <w:shd w:val="clear" w:color="auto" w:fill="auto"/>
            <w:noWrap/>
            <w:hideMark/>
          </w:tcPr>
          <w:p w:rsidRPr="005F055E" w:rsidR="00CF4A75" w:rsidP="00180EEB" w:rsidRDefault="00CF4A75" w14:paraId="1EF7619D" w14:textId="77777777">
            <w:pPr>
              <w:suppressAutoHyphens/>
              <w:spacing w:line="240" w:lineRule="auto"/>
              <w:rPr>
                <w:color w:val="000000"/>
                <w:szCs w:val="18"/>
              </w:rPr>
            </w:pPr>
            <w:r w:rsidRPr="005F055E">
              <w:rPr>
                <w:color w:val="000000"/>
                <w:szCs w:val="18"/>
              </w:rPr>
              <w:t>Hulpmiddelen</w:t>
            </w:r>
          </w:p>
        </w:tc>
        <w:tc>
          <w:tcPr>
            <w:tcW w:w="1869" w:type="dxa"/>
            <w:shd w:val="clear" w:color="auto" w:fill="auto"/>
            <w:noWrap/>
            <w:vAlign w:val="center"/>
            <w:hideMark/>
          </w:tcPr>
          <w:p w:rsidRPr="005F055E" w:rsidR="00CF4A75" w:rsidP="00180EEB" w:rsidRDefault="00CF4A75" w14:paraId="13688EE4" w14:textId="77777777">
            <w:pPr>
              <w:suppressAutoHyphens/>
              <w:spacing w:line="240" w:lineRule="auto"/>
              <w:rPr>
                <w:color w:val="000000"/>
                <w:szCs w:val="18"/>
              </w:rPr>
            </w:pPr>
            <w:r w:rsidRPr="005F055E">
              <w:rPr>
                <w:color w:val="000000"/>
                <w:szCs w:val="18"/>
              </w:rPr>
              <w:t>10,0</w:t>
            </w:r>
          </w:p>
        </w:tc>
      </w:tr>
      <w:tr w:rsidRPr="005F055E" w:rsidR="00CF4A75" w:rsidTr="005E2643" w14:paraId="0E9A10C7" w14:textId="77777777">
        <w:trPr>
          <w:trHeight w:val="300"/>
        </w:trPr>
        <w:tc>
          <w:tcPr>
            <w:tcW w:w="4791" w:type="dxa"/>
            <w:shd w:val="clear" w:color="auto" w:fill="auto"/>
            <w:noWrap/>
            <w:hideMark/>
          </w:tcPr>
          <w:p w:rsidRPr="005F055E" w:rsidR="00CF4A75" w:rsidP="00180EEB" w:rsidRDefault="00CF4A75" w14:paraId="52A4279E" w14:textId="77777777">
            <w:pPr>
              <w:suppressAutoHyphens/>
              <w:spacing w:line="240" w:lineRule="auto"/>
              <w:rPr>
                <w:color w:val="000000"/>
                <w:szCs w:val="18"/>
              </w:rPr>
            </w:pPr>
            <w:r w:rsidRPr="005F055E">
              <w:rPr>
                <w:color w:val="000000"/>
                <w:szCs w:val="18"/>
              </w:rPr>
              <w:t>Ambulancezorg</w:t>
            </w:r>
          </w:p>
        </w:tc>
        <w:tc>
          <w:tcPr>
            <w:tcW w:w="1869" w:type="dxa"/>
            <w:shd w:val="clear" w:color="auto" w:fill="auto"/>
            <w:noWrap/>
            <w:vAlign w:val="center"/>
            <w:hideMark/>
          </w:tcPr>
          <w:p w:rsidRPr="005F055E" w:rsidR="00CF4A75" w:rsidP="00180EEB" w:rsidRDefault="00CF4A75" w14:paraId="7E90A86B" w14:textId="77777777">
            <w:pPr>
              <w:suppressAutoHyphens/>
              <w:spacing w:line="240" w:lineRule="auto"/>
              <w:rPr>
                <w:color w:val="000000"/>
                <w:szCs w:val="18"/>
              </w:rPr>
            </w:pPr>
            <w:r w:rsidRPr="005F055E">
              <w:rPr>
                <w:color w:val="000000"/>
                <w:szCs w:val="18"/>
              </w:rPr>
              <w:t>4,6</w:t>
            </w:r>
          </w:p>
        </w:tc>
      </w:tr>
      <w:tr w:rsidRPr="005F055E" w:rsidR="00CF4A75" w:rsidTr="005E2643" w14:paraId="5444920D" w14:textId="77777777">
        <w:trPr>
          <w:trHeight w:val="300"/>
        </w:trPr>
        <w:tc>
          <w:tcPr>
            <w:tcW w:w="4791" w:type="dxa"/>
            <w:shd w:val="clear" w:color="auto" w:fill="auto"/>
            <w:noWrap/>
            <w:hideMark/>
          </w:tcPr>
          <w:p w:rsidRPr="005F055E" w:rsidR="00CF4A75" w:rsidP="00180EEB" w:rsidRDefault="00CF4A75" w14:paraId="4782582B" w14:textId="77777777">
            <w:pPr>
              <w:suppressAutoHyphens/>
              <w:spacing w:line="240" w:lineRule="auto"/>
              <w:rPr>
                <w:color w:val="000000"/>
                <w:szCs w:val="18"/>
              </w:rPr>
            </w:pPr>
            <w:r w:rsidRPr="005F055E">
              <w:rPr>
                <w:color w:val="000000"/>
                <w:szCs w:val="18"/>
              </w:rPr>
              <w:t>Overig ziekenvervoer</w:t>
            </w:r>
          </w:p>
        </w:tc>
        <w:tc>
          <w:tcPr>
            <w:tcW w:w="1869" w:type="dxa"/>
            <w:shd w:val="clear" w:color="auto" w:fill="auto"/>
            <w:noWrap/>
            <w:vAlign w:val="center"/>
            <w:hideMark/>
          </w:tcPr>
          <w:p w:rsidRPr="005F055E" w:rsidR="00CF4A75" w:rsidP="00180EEB" w:rsidRDefault="00CF4A75" w14:paraId="6E7D3419" w14:textId="77777777">
            <w:pPr>
              <w:suppressAutoHyphens/>
              <w:spacing w:line="240" w:lineRule="auto"/>
              <w:rPr>
                <w:color w:val="000000"/>
                <w:szCs w:val="18"/>
              </w:rPr>
            </w:pPr>
            <w:r w:rsidRPr="005F055E">
              <w:rPr>
                <w:color w:val="000000"/>
                <w:szCs w:val="18"/>
              </w:rPr>
              <w:t>0,7</w:t>
            </w:r>
          </w:p>
        </w:tc>
      </w:tr>
      <w:tr w:rsidRPr="005F055E" w:rsidR="00CF4A75" w:rsidTr="005E2643" w14:paraId="13F6CF49" w14:textId="77777777">
        <w:trPr>
          <w:trHeight w:val="300"/>
        </w:trPr>
        <w:tc>
          <w:tcPr>
            <w:tcW w:w="4791" w:type="dxa"/>
            <w:shd w:val="clear" w:color="auto" w:fill="auto"/>
            <w:noWrap/>
            <w:hideMark/>
          </w:tcPr>
          <w:p w:rsidRPr="005F055E" w:rsidR="00CF4A75" w:rsidP="00180EEB" w:rsidRDefault="00CF4A75" w14:paraId="65A3D702" w14:textId="77777777">
            <w:pPr>
              <w:suppressAutoHyphens/>
              <w:spacing w:line="240" w:lineRule="auto"/>
              <w:rPr>
                <w:color w:val="000000"/>
                <w:szCs w:val="18"/>
              </w:rPr>
            </w:pPr>
            <w:r w:rsidRPr="005F055E">
              <w:rPr>
                <w:color w:val="000000"/>
                <w:szCs w:val="18"/>
              </w:rPr>
              <w:t>Grensoverschrijdende zorg</w:t>
            </w:r>
          </w:p>
        </w:tc>
        <w:tc>
          <w:tcPr>
            <w:tcW w:w="1869" w:type="dxa"/>
            <w:shd w:val="clear" w:color="auto" w:fill="auto"/>
            <w:noWrap/>
            <w:vAlign w:val="center"/>
            <w:hideMark/>
          </w:tcPr>
          <w:p w:rsidRPr="005F055E" w:rsidR="00CF4A75" w:rsidP="00180EEB" w:rsidRDefault="00CF4A75" w14:paraId="597C6335" w14:textId="77777777">
            <w:pPr>
              <w:suppressAutoHyphens/>
              <w:spacing w:line="240" w:lineRule="auto"/>
              <w:rPr>
                <w:color w:val="000000"/>
                <w:szCs w:val="18"/>
              </w:rPr>
            </w:pPr>
            <w:r w:rsidRPr="005F055E">
              <w:rPr>
                <w:color w:val="000000"/>
                <w:szCs w:val="18"/>
              </w:rPr>
              <w:t>2,6</w:t>
            </w:r>
          </w:p>
        </w:tc>
      </w:tr>
      <w:tr w:rsidRPr="005F055E" w:rsidR="00CF4A75" w:rsidTr="005E2643" w14:paraId="5FE0E9D4" w14:textId="77777777">
        <w:trPr>
          <w:trHeight w:val="300"/>
        </w:trPr>
        <w:tc>
          <w:tcPr>
            <w:tcW w:w="4791" w:type="dxa"/>
            <w:shd w:val="clear" w:color="auto" w:fill="auto"/>
            <w:noWrap/>
            <w:hideMark/>
          </w:tcPr>
          <w:p w:rsidRPr="005F055E" w:rsidR="00CF4A75" w:rsidP="00180EEB" w:rsidRDefault="00CF4A75" w14:paraId="7E7ACDA0" w14:textId="77777777">
            <w:pPr>
              <w:suppressAutoHyphens/>
              <w:spacing w:line="240" w:lineRule="auto"/>
              <w:rPr>
                <w:color w:val="000000"/>
                <w:szCs w:val="18"/>
              </w:rPr>
            </w:pPr>
            <w:r w:rsidRPr="005F055E">
              <w:rPr>
                <w:color w:val="000000"/>
                <w:szCs w:val="18"/>
              </w:rPr>
              <w:t xml:space="preserve">Nominaal en onverdeeld </w:t>
            </w:r>
            <w:proofErr w:type="spellStart"/>
            <w:r w:rsidRPr="005F055E">
              <w:rPr>
                <w:color w:val="000000"/>
                <w:szCs w:val="18"/>
              </w:rPr>
              <w:t>Zvw</w:t>
            </w:r>
            <w:proofErr w:type="spellEnd"/>
          </w:p>
        </w:tc>
        <w:tc>
          <w:tcPr>
            <w:tcW w:w="1869" w:type="dxa"/>
            <w:shd w:val="clear" w:color="auto" w:fill="auto"/>
            <w:noWrap/>
            <w:vAlign w:val="center"/>
            <w:hideMark/>
          </w:tcPr>
          <w:p w:rsidRPr="005F055E" w:rsidR="00CF4A75" w:rsidP="00180EEB" w:rsidRDefault="00CF4A75" w14:paraId="482F7679" w14:textId="77777777">
            <w:pPr>
              <w:suppressAutoHyphens/>
              <w:spacing w:line="240" w:lineRule="auto"/>
              <w:rPr>
                <w:color w:val="000000"/>
                <w:szCs w:val="18"/>
              </w:rPr>
            </w:pPr>
            <w:r w:rsidRPr="005F055E">
              <w:rPr>
                <w:color w:val="000000"/>
                <w:szCs w:val="18"/>
              </w:rPr>
              <w:t>52,0</w:t>
            </w:r>
          </w:p>
        </w:tc>
      </w:tr>
      <w:tr w:rsidRPr="005F055E" w:rsidR="00CF4A75" w:rsidTr="005E2643" w14:paraId="34A7E7FA" w14:textId="77777777">
        <w:trPr>
          <w:trHeight w:val="300"/>
        </w:trPr>
        <w:tc>
          <w:tcPr>
            <w:tcW w:w="4791" w:type="dxa"/>
            <w:shd w:val="clear" w:color="auto" w:fill="auto"/>
            <w:noWrap/>
            <w:hideMark/>
          </w:tcPr>
          <w:p w:rsidRPr="005F055E" w:rsidR="00CF4A75" w:rsidP="00180EEB" w:rsidRDefault="00CF4A75" w14:paraId="52775D1B" w14:textId="77777777">
            <w:pPr>
              <w:suppressAutoHyphens/>
              <w:spacing w:line="240" w:lineRule="auto"/>
              <w:rPr>
                <w:b/>
                <w:bCs/>
                <w:color w:val="000000"/>
                <w:szCs w:val="18"/>
              </w:rPr>
            </w:pPr>
            <w:r w:rsidRPr="005F055E">
              <w:rPr>
                <w:b/>
                <w:bCs/>
                <w:color w:val="000000"/>
                <w:szCs w:val="18"/>
              </w:rPr>
              <w:t>Totaal</w:t>
            </w:r>
          </w:p>
        </w:tc>
        <w:tc>
          <w:tcPr>
            <w:tcW w:w="1869" w:type="dxa"/>
            <w:shd w:val="clear" w:color="auto" w:fill="auto"/>
            <w:noWrap/>
            <w:vAlign w:val="center"/>
            <w:hideMark/>
          </w:tcPr>
          <w:p w:rsidRPr="005F055E" w:rsidR="00CF4A75" w:rsidP="00180EEB" w:rsidRDefault="00CF4A75" w14:paraId="483BAEA6" w14:textId="77777777">
            <w:pPr>
              <w:suppressAutoHyphens/>
              <w:spacing w:line="240" w:lineRule="auto"/>
              <w:rPr>
                <w:b/>
                <w:bCs/>
                <w:color w:val="000000"/>
                <w:szCs w:val="18"/>
              </w:rPr>
            </w:pPr>
            <w:r w:rsidRPr="005F055E">
              <w:rPr>
                <w:b/>
                <w:bCs/>
                <w:color w:val="000000"/>
                <w:szCs w:val="18"/>
              </w:rPr>
              <w:t>318,0</w:t>
            </w:r>
          </w:p>
        </w:tc>
      </w:tr>
    </w:tbl>
    <w:p w:rsidRPr="005F055E" w:rsidR="00CF4A75" w:rsidP="00180EEB" w:rsidRDefault="00CF4A75" w14:paraId="287B3B36" w14:textId="77777777">
      <w:pPr>
        <w:suppressAutoHyphens/>
        <w:spacing w:line="276" w:lineRule="auto"/>
        <w:rPr>
          <w:szCs w:val="18"/>
        </w:rPr>
      </w:pPr>
    </w:p>
    <w:p w:rsidR="00CF4A75" w:rsidP="00180EEB" w:rsidRDefault="00CF4A75" w14:paraId="5412AE38" w14:textId="489AD5F9">
      <w:pPr>
        <w:suppressAutoHyphens/>
        <w:spacing w:line="276" w:lineRule="auto"/>
        <w:rPr>
          <w:szCs w:val="18"/>
        </w:rPr>
      </w:pPr>
      <w:r w:rsidRPr="005F055E">
        <w:rPr>
          <w:szCs w:val="18"/>
        </w:rPr>
        <w:t xml:space="preserve">Het besparingsverlies van per saldo € 200 miljoen in 2026 is gedekt binnen de </w:t>
      </w:r>
      <w:proofErr w:type="spellStart"/>
      <w:r w:rsidRPr="005F055E">
        <w:rPr>
          <w:szCs w:val="18"/>
        </w:rPr>
        <w:t>premiegefinancierde</w:t>
      </w:r>
      <w:proofErr w:type="spellEnd"/>
      <w:r w:rsidRPr="005F055E">
        <w:rPr>
          <w:szCs w:val="18"/>
        </w:rPr>
        <w:t xml:space="preserve"> zorguitgaven</w:t>
      </w:r>
      <w:r w:rsidRPr="005F055E" w:rsidR="00D73F76">
        <w:rPr>
          <w:szCs w:val="18"/>
        </w:rPr>
        <w:t xml:space="preserve"> </w:t>
      </w:r>
      <w:r w:rsidRPr="005F055E">
        <w:rPr>
          <w:szCs w:val="18"/>
        </w:rPr>
        <w:t>(zie ook de 1e suppletoire begroting 2025).</w:t>
      </w:r>
      <w:r w:rsidRPr="005F055E">
        <w:rPr>
          <w:rStyle w:val="Voetnootmarkering"/>
          <w:szCs w:val="18"/>
        </w:rPr>
        <w:footnoteReference w:id="180"/>
      </w:r>
      <w:r w:rsidRPr="005F055E">
        <w:rPr>
          <w:szCs w:val="18"/>
        </w:rPr>
        <w:t xml:space="preserve"> In onderstaande tabel is de volledige dekking opgenomen:</w:t>
      </w:r>
    </w:p>
    <w:p w:rsidRPr="005F055E" w:rsidR="00D71325" w:rsidP="00180EEB" w:rsidRDefault="00D71325" w14:paraId="3E050341" w14:textId="77777777">
      <w:pPr>
        <w:suppressAutoHyphens/>
        <w:spacing w:line="276" w:lineRule="auto"/>
        <w:rPr>
          <w:szCs w:val="18"/>
        </w:rPr>
      </w:pPr>
    </w:p>
    <w:tbl>
      <w:tblPr>
        <w:tblW w:w="0" w:type="auto"/>
        <w:tblCellMar>
          <w:left w:w="68" w:type="dxa"/>
          <w:right w:w="68" w:type="dxa"/>
        </w:tblCellMar>
        <w:tblLook w:val="04A0" w:firstRow="1" w:lastRow="0" w:firstColumn="1" w:lastColumn="0" w:noHBand="0" w:noVBand="1"/>
      </w:tblPr>
      <w:tblGrid>
        <w:gridCol w:w="4668"/>
        <w:gridCol w:w="957"/>
        <w:gridCol w:w="958"/>
        <w:gridCol w:w="958"/>
        <w:gridCol w:w="958"/>
      </w:tblGrid>
      <w:tr w:rsidRPr="005F055E" w:rsidR="00CF4A75" w:rsidTr="005E2643" w14:paraId="1ABABB1A" w14:textId="77777777">
        <w:tc>
          <w:tcPr>
            <w:tcW w:w="4668" w:type="dxa"/>
            <w:vMerge w:val="restart"/>
            <w:tcBorders>
              <w:top w:val="single" w:color="000000" w:sz="8" w:space="0"/>
              <w:left w:val="single" w:color="000000" w:sz="8" w:space="0"/>
              <w:right w:val="single" w:color="000000" w:sz="8" w:space="0"/>
            </w:tcBorders>
            <w:vAlign w:val="center"/>
          </w:tcPr>
          <w:p w:rsidRPr="005F055E" w:rsidR="00CF4A75" w:rsidP="00180EEB" w:rsidRDefault="00CF4A75" w14:paraId="6BB28CAF" w14:textId="77777777">
            <w:pPr>
              <w:suppressAutoHyphens/>
              <w:spacing w:line="276" w:lineRule="auto"/>
              <w:rPr>
                <w:b/>
                <w:bCs/>
                <w:szCs w:val="18"/>
              </w:rPr>
            </w:pPr>
            <w:r w:rsidRPr="005F055E">
              <w:rPr>
                <w:b/>
                <w:bCs/>
                <w:szCs w:val="18"/>
              </w:rPr>
              <w:t>Bron</w:t>
            </w:r>
          </w:p>
        </w:tc>
        <w:tc>
          <w:tcPr>
            <w:tcW w:w="3831" w:type="dxa"/>
            <w:gridSpan w:val="4"/>
            <w:tcBorders>
              <w:top w:val="single" w:color="000000" w:sz="8" w:space="0"/>
              <w:left w:val="nil"/>
              <w:bottom w:val="single" w:color="000000" w:sz="8" w:space="0"/>
              <w:right w:val="single" w:color="000000" w:sz="8" w:space="0"/>
            </w:tcBorders>
            <w:vAlign w:val="center"/>
          </w:tcPr>
          <w:p w:rsidRPr="005F055E" w:rsidR="00CF4A75" w:rsidP="00180EEB" w:rsidRDefault="00CF4A75" w14:paraId="3BCBF675" w14:textId="77777777">
            <w:pPr>
              <w:suppressAutoHyphens/>
              <w:spacing w:line="276" w:lineRule="auto"/>
              <w:rPr>
                <w:b/>
                <w:bCs/>
                <w:szCs w:val="18"/>
              </w:rPr>
            </w:pPr>
            <w:r w:rsidRPr="005F055E">
              <w:rPr>
                <w:b/>
                <w:bCs/>
                <w:szCs w:val="18"/>
              </w:rPr>
              <w:t>Bedrag in € </w:t>
            </w:r>
            <w:proofErr w:type="spellStart"/>
            <w:r w:rsidRPr="005F055E">
              <w:rPr>
                <w:b/>
                <w:bCs/>
                <w:szCs w:val="18"/>
              </w:rPr>
              <w:t>mln</w:t>
            </w:r>
            <w:proofErr w:type="spellEnd"/>
          </w:p>
        </w:tc>
      </w:tr>
      <w:tr w:rsidRPr="005F055E" w:rsidR="00CF4A75" w:rsidTr="005E2643" w14:paraId="6A62C606" w14:textId="77777777">
        <w:tc>
          <w:tcPr>
            <w:tcW w:w="4668" w:type="dxa"/>
            <w:vMerge/>
            <w:tcBorders>
              <w:left w:val="single" w:color="000000" w:sz="8" w:space="0"/>
              <w:bottom w:val="single" w:color="000000" w:sz="8" w:space="0"/>
              <w:right w:val="single" w:color="000000" w:sz="8" w:space="0"/>
            </w:tcBorders>
            <w:vAlign w:val="center"/>
            <w:hideMark/>
          </w:tcPr>
          <w:p w:rsidRPr="005F055E" w:rsidR="00CF4A75" w:rsidP="00180EEB" w:rsidRDefault="00CF4A75" w14:paraId="08A88AB2" w14:textId="77777777">
            <w:pPr>
              <w:suppressAutoHyphens/>
              <w:spacing w:line="276" w:lineRule="auto"/>
              <w:rPr>
                <w:b/>
                <w:bCs/>
                <w:szCs w:val="18"/>
              </w:rPr>
            </w:pPr>
          </w:p>
        </w:tc>
        <w:tc>
          <w:tcPr>
            <w:tcW w:w="957" w:type="dxa"/>
            <w:tcBorders>
              <w:top w:val="single" w:color="000000" w:sz="8" w:space="0"/>
              <w:left w:val="nil"/>
              <w:bottom w:val="single" w:color="000000" w:sz="8" w:space="0"/>
              <w:right w:val="single" w:color="000000" w:sz="8" w:space="0"/>
            </w:tcBorders>
            <w:vAlign w:val="center"/>
            <w:hideMark/>
          </w:tcPr>
          <w:p w:rsidRPr="005F055E" w:rsidR="00CF4A75" w:rsidP="00180EEB" w:rsidRDefault="00CF4A75" w14:paraId="44DD959F" w14:textId="77777777">
            <w:pPr>
              <w:suppressAutoHyphens/>
              <w:spacing w:line="276" w:lineRule="auto"/>
              <w:rPr>
                <w:b/>
                <w:bCs/>
                <w:szCs w:val="18"/>
              </w:rPr>
            </w:pPr>
            <w:r w:rsidRPr="005F055E">
              <w:rPr>
                <w:b/>
                <w:bCs/>
                <w:szCs w:val="18"/>
              </w:rPr>
              <w:t>2026</w:t>
            </w:r>
          </w:p>
        </w:tc>
        <w:tc>
          <w:tcPr>
            <w:tcW w:w="958" w:type="dxa"/>
            <w:tcBorders>
              <w:top w:val="single" w:color="000000" w:sz="8" w:space="0"/>
              <w:left w:val="nil"/>
              <w:bottom w:val="single" w:color="000000" w:sz="8" w:space="0"/>
              <w:right w:val="single" w:color="000000" w:sz="8" w:space="0"/>
            </w:tcBorders>
            <w:vAlign w:val="center"/>
            <w:hideMark/>
          </w:tcPr>
          <w:p w:rsidRPr="005F055E" w:rsidR="00CF4A75" w:rsidP="00180EEB" w:rsidRDefault="00CF4A75" w14:paraId="03C1CF21" w14:textId="77777777">
            <w:pPr>
              <w:suppressAutoHyphens/>
              <w:spacing w:line="276" w:lineRule="auto"/>
              <w:rPr>
                <w:b/>
                <w:bCs/>
                <w:szCs w:val="18"/>
              </w:rPr>
            </w:pPr>
            <w:r w:rsidRPr="005F055E">
              <w:rPr>
                <w:b/>
                <w:bCs/>
                <w:szCs w:val="18"/>
              </w:rPr>
              <w:t>2027</w:t>
            </w:r>
          </w:p>
        </w:tc>
        <w:tc>
          <w:tcPr>
            <w:tcW w:w="958" w:type="dxa"/>
            <w:tcBorders>
              <w:top w:val="single" w:color="000000" w:sz="8" w:space="0"/>
              <w:left w:val="nil"/>
              <w:bottom w:val="single" w:color="000000" w:sz="8" w:space="0"/>
              <w:right w:val="single" w:color="000000" w:sz="8" w:space="0"/>
            </w:tcBorders>
            <w:vAlign w:val="center"/>
            <w:hideMark/>
          </w:tcPr>
          <w:p w:rsidRPr="005F055E" w:rsidR="00CF4A75" w:rsidP="00180EEB" w:rsidRDefault="00CF4A75" w14:paraId="3D33DAB6" w14:textId="77777777">
            <w:pPr>
              <w:suppressAutoHyphens/>
              <w:spacing w:line="276" w:lineRule="auto"/>
              <w:rPr>
                <w:b/>
                <w:bCs/>
                <w:szCs w:val="18"/>
              </w:rPr>
            </w:pPr>
            <w:r w:rsidRPr="005F055E">
              <w:rPr>
                <w:b/>
                <w:bCs/>
                <w:szCs w:val="18"/>
              </w:rPr>
              <w:t>2028</w:t>
            </w:r>
          </w:p>
        </w:tc>
        <w:tc>
          <w:tcPr>
            <w:tcW w:w="958" w:type="dxa"/>
            <w:tcBorders>
              <w:top w:val="single" w:color="000000" w:sz="8" w:space="0"/>
              <w:left w:val="nil"/>
              <w:bottom w:val="single" w:color="000000" w:sz="8" w:space="0"/>
              <w:right w:val="single" w:color="000000" w:sz="8" w:space="0"/>
            </w:tcBorders>
            <w:vAlign w:val="center"/>
            <w:hideMark/>
          </w:tcPr>
          <w:p w:rsidRPr="005F055E" w:rsidR="00CF4A75" w:rsidP="00180EEB" w:rsidRDefault="00CF4A75" w14:paraId="095A5B07" w14:textId="77777777">
            <w:pPr>
              <w:suppressAutoHyphens/>
              <w:spacing w:line="276" w:lineRule="auto"/>
              <w:rPr>
                <w:b/>
                <w:bCs/>
                <w:szCs w:val="18"/>
              </w:rPr>
            </w:pPr>
            <w:r w:rsidRPr="005F055E">
              <w:rPr>
                <w:b/>
                <w:bCs/>
                <w:szCs w:val="18"/>
              </w:rPr>
              <w:t>2029</w:t>
            </w:r>
          </w:p>
        </w:tc>
      </w:tr>
      <w:tr w:rsidRPr="005F055E" w:rsidR="00CF4A75" w:rsidTr="005E2643" w14:paraId="2F8F1D25" w14:textId="77777777">
        <w:tc>
          <w:tcPr>
            <w:tcW w:w="4668" w:type="dxa"/>
            <w:tcBorders>
              <w:top w:val="nil"/>
              <w:left w:val="single" w:color="000000" w:sz="8" w:space="0"/>
              <w:bottom w:val="single" w:color="000000" w:sz="8" w:space="0"/>
              <w:right w:val="single" w:color="000000" w:sz="8" w:space="0"/>
            </w:tcBorders>
            <w:vAlign w:val="center"/>
            <w:hideMark/>
          </w:tcPr>
          <w:p w:rsidRPr="005F055E" w:rsidR="00CF4A75" w:rsidP="00180EEB" w:rsidRDefault="00CF4A75" w14:paraId="6A53D401" w14:textId="77777777">
            <w:pPr>
              <w:suppressAutoHyphens/>
              <w:spacing w:line="276" w:lineRule="auto"/>
              <w:rPr>
                <w:szCs w:val="18"/>
              </w:rPr>
            </w:pPr>
            <w:r w:rsidRPr="005F055E">
              <w:rPr>
                <w:szCs w:val="18"/>
              </w:rPr>
              <w:t>1. Transformatiemiddelen</w:t>
            </w:r>
          </w:p>
        </w:tc>
        <w:tc>
          <w:tcPr>
            <w:tcW w:w="957" w:type="dxa"/>
            <w:tcBorders>
              <w:top w:val="nil"/>
              <w:left w:val="nil"/>
              <w:bottom w:val="single" w:color="000000" w:sz="8" w:space="0"/>
              <w:right w:val="single" w:color="000000" w:sz="8" w:space="0"/>
            </w:tcBorders>
            <w:vAlign w:val="center"/>
            <w:hideMark/>
          </w:tcPr>
          <w:p w:rsidRPr="005F055E" w:rsidR="00CF4A75" w:rsidP="00180EEB" w:rsidRDefault="00CF4A75" w14:paraId="2CF925EC" w14:textId="77777777">
            <w:pPr>
              <w:suppressAutoHyphens/>
              <w:spacing w:line="276" w:lineRule="auto"/>
              <w:rPr>
                <w:szCs w:val="18"/>
              </w:rPr>
            </w:pPr>
            <w:r w:rsidRPr="005F055E">
              <w:rPr>
                <w:szCs w:val="18"/>
              </w:rPr>
              <w:t>-105,0</w:t>
            </w:r>
          </w:p>
        </w:tc>
        <w:tc>
          <w:tcPr>
            <w:tcW w:w="958" w:type="dxa"/>
            <w:tcBorders>
              <w:top w:val="nil"/>
              <w:left w:val="nil"/>
              <w:bottom w:val="single" w:color="000000" w:sz="8" w:space="0"/>
              <w:right w:val="single" w:color="000000" w:sz="8" w:space="0"/>
            </w:tcBorders>
            <w:vAlign w:val="center"/>
            <w:hideMark/>
          </w:tcPr>
          <w:p w:rsidRPr="005F055E" w:rsidR="00CF4A75" w:rsidP="00180EEB" w:rsidRDefault="00CF4A75" w14:paraId="6D30965D" w14:textId="77777777">
            <w:pPr>
              <w:suppressAutoHyphens/>
              <w:spacing w:line="276" w:lineRule="auto"/>
              <w:rPr>
                <w:szCs w:val="18"/>
              </w:rPr>
            </w:pPr>
          </w:p>
        </w:tc>
        <w:tc>
          <w:tcPr>
            <w:tcW w:w="958" w:type="dxa"/>
            <w:tcBorders>
              <w:top w:val="nil"/>
              <w:left w:val="nil"/>
              <w:bottom w:val="single" w:color="000000" w:sz="8" w:space="0"/>
              <w:right w:val="single" w:color="000000" w:sz="8" w:space="0"/>
            </w:tcBorders>
            <w:vAlign w:val="center"/>
          </w:tcPr>
          <w:p w:rsidRPr="005F055E" w:rsidR="00CF4A75" w:rsidP="00180EEB" w:rsidRDefault="00CF4A75" w14:paraId="7C05607F" w14:textId="77777777">
            <w:pPr>
              <w:suppressAutoHyphens/>
              <w:spacing w:line="276" w:lineRule="auto"/>
              <w:rPr>
                <w:szCs w:val="18"/>
              </w:rPr>
            </w:pPr>
          </w:p>
        </w:tc>
        <w:tc>
          <w:tcPr>
            <w:tcW w:w="958" w:type="dxa"/>
            <w:tcBorders>
              <w:top w:val="nil"/>
              <w:left w:val="nil"/>
              <w:bottom w:val="single" w:color="000000" w:sz="8" w:space="0"/>
              <w:right w:val="single" w:color="000000" w:sz="8" w:space="0"/>
            </w:tcBorders>
            <w:vAlign w:val="center"/>
          </w:tcPr>
          <w:p w:rsidRPr="005F055E" w:rsidR="00CF4A75" w:rsidP="00180EEB" w:rsidRDefault="00CF4A75" w14:paraId="7553EBEF" w14:textId="77777777">
            <w:pPr>
              <w:suppressAutoHyphens/>
              <w:spacing w:line="276" w:lineRule="auto"/>
              <w:rPr>
                <w:szCs w:val="18"/>
              </w:rPr>
            </w:pPr>
          </w:p>
        </w:tc>
      </w:tr>
      <w:tr w:rsidRPr="005F055E" w:rsidR="00CF4A75" w:rsidTr="005E2643" w14:paraId="4F7084E9" w14:textId="77777777">
        <w:tc>
          <w:tcPr>
            <w:tcW w:w="4668" w:type="dxa"/>
            <w:tcBorders>
              <w:top w:val="nil"/>
              <w:left w:val="single" w:color="000000" w:sz="8" w:space="0"/>
              <w:bottom w:val="single" w:color="000000" w:sz="8" w:space="0"/>
              <w:right w:val="single" w:color="000000" w:sz="8" w:space="0"/>
            </w:tcBorders>
            <w:vAlign w:val="center"/>
            <w:hideMark/>
          </w:tcPr>
          <w:p w:rsidRPr="005F055E" w:rsidR="00CF4A75" w:rsidP="00180EEB" w:rsidRDefault="00CF4A75" w14:paraId="205DEEE2" w14:textId="77777777">
            <w:pPr>
              <w:suppressAutoHyphens/>
              <w:spacing w:line="276" w:lineRule="auto"/>
              <w:rPr>
                <w:szCs w:val="18"/>
              </w:rPr>
            </w:pPr>
            <w:r w:rsidRPr="005F055E">
              <w:rPr>
                <w:szCs w:val="18"/>
              </w:rPr>
              <w:t>2. Onderschrijding wijkverpleging</w:t>
            </w:r>
          </w:p>
        </w:tc>
        <w:tc>
          <w:tcPr>
            <w:tcW w:w="957" w:type="dxa"/>
            <w:tcBorders>
              <w:top w:val="nil"/>
              <w:left w:val="nil"/>
              <w:bottom w:val="single" w:color="000000" w:sz="8" w:space="0"/>
              <w:right w:val="single" w:color="000000" w:sz="8" w:space="0"/>
            </w:tcBorders>
            <w:vAlign w:val="center"/>
            <w:hideMark/>
          </w:tcPr>
          <w:p w:rsidRPr="005F055E" w:rsidR="00CF4A75" w:rsidP="00180EEB" w:rsidRDefault="00CF4A75" w14:paraId="4EA210CB" w14:textId="77777777">
            <w:pPr>
              <w:suppressAutoHyphens/>
              <w:spacing w:line="276" w:lineRule="auto"/>
              <w:rPr>
                <w:szCs w:val="18"/>
              </w:rPr>
            </w:pPr>
            <w:r w:rsidRPr="005F055E">
              <w:rPr>
                <w:szCs w:val="18"/>
              </w:rPr>
              <w:t>-30,0</w:t>
            </w:r>
          </w:p>
        </w:tc>
        <w:tc>
          <w:tcPr>
            <w:tcW w:w="958" w:type="dxa"/>
            <w:tcBorders>
              <w:top w:val="nil"/>
              <w:left w:val="nil"/>
              <w:bottom w:val="single" w:color="000000" w:sz="8" w:space="0"/>
              <w:right w:val="single" w:color="000000" w:sz="8" w:space="0"/>
            </w:tcBorders>
            <w:vAlign w:val="center"/>
            <w:hideMark/>
          </w:tcPr>
          <w:p w:rsidRPr="005F055E" w:rsidR="00CF4A75" w:rsidP="00180EEB" w:rsidRDefault="00CF4A75" w14:paraId="3A6B1A88" w14:textId="77777777">
            <w:pPr>
              <w:suppressAutoHyphens/>
              <w:spacing w:line="276" w:lineRule="auto"/>
              <w:rPr>
                <w:szCs w:val="18"/>
              </w:rPr>
            </w:pPr>
          </w:p>
        </w:tc>
        <w:tc>
          <w:tcPr>
            <w:tcW w:w="958" w:type="dxa"/>
            <w:tcBorders>
              <w:top w:val="nil"/>
              <w:left w:val="nil"/>
              <w:bottom w:val="single" w:color="000000" w:sz="8" w:space="0"/>
              <w:right w:val="single" w:color="000000" w:sz="8" w:space="0"/>
            </w:tcBorders>
            <w:vAlign w:val="center"/>
          </w:tcPr>
          <w:p w:rsidRPr="005F055E" w:rsidR="00CF4A75" w:rsidP="00180EEB" w:rsidRDefault="00CF4A75" w14:paraId="39E5A4A1" w14:textId="77777777">
            <w:pPr>
              <w:suppressAutoHyphens/>
              <w:spacing w:line="276" w:lineRule="auto"/>
              <w:rPr>
                <w:szCs w:val="18"/>
              </w:rPr>
            </w:pPr>
          </w:p>
        </w:tc>
        <w:tc>
          <w:tcPr>
            <w:tcW w:w="958" w:type="dxa"/>
            <w:tcBorders>
              <w:top w:val="nil"/>
              <w:left w:val="nil"/>
              <w:bottom w:val="single" w:color="000000" w:sz="8" w:space="0"/>
              <w:right w:val="single" w:color="000000" w:sz="8" w:space="0"/>
            </w:tcBorders>
            <w:vAlign w:val="center"/>
          </w:tcPr>
          <w:p w:rsidRPr="005F055E" w:rsidR="00CF4A75" w:rsidP="00180EEB" w:rsidRDefault="00CF4A75" w14:paraId="39E98A6F" w14:textId="77777777">
            <w:pPr>
              <w:suppressAutoHyphens/>
              <w:spacing w:line="276" w:lineRule="auto"/>
              <w:rPr>
                <w:szCs w:val="18"/>
              </w:rPr>
            </w:pPr>
          </w:p>
        </w:tc>
      </w:tr>
      <w:tr w:rsidRPr="005F055E" w:rsidR="00CF4A75" w:rsidTr="005E2643" w14:paraId="0F481E98" w14:textId="77777777">
        <w:tc>
          <w:tcPr>
            <w:tcW w:w="4668" w:type="dxa"/>
            <w:tcBorders>
              <w:top w:val="nil"/>
              <w:left w:val="single" w:color="000000" w:sz="8" w:space="0"/>
              <w:bottom w:val="single" w:color="000000" w:sz="8" w:space="0"/>
              <w:right w:val="single" w:color="000000" w:sz="8" w:space="0"/>
            </w:tcBorders>
            <w:vAlign w:val="center"/>
            <w:hideMark/>
          </w:tcPr>
          <w:p w:rsidRPr="005F055E" w:rsidR="00CF4A75" w:rsidP="00180EEB" w:rsidRDefault="00CF4A75" w14:paraId="2AA7CE84" w14:textId="77777777">
            <w:pPr>
              <w:suppressAutoHyphens/>
              <w:spacing w:line="276" w:lineRule="auto"/>
              <w:rPr>
                <w:szCs w:val="18"/>
              </w:rPr>
            </w:pPr>
            <w:r w:rsidRPr="005F055E">
              <w:rPr>
                <w:szCs w:val="18"/>
              </w:rPr>
              <w:t>3. Aanvullende Post Financiën: Kasschuif Gegevensuitwisseling</w:t>
            </w:r>
          </w:p>
        </w:tc>
        <w:tc>
          <w:tcPr>
            <w:tcW w:w="957" w:type="dxa"/>
            <w:tcBorders>
              <w:top w:val="nil"/>
              <w:left w:val="nil"/>
              <w:bottom w:val="single" w:color="000000" w:sz="8" w:space="0"/>
              <w:right w:val="single" w:color="000000" w:sz="8" w:space="0"/>
            </w:tcBorders>
            <w:vAlign w:val="center"/>
            <w:hideMark/>
          </w:tcPr>
          <w:p w:rsidRPr="005F055E" w:rsidR="00CF4A75" w:rsidP="00180EEB" w:rsidRDefault="00CF4A75" w14:paraId="02AA58B3" w14:textId="77777777">
            <w:pPr>
              <w:suppressAutoHyphens/>
              <w:spacing w:line="276" w:lineRule="auto"/>
              <w:rPr>
                <w:szCs w:val="18"/>
              </w:rPr>
            </w:pPr>
            <w:r w:rsidRPr="005F055E">
              <w:rPr>
                <w:szCs w:val="18"/>
              </w:rPr>
              <w:t>-45,0</w:t>
            </w:r>
          </w:p>
        </w:tc>
        <w:tc>
          <w:tcPr>
            <w:tcW w:w="958" w:type="dxa"/>
            <w:tcBorders>
              <w:top w:val="nil"/>
              <w:left w:val="nil"/>
              <w:bottom w:val="single" w:color="000000" w:sz="8" w:space="0"/>
              <w:right w:val="single" w:color="000000" w:sz="8" w:space="0"/>
            </w:tcBorders>
            <w:vAlign w:val="center"/>
            <w:hideMark/>
          </w:tcPr>
          <w:p w:rsidRPr="005F055E" w:rsidR="00CF4A75" w:rsidP="00180EEB" w:rsidRDefault="00CF4A75" w14:paraId="5C198E16" w14:textId="77777777">
            <w:pPr>
              <w:suppressAutoHyphens/>
              <w:spacing w:line="276" w:lineRule="auto"/>
              <w:rPr>
                <w:szCs w:val="18"/>
              </w:rPr>
            </w:pPr>
            <w:r w:rsidRPr="005F055E">
              <w:rPr>
                <w:szCs w:val="18"/>
              </w:rPr>
              <w:t>10,0</w:t>
            </w:r>
          </w:p>
        </w:tc>
        <w:tc>
          <w:tcPr>
            <w:tcW w:w="958" w:type="dxa"/>
            <w:tcBorders>
              <w:top w:val="nil"/>
              <w:left w:val="nil"/>
              <w:bottom w:val="single" w:color="000000" w:sz="8" w:space="0"/>
              <w:right w:val="single" w:color="000000" w:sz="8" w:space="0"/>
            </w:tcBorders>
            <w:vAlign w:val="center"/>
            <w:hideMark/>
          </w:tcPr>
          <w:p w:rsidRPr="005F055E" w:rsidR="00CF4A75" w:rsidP="00180EEB" w:rsidRDefault="00CF4A75" w14:paraId="5B6CD1A3" w14:textId="77777777">
            <w:pPr>
              <w:suppressAutoHyphens/>
              <w:spacing w:line="276" w:lineRule="auto"/>
              <w:rPr>
                <w:szCs w:val="18"/>
              </w:rPr>
            </w:pPr>
            <w:r w:rsidRPr="005F055E">
              <w:rPr>
                <w:szCs w:val="18"/>
              </w:rPr>
              <w:t>15,0</w:t>
            </w:r>
          </w:p>
        </w:tc>
        <w:tc>
          <w:tcPr>
            <w:tcW w:w="958" w:type="dxa"/>
            <w:tcBorders>
              <w:top w:val="nil"/>
              <w:left w:val="nil"/>
              <w:bottom w:val="single" w:color="000000" w:sz="8" w:space="0"/>
              <w:right w:val="single" w:color="000000" w:sz="8" w:space="0"/>
            </w:tcBorders>
            <w:vAlign w:val="center"/>
            <w:hideMark/>
          </w:tcPr>
          <w:p w:rsidRPr="005F055E" w:rsidR="00CF4A75" w:rsidP="00180EEB" w:rsidRDefault="00CF4A75" w14:paraId="78B33D6B" w14:textId="77777777">
            <w:pPr>
              <w:suppressAutoHyphens/>
              <w:spacing w:line="276" w:lineRule="auto"/>
              <w:rPr>
                <w:szCs w:val="18"/>
              </w:rPr>
            </w:pPr>
            <w:r w:rsidRPr="005F055E">
              <w:rPr>
                <w:szCs w:val="18"/>
              </w:rPr>
              <w:t>20,0</w:t>
            </w:r>
          </w:p>
        </w:tc>
      </w:tr>
      <w:tr w:rsidRPr="005F055E" w:rsidR="00CF4A75" w:rsidTr="005E2643" w14:paraId="41C176DA" w14:textId="77777777">
        <w:tc>
          <w:tcPr>
            <w:tcW w:w="4668" w:type="dxa"/>
            <w:tcBorders>
              <w:top w:val="nil"/>
              <w:left w:val="single" w:color="000000" w:sz="8" w:space="0"/>
              <w:bottom w:val="single" w:color="000000" w:sz="8" w:space="0"/>
              <w:right w:val="single" w:color="000000" w:sz="8" w:space="0"/>
            </w:tcBorders>
            <w:vAlign w:val="center"/>
            <w:hideMark/>
          </w:tcPr>
          <w:p w:rsidRPr="005F055E" w:rsidR="00CF4A75" w:rsidP="00180EEB" w:rsidRDefault="00CF4A75" w14:paraId="5CCA7646" w14:textId="77777777">
            <w:pPr>
              <w:suppressAutoHyphens/>
              <w:spacing w:line="276" w:lineRule="auto"/>
              <w:rPr>
                <w:szCs w:val="18"/>
              </w:rPr>
            </w:pPr>
            <w:r w:rsidRPr="005F055E">
              <w:rPr>
                <w:szCs w:val="18"/>
              </w:rPr>
              <w:t>4. Aanvullende Post Financiën: Kasschuif Passende zorg</w:t>
            </w:r>
          </w:p>
        </w:tc>
        <w:tc>
          <w:tcPr>
            <w:tcW w:w="957" w:type="dxa"/>
            <w:tcBorders>
              <w:top w:val="nil"/>
              <w:left w:val="nil"/>
              <w:bottom w:val="single" w:color="000000" w:sz="8" w:space="0"/>
              <w:right w:val="single" w:color="000000" w:sz="8" w:space="0"/>
            </w:tcBorders>
            <w:vAlign w:val="center"/>
            <w:hideMark/>
          </w:tcPr>
          <w:p w:rsidRPr="005F055E" w:rsidR="00CF4A75" w:rsidP="00180EEB" w:rsidRDefault="00CF4A75" w14:paraId="5E283917" w14:textId="77777777">
            <w:pPr>
              <w:suppressAutoHyphens/>
              <w:spacing w:line="276" w:lineRule="auto"/>
              <w:rPr>
                <w:szCs w:val="18"/>
              </w:rPr>
            </w:pPr>
            <w:r w:rsidRPr="005F055E">
              <w:rPr>
                <w:szCs w:val="18"/>
              </w:rPr>
              <w:t>-20,0</w:t>
            </w:r>
          </w:p>
        </w:tc>
        <w:tc>
          <w:tcPr>
            <w:tcW w:w="958" w:type="dxa"/>
            <w:tcBorders>
              <w:top w:val="nil"/>
              <w:left w:val="nil"/>
              <w:bottom w:val="single" w:color="000000" w:sz="8" w:space="0"/>
              <w:right w:val="single" w:color="000000" w:sz="8" w:space="0"/>
            </w:tcBorders>
            <w:vAlign w:val="center"/>
            <w:hideMark/>
          </w:tcPr>
          <w:p w:rsidRPr="005F055E" w:rsidR="00CF4A75" w:rsidP="00180EEB" w:rsidRDefault="00CF4A75" w14:paraId="48230324" w14:textId="77777777">
            <w:pPr>
              <w:suppressAutoHyphens/>
              <w:spacing w:line="276" w:lineRule="auto"/>
              <w:rPr>
                <w:szCs w:val="18"/>
              </w:rPr>
            </w:pPr>
            <w:r w:rsidRPr="005F055E">
              <w:rPr>
                <w:szCs w:val="18"/>
              </w:rPr>
              <w:t>5,0</w:t>
            </w:r>
          </w:p>
        </w:tc>
        <w:tc>
          <w:tcPr>
            <w:tcW w:w="958" w:type="dxa"/>
            <w:tcBorders>
              <w:top w:val="nil"/>
              <w:left w:val="nil"/>
              <w:bottom w:val="single" w:color="000000" w:sz="8" w:space="0"/>
              <w:right w:val="single" w:color="000000" w:sz="8" w:space="0"/>
            </w:tcBorders>
            <w:vAlign w:val="center"/>
            <w:hideMark/>
          </w:tcPr>
          <w:p w:rsidRPr="005F055E" w:rsidR="00CF4A75" w:rsidP="00180EEB" w:rsidRDefault="00CF4A75" w14:paraId="023C697A" w14:textId="77777777">
            <w:pPr>
              <w:suppressAutoHyphens/>
              <w:spacing w:line="276" w:lineRule="auto"/>
              <w:rPr>
                <w:szCs w:val="18"/>
              </w:rPr>
            </w:pPr>
            <w:r w:rsidRPr="005F055E">
              <w:rPr>
                <w:szCs w:val="18"/>
              </w:rPr>
              <w:t>5,0</w:t>
            </w:r>
          </w:p>
        </w:tc>
        <w:tc>
          <w:tcPr>
            <w:tcW w:w="958" w:type="dxa"/>
            <w:tcBorders>
              <w:top w:val="nil"/>
              <w:left w:val="nil"/>
              <w:bottom w:val="single" w:color="000000" w:sz="8" w:space="0"/>
              <w:right w:val="single" w:color="000000" w:sz="8" w:space="0"/>
            </w:tcBorders>
            <w:vAlign w:val="center"/>
            <w:hideMark/>
          </w:tcPr>
          <w:p w:rsidRPr="005F055E" w:rsidR="00CF4A75" w:rsidP="00180EEB" w:rsidRDefault="00CF4A75" w14:paraId="62A72849" w14:textId="77777777">
            <w:pPr>
              <w:suppressAutoHyphens/>
              <w:spacing w:line="276" w:lineRule="auto"/>
              <w:rPr>
                <w:szCs w:val="18"/>
              </w:rPr>
            </w:pPr>
            <w:r w:rsidRPr="005F055E">
              <w:rPr>
                <w:szCs w:val="18"/>
              </w:rPr>
              <w:t>10,0</w:t>
            </w:r>
          </w:p>
        </w:tc>
      </w:tr>
      <w:tr w:rsidRPr="005F055E" w:rsidR="00CF4A75" w:rsidTr="005E2643" w14:paraId="3B869ABA" w14:textId="77777777">
        <w:tc>
          <w:tcPr>
            <w:tcW w:w="4668" w:type="dxa"/>
            <w:tcBorders>
              <w:top w:val="nil"/>
              <w:left w:val="single" w:color="000000" w:sz="8" w:space="0"/>
              <w:bottom w:val="single" w:color="000000" w:sz="8" w:space="0"/>
              <w:right w:val="single" w:color="000000" w:sz="8" w:space="0"/>
            </w:tcBorders>
            <w:vAlign w:val="center"/>
            <w:hideMark/>
          </w:tcPr>
          <w:p w:rsidRPr="005F055E" w:rsidR="00CF4A75" w:rsidP="00180EEB" w:rsidRDefault="00CF4A75" w14:paraId="35F95D1E" w14:textId="77777777">
            <w:pPr>
              <w:suppressAutoHyphens/>
              <w:spacing w:line="276" w:lineRule="auto"/>
              <w:rPr>
                <w:szCs w:val="18"/>
              </w:rPr>
            </w:pPr>
            <w:r w:rsidRPr="005F055E">
              <w:rPr>
                <w:szCs w:val="18"/>
              </w:rPr>
              <w:t>5. Meer Tijd Voor Huisartsen</w:t>
            </w:r>
          </w:p>
        </w:tc>
        <w:tc>
          <w:tcPr>
            <w:tcW w:w="957" w:type="dxa"/>
            <w:tcBorders>
              <w:top w:val="nil"/>
              <w:left w:val="nil"/>
              <w:bottom w:val="single" w:color="000000" w:sz="8" w:space="0"/>
              <w:right w:val="single" w:color="000000" w:sz="8" w:space="0"/>
            </w:tcBorders>
            <w:vAlign w:val="center"/>
          </w:tcPr>
          <w:p w:rsidRPr="005F055E" w:rsidR="00CF4A75" w:rsidP="00180EEB" w:rsidRDefault="00CF4A75" w14:paraId="3A760C29" w14:textId="77777777">
            <w:pPr>
              <w:suppressAutoHyphens/>
              <w:spacing w:line="276" w:lineRule="auto"/>
              <w:rPr>
                <w:szCs w:val="18"/>
              </w:rPr>
            </w:pPr>
          </w:p>
        </w:tc>
        <w:tc>
          <w:tcPr>
            <w:tcW w:w="958" w:type="dxa"/>
            <w:tcBorders>
              <w:top w:val="nil"/>
              <w:left w:val="nil"/>
              <w:bottom w:val="single" w:color="000000" w:sz="8" w:space="0"/>
              <w:right w:val="single" w:color="000000" w:sz="8" w:space="0"/>
            </w:tcBorders>
            <w:vAlign w:val="center"/>
            <w:hideMark/>
          </w:tcPr>
          <w:p w:rsidRPr="005F055E" w:rsidR="00CF4A75" w:rsidP="00180EEB" w:rsidRDefault="00CF4A75" w14:paraId="5DBD4694" w14:textId="77777777">
            <w:pPr>
              <w:suppressAutoHyphens/>
              <w:spacing w:line="276" w:lineRule="auto"/>
              <w:rPr>
                <w:szCs w:val="18"/>
              </w:rPr>
            </w:pPr>
            <w:r w:rsidRPr="005F055E">
              <w:rPr>
                <w:szCs w:val="18"/>
              </w:rPr>
              <w:t>-15,0</w:t>
            </w:r>
          </w:p>
        </w:tc>
        <w:tc>
          <w:tcPr>
            <w:tcW w:w="958" w:type="dxa"/>
            <w:tcBorders>
              <w:top w:val="nil"/>
              <w:left w:val="nil"/>
              <w:bottom w:val="single" w:color="000000" w:sz="8" w:space="0"/>
              <w:right w:val="single" w:color="000000" w:sz="8" w:space="0"/>
            </w:tcBorders>
            <w:vAlign w:val="center"/>
            <w:hideMark/>
          </w:tcPr>
          <w:p w:rsidRPr="005F055E" w:rsidR="00CF4A75" w:rsidP="00180EEB" w:rsidRDefault="00CF4A75" w14:paraId="414972C2" w14:textId="77777777">
            <w:pPr>
              <w:suppressAutoHyphens/>
              <w:spacing w:line="276" w:lineRule="auto"/>
              <w:rPr>
                <w:szCs w:val="18"/>
              </w:rPr>
            </w:pPr>
            <w:r w:rsidRPr="005F055E">
              <w:rPr>
                <w:szCs w:val="18"/>
              </w:rPr>
              <w:t>-20,0</w:t>
            </w:r>
          </w:p>
        </w:tc>
        <w:tc>
          <w:tcPr>
            <w:tcW w:w="958" w:type="dxa"/>
            <w:tcBorders>
              <w:top w:val="nil"/>
              <w:left w:val="nil"/>
              <w:bottom w:val="single" w:color="000000" w:sz="8" w:space="0"/>
              <w:right w:val="single" w:color="000000" w:sz="8" w:space="0"/>
            </w:tcBorders>
            <w:vAlign w:val="center"/>
            <w:hideMark/>
          </w:tcPr>
          <w:p w:rsidRPr="005F055E" w:rsidR="00CF4A75" w:rsidP="00180EEB" w:rsidRDefault="00CF4A75" w14:paraId="39C451E5" w14:textId="77777777">
            <w:pPr>
              <w:suppressAutoHyphens/>
              <w:spacing w:line="276" w:lineRule="auto"/>
              <w:rPr>
                <w:szCs w:val="18"/>
              </w:rPr>
            </w:pPr>
            <w:r w:rsidRPr="005F055E">
              <w:rPr>
                <w:szCs w:val="18"/>
              </w:rPr>
              <w:t>-30,0</w:t>
            </w:r>
          </w:p>
        </w:tc>
      </w:tr>
      <w:tr w:rsidRPr="005F055E" w:rsidR="00CF4A75" w:rsidTr="005E2643" w14:paraId="02916697" w14:textId="77777777">
        <w:tc>
          <w:tcPr>
            <w:tcW w:w="4668" w:type="dxa"/>
            <w:tcBorders>
              <w:top w:val="nil"/>
              <w:left w:val="single" w:color="000000" w:sz="8" w:space="0"/>
              <w:bottom w:val="single" w:color="000000" w:sz="8" w:space="0"/>
              <w:right w:val="single" w:color="000000" w:sz="8" w:space="0"/>
            </w:tcBorders>
            <w:vAlign w:val="center"/>
            <w:hideMark/>
          </w:tcPr>
          <w:p w:rsidRPr="005F055E" w:rsidR="00CF4A75" w:rsidP="00180EEB" w:rsidRDefault="00CF4A75" w14:paraId="35EAB7EC" w14:textId="77777777">
            <w:pPr>
              <w:suppressAutoHyphens/>
              <w:spacing w:line="276" w:lineRule="auto"/>
              <w:rPr>
                <w:b/>
                <w:bCs/>
                <w:szCs w:val="18"/>
              </w:rPr>
            </w:pPr>
            <w:r w:rsidRPr="005F055E">
              <w:rPr>
                <w:b/>
                <w:bCs/>
                <w:szCs w:val="18"/>
              </w:rPr>
              <w:t>Totaal</w:t>
            </w:r>
          </w:p>
        </w:tc>
        <w:tc>
          <w:tcPr>
            <w:tcW w:w="957" w:type="dxa"/>
            <w:tcBorders>
              <w:top w:val="nil"/>
              <w:left w:val="nil"/>
              <w:bottom w:val="single" w:color="000000" w:sz="8" w:space="0"/>
              <w:right w:val="single" w:color="000000" w:sz="8" w:space="0"/>
            </w:tcBorders>
            <w:vAlign w:val="center"/>
            <w:hideMark/>
          </w:tcPr>
          <w:p w:rsidRPr="005F055E" w:rsidR="00CF4A75" w:rsidP="00180EEB" w:rsidRDefault="00CF4A75" w14:paraId="089EB739" w14:textId="77777777">
            <w:pPr>
              <w:suppressAutoHyphens/>
              <w:spacing w:line="276" w:lineRule="auto"/>
              <w:rPr>
                <w:b/>
                <w:bCs/>
                <w:szCs w:val="18"/>
              </w:rPr>
            </w:pPr>
            <w:r w:rsidRPr="005F055E">
              <w:rPr>
                <w:b/>
                <w:bCs/>
                <w:szCs w:val="18"/>
              </w:rPr>
              <w:t>-200,0</w:t>
            </w:r>
          </w:p>
        </w:tc>
        <w:tc>
          <w:tcPr>
            <w:tcW w:w="958" w:type="dxa"/>
            <w:tcBorders>
              <w:top w:val="nil"/>
              <w:left w:val="nil"/>
              <w:bottom w:val="single" w:color="000000" w:sz="8" w:space="0"/>
              <w:right w:val="single" w:color="000000" w:sz="8" w:space="0"/>
            </w:tcBorders>
            <w:vAlign w:val="center"/>
            <w:hideMark/>
          </w:tcPr>
          <w:p w:rsidRPr="005F055E" w:rsidR="00CF4A75" w:rsidP="00180EEB" w:rsidRDefault="00CF4A75" w14:paraId="4BE7BB0E" w14:textId="77777777">
            <w:pPr>
              <w:suppressAutoHyphens/>
              <w:spacing w:line="276" w:lineRule="auto"/>
              <w:rPr>
                <w:b/>
                <w:bCs/>
                <w:szCs w:val="18"/>
              </w:rPr>
            </w:pPr>
            <w:r w:rsidRPr="005F055E">
              <w:rPr>
                <w:b/>
                <w:bCs/>
                <w:szCs w:val="18"/>
              </w:rPr>
              <w:t>0,0</w:t>
            </w:r>
          </w:p>
        </w:tc>
        <w:tc>
          <w:tcPr>
            <w:tcW w:w="958" w:type="dxa"/>
            <w:tcBorders>
              <w:top w:val="nil"/>
              <w:left w:val="nil"/>
              <w:bottom w:val="single" w:color="000000" w:sz="8" w:space="0"/>
              <w:right w:val="single" w:color="000000" w:sz="8" w:space="0"/>
            </w:tcBorders>
            <w:vAlign w:val="center"/>
            <w:hideMark/>
          </w:tcPr>
          <w:p w:rsidRPr="005F055E" w:rsidR="00CF4A75" w:rsidP="00180EEB" w:rsidRDefault="00CF4A75" w14:paraId="13FFEE84" w14:textId="77777777">
            <w:pPr>
              <w:suppressAutoHyphens/>
              <w:spacing w:line="276" w:lineRule="auto"/>
              <w:rPr>
                <w:b/>
                <w:bCs/>
                <w:szCs w:val="18"/>
              </w:rPr>
            </w:pPr>
            <w:r w:rsidRPr="005F055E">
              <w:rPr>
                <w:b/>
                <w:bCs/>
                <w:szCs w:val="18"/>
              </w:rPr>
              <w:t>0,0</w:t>
            </w:r>
          </w:p>
        </w:tc>
        <w:tc>
          <w:tcPr>
            <w:tcW w:w="958" w:type="dxa"/>
            <w:tcBorders>
              <w:top w:val="nil"/>
              <w:left w:val="nil"/>
              <w:bottom w:val="single" w:color="000000" w:sz="8" w:space="0"/>
              <w:right w:val="single" w:color="000000" w:sz="8" w:space="0"/>
            </w:tcBorders>
            <w:vAlign w:val="center"/>
            <w:hideMark/>
          </w:tcPr>
          <w:p w:rsidRPr="005F055E" w:rsidR="00CF4A75" w:rsidP="00180EEB" w:rsidRDefault="00CF4A75" w14:paraId="5C6DFD0B" w14:textId="77777777">
            <w:pPr>
              <w:suppressAutoHyphens/>
              <w:spacing w:line="276" w:lineRule="auto"/>
              <w:rPr>
                <w:b/>
                <w:bCs/>
                <w:szCs w:val="18"/>
              </w:rPr>
            </w:pPr>
            <w:r w:rsidRPr="005F055E">
              <w:rPr>
                <w:b/>
                <w:bCs/>
                <w:szCs w:val="18"/>
              </w:rPr>
              <w:t>0,0</w:t>
            </w:r>
          </w:p>
        </w:tc>
      </w:tr>
    </w:tbl>
    <w:p w:rsidRPr="005F055E" w:rsidR="00CF4A75" w:rsidP="00180EEB" w:rsidRDefault="00CF4A75" w14:paraId="1F196F4C" w14:textId="77777777">
      <w:pPr>
        <w:suppressAutoHyphens/>
        <w:spacing w:line="276" w:lineRule="auto"/>
        <w:rPr>
          <w:szCs w:val="18"/>
        </w:rPr>
      </w:pPr>
    </w:p>
    <w:p w:rsidRPr="005F055E" w:rsidR="00CF4A75" w:rsidP="00180EEB" w:rsidRDefault="00CF4A75" w14:paraId="2DCF722E" w14:textId="77777777">
      <w:pPr>
        <w:suppressAutoHyphens/>
        <w:spacing w:line="276" w:lineRule="auto"/>
        <w:rPr>
          <w:szCs w:val="18"/>
        </w:rPr>
      </w:pPr>
      <w:r w:rsidRPr="005F055E">
        <w:rPr>
          <w:szCs w:val="18"/>
        </w:rPr>
        <w:t xml:space="preserve">Toelichting: </w:t>
      </w:r>
    </w:p>
    <w:p w:rsidRPr="005F055E" w:rsidR="00CF4A75" w:rsidP="00180EEB" w:rsidRDefault="00CF4A75" w14:paraId="0A5C28B4" w14:textId="77777777">
      <w:pPr>
        <w:pStyle w:val="Lijstalinea"/>
        <w:numPr>
          <w:ilvl w:val="0"/>
          <w:numId w:val="27"/>
        </w:numPr>
        <w:suppressAutoHyphens/>
        <w:spacing w:after="0" w:line="276" w:lineRule="auto"/>
        <w:rPr>
          <w:szCs w:val="18"/>
        </w:rPr>
      </w:pPr>
      <w:r w:rsidRPr="005F055E">
        <w:rPr>
          <w:szCs w:val="18"/>
        </w:rPr>
        <w:t xml:space="preserve">Van de in 2026 beschikbare transformatiemiddelen is € 105 miljoen in mindering gebracht. Dit bedrag wordt later weer toegevoegd vanuit de te ontvangen loon- en prijsbijstelling in de komende jaren. </w:t>
      </w:r>
    </w:p>
    <w:p w:rsidRPr="005F055E" w:rsidR="00CF4A75" w:rsidP="00180EEB" w:rsidRDefault="00CF4A75" w14:paraId="0C923AA4" w14:textId="77777777">
      <w:pPr>
        <w:pStyle w:val="Lijstalinea"/>
        <w:numPr>
          <w:ilvl w:val="0"/>
          <w:numId w:val="27"/>
        </w:numPr>
        <w:suppressAutoHyphens/>
        <w:spacing w:after="0" w:line="276" w:lineRule="auto"/>
        <w:rPr>
          <w:szCs w:val="18"/>
        </w:rPr>
      </w:pPr>
      <w:r w:rsidRPr="005F055E">
        <w:rPr>
          <w:szCs w:val="18"/>
        </w:rPr>
        <w:t xml:space="preserve">Van de onderschrijding in de uitgaven wijkverpleging is een bedrag van € 30 miljoen als dekking gebruikt. </w:t>
      </w:r>
    </w:p>
    <w:p w:rsidRPr="005F055E" w:rsidR="00CF4A75" w:rsidP="00180EEB" w:rsidRDefault="00CF4A75" w14:paraId="60E0505C" w14:textId="77777777">
      <w:pPr>
        <w:pStyle w:val="Lijstalinea"/>
        <w:numPr>
          <w:ilvl w:val="0"/>
          <w:numId w:val="27"/>
        </w:numPr>
        <w:suppressAutoHyphens/>
        <w:spacing w:after="0" w:line="276" w:lineRule="auto"/>
        <w:rPr>
          <w:szCs w:val="18"/>
        </w:rPr>
      </w:pPr>
      <w:r w:rsidRPr="005F055E">
        <w:rPr>
          <w:szCs w:val="18"/>
        </w:rPr>
        <w:t xml:space="preserve">(en 4.) Op de Aanvullende Post bij Financiën staan middelen voor Gegevensuitwisseling en Passende zorg. De middelen in 2026 zijn deels afgeroomd en in 2027 en 2028 via een kasschuif weer toegevoegd. De middelen voor gegevensuitwisseling en passende zorg blijven daarmee in totaal gelijk. </w:t>
      </w:r>
    </w:p>
    <w:p w:rsidRPr="005F055E" w:rsidR="00CF4A75" w:rsidP="00180EEB" w:rsidRDefault="00CF4A75" w14:paraId="1877CEC3" w14:textId="77777777">
      <w:pPr>
        <w:pStyle w:val="Lijstalinea"/>
        <w:numPr>
          <w:ilvl w:val="0"/>
          <w:numId w:val="28"/>
        </w:numPr>
        <w:suppressAutoHyphens/>
        <w:spacing w:after="0" w:line="276" w:lineRule="auto"/>
        <w:rPr>
          <w:szCs w:val="18"/>
        </w:rPr>
      </w:pPr>
      <w:r w:rsidRPr="005F055E">
        <w:rPr>
          <w:szCs w:val="18"/>
        </w:rPr>
        <w:t xml:space="preserve">Op de post Nominaal en onverdeeld </w:t>
      </w:r>
      <w:proofErr w:type="spellStart"/>
      <w:r w:rsidRPr="005F055E">
        <w:rPr>
          <w:szCs w:val="18"/>
        </w:rPr>
        <w:t>Zvw</w:t>
      </w:r>
      <w:proofErr w:type="spellEnd"/>
      <w:r w:rsidRPr="005F055E">
        <w:rPr>
          <w:szCs w:val="18"/>
        </w:rPr>
        <w:t xml:space="preserve"> staan in de komende jaren middelen voor Meer Tijd voor Huisartsen. Een deel van die middelen is gebruikt voor het creëren van meer opleidingsplekken. Het resterende deel was beoogd voor het ophogen van het huisartsenkader. Omdat in het IZA snellere invoering is overeengekomen, zijn de resterende middelen niet meer nodig voor dit doel. </w:t>
      </w:r>
    </w:p>
    <w:p w:rsidRPr="005F055E" w:rsidR="002345FF" w:rsidP="00180EEB" w:rsidRDefault="002345FF" w14:paraId="355C98AD" w14:textId="77777777">
      <w:pPr>
        <w:suppressAutoHyphens/>
      </w:pPr>
    </w:p>
    <w:p w:rsidRPr="005F055E" w:rsidR="00D535AF" w:rsidP="00180EEB" w:rsidRDefault="003E7003" w14:paraId="61E320AE" w14:textId="77777777">
      <w:pPr>
        <w:suppressAutoHyphens/>
      </w:pPr>
      <w:r w:rsidRPr="005F055E">
        <w:t>Vraag 474</w:t>
      </w:r>
    </w:p>
    <w:p w:rsidRPr="005F055E" w:rsidR="00D535AF" w:rsidP="00180EEB" w:rsidRDefault="003E7003" w14:paraId="6ED6DA7D" w14:textId="77777777">
      <w:pPr>
        <w:suppressAutoHyphens/>
      </w:pPr>
      <w:r w:rsidRPr="005F055E">
        <w:t xml:space="preserve">Waarom stijgt de ontwikkeling van de </w:t>
      </w:r>
      <w:proofErr w:type="spellStart"/>
      <w:r w:rsidRPr="005F055E">
        <w:t>Zvw</w:t>
      </w:r>
      <w:proofErr w:type="spellEnd"/>
      <w:r w:rsidRPr="005F055E">
        <w:t>-uitgaven van de kraamzorg niet op dezelfde manier als andere vormen van eerstelijnszorg, waaronder de huisartsenzorg en tandheelkundige zorg?</w:t>
      </w:r>
    </w:p>
    <w:p w:rsidRPr="005F055E" w:rsidR="003E7003" w:rsidP="00180EEB" w:rsidRDefault="003E7003" w14:paraId="4BA68297" w14:textId="2EBB9F31">
      <w:pPr>
        <w:suppressAutoHyphens/>
      </w:pPr>
      <w:r w:rsidRPr="005F055E">
        <w:t>Antwoord</w:t>
      </w:r>
    </w:p>
    <w:p w:rsidRPr="005F055E" w:rsidR="00CF4A75" w:rsidP="00180EEB" w:rsidRDefault="00CF4A75" w14:paraId="02941C11" w14:textId="2BDE0315">
      <w:pPr>
        <w:suppressAutoHyphens/>
      </w:pPr>
      <w:r w:rsidRPr="005F055E">
        <w:t>De uitgavenontwikkeling in de huisartsenzorg wordt onder andere bepaald door de afspraken in het Integraal Zorgakkoord (IZA) en Aanvullend Zorg- en Welzijnsakkoord (AZWA). Dat zijn enerzijds beleidsinhoudelijke afspraken, maar anderzijds ook afspraken over de volumegroeipercentages per sector.</w:t>
      </w:r>
      <w:r w:rsidRPr="005F055E" w:rsidR="00D73F76">
        <w:t xml:space="preserve"> </w:t>
      </w:r>
    </w:p>
    <w:p w:rsidRPr="00D544B0" w:rsidR="00D71325" w:rsidP="00180EEB" w:rsidRDefault="00CF4A75" w14:paraId="581DFCA4" w14:textId="4A0DE0F7">
      <w:pPr>
        <w:suppressAutoHyphens/>
        <w:rPr>
          <w:szCs w:val="18"/>
        </w:rPr>
      </w:pPr>
      <w:r w:rsidRPr="005F055E">
        <w:t>Voor eerstelijnssectoren die niet binnen deze akkoorden vallen, zoals de tandheelkundige zorg en de kraamzorg, geldt dat de uitgavengroei voornamelijk van elkaar kan afwijken door onderlinge verschillen in de samenstelling van de populatie, prijs- en loonontwikkelingen (tarieven), arbeidscapaciteit en/of technologische ontwikkelingen.</w:t>
      </w:r>
    </w:p>
    <w:p w:rsidRPr="005F055E" w:rsidR="00D71325" w:rsidP="00180EEB" w:rsidRDefault="00D71325" w14:paraId="5D29A7A7" w14:textId="77777777">
      <w:pPr>
        <w:suppressAutoHyphens/>
      </w:pPr>
    </w:p>
    <w:p w:rsidRPr="005F055E" w:rsidR="00D535AF" w:rsidP="00180EEB" w:rsidRDefault="003E7003" w14:paraId="115FFAB1" w14:textId="77777777">
      <w:pPr>
        <w:suppressAutoHyphens/>
      </w:pPr>
      <w:r w:rsidRPr="005F055E">
        <w:t>Vraag 475</w:t>
      </w:r>
    </w:p>
    <w:p w:rsidRPr="005F055E" w:rsidR="00D535AF" w:rsidP="00180EEB" w:rsidRDefault="003E7003" w14:paraId="2F187847" w14:textId="77777777">
      <w:pPr>
        <w:suppressAutoHyphens/>
      </w:pPr>
      <w:r w:rsidRPr="005F055E">
        <w:t>Wat valt onder 'overige curatieve zorg' en wat verklaart het lagere budget per 2027 op deze post?</w:t>
      </w:r>
    </w:p>
    <w:p w:rsidRPr="005F055E" w:rsidR="003E7003" w:rsidP="00180EEB" w:rsidRDefault="003E7003" w14:paraId="4DECC926" w14:textId="5274A0EA">
      <w:pPr>
        <w:suppressAutoHyphens/>
      </w:pPr>
      <w:r w:rsidRPr="005F055E">
        <w:t>Antwoord</w:t>
      </w:r>
    </w:p>
    <w:p w:rsidRPr="005F055E" w:rsidR="007E044A" w:rsidP="00180EEB" w:rsidRDefault="007E044A" w14:paraId="39467B9F" w14:textId="0ECA6A56">
      <w:pPr>
        <w:suppressAutoHyphens/>
        <w:spacing w:line="240" w:lineRule="atLeast"/>
        <w:rPr>
          <w:szCs w:val="20"/>
          <w:lang w:eastAsia="nl-NL"/>
        </w:rPr>
      </w:pPr>
      <w:r w:rsidRPr="005F055E">
        <w:rPr>
          <w:szCs w:val="20"/>
          <w:lang w:eastAsia="nl-NL"/>
        </w:rPr>
        <w:t>De sector overig curatieve zorg omvat de huisartsenlaboratoria, trombosediensten, de uitgaven op basis van de beleidsregel innovatie, de Gecombineerde Leefstijl Interventie (GLI), anonieme e-</w:t>
      </w:r>
      <w:proofErr w:type="spellStart"/>
      <w:r w:rsidRPr="005F055E">
        <w:rPr>
          <w:szCs w:val="20"/>
          <w:lang w:eastAsia="nl-NL"/>
        </w:rPr>
        <w:t>mental</w:t>
      </w:r>
      <w:proofErr w:type="spellEnd"/>
      <w:r w:rsidRPr="005F055E">
        <w:rPr>
          <w:szCs w:val="20"/>
          <w:lang w:eastAsia="nl-NL"/>
        </w:rPr>
        <w:t xml:space="preserve"> health en overige geneeskundige zorg. Deze laatste betreft een verzamelpost van overige zorguitgaven met als grootste posten: voetzorg bij Diabetes Mellitus type 2, orthoptie, optometrie en complexe wondzorg.</w:t>
      </w:r>
    </w:p>
    <w:p w:rsidRPr="005F055E" w:rsidR="007E044A" w:rsidP="00180EEB" w:rsidRDefault="007E044A" w14:paraId="600159E7" w14:textId="77777777">
      <w:pPr>
        <w:suppressAutoHyphens/>
        <w:spacing w:line="240" w:lineRule="atLeast"/>
        <w:rPr>
          <w:i/>
          <w:iCs/>
          <w:szCs w:val="20"/>
          <w:lang w:eastAsia="nl-NL"/>
        </w:rPr>
      </w:pPr>
      <w:r w:rsidRPr="005F055E">
        <w:rPr>
          <w:szCs w:val="20"/>
          <w:lang w:eastAsia="nl-NL"/>
        </w:rPr>
        <w:t xml:space="preserve">Het lagere kader overige curatieve zorg vanaf het jaar 2027 kan worden verklaard doordat de middelen van de voormalige </w:t>
      </w:r>
      <w:proofErr w:type="spellStart"/>
      <w:r w:rsidRPr="005F055E">
        <w:rPr>
          <w:szCs w:val="20"/>
          <w:lang w:eastAsia="nl-NL"/>
        </w:rPr>
        <w:t>KiPZ</w:t>
      </w:r>
      <w:proofErr w:type="spellEnd"/>
      <w:r w:rsidRPr="005F055E">
        <w:rPr>
          <w:szCs w:val="20"/>
          <w:lang w:eastAsia="nl-NL"/>
        </w:rPr>
        <w:t xml:space="preserve">-regeling (Kwaliteitsimpuls Personeel Ziekenhuiszorg) tot en met 2026 voor de helft (€ 119 miljoen) zijn toegevoegd aan het kader overige curatieve zorg. Vanaf 2027 staan deze middelen weer gereserveerd op de VWS begroting, onder artikel 4 </w:t>
      </w:r>
      <w:proofErr w:type="spellStart"/>
      <w:r w:rsidRPr="005F055E">
        <w:rPr>
          <w:szCs w:val="20"/>
          <w:lang w:eastAsia="nl-NL"/>
        </w:rPr>
        <w:t>Zorgbreed</w:t>
      </w:r>
      <w:proofErr w:type="spellEnd"/>
      <w:r w:rsidRPr="005F055E">
        <w:rPr>
          <w:szCs w:val="20"/>
          <w:lang w:eastAsia="nl-NL"/>
        </w:rPr>
        <w:t xml:space="preserve"> beleid. </w:t>
      </w:r>
    </w:p>
    <w:p w:rsidRPr="005F055E" w:rsidR="007E044A" w:rsidP="00180EEB" w:rsidRDefault="007E044A" w14:paraId="1C02811B" w14:textId="77777777">
      <w:pPr>
        <w:suppressAutoHyphens/>
      </w:pPr>
    </w:p>
    <w:p w:rsidRPr="005F055E" w:rsidR="00D535AF" w:rsidP="00180EEB" w:rsidRDefault="003E7003" w14:paraId="636034B9" w14:textId="77777777">
      <w:pPr>
        <w:suppressAutoHyphens/>
      </w:pPr>
      <w:r w:rsidRPr="005F055E">
        <w:t>Vraag 476</w:t>
      </w:r>
    </w:p>
    <w:p w:rsidRPr="005F055E" w:rsidR="00D535AF" w:rsidP="00180EEB" w:rsidRDefault="003E7003" w14:paraId="377E4B35" w14:textId="77777777">
      <w:pPr>
        <w:suppressAutoHyphens/>
      </w:pPr>
      <w:r w:rsidRPr="005F055E">
        <w:t>Bent u zich ervan bewust dat in de gehandicaptenzorg de stijging van €112 miljoen in de maximumbeleidsregelwaarden voor kostendekkende tarieven, voortkomend uit het kostenonderzoek van de Nederlandse Zorgautoriteit (</w:t>
      </w:r>
      <w:proofErr w:type="spellStart"/>
      <w:r w:rsidRPr="005F055E">
        <w:t>NZa</w:t>
      </w:r>
      <w:proofErr w:type="spellEnd"/>
      <w:r w:rsidRPr="005F055E">
        <w:t xml:space="preserve">), vrijwel geheel weer ingeleverd wordt via de zorginkoop (door de zorgkantoren) door een daling van het richttariefpercentage met 1,2 procent (€100 miljoen)? Hoe ziet u het met deze ontwikkeling voor zich dat de sector in staat blijft om, voor nu en in de toekomst, te investeren in toegankelijke, duurzame en kwalitatief goede zorg? Dalen de tarieven zo niet vanzelf weer onder de kostprijzen, aangezien de </w:t>
      </w:r>
      <w:proofErr w:type="spellStart"/>
      <w:r w:rsidRPr="005F055E">
        <w:t>NZa</w:t>
      </w:r>
      <w:proofErr w:type="spellEnd"/>
      <w:r w:rsidRPr="005F055E">
        <w:t xml:space="preserve"> de nieuwe tarieven gebaseerd heeft op kostprijsonderzoeken?</w:t>
      </w:r>
    </w:p>
    <w:p w:rsidRPr="005F055E" w:rsidR="003E7003" w:rsidP="00180EEB" w:rsidRDefault="003E7003" w14:paraId="0FED9F08" w14:textId="5A061C73">
      <w:pPr>
        <w:suppressAutoHyphens/>
      </w:pPr>
      <w:r w:rsidRPr="005F055E">
        <w:t>Antwoord</w:t>
      </w:r>
    </w:p>
    <w:p w:rsidRPr="005F055E" w:rsidR="008D2F23" w:rsidP="00180EEB" w:rsidRDefault="008D2F23" w14:paraId="5AADBA3E" w14:textId="58A3037C">
      <w:pPr>
        <w:suppressAutoHyphens/>
        <w:spacing w:line="240" w:lineRule="atLeast"/>
        <w:rPr>
          <w:szCs w:val="20"/>
          <w:lang w:eastAsia="nl-NL"/>
        </w:rPr>
      </w:pPr>
      <w:r w:rsidRPr="005F055E">
        <w:rPr>
          <w:szCs w:val="20"/>
          <w:lang w:eastAsia="nl-NL"/>
        </w:rPr>
        <w:t>Ja, ik ben me hiervan bewust, zie ook de toelichting in het antwoord op vraag 85. In beginsel bestrijd ik dat de tarieven dalen onder de kostprijzen. Ten opzichte van 2024 zal de komende jaren het beschikbare bedrag per cliënt in de gehandicaptenzorg verder toenemen. Behalve het bedrag van € 112 miljoen op grond van het kostenonderzoek 2026 gaat het hierbij om extra middelen van € 128 miljoen structureel die per 2025 reeds op basis van het voorlopige kostenonderzoek aan de tarieven zijn toegevoegd. Daar komen vanaf 2026 de extra middelen voor de huisvestingskosten ad € 140 miljoen en voor LVHC ad € 13 miljoen nog bovenop. In totaal levert dit ten opzichte van 2024 extra middelen op van € 393 miljoen.</w:t>
      </w:r>
    </w:p>
    <w:p w:rsidRPr="005F055E" w:rsidR="008D2F23" w:rsidP="00180EEB" w:rsidRDefault="008D2F23" w14:paraId="782DE8D2" w14:textId="00C98896">
      <w:pPr>
        <w:suppressAutoHyphens/>
        <w:spacing w:line="240" w:lineRule="atLeast"/>
        <w:rPr>
          <w:szCs w:val="20"/>
          <w:lang w:eastAsia="nl-NL"/>
        </w:rPr>
      </w:pPr>
      <w:r w:rsidRPr="005F055E">
        <w:rPr>
          <w:szCs w:val="20"/>
          <w:lang w:eastAsia="nl-NL"/>
        </w:rPr>
        <w:t>De zorgkantoren hanteren een richttariefpercentage van de (verhoogde) maximumtarieven bij hun zorginkoop. Voor 2026 is het richttariefpercentage vastgesteld op 96,6 procent. Dat betekent ten opzichte van 2025 inderdaad een verlaging met 1,2 procent en ruim € 100 miljoen aan lagere inkomsten. Maar ten opzichte van het financieel gezonde basisjaar 2024 gaat het om een verlaging met 0,4 procent en lagere inkomsten van circa € 40 miljoen.</w:t>
      </w:r>
    </w:p>
    <w:p w:rsidRPr="005F055E" w:rsidR="008D2F23" w:rsidP="00180EEB" w:rsidRDefault="008D2F23" w14:paraId="6D8146E6" w14:textId="4E89A27B">
      <w:pPr>
        <w:suppressAutoHyphens/>
        <w:spacing w:line="240" w:lineRule="atLeast"/>
        <w:rPr>
          <w:szCs w:val="20"/>
          <w:lang w:eastAsia="nl-NL"/>
        </w:rPr>
      </w:pPr>
      <w:r w:rsidRPr="005F055E">
        <w:rPr>
          <w:szCs w:val="20"/>
          <w:lang w:eastAsia="nl-NL"/>
        </w:rPr>
        <w:t xml:space="preserve">Het saldo van de extra middelen op grond van de kostenonderzoeken (€ 393 miljoen) en de verlaging van de richttarieven (€ 40 miljoen) is in 2026 dus € 353 miljoen positief. Waarbij conform de gebruikelijke systematiek nog gecompenseerd voor loon- en prijsontwikkelingen. </w:t>
      </w:r>
    </w:p>
    <w:p w:rsidRPr="005F055E" w:rsidR="00D535AF" w:rsidP="00180EEB" w:rsidRDefault="008D2F23" w14:paraId="4C7EA9EF" w14:textId="649ADEEC">
      <w:pPr>
        <w:suppressAutoHyphens/>
        <w:rPr>
          <w:szCs w:val="20"/>
          <w:lang w:eastAsia="nl-NL"/>
        </w:rPr>
      </w:pPr>
      <w:r w:rsidRPr="005F055E">
        <w:rPr>
          <w:szCs w:val="20"/>
          <w:lang w:eastAsia="nl-NL"/>
        </w:rPr>
        <w:t>Daarbij plaats ik deze cijfers ook graag in een breder perspectief. Uit recente cijfers van het CBS</w:t>
      </w:r>
      <w:r w:rsidRPr="005F055E">
        <w:rPr>
          <w:szCs w:val="20"/>
          <w:vertAlign w:val="superscript"/>
          <w:lang w:eastAsia="nl-NL"/>
        </w:rPr>
        <w:footnoteReference w:id="181"/>
      </w:r>
      <w:r w:rsidRPr="005F055E">
        <w:rPr>
          <w:szCs w:val="20"/>
          <w:lang w:eastAsia="nl-NL"/>
        </w:rPr>
        <w:t xml:space="preserve"> blijkt dat de gehandicaptenzorg over het jaar 2024 een gezond resultaat heeft behaald van gemiddeld 2,5 procent. Daarmee heeft de gehandicaptenzorg zich hersteld van de financieel zwaardere jaren 2022 (1,2 procent positief) en 2023 (0,9 procent positief). Ook het weerstandsvermogen (30,5 procent) en de solvabiliteit (46,4 procent) liggen op een relatief hoog niveau en zijn hoger dan gemiddeld in de langdurige zorg. De financiële kengetallen over 2024 liggen daarmee boven de normen die banken stellen om te investeren in de sector. </w:t>
      </w:r>
      <w:r w:rsidRPr="005F055E" w:rsidR="0069427F">
        <w:rPr>
          <w:szCs w:val="20"/>
          <w:lang w:eastAsia="nl-NL"/>
        </w:rPr>
        <w:t>O</w:t>
      </w:r>
      <w:r w:rsidRPr="005F055E">
        <w:rPr>
          <w:szCs w:val="20"/>
          <w:lang w:eastAsia="nl-NL"/>
        </w:rPr>
        <w:t>ok in het licht van de extra middelen die per 2026 per saldo beschikbaar zijn ten opzichte van 2024</w:t>
      </w:r>
      <w:r w:rsidRPr="005F055E" w:rsidR="0069427F">
        <w:rPr>
          <w:szCs w:val="20"/>
          <w:lang w:eastAsia="nl-NL"/>
        </w:rPr>
        <w:t>is er</w:t>
      </w:r>
      <w:r w:rsidRPr="005F055E">
        <w:rPr>
          <w:szCs w:val="20"/>
          <w:lang w:eastAsia="nl-NL"/>
        </w:rPr>
        <w:t xml:space="preserve"> ruimte in de sector om te investeren in toegankelijke, duurzame en kwalitatief goede zorg.</w:t>
      </w:r>
      <w:r w:rsidRPr="005F055E" w:rsidR="00D73F76">
        <w:rPr>
          <w:szCs w:val="20"/>
          <w:lang w:eastAsia="nl-NL"/>
        </w:rPr>
        <w:t xml:space="preserve"> </w:t>
      </w:r>
      <w:r w:rsidRPr="005F055E">
        <w:rPr>
          <w:szCs w:val="20"/>
          <w:lang w:eastAsia="nl-NL"/>
        </w:rPr>
        <w:t xml:space="preserve"> </w:t>
      </w:r>
    </w:p>
    <w:p w:rsidRPr="005F055E" w:rsidR="0015603A" w:rsidP="00180EEB" w:rsidRDefault="0015603A" w14:paraId="64D466B0" w14:textId="77777777">
      <w:pPr>
        <w:suppressAutoHyphens/>
      </w:pPr>
    </w:p>
    <w:p w:rsidRPr="005F055E" w:rsidR="00D535AF" w:rsidP="00180EEB" w:rsidRDefault="003E7003" w14:paraId="6366A899" w14:textId="77777777">
      <w:pPr>
        <w:suppressAutoHyphens/>
      </w:pPr>
      <w:r w:rsidRPr="005F055E">
        <w:t>Vraag 477</w:t>
      </w:r>
    </w:p>
    <w:p w:rsidRPr="005F055E" w:rsidR="00D535AF" w:rsidP="00180EEB" w:rsidRDefault="003E7003" w14:paraId="6F128545" w14:textId="77777777">
      <w:pPr>
        <w:suppressAutoHyphens/>
      </w:pPr>
      <w:r w:rsidRPr="005F055E">
        <w:t>Op verzoek van de Kamer (motie-Dobbe/Westerveld) wordt de korting voor meerjarig contracteren niet per 2026 doorgevoerd, hiervoor is incidenteel €65 miljoen aan het kader toegevoegd, maar klopt het dat zonder wijziging deze korting per 2027 alsnog structureel wordt ingevoerd? Wat is de inhoudelijke onderbouwing bij die voorgenomen korting?</w:t>
      </w:r>
    </w:p>
    <w:p w:rsidRPr="005F055E" w:rsidR="003E7003" w:rsidP="00180EEB" w:rsidRDefault="003E7003" w14:paraId="29FAC2C9" w14:textId="76E5F5C5">
      <w:pPr>
        <w:suppressAutoHyphens/>
      </w:pPr>
      <w:r w:rsidRPr="005F055E">
        <w:t>Antwoord</w:t>
      </w:r>
    </w:p>
    <w:p w:rsidRPr="005F055E" w:rsidR="007E7344" w:rsidP="00180EEB" w:rsidRDefault="007E7344" w14:paraId="16C26A81" w14:textId="409B19FE">
      <w:pPr>
        <w:suppressAutoHyphens/>
        <w:spacing w:line="240" w:lineRule="atLeast"/>
        <w:rPr>
          <w:rFonts w:cs="Calibri"/>
          <w:color w:val="000000"/>
          <w:szCs w:val="18"/>
          <w:lang w:eastAsia="nl-NL"/>
        </w:rPr>
      </w:pPr>
      <w:r w:rsidRPr="005F055E">
        <w:rPr>
          <w:szCs w:val="18"/>
          <w:lang w:eastAsia="nl-NL"/>
        </w:rPr>
        <w:t>Ja, dit klopt.</w:t>
      </w:r>
      <w:r w:rsidRPr="005F055E">
        <w:rPr>
          <w:rFonts w:cs="Calibri"/>
          <w:color w:val="000000"/>
          <w:szCs w:val="18"/>
          <w:lang w:eastAsia="nl-NL"/>
        </w:rPr>
        <w:t xml:space="preserve"> Met de motie Dobbe c.s. is de korting voor 2026 niet door gegaan, maar voor 2027 staat de korting nog.</w:t>
      </w:r>
    </w:p>
    <w:p w:rsidRPr="005F055E" w:rsidR="00D535AF" w:rsidP="00180EEB" w:rsidRDefault="007E7344" w14:paraId="015D68B0" w14:textId="2AA2DB55">
      <w:pPr>
        <w:suppressAutoHyphens/>
        <w:rPr>
          <w:rFonts w:cs="Calibri"/>
          <w:color w:val="000000"/>
          <w:szCs w:val="18"/>
          <w:lang w:eastAsia="nl-NL"/>
        </w:rPr>
      </w:pPr>
      <w:r w:rsidRPr="005F055E">
        <w:rPr>
          <w:rFonts w:cs="Calibri"/>
          <w:color w:val="000000"/>
          <w:szCs w:val="18"/>
          <w:lang w:eastAsia="nl-NL"/>
        </w:rPr>
        <w:t>De maatregel meerjarig contracteren is becijferd in Zorgkeuzes in Kaart en gevalideerd door het Centraal Planbureau.</w:t>
      </w:r>
      <w:r w:rsidRPr="005F055E">
        <w:rPr>
          <w:rFonts w:cs="Calibri"/>
          <w:color w:val="000000"/>
          <w:szCs w:val="18"/>
          <w:vertAlign w:val="superscript"/>
          <w:lang w:eastAsia="nl-NL"/>
        </w:rPr>
        <w:footnoteReference w:id="182"/>
      </w:r>
      <w:r w:rsidRPr="005F055E">
        <w:rPr>
          <w:rFonts w:cs="Calibri"/>
          <w:color w:val="000000"/>
          <w:szCs w:val="18"/>
          <w:lang w:eastAsia="nl-NL"/>
        </w:rPr>
        <w:t xml:space="preserve"> Het idee is dat meerjarig contracteren met budgetafspraken, gecombineerd met een meerjarige contracteerruimte, zorgaanbieders meer financiële zekerheid biedt en daarmee de ruimte om hun zorg anders te organiseren tegen lagere kosten. Voor de periode 2026-2030 heb ik een indicatief meerjarig </w:t>
      </w:r>
      <w:proofErr w:type="spellStart"/>
      <w:r w:rsidRPr="005F055E">
        <w:rPr>
          <w:rFonts w:cs="Calibri"/>
          <w:color w:val="000000"/>
          <w:szCs w:val="18"/>
          <w:lang w:eastAsia="nl-NL"/>
        </w:rPr>
        <w:t>Wlz</w:t>
      </w:r>
      <w:proofErr w:type="spellEnd"/>
      <w:r w:rsidRPr="005F055E">
        <w:rPr>
          <w:rFonts w:cs="Calibri"/>
          <w:color w:val="000000"/>
          <w:szCs w:val="18"/>
          <w:lang w:eastAsia="nl-NL"/>
        </w:rPr>
        <w:t xml:space="preserve">-kader laten zien. Daarmee kunnen meerjarige contracten met budgetafspraken een middel voor zorgkantoren en zorgaanbieders zijn om langere termijnafspraken te maken over de ontwikkeling van de zorgvraag. Meerjarige contracten geven financiële zekerheid om te investeren in kwaliteit en toegankelijkheid en om personeel te binden. </w:t>
      </w:r>
      <w:r w:rsidRPr="005F055E">
        <w:rPr>
          <w:rFonts w:cs="Calibri"/>
          <w:color w:val="000000"/>
          <w:szCs w:val="18"/>
          <w:lang w:eastAsia="nl-NL"/>
        </w:rPr>
        <w:br/>
      </w:r>
      <w:r w:rsidRPr="005F055E">
        <w:rPr>
          <w:rFonts w:cs="Calibri"/>
          <w:color w:val="000000"/>
          <w:szCs w:val="18"/>
          <w:lang w:eastAsia="nl-NL"/>
        </w:rPr>
        <w:br/>
        <w:t>Minder onzekerheid over de omvang van het meerjarige budget kan er bijvoorbeeld toe leiden dat vast personeel wordt aangetrokken in plaats van (duurdere) externe krachten. Ook kan meerjarige zekerheid ertoe leiden dat instellingen goedkoper kunnen lenen en banken eerder bereid zijn om geld te verstrekken. Tot slot leiden meerjarige contracten tot lagere administratieve lasten. De corresponderende korting is in de begroting blijven staan vanuit het kabinet Schoof.</w:t>
      </w:r>
    </w:p>
    <w:p w:rsidR="007E7344" w:rsidP="00180EEB" w:rsidRDefault="007E7344" w14:paraId="664781FC" w14:textId="77777777">
      <w:pPr>
        <w:suppressAutoHyphens/>
      </w:pPr>
    </w:p>
    <w:p w:rsidRPr="005F055E" w:rsidR="00D544B0" w:rsidP="00180EEB" w:rsidRDefault="00D544B0" w14:paraId="66195E4C" w14:textId="77777777">
      <w:pPr>
        <w:suppressAutoHyphens/>
      </w:pPr>
    </w:p>
    <w:p w:rsidRPr="005F055E" w:rsidR="00D535AF" w:rsidP="00180EEB" w:rsidRDefault="003E7003" w14:paraId="4D515E71" w14:textId="77777777">
      <w:pPr>
        <w:suppressAutoHyphens/>
      </w:pPr>
      <w:r w:rsidRPr="005F055E">
        <w:t>Vraag 478</w:t>
      </w:r>
    </w:p>
    <w:p w:rsidRPr="005F055E" w:rsidR="00D535AF" w:rsidP="00180EEB" w:rsidRDefault="003E7003" w14:paraId="7DFBC6DD" w14:textId="77777777">
      <w:pPr>
        <w:suppressAutoHyphens/>
      </w:pPr>
      <w:r w:rsidRPr="005F055E">
        <w:t xml:space="preserve">Wat gebeurt er met de €700 miljoen uit het </w:t>
      </w:r>
      <w:proofErr w:type="spellStart"/>
      <w:r w:rsidRPr="005F055E">
        <w:t>Wlz</w:t>
      </w:r>
      <w:proofErr w:type="spellEnd"/>
      <w:r w:rsidRPr="005F055E">
        <w:t>-kader die niet wordt uitgegeven?</w:t>
      </w:r>
    </w:p>
    <w:p w:rsidRPr="005F055E" w:rsidR="003E7003" w:rsidP="00180EEB" w:rsidRDefault="003E7003" w14:paraId="140F5A6F" w14:textId="486FA438">
      <w:pPr>
        <w:suppressAutoHyphens/>
      </w:pPr>
      <w:r w:rsidRPr="005F055E">
        <w:t>Antwoord</w:t>
      </w:r>
    </w:p>
    <w:p w:rsidRPr="005F055E" w:rsidR="007E7344" w:rsidP="00180EEB" w:rsidRDefault="007E7344" w14:paraId="472614F7" w14:textId="7D86F63E">
      <w:pPr>
        <w:suppressAutoHyphens/>
        <w:spacing w:line="240" w:lineRule="atLeast"/>
        <w:rPr>
          <w:szCs w:val="18"/>
          <w:lang w:eastAsia="nl-NL"/>
        </w:rPr>
      </w:pPr>
      <w:r w:rsidRPr="005F055E">
        <w:rPr>
          <w:szCs w:val="18"/>
          <w:lang w:eastAsia="nl-NL"/>
        </w:rPr>
        <w:t xml:space="preserve">Het bedrag van € 700 miljoen dat in 2025 niet wordt uitgegeven via het </w:t>
      </w:r>
      <w:proofErr w:type="spellStart"/>
      <w:r w:rsidRPr="005F055E">
        <w:rPr>
          <w:szCs w:val="18"/>
          <w:lang w:eastAsia="nl-NL"/>
        </w:rPr>
        <w:t>Wlz</w:t>
      </w:r>
      <w:proofErr w:type="spellEnd"/>
      <w:r w:rsidRPr="005F055E">
        <w:rPr>
          <w:szCs w:val="18"/>
          <w:lang w:eastAsia="nl-NL"/>
        </w:rPr>
        <w:t xml:space="preserve">-kader is betrokken bij de integrale besluitvorming over de begroting 2026. De lagere uitgaven in 2025 werken door naar latere jaren. Vanaf 2026 is er echter ook sprake van aanzienlijk hogere uitgaven in de </w:t>
      </w:r>
      <w:proofErr w:type="spellStart"/>
      <w:r w:rsidRPr="005F055E">
        <w:rPr>
          <w:szCs w:val="18"/>
          <w:lang w:eastAsia="nl-NL"/>
        </w:rPr>
        <w:t>Wlz</w:t>
      </w:r>
      <w:proofErr w:type="spellEnd"/>
      <w:r w:rsidRPr="005F055E">
        <w:rPr>
          <w:szCs w:val="18"/>
          <w:lang w:eastAsia="nl-NL"/>
        </w:rPr>
        <w:t xml:space="preserve">, bijvoorbeeld op grond van kostprijsonderzoeken in de gehandicaptenzorg en langdurige </w:t>
      </w:r>
      <w:r w:rsidR="00D55762">
        <w:rPr>
          <w:szCs w:val="18"/>
          <w:lang w:eastAsia="nl-NL"/>
        </w:rPr>
        <w:t>GGZ</w:t>
      </w:r>
      <w:r w:rsidRPr="005F055E">
        <w:rPr>
          <w:szCs w:val="18"/>
          <w:lang w:eastAsia="nl-NL"/>
        </w:rPr>
        <w:t xml:space="preserve"> en voor de normatieve huisvestingscomponent. Daarmee heeft een groot deel van deze meevaller een bestemming gekregen binnen de </w:t>
      </w:r>
      <w:proofErr w:type="spellStart"/>
      <w:r w:rsidRPr="005F055E">
        <w:rPr>
          <w:szCs w:val="18"/>
          <w:lang w:eastAsia="nl-NL"/>
        </w:rPr>
        <w:t>Wlz</w:t>
      </w:r>
      <w:proofErr w:type="spellEnd"/>
      <w:r w:rsidRPr="005F055E">
        <w:rPr>
          <w:szCs w:val="18"/>
          <w:lang w:eastAsia="nl-NL"/>
        </w:rPr>
        <w:t>.</w:t>
      </w:r>
    </w:p>
    <w:p w:rsidRPr="005F055E" w:rsidR="00D535AF" w:rsidP="00180EEB" w:rsidRDefault="00D535AF" w14:paraId="5B41D15C" w14:textId="77777777">
      <w:pPr>
        <w:suppressAutoHyphens/>
      </w:pPr>
    </w:p>
    <w:p w:rsidRPr="005F055E" w:rsidR="00D535AF" w:rsidP="00180EEB" w:rsidRDefault="003E7003" w14:paraId="07C4E7DA" w14:textId="77777777">
      <w:pPr>
        <w:suppressAutoHyphens/>
      </w:pPr>
      <w:r w:rsidRPr="005F055E">
        <w:t>Vraag 479</w:t>
      </w:r>
    </w:p>
    <w:p w:rsidRPr="005F055E" w:rsidR="00D535AF" w:rsidP="00180EEB" w:rsidRDefault="003E7003" w14:paraId="0261D0AB" w14:textId="0A57917E">
      <w:pPr>
        <w:suppressAutoHyphens/>
      </w:pPr>
      <w:r w:rsidRPr="005F055E">
        <w:t xml:space="preserve">Welke tariefcomponenten (loon, materieel) verklaren de €152 miljoen en kunt u per deelsector (gehandicaptenzorg, langdurige </w:t>
      </w:r>
      <w:r w:rsidR="00D55762">
        <w:t>GGZ</w:t>
      </w:r>
      <w:r w:rsidRPr="005F055E">
        <w:t>) een nadere uitsplitsing geven?</w:t>
      </w:r>
    </w:p>
    <w:p w:rsidRPr="005F055E" w:rsidR="003E7003" w:rsidP="00180EEB" w:rsidRDefault="003E7003" w14:paraId="2C0D1DC1" w14:textId="061C2FC8">
      <w:pPr>
        <w:suppressAutoHyphens/>
      </w:pPr>
      <w:r w:rsidRPr="005F055E">
        <w:t>Antwoord</w:t>
      </w:r>
    </w:p>
    <w:p w:rsidRPr="005F055E" w:rsidR="007E7344" w:rsidP="00180EEB" w:rsidRDefault="007E7344" w14:paraId="04E49174" w14:textId="424582F8">
      <w:pPr>
        <w:suppressAutoHyphens/>
        <w:spacing w:line="240" w:lineRule="atLeast"/>
        <w:rPr>
          <w:szCs w:val="18"/>
          <w:lang w:eastAsia="nl-NL"/>
        </w:rPr>
      </w:pPr>
      <w:r w:rsidRPr="005F055E">
        <w:rPr>
          <w:szCs w:val="18"/>
          <w:lang w:eastAsia="nl-NL"/>
        </w:rPr>
        <w:t xml:space="preserve">Het kostenonderzoek van de </w:t>
      </w:r>
      <w:proofErr w:type="spellStart"/>
      <w:r w:rsidRPr="005F055E">
        <w:rPr>
          <w:szCs w:val="18"/>
          <w:lang w:eastAsia="nl-NL"/>
        </w:rPr>
        <w:t>NZa</w:t>
      </w:r>
      <w:proofErr w:type="spellEnd"/>
      <w:r w:rsidRPr="005F055E">
        <w:rPr>
          <w:szCs w:val="18"/>
          <w:lang w:eastAsia="nl-NL"/>
        </w:rPr>
        <w:t xml:space="preserve"> op het terrein van de gehandicaptenzorg en langdurige </w:t>
      </w:r>
      <w:r w:rsidR="00D55762">
        <w:rPr>
          <w:szCs w:val="18"/>
          <w:lang w:eastAsia="nl-NL"/>
        </w:rPr>
        <w:t>GGZ</w:t>
      </w:r>
      <w:r w:rsidRPr="005F055E">
        <w:rPr>
          <w:szCs w:val="18"/>
          <w:lang w:eastAsia="nl-NL"/>
        </w:rPr>
        <w:t xml:space="preserve"> leidt per 2026 tot een verhoging van de maximumbeleidsregelwaarden met € 152 miljoen. Hiervan heeft € 112 miljoen betrekking op de gehandicaptenzorg en € 40 miljoen op de langdurige </w:t>
      </w:r>
      <w:r w:rsidR="00D55762">
        <w:rPr>
          <w:szCs w:val="18"/>
          <w:lang w:eastAsia="nl-NL"/>
        </w:rPr>
        <w:t>GGZ</w:t>
      </w:r>
      <w:r w:rsidRPr="005F055E">
        <w:rPr>
          <w:szCs w:val="18"/>
          <w:lang w:eastAsia="nl-NL"/>
        </w:rPr>
        <w:t xml:space="preserve">. Ik kan hiervan geen nadere uitsplitsing geven naar loon en materieel. </w:t>
      </w:r>
    </w:p>
    <w:p w:rsidRPr="005F055E" w:rsidR="00D535AF" w:rsidP="00180EEB" w:rsidRDefault="003E7003" w14:paraId="513FE3E4" w14:textId="77777777">
      <w:pPr>
        <w:suppressAutoHyphens/>
      </w:pPr>
      <w:r w:rsidRPr="005F055E">
        <w:t>Vraag 480</w:t>
      </w:r>
    </w:p>
    <w:p w:rsidRPr="005F055E" w:rsidR="00D535AF" w:rsidP="00180EEB" w:rsidRDefault="003E7003" w14:paraId="4B72FFAF" w14:textId="162B1836">
      <w:pPr>
        <w:suppressAutoHyphens/>
      </w:pPr>
      <w:r w:rsidRPr="005F055E">
        <w:t xml:space="preserve">Waarom moeten de tarieven op grond van het kostenonderzoek in de gehandicaptenzorg en de </w:t>
      </w:r>
      <w:r w:rsidR="00D55762">
        <w:t>GGZ</w:t>
      </w:r>
      <w:r w:rsidRPr="005F055E">
        <w:t xml:space="preserve"> worden verhoogd? Wat is de verdeling van de €152 miljoen tussen de gehandicaptenzorg en </w:t>
      </w:r>
      <w:r w:rsidR="00D55762">
        <w:t>GGZ</w:t>
      </w:r>
      <w:r w:rsidRPr="005F055E">
        <w:t xml:space="preserve">? Zijn de tarieven in de gehandicaptenzorg en de </w:t>
      </w:r>
      <w:r w:rsidR="00D55762">
        <w:t>GGZ</w:t>
      </w:r>
      <w:r w:rsidRPr="005F055E">
        <w:t xml:space="preserve"> hiermee kostendekkend voor 2026?</w:t>
      </w:r>
      <w:r w:rsidRPr="005F055E">
        <w:tab/>
      </w:r>
    </w:p>
    <w:p w:rsidRPr="005F055E" w:rsidR="003E7003" w:rsidP="00180EEB" w:rsidRDefault="003E7003" w14:paraId="0E3B4F41" w14:textId="1B168EDA">
      <w:pPr>
        <w:suppressAutoHyphens/>
      </w:pPr>
      <w:r w:rsidRPr="005F055E">
        <w:t>Antwoord</w:t>
      </w:r>
    </w:p>
    <w:p w:rsidRPr="005F055E" w:rsidR="007E7344" w:rsidP="00180EEB" w:rsidRDefault="007E7344" w14:paraId="47B07AB3" w14:textId="1F5C12CD">
      <w:pPr>
        <w:suppressAutoHyphens/>
        <w:spacing w:line="240" w:lineRule="atLeast"/>
        <w:rPr>
          <w:szCs w:val="18"/>
          <w:lang w:eastAsia="nl-NL"/>
        </w:rPr>
      </w:pPr>
      <w:r w:rsidRPr="005F055E">
        <w:rPr>
          <w:szCs w:val="18"/>
          <w:lang w:eastAsia="nl-NL"/>
        </w:rPr>
        <w:t xml:space="preserve">De </w:t>
      </w:r>
      <w:proofErr w:type="spellStart"/>
      <w:r w:rsidRPr="005F055E">
        <w:rPr>
          <w:szCs w:val="18"/>
          <w:lang w:eastAsia="nl-NL"/>
        </w:rPr>
        <w:t>NZa</w:t>
      </w:r>
      <w:proofErr w:type="spellEnd"/>
      <w:r w:rsidRPr="005F055E">
        <w:rPr>
          <w:szCs w:val="18"/>
          <w:lang w:eastAsia="nl-NL"/>
        </w:rPr>
        <w:t xml:space="preserve"> heeft als wettelijke taak om tenminste redelijkerwijs kostendekkende tarieven vast te stellen. Vanuit deze taak voert zij periodiek kostenonderzoeken uit om te onderzoeken of de maximumbeleidsregelwaarden nog aansluiten bij de gemaakte kosten. Het bedrag van € 152 miljoen dat vanaf 2026 als extra middelen beschikbaar komt heeft voor € 112 miljoen betrekking op de gehandicaptenzorg en € 40 miljoen op de langdurige </w:t>
      </w:r>
      <w:r w:rsidR="00D55762">
        <w:rPr>
          <w:szCs w:val="18"/>
          <w:lang w:eastAsia="nl-NL"/>
        </w:rPr>
        <w:t>GGZ</w:t>
      </w:r>
      <w:r w:rsidRPr="005F055E">
        <w:rPr>
          <w:szCs w:val="18"/>
          <w:lang w:eastAsia="nl-NL"/>
        </w:rPr>
        <w:t>. Deze bedragen komen bovenop de tariefsverhoging van € 168 miljoen voor de gehandicaptenzorg die reeds per 2025 in de tarieven zijn verwerkt. Met deze middelen worden de maximumbeleidsregelwaarden aangepast en hiermee zijn de tarieven voor 2026 redelijkerwijs kostendekkend.</w:t>
      </w:r>
    </w:p>
    <w:p w:rsidRPr="005F055E" w:rsidR="007E7344" w:rsidP="00180EEB" w:rsidRDefault="007E7344" w14:paraId="64F93699" w14:textId="77777777">
      <w:pPr>
        <w:suppressAutoHyphens/>
      </w:pPr>
    </w:p>
    <w:p w:rsidRPr="005F055E" w:rsidR="00D535AF" w:rsidP="00180EEB" w:rsidRDefault="003E7003" w14:paraId="3D2870C4" w14:textId="77777777">
      <w:pPr>
        <w:suppressAutoHyphens/>
      </w:pPr>
      <w:r w:rsidRPr="005F055E">
        <w:t>Vraag 481</w:t>
      </w:r>
    </w:p>
    <w:p w:rsidRPr="005F055E" w:rsidR="00D535AF" w:rsidP="00180EEB" w:rsidRDefault="003E7003" w14:paraId="4B1F03BF" w14:textId="7AA58313">
      <w:pPr>
        <w:suppressAutoHyphens/>
      </w:pPr>
      <w:r w:rsidRPr="005F055E">
        <w:t xml:space="preserve">Klopt het dat de zorgkantoren een korting doorvoeren op de nieuwe tarieven voor de gehandicaptenzorg en de </w:t>
      </w:r>
      <w:r w:rsidR="00D55762">
        <w:t>GGZ</w:t>
      </w:r>
      <w:r w:rsidRPr="005F055E">
        <w:t xml:space="preserve"> in 2026? Hoe hoog is deze korting (in procenten en in miljoenen euro's) voor respectievelijk de gehandicaptenzorg en de </w:t>
      </w:r>
      <w:r w:rsidR="00D55762">
        <w:t>GGZ</w:t>
      </w:r>
      <w:r w:rsidRPr="005F055E">
        <w:t>?</w:t>
      </w:r>
    </w:p>
    <w:p w:rsidRPr="005F055E" w:rsidR="003E7003" w:rsidP="00180EEB" w:rsidRDefault="003E7003" w14:paraId="145C37CC" w14:textId="2E17337D">
      <w:pPr>
        <w:suppressAutoHyphens/>
      </w:pPr>
      <w:r w:rsidRPr="005F055E">
        <w:t>Antwoord</w:t>
      </w:r>
    </w:p>
    <w:p w:rsidRPr="005F055E" w:rsidR="007E7344" w:rsidP="00180EEB" w:rsidRDefault="007E7344" w14:paraId="2F1C139F" w14:textId="46D10B31">
      <w:pPr>
        <w:suppressAutoHyphens/>
        <w:spacing w:line="240" w:lineRule="atLeast"/>
        <w:rPr>
          <w:szCs w:val="18"/>
          <w:lang w:eastAsia="nl-NL"/>
        </w:rPr>
      </w:pPr>
      <w:r w:rsidRPr="005F055E">
        <w:rPr>
          <w:szCs w:val="18"/>
          <w:lang w:eastAsia="nl-NL"/>
        </w:rPr>
        <w:t xml:space="preserve">De zorgkantoren stellen jaarlijks richttariefpercentages vast waarmee zij per sector binnen de </w:t>
      </w:r>
      <w:proofErr w:type="spellStart"/>
      <w:r w:rsidRPr="005F055E">
        <w:rPr>
          <w:szCs w:val="18"/>
          <w:lang w:eastAsia="nl-NL"/>
        </w:rPr>
        <w:t>Wlz</w:t>
      </w:r>
      <w:proofErr w:type="spellEnd"/>
      <w:r w:rsidRPr="005F055E">
        <w:rPr>
          <w:szCs w:val="18"/>
          <w:lang w:eastAsia="nl-NL"/>
        </w:rPr>
        <w:t xml:space="preserve"> de zorg inkopen. Voor 2026 gaat het voor de gehandicaptenzorg om 96,6 procent en voor de langdurige </w:t>
      </w:r>
      <w:r w:rsidR="00D55762">
        <w:rPr>
          <w:szCs w:val="18"/>
          <w:lang w:eastAsia="nl-NL"/>
        </w:rPr>
        <w:t>GGZ</w:t>
      </w:r>
      <w:r w:rsidRPr="005F055E">
        <w:rPr>
          <w:szCs w:val="18"/>
          <w:lang w:eastAsia="nl-NL"/>
        </w:rPr>
        <w:t xml:space="preserve"> om 96,9 procent. Dat betekent kortingen van 3,4 procent (circa € 340 miljoen) bij de gehandicaptenzorg en 3,1 procent (circa € 60 miljoen) bij de </w:t>
      </w:r>
      <w:r w:rsidR="00D55762">
        <w:rPr>
          <w:szCs w:val="18"/>
          <w:lang w:eastAsia="nl-NL"/>
        </w:rPr>
        <w:t>GGZ</w:t>
      </w:r>
      <w:r w:rsidRPr="005F055E">
        <w:rPr>
          <w:szCs w:val="18"/>
          <w:lang w:eastAsia="nl-NL"/>
        </w:rPr>
        <w:t>. De kortingspercentages zijn afgestemd op een doelmatige zorginkoop waarbij 75 procent van de zorgaanbieders en 75 procent van de omzet met een positief resultaat wordt gerealiseerd. Hierbij worden ook de financieringsbaten en</w:t>
      </w:r>
      <w:r w:rsidRPr="005F055E" w:rsidR="00F72140">
        <w:rPr>
          <w:szCs w:val="18"/>
          <w:lang w:eastAsia="nl-NL"/>
        </w:rPr>
        <w:t xml:space="preserve"> </w:t>
      </w:r>
      <w:r w:rsidRPr="005F055E">
        <w:rPr>
          <w:szCs w:val="18"/>
          <w:lang w:eastAsia="nl-NL"/>
        </w:rPr>
        <w:t>-lasten meegenomen. De berekeningssystematiek die de zorgkantoren hanteren voor de richttariefpercentages sluit aan bij een rechterlijke uitspraak uit 2024 over het bieden van reële prijzen aan zorgaanbieders die op een transparante wijze zijn onderbouwd.</w:t>
      </w:r>
    </w:p>
    <w:p w:rsidRPr="005F055E" w:rsidR="00D535AF" w:rsidP="00180EEB" w:rsidRDefault="003E7003" w14:paraId="175579A2" w14:textId="77777777">
      <w:pPr>
        <w:suppressAutoHyphens/>
      </w:pPr>
      <w:r w:rsidRPr="005F055E">
        <w:t>Vraag 482</w:t>
      </w:r>
    </w:p>
    <w:p w:rsidRPr="005F055E" w:rsidR="00D535AF" w:rsidP="00180EEB" w:rsidRDefault="003E7003" w14:paraId="70D48698" w14:textId="77777777">
      <w:pPr>
        <w:suppressAutoHyphens/>
      </w:pPr>
      <w:r w:rsidRPr="005F055E">
        <w:t>Hebben zorginstellingen in het verleden te weinig middelen gekregen, gegeven het feit dat de verhoging van de normatieve huisvestingscomponent samen hangt met de eisen aan gebouwen op het terrein van duurzaamheid en brandveiligheid? Heeft dit geleid tot onvoldoende investeringen in duurzaamheid en brandveiligheid? Zo nee, hoe hebben instellingen deze investeringen dan gefinancierd? Hebben zorginstellingen nu voldoende middelen om invulling te geven aan de afspraken in het kader van de Green Deal?</w:t>
      </w:r>
    </w:p>
    <w:p w:rsidRPr="005F055E" w:rsidR="003E7003" w:rsidP="00180EEB" w:rsidRDefault="003E7003" w14:paraId="30D55604" w14:textId="29710B8A">
      <w:pPr>
        <w:suppressAutoHyphens/>
      </w:pPr>
      <w:r w:rsidRPr="005F055E">
        <w:t>Antwoord</w:t>
      </w:r>
    </w:p>
    <w:p w:rsidRPr="005F055E" w:rsidR="007E7344" w:rsidP="00180EEB" w:rsidRDefault="007E7344" w14:paraId="3A138855" w14:textId="77777777">
      <w:pPr>
        <w:suppressAutoHyphens/>
        <w:spacing w:line="240" w:lineRule="atLeast"/>
        <w:rPr>
          <w:szCs w:val="18"/>
          <w:lang w:eastAsia="nl-NL"/>
        </w:rPr>
      </w:pPr>
      <w:r w:rsidRPr="005F055E">
        <w:rPr>
          <w:szCs w:val="18"/>
          <w:lang w:eastAsia="nl-NL"/>
        </w:rPr>
        <w:t>De normatieve huisvestingscomponent (</w:t>
      </w:r>
      <w:proofErr w:type="spellStart"/>
      <w:r w:rsidRPr="005F055E">
        <w:rPr>
          <w:szCs w:val="18"/>
          <w:lang w:eastAsia="nl-NL"/>
        </w:rPr>
        <w:t>nhc</w:t>
      </w:r>
      <w:proofErr w:type="spellEnd"/>
      <w:r w:rsidRPr="005F055E">
        <w:rPr>
          <w:szCs w:val="18"/>
          <w:lang w:eastAsia="nl-NL"/>
        </w:rPr>
        <w:t xml:space="preserve">) wordt door de </w:t>
      </w:r>
      <w:proofErr w:type="spellStart"/>
      <w:r w:rsidRPr="005F055E">
        <w:rPr>
          <w:szCs w:val="18"/>
          <w:lang w:eastAsia="nl-NL"/>
        </w:rPr>
        <w:t>NZa</w:t>
      </w:r>
      <w:proofErr w:type="spellEnd"/>
      <w:r w:rsidRPr="005F055E">
        <w:rPr>
          <w:szCs w:val="18"/>
          <w:lang w:eastAsia="nl-NL"/>
        </w:rPr>
        <w:t xml:space="preserve"> op een zodanig niveau vastgesteld dat bij nieuwbouw voldaan kan worden aan de actuele eisen op het gebied van duurzaamheid en brandveiligheid. De </w:t>
      </w:r>
      <w:proofErr w:type="spellStart"/>
      <w:r w:rsidRPr="005F055E">
        <w:rPr>
          <w:szCs w:val="18"/>
          <w:lang w:eastAsia="nl-NL"/>
        </w:rPr>
        <w:t>NZa</w:t>
      </w:r>
      <w:proofErr w:type="spellEnd"/>
      <w:r w:rsidRPr="005F055E">
        <w:rPr>
          <w:szCs w:val="18"/>
          <w:lang w:eastAsia="nl-NL"/>
        </w:rPr>
        <w:t xml:space="preserve"> heeft afgelopen jaar onderzoek laten doen naar de impact van die eisen op de </w:t>
      </w:r>
      <w:proofErr w:type="spellStart"/>
      <w:r w:rsidRPr="005F055E">
        <w:rPr>
          <w:szCs w:val="18"/>
          <w:lang w:eastAsia="nl-NL"/>
        </w:rPr>
        <w:t>nhc</w:t>
      </w:r>
      <w:proofErr w:type="spellEnd"/>
      <w:r w:rsidRPr="005F055E">
        <w:rPr>
          <w:szCs w:val="18"/>
          <w:lang w:eastAsia="nl-NL"/>
        </w:rPr>
        <w:t xml:space="preserve">. De uitkomsten van dat onderzoek zijn in de </w:t>
      </w:r>
      <w:proofErr w:type="spellStart"/>
      <w:r w:rsidRPr="005F055E">
        <w:rPr>
          <w:szCs w:val="18"/>
          <w:lang w:eastAsia="nl-NL"/>
        </w:rPr>
        <w:t>nhc</w:t>
      </w:r>
      <w:proofErr w:type="spellEnd"/>
      <w:r w:rsidRPr="005F055E">
        <w:rPr>
          <w:szCs w:val="18"/>
          <w:lang w:eastAsia="nl-NL"/>
        </w:rPr>
        <w:t xml:space="preserve"> c.q. de tarieven voor 2026 verwerkt. De </w:t>
      </w:r>
      <w:proofErr w:type="spellStart"/>
      <w:r w:rsidRPr="005F055E">
        <w:rPr>
          <w:szCs w:val="18"/>
          <w:lang w:eastAsia="nl-NL"/>
        </w:rPr>
        <w:t>nhc</w:t>
      </w:r>
      <w:proofErr w:type="spellEnd"/>
      <w:r w:rsidRPr="005F055E">
        <w:rPr>
          <w:szCs w:val="18"/>
          <w:lang w:eastAsia="nl-NL"/>
        </w:rPr>
        <w:t xml:space="preserve"> maakt onderdeel uit van een integraal tarief voor de zorgzwaartepakketten (</w:t>
      </w:r>
      <w:proofErr w:type="spellStart"/>
      <w:r w:rsidRPr="005F055E">
        <w:rPr>
          <w:szCs w:val="18"/>
          <w:lang w:eastAsia="nl-NL"/>
        </w:rPr>
        <w:t>ZZP’s</w:t>
      </w:r>
      <w:proofErr w:type="spellEnd"/>
      <w:r w:rsidRPr="005F055E">
        <w:rPr>
          <w:szCs w:val="18"/>
          <w:lang w:eastAsia="nl-NL"/>
        </w:rPr>
        <w:t xml:space="preserve">). Binnen dat integrale tarief kunnen instellingen keuzes maken hoe deze middelen in te zetten. In de afgelopen jaren was gemiddeld genomen de </w:t>
      </w:r>
      <w:proofErr w:type="spellStart"/>
      <w:r w:rsidRPr="005F055E">
        <w:rPr>
          <w:szCs w:val="18"/>
          <w:lang w:eastAsia="nl-NL"/>
        </w:rPr>
        <w:t>nhc</w:t>
      </w:r>
      <w:proofErr w:type="spellEnd"/>
      <w:r w:rsidRPr="005F055E">
        <w:rPr>
          <w:szCs w:val="18"/>
          <w:lang w:eastAsia="nl-NL"/>
        </w:rPr>
        <w:t xml:space="preserve">-vergoeding hoger dan de feitelijke uitgaven voor huisvesting. Daarmee ga ik ervan uit dat de vergoeding voor de huisvestingscomponent in de afgelopen jaren niet te laag was. Ik ga ervan uit dat </w:t>
      </w:r>
      <w:proofErr w:type="spellStart"/>
      <w:r w:rsidRPr="005F055E">
        <w:rPr>
          <w:szCs w:val="18"/>
          <w:lang w:eastAsia="nl-NL"/>
        </w:rPr>
        <w:t>Wlz</w:t>
      </w:r>
      <w:proofErr w:type="spellEnd"/>
      <w:r w:rsidRPr="005F055E">
        <w:rPr>
          <w:szCs w:val="18"/>
          <w:lang w:eastAsia="nl-NL"/>
        </w:rPr>
        <w:t>-zorginstellingen – zeker met de verhoogde tarieven – de afspraken in het kader van de Greendeal kunnen nakomen.</w:t>
      </w:r>
    </w:p>
    <w:p w:rsidRPr="005F055E" w:rsidR="00D535AF" w:rsidP="00180EEB" w:rsidRDefault="00D535AF" w14:paraId="3DBF4A00" w14:textId="77777777">
      <w:pPr>
        <w:suppressAutoHyphens/>
      </w:pPr>
    </w:p>
    <w:p w:rsidRPr="005F055E" w:rsidR="00D535AF" w:rsidP="00180EEB" w:rsidRDefault="003E7003" w14:paraId="74C6C744" w14:textId="77777777">
      <w:pPr>
        <w:suppressAutoHyphens/>
      </w:pPr>
      <w:r w:rsidRPr="005F055E">
        <w:t>Vraag 483</w:t>
      </w:r>
    </w:p>
    <w:p w:rsidRPr="005F055E" w:rsidR="00D535AF" w:rsidP="00180EEB" w:rsidRDefault="003E7003" w14:paraId="4DBD1222" w14:textId="77777777">
      <w:pPr>
        <w:suppressAutoHyphens/>
      </w:pPr>
      <w:r w:rsidRPr="005F055E">
        <w:t>Hoe wordt de Kasschuif meerjarig contracteren (motie-Dobbe/Westerveld) in 2027 gedekt?</w:t>
      </w:r>
    </w:p>
    <w:p w:rsidRPr="005F055E" w:rsidR="003E7003" w:rsidP="00180EEB" w:rsidRDefault="003E7003" w14:paraId="0351A72E" w14:textId="4DE4632A">
      <w:pPr>
        <w:suppressAutoHyphens/>
      </w:pPr>
      <w:r w:rsidRPr="005F055E">
        <w:t>Antwoord</w:t>
      </w:r>
    </w:p>
    <w:p w:rsidRPr="005F055E" w:rsidR="007E7344" w:rsidP="00180EEB" w:rsidRDefault="007E7344" w14:paraId="6B5DEEA3" w14:textId="77777777">
      <w:pPr>
        <w:suppressAutoHyphens/>
        <w:spacing w:line="240" w:lineRule="atLeast"/>
        <w:rPr>
          <w:szCs w:val="18"/>
          <w:lang w:eastAsia="nl-NL"/>
        </w:rPr>
      </w:pPr>
      <w:r w:rsidRPr="005F055E">
        <w:rPr>
          <w:szCs w:val="18"/>
          <w:lang w:eastAsia="nl-NL"/>
        </w:rPr>
        <w:t xml:space="preserve">Vanaf de Aanvullende Post is een bedrag van € 65 miljoen in 2027 overgeheveld naar de </w:t>
      </w:r>
      <w:proofErr w:type="spellStart"/>
      <w:r w:rsidRPr="005F055E">
        <w:rPr>
          <w:szCs w:val="18"/>
          <w:lang w:eastAsia="nl-NL"/>
        </w:rPr>
        <w:t>Wlz</w:t>
      </w:r>
      <w:proofErr w:type="spellEnd"/>
      <w:r w:rsidRPr="005F055E">
        <w:rPr>
          <w:szCs w:val="18"/>
          <w:lang w:eastAsia="nl-NL"/>
        </w:rPr>
        <w:t>-uitgaven. De afroep van dit bedrag vanuit de enveloppe voor betere ouderenzorg in 2027 levert de budgettaire ruimte voor de kasschuif om het besparingsverlies vanwege het niet doorgaan van de tariefmaatregel meerjarig contracteren in 2026 te dekken.</w:t>
      </w:r>
    </w:p>
    <w:p w:rsidRPr="005F055E" w:rsidR="00D535AF" w:rsidP="00180EEB" w:rsidRDefault="003E7003" w14:paraId="0AEE9199" w14:textId="77777777">
      <w:pPr>
        <w:suppressAutoHyphens/>
      </w:pPr>
      <w:r w:rsidRPr="005F055E">
        <w:t>Vraag 484</w:t>
      </w:r>
    </w:p>
    <w:p w:rsidRPr="005F055E" w:rsidR="009B2DB4" w:rsidP="00180EEB" w:rsidRDefault="003E7003" w14:paraId="1A0B8346" w14:textId="77777777">
      <w:pPr>
        <w:suppressAutoHyphens/>
      </w:pPr>
      <w:r w:rsidRPr="005F055E">
        <w:t>Hoe wordt het schrappen van de bezuiniging van €88 miljoen op de gehandicaptenzorg in verband met de maatregel behandeling in 2026 gedekt?</w:t>
      </w:r>
      <w:r w:rsidRPr="005F055E">
        <w:tab/>
      </w:r>
    </w:p>
    <w:p w:rsidRPr="005F055E" w:rsidR="003E7003" w:rsidP="00180EEB" w:rsidRDefault="003E7003" w14:paraId="6E874D60" w14:textId="1C879FD6">
      <w:pPr>
        <w:suppressAutoHyphens/>
      </w:pPr>
      <w:r w:rsidRPr="005F055E">
        <w:t>Antwoord</w:t>
      </w:r>
    </w:p>
    <w:p w:rsidRPr="005F055E" w:rsidR="007E7344" w:rsidP="00180EEB" w:rsidRDefault="007E7344" w14:paraId="11BD15F5" w14:textId="77777777">
      <w:pPr>
        <w:suppressAutoHyphens/>
        <w:spacing w:line="240" w:lineRule="atLeast"/>
        <w:rPr>
          <w:szCs w:val="18"/>
          <w:lang w:eastAsia="nl-NL"/>
        </w:rPr>
      </w:pPr>
      <w:r w:rsidRPr="005F055E">
        <w:rPr>
          <w:szCs w:val="18"/>
          <w:lang w:eastAsia="nl-NL"/>
        </w:rPr>
        <w:t xml:space="preserve">Het besparingsverlies van € 88 miljoen vanwege het niet doorgaan van de voorgestelde maatregel op het terrein van </w:t>
      </w:r>
      <w:proofErr w:type="spellStart"/>
      <w:r w:rsidRPr="005F055E">
        <w:rPr>
          <w:szCs w:val="18"/>
          <w:lang w:eastAsia="nl-NL"/>
        </w:rPr>
        <w:t>Wlz</w:t>
      </w:r>
      <w:proofErr w:type="spellEnd"/>
      <w:r w:rsidRPr="005F055E">
        <w:rPr>
          <w:szCs w:val="18"/>
          <w:lang w:eastAsia="nl-NL"/>
        </w:rPr>
        <w:t xml:space="preserve">-behandeling gehandicaptenzorg is gedekt binnen de integrale besluitvorming over de begroting 2026. Er is derhalve geen specifieke post aan te wijzen. </w:t>
      </w:r>
    </w:p>
    <w:p w:rsidRPr="005F055E" w:rsidR="007E7344" w:rsidP="00180EEB" w:rsidRDefault="007E7344" w14:paraId="096533E5" w14:textId="77777777">
      <w:pPr>
        <w:suppressAutoHyphens/>
      </w:pPr>
    </w:p>
    <w:p w:rsidRPr="005F055E" w:rsidR="009B2DB4" w:rsidP="00180EEB" w:rsidRDefault="003E7003" w14:paraId="15C4F107" w14:textId="77777777">
      <w:pPr>
        <w:suppressAutoHyphens/>
      </w:pPr>
      <w:r w:rsidRPr="005F055E">
        <w:t>Vraag 485</w:t>
      </w:r>
    </w:p>
    <w:p w:rsidRPr="005F055E" w:rsidR="009B2DB4" w:rsidP="00180EEB" w:rsidRDefault="003E7003" w14:paraId="65BF70FC" w14:textId="77777777">
      <w:pPr>
        <w:suppressAutoHyphens/>
      </w:pPr>
      <w:r w:rsidRPr="005F055E">
        <w:t>Klopt het dat de ‘maatregel behandeling’ voor de gehandicaptenzorg, die vanaf 2027 voor €88 miljoen ingepland is, is gebaseerd op een maatregel die uiteindelijk nooit is doorgevoerd, namelijk het plan om de medisch-generalistische zorg en de geneesmiddelen geheel over te hevelen naar de Zorgverzekeringswet (uit het coalitieakkoord van 2021)? Hoe kan een bezuiniging doorgevoerd worden als de grondslag voor die bezuiniging is weggevallen? Welke beleidsbijstelling verwacht u van gehandicaptenorganisaties om deze bezuiniging te realiseren? Klopt het dat, nu er recent nieuwe tarieven zijn vastgesteld op basis van actuele kostprijsonderzoeken, een dergelijke bezuiniging direct te koste gaat van de zorg en dat de tarieven hierdoor weer ónder de recent berekende kostprijstarieven duiken?</w:t>
      </w:r>
    </w:p>
    <w:p w:rsidR="00D544B0" w:rsidP="00180EEB" w:rsidRDefault="00D544B0" w14:paraId="6DE7C5EB" w14:textId="77777777">
      <w:pPr>
        <w:suppressAutoHyphens/>
      </w:pPr>
    </w:p>
    <w:p w:rsidR="00D544B0" w:rsidP="00180EEB" w:rsidRDefault="00D544B0" w14:paraId="03F11B89" w14:textId="77777777">
      <w:pPr>
        <w:suppressAutoHyphens/>
      </w:pPr>
    </w:p>
    <w:p w:rsidRPr="005F055E" w:rsidR="003E7003" w:rsidP="00180EEB" w:rsidRDefault="003E7003" w14:paraId="57B04886" w14:textId="6FA0B949">
      <w:pPr>
        <w:suppressAutoHyphens/>
      </w:pPr>
      <w:r w:rsidRPr="005F055E">
        <w:t>Antwoord</w:t>
      </w:r>
    </w:p>
    <w:p w:rsidRPr="005F055E" w:rsidR="00FF3DFA" w:rsidP="00180EEB" w:rsidRDefault="00FF3DFA" w14:paraId="55BADDB8" w14:textId="5FDE276C">
      <w:pPr>
        <w:suppressAutoHyphens/>
        <w:rPr>
          <w:szCs w:val="18"/>
        </w:rPr>
      </w:pPr>
      <w:r w:rsidRPr="005F055E">
        <w:rPr>
          <w:szCs w:val="18"/>
        </w:rPr>
        <w:t>De oorspronkelijke ‘maatregel behandeling’ in het coalitieakkoord 2021-2025</w:t>
      </w:r>
      <w:r w:rsidRPr="005F055E">
        <w:rPr>
          <w:rStyle w:val="Voetnootmarkering"/>
          <w:szCs w:val="18"/>
        </w:rPr>
        <w:footnoteReference w:id="183"/>
      </w:r>
      <w:r w:rsidRPr="005F055E">
        <w:rPr>
          <w:szCs w:val="18"/>
        </w:rPr>
        <w:t xml:space="preserve"> van het kabinet-Rutte IV ging er inderdaad van uit dat behandeling en geneesmiddelen overgeheveld zouden worden van </w:t>
      </w:r>
      <w:proofErr w:type="spellStart"/>
      <w:r w:rsidRPr="005F055E">
        <w:rPr>
          <w:szCs w:val="18"/>
        </w:rPr>
        <w:t>Wlz</w:t>
      </w:r>
      <w:proofErr w:type="spellEnd"/>
      <w:r w:rsidRPr="005F055E">
        <w:rPr>
          <w:szCs w:val="18"/>
        </w:rPr>
        <w:t xml:space="preserve"> naar </w:t>
      </w:r>
      <w:proofErr w:type="spellStart"/>
      <w:r w:rsidRPr="005F055E">
        <w:rPr>
          <w:szCs w:val="18"/>
        </w:rPr>
        <w:t>Zvw</w:t>
      </w:r>
      <w:proofErr w:type="spellEnd"/>
      <w:r w:rsidRPr="005F055E">
        <w:rPr>
          <w:szCs w:val="18"/>
        </w:rPr>
        <w:t xml:space="preserve"> per 2025. Veldpartijen hebben aangegeven dat een zorgvuldige overheveling per 2025 een ongewenst hoge druk zou zetten op de (continuïteit van) zorgverlening aan de meest kwetsbare ouderen en mensen met een beperking. In het verlengde van het WOZO-programma is daarom met betrokken organisaties afgesproken om samen te onderzoeken hoe we voor mensen met een zeer complexe zorgvraag de behandeling vanuit de </w:t>
      </w:r>
      <w:proofErr w:type="spellStart"/>
      <w:r w:rsidRPr="005F055E">
        <w:rPr>
          <w:szCs w:val="18"/>
        </w:rPr>
        <w:t>Wlz</w:t>
      </w:r>
      <w:proofErr w:type="spellEnd"/>
      <w:r w:rsidRPr="005F055E">
        <w:rPr>
          <w:szCs w:val="18"/>
        </w:rPr>
        <w:t xml:space="preserve"> kunnen blijven bieden en deze dus </w:t>
      </w:r>
      <w:r w:rsidRPr="005F055E">
        <w:rPr>
          <w:i/>
          <w:iCs/>
          <w:szCs w:val="18"/>
        </w:rPr>
        <w:t>niet</w:t>
      </w:r>
      <w:r w:rsidRPr="005F055E">
        <w:rPr>
          <w:szCs w:val="18"/>
        </w:rPr>
        <w:t xml:space="preserve"> over te hevelen naar de </w:t>
      </w:r>
      <w:proofErr w:type="spellStart"/>
      <w:r w:rsidRPr="005F055E">
        <w:rPr>
          <w:szCs w:val="18"/>
        </w:rPr>
        <w:t>Zvw</w:t>
      </w:r>
      <w:proofErr w:type="spellEnd"/>
      <w:r w:rsidRPr="005F055E">
        <w:rPr>
          <w:rStyle w:val="Voetnootmarkering"/>
          <w:szCs w:val="18"/>
        </w:rPr>
        <w:footnoteReference w:id="184"/>
      </w:r>
      <w:r w:rsidRPr="005F055E">
        <w:rPr>
          <w:szCs w:val="18"/>
        </w:rPr>
        <w:t xml:space="preserve">. Harde voorwaarde bij deze afgesproken aanpassing van de maatregel was onder andere dat de taakstelling uit het coalitieakkoord van € 170 </w:t>
      </w:r>
      <w:r w:rsidRPr="005F055E" w:rsidR="000D3B9D">
        <w:rPr>
          <w:szCs w:val="18"/>
        </w:rPr>
        <w:t>miljoen</w:t>
      </w:r>
      <w:r w:rsidRPr="005F055E">
        <w:rPr>
          <w:szCs w:val="18"/>
        </w:rPr>
        <w:t xml:space="preserve"> structureel per 2025 binnen de </w:t>
      </w:r>
      <w:proofErr w:type="spellStart"/>
      <w:r w:rsidRPr="005F055E">
        <w:rPr>
          <w:szCs w:val="18"/>
        </w:rPr>
        <w:t>Wlz</w:t>
      </w:r>
      <w:proofErr w:type="spellEnd"/>
      <w:r w:rsidRPr="005F055E">
        <w:rPr>
          <w:szCs w:val="18"/>
        </w:rPr>
        <w:t xml:space="preserve"> wordt gerealiseerd (via aanpassing van prestatie- en tariefregulering door de </w:t>
      </w:r>
      <w:proofErr w:type="spellStart"/>
      <w:r w:rsidRPr="005F055E">
        <w:rPr>
          <w:szCs w:val="18"/>
        </w:rPr>
        <w:t>NZa</w:t>
      </w:r>
      <w:proofErr w:type="spellEnd"/>
      <w:r w:rsidRPr="005F055E">
        <w:rPr>
          <w:szCs w:val="18"/>
        </w:rPr>
        <w:t xml:space="preserve">). </w:t>
      </w:r>
    </w:p>
    <w:p w:rsidRPr="005F055E" w:rsidR="00FF3DFA" w:rsidP="00180EEB" w:rsidRDefault="00FF3DFA" w14:paraId="7CD8BB26" w14:textId="77777777">
      <w:pPr>
        <w:suppressAutoHyphens/>
        <w:rPr>
          <w:szCs w:val="18"/>
        </w:rPr>
      </w:pPr>
      <w:r w:rsidRPr="005F055E">
        <w:rPr>
          <w:szCs w:val="18"/>
        </w:rPr>
        <w:t>Zoals uiteengezet in de brief over deze tariefmaatregel van de toenmalige minister van Volksgezondheid, Welzijn en Sport</w:t>
      </w:r>
      <w:r w:rsidRPr="005F055E">
        <w:rPr>
          <w:rStyle w:val="Voetnootmarkering"/>
          <w:szCs w:val="18"/>
        </w:rPr>
        <w:footnoteReference w:id="185"/>
      </w:r>
      <w:r w:rsidRPr="005F055E">
        <w:rPr>
          <w:szCs w:val="18"/>
        </w:rPr>
        <w:t xml:space="preserve"> is de vergoeding voor algemene behandeling voor vergelijkbare cliënten totaal € 0,5 miljard duurder via het </w:t>
      </w:r>
      <w:proofErr w:type="spellStart"/>
      <w:r w:rsidRPr="005F055E">
        <w:rPr>
          <w:szCs w:val="18"/>
        </w:rPr>
        <w:t>Wlz</w:t>
      </w:r>
      <w:proofErr w:type="spellEnd"/>
      <w:r w:rsidRPr="005F055E">
        <w:rPr>
          <w:szCs w:val="18"/>
        </w:rPr>
        <w:t xml:space="preserve">-model ten opzichte van het </w:t>
      </w:r>
      <w:proofErr w:type="spellStart"/>
      <w:r w:rsidRPr="005F055E">
        <w:rPr>
          <w:szCs w:val="18"/>
        </w:rPr>
        <w:t>Zvw</w:t>
      </w:r>
      <w:proofErr w:type="spellEnd"/>
      <w:r w:rsidRPr="005F055E">
        <w:rPr>
          <w:szCs w:val="18"/>
        </w:rPr>
        <w:t xml:space="preserve">-model. Op basis van de vergelijking van de kosten van het </w:t>
      </w:r>
      <w:proofErr w:type="spellStart"/>
      <w:r w:rsidRPr="005F055E">
        <w:rPr>
          <w:szCs w:val="18"/>
        </w:rPr>
        <w:t>Wlz</w:t>
      </w:r>
      <w:proofErr w:type="spellEnd"/>
      <w:r w:rsidRPr="005F055E">
        <w:rPr>
          <w:szCs w:val="18"/>
        </w:rPr>
        <w:t xml:space="preserve">-model ten opzichte van het «goedkopere» </w:t>
      </w:r>
      <w:proofErr w:type="spellStart"/>
      <w:r w:rsidRPr="005F055E">
        <w:rPr>
          <w:szCs w:val="18"/>
        </w:rPr>
        <w:t>Zvw</w:t>
      </w:r>
      <w:proofErr w:type="spellEnd"/>
      <w:r w:rsidRPr="005F055E">
        <w:rPr>
          <w:szCs w:val="18"/>
        </w:rPr>
        <w:t xml:space="preserve">-model is het keverantwoord en haalbaar dat zorgaanbieders een doelmatigheidsslag binnen de </w:t>
      </w:r>
      <w:proofErr w:type="spellStart"/>
      <w:r w:rsidRPr="005F055E">
        <w:rPr>
          <w:szCs w:val="18"/>
        </w:rPr>
        <w:t>Wlz</w:t>
      </w:r>
      <w:proofErr w:type="spellEnd"/>
      <w:r w:rsidRPr="005F055E">
        <w:rPr>
          <w:szCs w:val="18"/>
        </w:rPr>
        <w:t xml:space="preserve"> kunnen maken. Het aandeel van de gehandicaptenzorg hierin bedraagt € 88 miljoen. De tariefmaatregel die samenhangt met deze afspraken is door het controversieel verklaren in 2026 voor de gehandicaptensector niet uitgevoerd. Voor 2027 e.v. is de maatregel onderdeel van de begroting. Ten opzichte van de uitgaven aan gehandicaptenzorg in natura in 2027 gaat het om een relatief beperkte bijstelling van 0,7 procent.</w:t>
      </w:r>
    </w:p>
    <w:p w:rsidRPr="005F055E" w:rsidR="009B2DB4" w:rsidP="00180EEB" w:rsidRDefault="00FF3DFA" w14:paraId="4BAE5F66" w14:textId="0A56C8BB">
      <w:pPr>
        <w:suppressAutoHyphens/>
        <w:rPr>
          <w:szCs w:val="18"/>
        </w:rPr>
      </w:pPr>
      <w:r w:rsidRPr="005F055E">
        <w:rPr>
          <w:szCs w:val="18"/>
        </w:rPr>
        <w:t>Daarbij plaats ik deze cijfers ook graag in een breder perspectief. Uit recente cijfers van het CBS</w:t>
      </w:r>
      <w:r w:rsidRPr="005F055E">
        <w:rPr>
          <w:rStyle w:val="Voetnootmarkering"/>
          <w:szCs w:val="18"/>
        </w:rPr>
        <w:footnoteReference w:id="186"/>
      </w:r>
      <w:r w:rsidRPr="005F055E">
        <w:rPr>
          <w:szCs w:val="18"/>
        </w:rPr>
        <w:t xml:space="preserve"> blijkt dat de gehandicaptenzorg over het jaar 2024 een gezond resultaat heeft behaald van gemiddeld 2,5 procent. Daarmee heeft de gehandicaptenzorg zich hersteld van de financieel zwaardere jaren 2022 (1,2 procent positief) en 2023 (0,9 procent positief). Ook het weerstandsvermogen (30,5 procent) en de solvabiliteit (46,4 procent) liggen op een relatief hoog niveau en zijn hoger dan gemiddeld in de langdurige zorg. De financiële kengetallen over 2024 liggen daarmee boven de normen die banken stellen om te investeren in de sector. </w:t>
      </w:r>
      <w:r w:rsidRPr="005F055E" w:rsidR="0069427F">
        <w:rPr>
          <w:szCs w:val="18"/>
        </w:rPr>
        <w:t>Ook in</w:t>
      </w:r>
      <w:r w:rsidRPr="005F055E">
        <w:rPr>
          <w:szCs w:val="18"/>
        </w:rPr>
        <w:t xml:space="preserve"> het licht van de extra middelen die vanaf 2026 structureel beschikbaar zijn ten opzichte van 2024</w:t>
      </w:r>
      <w:r w:rsidRPr="005F055E" w:rsidR="00D73F76">
        <w:rPr>
          <w:szCs w:val="18"/>
        </w:rPr>
        <w:t xml:space="preserve"> </w:t>
      </w:r>
      <w:r w:rsidRPr="005F055E" w:rsidR="0069427F">
        <w:rPr>
          <w:szCs w:val="18"/>
        </w:rPr>
        <w:t>zijn er</w:t>
      </w:r>
      <w:r w:rsidRPr="005F055E" w:rsidR="00D73F76">
        <w:rPr>
          <w:szCs w:val="18"/>
        </w:rPr>
        <w:t xml:space="preserve"> </w:t>
      </w:r>
      <w:r w:rsidRPr="005F055E">
        <w:rPr>
          <w:szCs w:val="18"/>
        </w:rPr>
        <w:t xml:space="preserve">mogelijkheden </w:t>
      </w:r>
      <w:r w:rsidRPr="005F055E" w:rsidR="007468AB">
        <w:rPr>
          <w:szCs w:val="18"/>
        </w:rPr>
        <w:t xml:space="preserve">in </w:t>
      </w:r>
      <w:r w:rsidRPr="005F055E">
        <w:rPr>
          <w:szCs w:val="18"/>
        </w:rPr>
        <w:t>de sector om deze taakstelling vanaf 2027 op te vangen.</w:t>
      </w:r>
    </w:p>
    <w:p w:rsidRPr="005F055E" w:rsidR="00E21125" w:rsidP="00180EEB" w:rsidRDefault="00E21125" w14:paraId="2DBDB39D" w14:textId="77777777">
      <w:pPr>
        <w:suppressAutoHyphens/>
      </w:pPr>
    </w:p>
    <w:p w:rsidRPr="005F055E" w:rsidR="009B2DB4" w:rsidP="00180EEB" w:rsidRDefault="003E7003" w14:paraId="5612F165" w14:textId="77777777">
      <w:pPr>
        <w:suppressAutoHyphens/>
      </w:pPr>
      <w:r w:rsidRPr="005F055E">
        <w:t>Vraag 486</w:t>
      </w:r>
    </w:p>
    <w:p w:rsidRPr="005F055E" w:rsidR="009B2DB4" w:rsidP="00180EEB" w:rsidRDefault="003E7003" w14:paraId="5DC99013" w14:textId="77777777">
      <w:pPr>
        <w:suppressAutoHyphens/>
      </w:pPr>
      <w:r w:rsidRPr="005F055E">
        <w:t xml:space="preserve">Kunt u onderbouwen waarom de ‘maatregel meerjarig contracteren’ voor de gehandicaptenzorg en geestelijke gezondheidszorg €65 miljoen op kan leveren vanaf 2027? Klopt het dat er de afgelopen jaren vaak al meerjarige contracten zijn gesloten? Klopt het dat eventuele besparingen, als die zich al voordoen door dit meerjarig contracteren, dus ook al mee zijn genomen in de recente kostprijsonderzoeken door de </w:t>
      </w:r>
      <w:proofErr w:type="spellStart"/>
      <w:r w:rsidRPr="005F055E">
        <w:t>NZa</w:t>
      </w:r>
      <w:proofErr w:type="spellEnd"/>
      <w:r w:rsidRPr="005F055E">
        <w:t>? Klopt het dat als de effecten van meerjarig contracteren (deels of geheel) ook al mee zijn genomen in de kostprijsonderzoeken en de daaruit voortvloeiende nieuwe tarieven, de ingeplande bezuiniging in 2027 ten koste gaat van de zorg en het tarief weer onder de kostprijs doet belanden?</w:t>
      </w:r>
    </w:p>
    <w:p w:rsidRPr="005F055E" w:rsidR="003E7003" w:rsidP="00180EEB" w:rsidRDefault="003E7003" w14:paraId="20DB15C6" w14:textId="7B5A99C2">
      <w:pPr>
        <w:suppressAutoHyphens/>
      </w:pPr>
      <w:r w:rsidRPr="005F055E">
        <w:t>Antwoord</w:t>
      </w:r>
    </w:p>
    <w:p w:rsidRPr="005F055E" w:rsidR="00B63234" w:rsidP="00180EEB" w:rsidRDefault="00B63234" w14:paraId="181EB870" w14:textId="29138599">
      <w:pPr>
        <w:suppressAutoHyphens/>
        <w:rPr>
          <w:rFonts w:cs="Calibri"/>
          <w:color w:val="000000"/>
          <w:szCs w:val="18"/>
        </w:rPr>
      </w:pPr>
      <w:r w:rsidRPr="005F055E">
        <w:rPr>
          <w:szCs w:val="18"/>
        </w:rPr>
        <w:t>De maatregel meerjarig contracteren is becijferd in Zorgkeuzes in Kaart en gevalideerd door het Centraal Planbureau</w:t>
      </w:r>
      <w:r w:rsidRPr="005F055E">
        <w:rPr>
          <w:rStyle w:val="Voetnootmarkering"/>
          <w:szCs w:val="18"/>
        </w:rPr>
        <w:footnoteReference w:id="187"/>
      </w:r>
      <w:r w:rsidRPr="005F055E">
        <w:rPr>
          <w:szCs w:val="18"/>
        </w:rPr>
        <w:t>. Het idee is dat meerjarig contracteren met budgetafspraken, gecombineerd met een meerjarige contracteerruimte, zorgaanbieders meer financiële zekerheid biedt en daarmee de ruimte om hun zorg anders te organiseren tegen lagere kosten.</w:t>
      </w:r>
      <w:r w:rsidRPr="005F055E" w:rsidR="0069427F">
        <w:rPr>
          <w:szCs w:val="18"/>
        </w:rPr>
        <w:t xml:space="preserve"> In de definitieve kaderbrief </w:t>
      </w:r>
      <w:proofErr w:type="spellStart"/>
      <w:r w:rsidRPr="005F055E" w:rsidR="0069427F">
        <w:rPr>
          <w:szCs w:val="18"/>
        </w:rPr>
        <w:t>Wlz</w:t>
      </w:r>
      <w:proofErr w:type="spellEnd"/>
      <w:r w:rsidRPr="005F055E" w:rsidR="0069427F">
        <w:rPr>
          <w:szCs w:val="18"/>
        </w:rPr>
        <w:t xml:space="preserve"> 2026 is </w:t>
      </w:r>
      <w:r w:rsidRPr="005F055E">
        <w:rPr>
          <w:szCs w:val="18"/>
        </w:rPr>
        <w:t xml:space="preserve">een indicatief meerjarig </w:t>
      </w:r>
      <w:proofErr w:type="spellStart"/>
      <w:r w:rsidRPr="005F055E">
        <w:rPr>
          <w:szCs w:val="18"/>
        </w:rPr>
        <w:t>Wlz</w:t>
      </w:r>
      <w:proofErr w:type="spellEnd"/>
      <w:r w:rsidRPr="005F055E">
        <w:rPr>
          <w:szCs w:val="18"/>
        </w:rPr>
        <w:t xml:space="preserve">-kader </w:t>
      </w:r>
      <w:r w:rsidRPr="005F055E" w:rsidR="0069427F">
        <w:rPr>
          <w:szCs w:val="18"/>
        </w:rPr>
        <w:t>voor de periode 2027-2030 opgenomen.</w:t>
      </w:r>
      <w:r w:rsidRPr="005F055E">
        <w:rPr>
          <w:szCs w:val="18"/>
        </w:rPr>
        <w:t xml:space="preserve"> Daarmee kunnen </w:t>
      </w:r>
      <w:r w:rsidRPr="005F055E">
        <w:rPr>
          <w:rFonts w:cs="Calibri"/>
          <w:color w:val="000000"/>
          <w:szCs w:val="18"/>
        </w:rPr>
        <w:t xml:space="preserve">meerjarige contracten met budgetafspraken een middel voor zorgkantoren en zorgaanbieders zijn om langere termijnafspraken te maken over de ontwikkeling van de zorgvraag. Meerjarige contracten geven financiële zekerheid om te investeren in kwaliteit en toegankelijkheid en om personeel te binden. </w:t>
      </w:r>
    </w:p>
    <w:p w:rsidRPr="005F055E" w:rsidR="00B63234" w:rsidP="00180EEB" w:rsidRDefault="00B63234" w14:paraId="3AFF62BE" w14:textId="2750C544">
      <w:pPr>
        <w:suppressAutoHyphens/>
        <w:rPr>
          <w:szCs w:val="18"/>
        </w:rPr>
      </w:pPr>
      <w:r w:rsidRPr="005F055E">
        <w:rPr>
          <w:rFonts w:cs="Calibri"/>
          <w:color w:val="000000"/>
          <w:szCs w:val="18"/>
        </w:rPr>
        <w:t xml:space="preserve">Minder onzekerheid over de omvang van het meerjarige budget kan er bijvoorbeeld toe leiden dat vast personeel wordt aangetrokken in plaats van (duurdere) externe krachten. Ook kan meerjarige zekerheid ertoe leiden dat instellingen goedkoper kunnen lenen en banken eerder bereid zijn om geld te verstrekken. Tot slot leiden meerjarige contracten tot lagere administratieve lasten. De corresponderende </w:t>
      </w:r>
      <w:r w:rsidRPr="005F055E" w:rsidR="0069427F">
        <w:rPr>
          <w:rFonts w:cs="Calibri"/>
          <w:color w:val="000000"/>
          <w:szCs w:val="18"/>
        </w:rPr>
        <w:t xml:space="preserve">maatregel is genomen door het kabinet-Rutte IV en op basis van het Hoofdlijnenakkoord </w:t>
      </w:r>
      <w:r w:rsidRPr="005F055E">
        <w:rPr>
          <w:rFonts w:cs="Calibri"/>
          <w:color w:val="000000"/>
          <w:szCs w:val="18"/>
        </w:rPr>
        <w:t>in de begroting blijven staan</w:t>
      </w:r>
      <w:r w:rsidRPr="005F055E" w:rsidR="0069427F">
        <w:rPr>
          <w:rFonts w:cs="Calibri"/>
          <w:color w:val="000000"/>
          <w:szCs w:val="18"/>
        </w:rPr>
        <w:t>.</w:t>
      </w:r>
      <w:r w:rsidRPr="005F055E">
        <w:rPr>
          <w:rFonts w:cs="Calibri"/>
          <w:color w:val="000000"/>
          <w:szCs w:val="18"/>
        </w:rPr>
        <w:t xml:space="preserve"> </w:t>
      </w:r>
    </w:p>
    <w:p w:rsidRPr="00D544B0" w:rsidR="009B2DB4" w:rsidP="00180EEB" w:rsidRDefault="00B63234" w14:paraId="2A225EEF" w14:textId="53BA0D8B">
      <w:pPr>
        <w:suppressAutoHyphens/>
        <w:rPr>
          <w:szCs w:val="18"/>
        </w:rPr>
      </w:pPr>
      <w:r w:rsidRPr="005F055E">
        <w:rPr>
          <w:szCs w:val="18"/>
        </w:rPr>
        <w:t xml:space="preserve">Het afsluiten van meerjarige contracten komt binnen de </w:t>
      </w:r>
      <w:proofErr w:type="spellStart"/>
      <w:r w:rsidRPr="005F055E">
        <w:rPr>
          <w:szCs w:val="18"/>
        </w:rPr>
        <w:t>Wlz</w:t>
      </w:r>
      <w:proofErr w:type="spellEnd"/>
      <w:r w:rsidRPr="005F055E">
        <w:rPr>
          <w:szCs w:val="18"/>
        </w:rPr>
        <w:t xml:space="preserve"> nog beperkt voor. Het maken van budgetafspraken wordt daarbij bemoeilijk door het ontbreken van meerjarige transparantie en zekerheid over de contracteerruimte. Het besparingspotentieel van meerjarige afspraken met budgetafspraken wordt hierdoor nog niet benut</w:t>
      </w:r>
      <w:r w:rsidRPr="005F055E" w:rsidR="00501B46">
        <w:rPr>
          <w:szCs w:val="18"/>
        </w:rPr>
        <w:t xml:space="preserve">. </w:t>
      </w:r>
      <w:r w:rsidRPr="005F055E" w:rsidR="0069427F">
        <w:rPr>
          <w:szCs w:val="18"/>
        </w:rPr>
        <w:t xml:space="preserve">Zoals hiervoor aangegeven, biedt de definitieve kaderbrief </w:t>
      </w:r>
      <w:proofErr w:type="spellStart"/>
      <w:r w:rsidRPr="005F055E" w:rsidR="0069427F">
        <w:rPr>
          <w:szCs w:val="18"/>
        </w:rPr>
        <w:t>Wlz</w:t>
      </w:r>
      <w:proofErr w:type="spellEnd"/>
      <w:r w:rsidRPr="005F055E" w:rsidR="0069427F">
        <w:rPr>
          <w:szCs w:val="18"/>
        </w:rPr>
        <w:t xml:space="preserve"> 2026 een meerjarige doorkijk voor de periode 2027-2030</w:t>
      </w:r>
      <w:r w:rsidRPr="005F055E" w:rsidR="0069427F">
        <w:rPr>
          <w:rStyle w:val="Voetnootmarkering"/>
          <w:szCs w:val="18"/>
        </w:rPr>
        <w:footnoteReference w:id="188"/>
      </w:r>
      <w:r w:rsidRPr="005F055E" w:rsidR="0069427F">
        <w:rPr>
          <w:szCs w:val="18"/>
        </w:rPr>
        <w:t>. Er is ook geen sprake van dat de effecten van meerjarig contracteren zijn meegenomen in de tarieven voor 2026. Deze zijn gebaseerd op</w:t>
      </w:r>
      <w:r w:rsidRPr="005F055E">
        <w:rPr>
          <w:szCs w:val="18"/>
        </w:rPr>
        <w:t xml:space="preserve"> recente kostprijsonderzoeken van de </w:t>
      </w:r>
      <w:proofErr w:type="spellStart"/>
      <w:r w:rsidRPr="005F055E">
        <w:rPr>
          <w:szCs w:val="18"/>
        </w:rPr>
        <w:t>NZa</w:t>
      </w:r>
      <w:proofErr w:type="spellEnd"/>
      <w:r w:rsidRPr="005F055E" w:rsidR="00501B46">
        <w:rPr>
          <w:szCs w:val="18"/>
        </w:rPr>
        <w:t>, die zijn uitgevoerd op basis van gegevens over het jaar 2022</w:t>
      </w:r>
      <w:r w:rsidRPr="005F055E">
        <w:rPr>
          <w:szCs w:val="18"/>
        </w:rPr>
        <w:t xml:space="preserve">. </w:t>
      </w:r>
    </w:p>
    <w:p w:rsidRPr="005F055E" w:rsidR="002B7541" w:rsidP="00180EEB" w:rsidRDefault="002B7541" w14:paraId="3354CF97" w14:textId="77777777">
      <w:pPr>
        <w:suppressAutoHyphens/>
      </w:pPr>
    </w:p>
    <w:p w:rsidRPr="005F055E" w:rsidR="009B2DB4" w:rsidP="00180EEB" w:rsidRDefault="003E7003" w14:paraId="589FA590" w14:textId="77777777">
      <w:pPr>
        <w:suppressAutoHyphens/>
      </w:pPr>
      <w:r w:rsidRPr="005F055E">
        <w:t>Vraag 487</w:t>
      </w:r>
    </w:p>
    <w:p w:rsidRPr="005F055E" w:rsidR="009B2DB4" w:rsidP="00180EEB" w:rsidRDefault="003E7003" w14:paraId="1EEFD9E7" w14:textId="77777777">
      <w:pPr>
        <w:suppressAutoHyphens/>
      </w:pPr>
      <w:r w:rsidRPr="005F055E">
        <w:t xml:space="preserve">Kunt u de logica uitleggen achter het enerzijds verhogen van de tarieven voor de gehandicaptenzorg en geestelijke gezondheidszorg met €152 miljoen op basis van kostenonderzoek door de </w:t>
      </w:r>
      <w:proofErr w:type="spellStart"/>
      <w:r w:rsidRPr="005F055E">
        <w:t>NZa</w:t>
      </w:r>
      <w:proofErr w:type="spellEnd"/>
      <w:r w:rsidRPr="005F055E">
        <w:t>, en het tegelijkertijd vasthouden aan bezuinigingen vanaf 2027, die deze verhoging weer volledig teniet doen? Hoe ziet het meerjarig financieel perspectief voor de verschillende deelsectoren binnen de langdurige zorg er precies uit, rekening houdend met alle stijgingen en dalingen?</w:t>
      </w:r>
      <w:r w:rsidRPr="005F055E">
        <w:tab/>
      </w:r>
    </w:p>
    <w:p w:rsidRPr="005F055E" w:rsidR="003E7003" w:rsidP="00180EEB" w:rsidRDefault="003E7003" w14:paraId="0FDEFF49" w14:textId="7F9F5795">
      <w:pPr>
        <w:suppressAutoHyphens/>
      </w:pPr>
      <w:r w:rsidRPr="005F055E">
        <w:t>Antwoord</w:t>
      </w:r>
    </w:p>
    <w:p w:rsidRPr="005F055E" w:rsidR="007E7344" w:rsidP="00180EEB" w:rsidRDefault="007E7344" w14:paraId="74BA4C4A" w14:textId="59934F56">
      <w:pPr>
        <w:suppressAutoHyphens/>
        <w:spacing w:line="240" w:lineRule="atLeast"/>
        <w:rPr>
          <w:szCs w:val="18"/>
          <w:lang w:eastAsia="nl-NL"/>
        </w:rPr>
      </w:pPr>
      <w:r w:rsidRPr="005F055E">
        <w:rPr>
          <w:szCs w:val="18"/>
          <w:lang w:eastAsia="nl-NL"/>
        </w:rPr>
        <w:t xml:space="preserve">Ja. De systematiek in de </w:t>
      </w:r>
      <w:proofErr w:type="spellStart"/>
      <w:r w:rsidRPr="005F055E">
        <w:rPr>
          <w:szCs w:val="18"/>
          <w:lang w:eastAsia="nl-NL"/>
        </w:rPr>
        <w:t>Wlz</w:t>
      </w:r>
      <w:proofErr w:type="spellEnd"/>
      <w:r w:rsidRPr="005F055E">
        <w:rPr>
          <w:szCs w:val="18"/>
          <w:lang w:eastAsia="nl-NL"/>
        </w:rPr>
        <w:t xml:space="preserve"> is erop gericht dat de </w:t>
      </w:r>
      <w:proofErr w:type="spellStart"/>
      <w:r w:rsidRPr="005F055E">
        <w:rPr>
          <w:szCs w:val="18"/>
          <w:lang w:eastAsia="nl-NL"/>
        </w:rPr>
        <w:t>NZa</w:t>
      </w:r>
      <w:proofErr w:type="spellEnd"/>
      <w:r w:rsidRPr="005F055E">
        <w:rPr>
          <w:szCs w:val="18"/>
          <w:lang w:eastAsia="nl-NL"/>
        </w:rPr>
        <w:t xml:space="preserve"> tenminste redelijkerwijs kostendekkende tarieven vaststelt. De </w:t>
      </w:r>
      <w:proofErr w:type="spellStart"/>
      <w:r w:rsidRPr="005F055E">
        <w:rPr>
          <w:szCs w:val="18"/>
          <w:lang w:eastAsia="nl-NL"/>
        </w:rPr>
        <w:t>NZa</w:t>
      </w:r>
      <w:proofErr w:type="spellEnd"/>
      <w:r w:rsidRPr="005F055E">
        <w:rPr>
          <w:szCs w:val="18"/>
          <w:lang w:eastAsia="nl-NL"/>
        </w:rPr>
        <w:t xml:space="preserve"> heeft in haar recente kostenonderzoeken geconcludeerd dat haar maximumtarieven moesten worden aangepast. Dit heeft per 2026 geleid tot de genoemde verhoging van de tarieven voor de gehandicaptenzorg en langdurige </w:t>
      </w:r>
      <w:r w:rsidR="00D55762">
        <w:rPr>
          <w:szCs w:val="18"/>
          <w:lang w:eastAsia="nl-NL"/>
        </w:rPr>
        <w:t>GGZ</w:t>
      </w:r>
      <w:r w:rsidRPr="005F055E">
        <w:rPr>
          <w:szCs w:val="18"/>
          <w:lang w:eastAsia="nl-NL"/>
        </w:rPr>
        <w:t xml:space="preserve"> met €152 miljoen. Deze verhoging kwam bovenop een eerdere verhoging van de tarieven voor de gehandicaptenzorg met € 168 miljoen die reeds vanaf 2025 is doorgevoerd. De </w:t>
      </w:r>
      <w:proofErr w:type="spellStart"/>
      <w:r w:rsidRPr="005F055E">
        <w:rPr>
          <w:szCs w:val="18"/>
          <w:lang w:eastAsia="nl-NL"/>
        </w:rPr>
        <w:t>NZa</w:t>
      </w:r>
      <w:proofErr w:type="spellEnd"/>
      <w:r w:rsidRPr="005F055E">
        <w:rPr>
          <w:szCs w:val="18"/>
          <w:lang w:eastAsia="nl-NL"/>
        </w:rPr>
        <w:t xml:space="preserve"> heeft haar kostenonderzoeken uitgevoerd over het jaar 2022. Ten opzichte van de bedrijfsvoering in 2022 zijn er verbeteringen mogelijk in de bedrijfsvoering. De tariefmaatregelen op het terrein van </w:t>
      </w:r>
      <w:proofErr w:type="spellStart"/>
      <w:r w:rsidRPr="005F055E">
        <w:rPr>
          <w:szCs w:val="18"/>
          <w:lang w:eastAsia="nl-NL"/>
        </w:rPr>
        <w:t>Wlz</w:t>
      </w:r>
      <w:proofErr w:type="spellEnd"/>
      <w:r w:rsidRPr="005F055E">
        <w:rPr>
          <w:szCs w:val="18"/>
          <w:lang w:eastAsia="nl-NL"/>
        </w:rPr>
        <w:t>-behandeling, meerjarenafspraken en digitalisering zijn gericht op het vergroten van de doelmatigheid in de zorgverlening en daarmee het verlagen van de kosten van zorgaanbi</w:t>
      </w:r>
      <w:r w:rsidRPr="005F055E" w:rsidR="00C91C8A">
        <w:rPr>
          <w:szCs w:val="18"/>
          <w:lang w:eastAsia="nl-NL"/>
        </w:rPr>
        <w:t>e</w:t>
      </w:r>
      <w:r w:rsidRPr="005F055E">
        <w:rPr>
          <w:szCs w:val="18"/>
          <w:lang w:eastAsia="nl-NL"/>
        </w:rPr>
        <w:t xml:space="preserve">ders. Dat geeft de basis voor de tariefmaatregelen vanaf 2027. </w:t>
      </w:r>
    </w:p>
    <w:p w:rsidRPr="005F055E" w:rsidR="007E7344" w:rsidP="00180EEB" w:rsidRDefault="007E7344" w14:paraId="66B3D1BE" w14:textId="46C67AA2">
      <w:pPr>
        <w:suppressAutoHyphens/>
        <w:spacing w:line="240" w:lineRule="atLeast"/>
        <w:rPr>
          <w:szCs w:val="18"/>
          <w:lang w:eastAsia="nl-NL"/>
        </w:rPr>
      </w:pPr>
      <w:r w:rsidRPr="005F055E">
        <w:rPr>
          <w:szCs w:val="18"/>
          <w:lang w:eastAsia="nl-NL"/>
        </w:rPr>
        <w:t xml:space="preserve">Het meerjarig perspectief voor de verschillende sectoren binnen de langdurige zorg is opgenomen in onderstaande tabel. Het betreft hierbij bedragen in prijspeil 2025 en per sector het totaal aan uitgaven aan zorg in natura en persoonsgebonden budgetten (pgb). Hierbij is rekening gehouden met de groeiruimte vanaf 2026 op grond van de meest recente </w:t>
      </w:r>
      <w:proofErr w:type="spellStart"/>
      <w:r w:rsidRPr="005F055E">
        <w:rPr>
          <w:szCs w:val="18"/>
          <w:lang w:eastAsia="nl-NL"/>
        </w:rPr>
        <w:t>middellangetermijnraming</w:t>
      </w:r>
      <w:proofErr w:type="spellEnd"/>
      <w:r w:rsidRPr="005F055E">
        <w:rPr>
          <w:szCs w:val="18"/>
          <w:lang w:eastAsia="nl-NL"/>
        </w:rPr>
        <w:t xml:space="preserve"> (MLT) van het Centraal Planbureau. De jaarlijkse compensatie voor loon- en prijsontwikkelingen komt hier op grond van de gebruikelijke systematiek nog bovenop.</w:t>
      </w:r>
    </w:p>
    <w:p w:rsidRPr="005F055E" w:rsidR="007E7344" w:rsidP="00180EEB" w:rsidRDefault="007E7344" w14:paraId="72064E5B" w14:textId="0F58DDD8">
      <w:pPr>
        <w:suppressAutoHyphens/>
        <w:spacing w:line="240" w:lineRule="atLeast"/>
        <w:rPr>
          <w:szCs w:val="18"/>
          <w:lang w:eastAsia="nl-NL"/>
        </w:rPr>
      </w:pPr>
      <w:r w:rsidRPr="005F055E">
        <w:rPr>
          <w:szCs w:val="18"/>
          <w:lang w:eastAsia="nl-NL"/>
        </w:rPr>
        <w:t xml:space="preserve">Voor de ouderenzorg nemen de uitgaven -rekening houdend met alle stijgingen en dalingen- toe van afgerond € 20,7 miljard in 2025 tot € 23,8 miljard in 2030; de uitgaven gehandicaptenzorg stijgen in deze periode van € 14,1 miljard naar € </w:t>
      </w:r>
      <w:r w:rsidRPr="005F055E" w:rsidR="002F2AED">
        <w:rPr>
          <w:szCs w:val="18"/>
          <w:lang w:eastAsia="nl-NL"/>
        </w:rPr>
        <w:t>16,2</w:t>
      </w:r>
      <w:r w:rsidRPr="005F055E">
        <w:rPr>
          <w:szCs w:val="18"/>
          <w:lang w:eastAsia="nl-NL"/>
        </w:rPr>
        <w:t xml:space="preserve"> miljard en de uitgaven aan langdurige </w:t>
      </w:r>
      <w:r w:rsidR="00D55762">
        <w:rPr>
          <w:szCs w:val="18"/>
          <w:lang w:eastAsia="nl-NL"/>
        </w:rPr>
        <w:t>GGZ</w:t>
      </w:r>
      <w:r w:rsidRPr="005F055E">
        <w:rPr>
          <w:szCs w:val="18"/>
          <w:lang w:eastAsia="nl-NL"/>
        </w:rPr>
        <w:t xml:space="preserve"> van € 2,7 miljard naar € 3,1 miljard. </w:t>
      </w:r>
    </w:p>
    <w:p w:rsidRPr="005F055E" w:rsidR="007E7344" w:rsidP="00180EEB" w:rsidRDefault="002F2AED" w14:paraId="76F8E973" w14:textId="3ADEBB4F">
      <w:pPr>
        <w:suppressAutoHyphens/>
        <w:spacing w:line="240" w:lineRule="atLeast"/>
        <w:rPr>
          <w:szCs w:val="18"/>
          <w:lang w:eastAsia="nl-NL"/>
        </w:rPr>
      </w:pPr>
      <w:r w:rsidRPr="005F055E">
        <w:rPr>
          <w:noProof/>
        </w:rPr>
        <w:drawing>
          <wp:inline distT="0" distB="0" distL="0" distR="0" wp14:anchorId="529AA7C5" wp14:editId="2237B30D">
            <wp:extent cx="5732145" cy="650240"/>
            <wp:effectExtent l="0" t="0" r="1905" b="0"/>
            <wp:docPr id="13666615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32145" cy="650240"/>
                    </a:xfrm>
                    <a:prstGeom prst="rect">
                      <a:avLst/>
                    </a:prstGeom>
                    <a:noFill/>
                    <a:ln>
                      <a:noFill/>
                    </a:ln>
                  </pic:spPr>
                </pic:pic>
              </a:graphicData>
            </a:graphic>
          </wp:inline>
        </w:drawing>
      </w:r>
    </w:p>
    <w:p w:rsidRPr="005F055E" w:rsidR="009B2DB4" w:rsidP="00180EEB" w:rsidRDefault="009B2DB4" w14:paraId="4AACCAC1" w14:textId="77777777">
      <w:pPr>
        <w:suppressAutoHyphens/>
      </w:pPr>
    </w:p>
    <w:p w:rsidRPr="005F055E" w:rsidR="009B2DB4" w:rsidP="00180EEB" w:rsidRDefault="003E7003" w14:paraId="1A670AD3" w14:textId="77777777">
      <w:pPr>
        <w:suppressAutoHyphens/>
      </w:pPr>
      <w:r w:rsidRPr="005F055E">
        <w:t>Vraag 488</w:t>
      </w:r>
    </w:p>
    <w:p w:rsidRPr="005F055E" w:rsidR="009B2DB4" w:rsidP="00180EEB" w:rsidRDefault="003E7003" w14:paraId="67B3F3B3" w14:textId="1005C111">
      <w:pPr>
        <w:suppressAutoHyphens/>
      </w:pPr>
      <w:r w:rsidRPr="005F055E">
        <w:t xml:space="preserve">Zijn de tarieven voor de gehandicaptenzorg en </w:t>
      </w:r>
      <w:r w:rsidR="00D55762">
        <w:t>GGZ</w:t>
      </w:r>
      <w:r w:rsidRPr="005F055E">
        <w:t xml:space="preserve"> kostendekkend na de verhoging van de tarieven op basis van het kostenonderzoek van de </w:t>
      </w:r>
      <w:proofErr w:type="spellStart"/>
      <w:r w:rsidRPr="005F055E">
        <w:t>NZa</w:t>
      </w:r>
      <w:proofErr w:type="spellEnd"/>
      <w:r w:rsidRPr="005F055E">
        <w:t>?</w:t>
      </w:r>
    </w:p>
    <w:p w:rsidRPr="005F055E" w:rsidR="003E7003" w:rsidP="00180EEB" w:rsidRDefault="003E7003" w14:paraId="78F44964" w14:textId="7D98FEE1">
      <w:pPr>
        <w:suppressAutoHyphens/>
      </w:pPr>
      <w:r w:rsidRPr="005F055E">
        <w:t>Antwoord</w:t>
      </w:r>
    </w:p>
    <w:p w:rsidRPr="005F055E" w:rsidR="007E7344" w:rsidP="00180EEB" w:rsidRDefault="007E7344" w14:paraId="42608DE3" w14:textId="2B4B1EDF">
      <w:pPr>
        <w:suppressAutoHyphens/>
        <w:spacing w:line="240" w:lineRule="atLeast"/>
        <w:rPr>
          <w:szCs w:val="18"/>
          <w:lang w:eastAsia="nl-NL"/>
        </w:rPr>
      </w:pPr>
      <w:r w:rsidRPr="005F055E">
        <w:rPr>
          <w:szCs w:val="18"/>
          <w:lang w:eastAsia="nl-NL"/>
        </w:rPr>
        <w:t xml:space="preserve">Ja, de tarieven die de </w:t>
      </w:r>
      <w:proofErr w:type="spellStart"/>
      <w:r w:rsidRPr="005F055E">
        <w:rPr>
          <w:szCs w:val="18"/>
          <w:lang w:eastAsia="nl-NL"/>
        </w:rPr>
        <w:t>NZa</w:t>
      </w:r>
      <w:proofErr w:type="spellEnd"/>
      <w:r w:rsidRPr="005F055E">
        <w:rPr>
          <w:szCs w:val="18"/>
          <w:lang w:eastAsia="nl-NL"/>
        </w:rPr>
        <w:t xml:space="preserve"> op grond van het kostenonderzoek heeft vastgesteld voor de gehandicaptenzorg en langdurige </w:t>
      </w:r>
      <w:r w:rsidR="00D55762">
        <w:rPr>
          <w:szCs w:val="18"/>
          <w:lang w:eastAsia="nl-NL"/>
        </w:rPr>
        <w:t>GGZ</w:t>
      </w:r>
      <w:r w:rsidRPr="005F055E">
        <w:rPr>
          <w:szCs w:val="18"/>
          <w:lang w:eastAsia="nl-NL"/>
        </w:rPr>
        <w:t xml:space="preserve"> zijn tenminste redelijkerwijs kostendekkend.</w:t>
      </w:r>
    </w:p>
    <w:p w:rsidRPr="005F055E" w:rsidR="009B2DB4" w:rsidP="00180EEB" w:rsidRDefault="009B2DB4" w14:paraId="157E5CB1" w14:textId="77777777">
      <w:pPr>
        <w:suppressAutoHyphens/>
      </w:pPr>
    </w:p>
    <w:p w:rsidRPr="005F055E" w:rsidR="009B2DB4" w:rsidP="00180EEB" w:rsidRDefault="003E7003" w14:paraId="755B2117" w14:textId="77777777">
      <w:pPr>
        <w:suppressAutoHyphens/>
      </w:pPr>
      <w:r w:rsidRPr="005F055E">
        <w:t>Vraag 489</w:t>
      </w:r>
    </w:p>
    <w:p w:rsidRPr="005F055E" w:rsidR="002B7541" w:rsidP="00180EEB" w:rsidRDefault="003E7003" w14:paraId="3D4424B9" w14:textId="6F1AFE65">
      <w:pPr>
        <w:suppressAutoHyphens/>
      </w:pPr>
      <w:r w:rsidRPr="005F055E">
        <w:t xml:space="preserve">Welk richttariefpercentage hanteren de zorgkantoren voor 2026 voor de gehandicaptenzorg respectievelijk de </w:t>
      </w:r>
      <w:r w:rsidR="00D55762">
        <w:t>GGZ</w:t>
      </w:r>
      <w:r w:rsidRPr="005F055E">
        <w:t xml:space="preserve"> en hoeveel wijkt dat af van het richttariefpercentage in 2025?</w:t>
      </w:r>
    </w:p>
    <w:p w:rsidRPr="005F055E" w:rsidR="003E7003" w:rsidP="00180EEB" w:rsidRDefault="003E7003" w14:paraId="4EB0722B" w14:textId="57ACA97F">
      <w:pPr>
        <w:suppressAutoHyphens/>
      </w:pPr>
      <w:r w:rsidRPr="005F055E">
        <w:t>Antwoord</w:t>
      </w:r>
    </w:p>
    <w:p w:rsidRPr="005F055E" w:rsidR="009B2DB4" w:rsidP="00180EEB" w:rsidRDefault="007E7344" w14:paraId="56E91DAD" w14:textId="43D903E1">
      <w:pPr>
        <w:suppressAutoHyphens/>
        <w:spacing w:line="240" w:lineRule="atLeast"/>
        <w:rPr>
          <w:szCs w:val="18"/>
          <w:lang w:eastAsia="nl-NL"/>
        </w:rPr>
      </w:pPr>
      <w:r w:rsidRPr="005F055E">
        <w:rPr>
          <w:szCs w:val="18"/>
          <w:lang w:eastAsia="nl-NL"/>
        </w:rPr>
        <w:t xml:space="preserve">De zorgkantoren hanteren voor de gehandicaptenzorg in 2026 een richttariefpercentage van 96,6 procent. Dat wijkt 1,2 procent af van het richttariefpercentage in 2025 (97,8 procent). De zorgkantoren hanteren voor de langdurige </w:t>
      </w:r>
      <w:r w:rsidR="00D55762">
        <w:rPr>
          <w:szCs w:val="18"/>
          <w:lang w:eastAsia="nl-NL"/>
        </w:rPr>
        <w:t>GGZ</w:t>
      </w:r>
      <w:r w:rsidRPr="005F055E">
        <w:rPr>
          <w:szCs w:val="18"/>
          <w:lang w:eastAsia="nl-NL"/>
        </w:rPr>
        <w:t xml:space="preserve"> in 2026 een richttariefpercentage van 96,9 procent. Dat wijkt 0,2 procent af van het richttariefpercentage in 2025 (97,1 procent).</w:t>
      </w:r>
    </w:p>
    <w:p w:rsidRPr="005F055E" w:rsidR="007E7344" w:rsidP="00180EEB" w:rsidRDefault="007E7344" w14:paraId="49EE7869" w14:textId="77777777">
      <w:pPr>
        <w:suppressAutoHyphens/>
      </w:pPr>
    </w:p>
    <w:p w:rsidRPr="005F055E" w:rsidR="009B2DB4" w:rsidP="00180EEB" w:rsidRDefault="003E7003" w14:paraId="274AED72" w14:textId="77777777">
      <w:pPr>
        <w:suppressAutoHyphens/>
      </w:pPr>
      <w:r w:rsidRPr="005F055E">
        <w:t>Vraag 490</w:t>
      </w:r>
    </w:p>
    <w:p w:rsidRPr="005F055E" w:rsidR="009B2DB4" w:rsidP="00180EEB" w:rsidRDefault="003E7003" w14:paraId="27D6B4B9" w14:textId="4E0159F0">
      <w:pPr>
        <w:suppressAutoHyphens/>
      </w:pPr>
      <w:r w:rsidRPr="005F055E">
        <w:t xml:space="preserve">Welke bedragen krijgen de gehandicaptenzorg respectievelijk de </w:t>
      </w:r>
      <w:r w:rsidR="00D55762">
        <w:t>GGZ</w:t>
      </w:r>
      <w:r w:rsidRPr="005F055E">
        <w:t xml:space="preserve"> in 2026 minder door het toegepaste richttariefpercentage (zowel ten opzichte van 2025 als in totaal door toepassing van het richttariefpercentage)?</w:t>
      </w:r>
    </w:p>
    <w:p w:rsidRPr="005F055E" w:rsidR="007E7344" w:rsidP="00180EEB" w:rsidRDefault="003E7003" w14:paraId="37FD41A6" w14:textId="7FC929C6">
      <w:pPr>
        <w:suppressAutoHyphens/>
      </w:pPr>
      <w:r w:rsidRPr="005F055E">
        <w:t>Antwoord</w:t>
      </w:r>
    </w:p>
    <w:p w:rsidRPr="005F055E" w:rsidR="007E7344" w:rsidP="00180EEB" w:rsidRDefault="007E7344" w14:paraId="09CC4A7C" w14:textId="51E63079">
      <w:pPr>
        <w:suppressAutoHyphens/>
        <w:spacing w:line="240" w:lineRule="atLeast"/>
        <w:rPr>
          <w:szCs w:val="18"/>
          <w:lang w:eastAsia="nl-NL"/>
        </w:rPr>
      </w:pPr>
      <w:r w:rsidRPr="005F055E">
        <w:rPr>
          <w:szCs w:val="18"/>
          <w:lang w:eastAsia="nl-NL"/>
        </w:rPr>
        <w:t xml:space="preserve">De lagere richttariefpercentages voor de gehandicaptenzorg en de langdurige </w:t>
      </w:r>
      <w:r w:rsidR="00D55762">
        <w:rPr>
          <w:szCs w:val="18"/>
          <w:lang w:eastAsia="nl-NL"/>
        </w:rPr>
        <w:t>GGZ</w:t>
      </w:r>
      <w:r w:rsidRPr="005F055E">
        <w:rPr>
          <w:szCs w:val="18"/>
          <w:lang w:eastAsia="nl-NL"/>
        </w:rPr>
        <w:t xml:space="preserve"> in 2026 leiden er ten opzichte van 2025 </w:t>
      </w:r>
      <w:r w:rsidRPr="005F055E">
        <w:rPr>
          <w:i/>
          <w:iCs/>
          <w:szCs w:val="18"/>
          <w:lang w:eastAsia="nl-NL"/>
        </w:rPr>
        <w:t>niet</w:t>
      </w:r>
      <w:r w:rsidRPr="005F055E">
        <w:rPr>
          <w:szCs w:val="18"/>
          <w:lang w:eastAsia="nl-NL"/>
        </w:rPr>
        <w:t xml:space="preserve"> toe dat zorgaanbieders in deze sectoren een lager bedrag ontvangen voor de geleverde zorg. Tegenover de lagere richttariefpercentages staan namelijk grotere ‘plussen’ op grond van de kostprijsonderzoeken van de </w:t>
      </w:r>
      <w:proofErr w:type="spellStart"/>
      <w:r w:rsidRPr="005F055E">
        <w:rPr>
          <w:szCs w:val="18"/>
          <w:lang w:eastAsia="nl-NL"/>
        </w:rPr>
        <w:t>NZa</w:t>
      </w:r>
      <w:proofErr w:type="spellEnd"/>
      <w:r w:rsidRPr="005F055E">
        <w:rPr>
          <w:szCs w:val="18"/>
          <w:lang w:eastAsia="nl-NL"/>
        </w:rPr>
        <w:t xml:space="preserve"> (gehandicaptenzorg, geestelijke gezondheidszorg en normatieve huisvestingscomponent). Het saldo hiervan ten opzichte van 2025 is voor beide sectoren in 2026 positief. De gehandicaptenzorg ontvangt ook met het lagere richttarief per saldo € 145 miljoen hogere tarieven ten opzichte van 2025. De langdurige </w:t>
      </w:r>
      <w:r w:rsidR="00D55762">
        <w:rPr>
          <w:szCs w:val="18"/>
          <w:lang w:eastAsia="nl-NL"/>
        </w:rPr>
        <w:t>GGZ</w:t>
      </w:r>
      <w:r w:rsidRPr="005F055E">
        <w:rPr>
          <w:szCs w:val="18"/>
          <w:lang w:eastAsia="nl-NL"/>
        </w:rPr>
        <w:t xml:space="preserve"> ontvangt ook met het lagere richttarief per saldo € 65 miljoen extra ten opzichte van 2025.</w:t>
      </w:r>
    </w:p>
    <w:p w:rsidRPr="005F055E" w:rsidR="009B2DB4" w:rsidP="00180EEB" w:rsidRDefault="009B2DB4" w14:paraId="14887F5F" w14:textId="77777777">
      <w:pPr>
        <w:suppressAutoHyphens/>
      </w:pPr>
    </w:p>
    <w:p w:rsidRPr="005F055E" w:rsidR="009B2DB4" w:rsidP="00180EEB" w:rsidRDefault="003E7003" w14:paraId="3690044E" w14:textId="77777777">
      <w:pPr>
        <w:suppressAutoHyphens/>
      </w:pPr>
      <w:r w:rsidRPr="005F055E">
        <w:t>Vraag 491</w:t>
      </w:r>
    </w:p>
    <w:p w:rsidRPr="005F055E" w:rsidR="009B2DB4" w:rsidP="00180EEB" w:rsidRDefault="003E7003" w14:paraId="3D4FF838" w14:textId="77777777">
      <w:pPr>
        <w:suppressAutoHyphens/>
      </w:pPr>
      <w:r w:rsidRPr="005F055E">
        <w:t>Duiken de recent op basis van kostenonderzoek opnieuw vastgestelde tarieven door deze korting middels het richttariefpercentage onder de kostprijzen?</w:t>
      </w:r>
      <w:r w:rsidRPr="005F055E">
        <w:tab/>
      </w:r>
    </w:p>
    <w:p w:rsidRPr="005F055E" w:rsidR="003E7003" w:rsidP="00180EEB" w:rsidRDefault="003E7003" w14:paraId="6C269CCF" w14:textId="4E01FCE7">
      <w:pPr>
        <w:suppressAutoHyphens/>
      </w:pPr>
      <w:r w:rsidRPr="005F055E">
        <w:t>Antwoord</w:t>
      </w:r>
    </w:p>
    <w:p w:rsidRPr="005F055E" w:rsidR="007E7344" w:rsidP="00180EEB" w:rsidRDefault="007E7344" w14:paraId="3F140E4E" w14:textId="69BBE6C0">
      <w:pPr>
        <w:suppressAutoHyphens/>
        <w:spacing w:line="240" w:lineRule="atLeast"/>
        <w:rPr>
          <w:szCs w:val="18"/>
          <w:lang w:eastAsia="nl-NL"/>
        </w:rPr>
      </w:pPr>
      <w:r w:rsidRPr="005F055E">
        <w:rPr>
          <w:szCs w:val="18"/>
          <w:lang w:eastAsia="nl-NL"/>
        </w:rPr>
        <w:t xml:space="preserve">Nee. De tarieven die de </w:t>
      </w:r>
      <w:proofErr w:type="spellStart"/>
      <w:r w:rsidRPr="005F055E">
        <w:rPr>
          <w:szCs w:val="18"/>
          <w:lang w:eastAsia="nl-NL"/>
        </w:rPr>
        <w:t>NZa</w:t>
      </w:r>
      <w:proofErr w:type="spellEnd"/>
      <w:r w:rsidRPr="005F055E">
        <w:rPr>
          <w:szCs w:val="18"/>
          <w:lang w:eastAsia="nl-NL"/>
        </w:rPr>
        <w:t xml:space="preserve"> heeft vastgesteld zijn tenminste redelijkerwijs kostendekkend. De kortingspercentages van de zorgkantoren zijn afgestemd op een doelmatige zorginkoop waarbij 75 procent van de zorgaanbieders en 75 procent van de omzet met een positief resultaat wordt gerealiseerd. Hierbij worden ook de financieringsbaten en-lasten meegenomen. De berekeningssystematiek die de zorgkantoren hanteren voor de richttariefpercentages sluit aan bij een rechterlijke uitspraak uit 2024 over het bieden van reële prijzen aan zorgaanbieders die op een transparante wijze zijn onderbouwd.</w:t>
      </w:r>
      <w:r w:rsidRPr="005F055E" w:rsidR="00D73F76">
        <w:rPr>
          <w:szCs w:val="18"/>
          <w:lang w:eastAsia="nl-NL"/>
        </w:rPr>
        <w:t xml:space="preserve"> </w:t>
      </w:r>
    </w:p>
    <w:p w:rsidRPr="005F055E" w:rsidR="009B2DB4" w:rsidP="00180EEB" w:rsidRDefault="009B2DB4" w14:paraId="4DD00708" w14:textId="77777777">
      <w:pPr>
        <w:suppressAutoHyphens/>
      </w:pPr>
    </w:p>
    <w:p w:rsidRPr="005F055E" w:rsidR="009B2DB4" w:rsidP="00180EEB" w:rsidRDefault="003E7003" w14:paraId="2589A804" w14:textId="77777777">
      <w:pPr>
        <w:suppressAutoHyphens/>
      </w:pPr>
      <w:r w:rsidRPr="005F055E">
        <w:t>Vraag 492</w:t>
      </w:r>
    </w:p>
    <w:p w:rsidRPr="005F055E" w:rsidR="009B2DB4" w:rsidP="00180EEB" w:rsidRDefault="003E7003" w14:paraId="25189492" w14:textId="77777777">
      <w:pPr>
        <w:suppressAutoHyphens/>
      </w:pPr>
      <w:r w:rsidRPr="005F055E">
        <w:t xml:space="preserve">Hoe verhoudt het vanaf 2027 doorvoeren van de </w:t>
      </w:r>
      <w:proofErr w:type="spellStart"/>
      <w:r w:rsidRPr="005F055E">
        <w:t>Wlz</w:t>
      </w:r>
      <w:proofErr w:type="spellEnd"/>
      <w:r w:rsidRPr="005F055E">
        <w:t>-kortingen ‘maatregel behandeling’ en ‘maatregel meerjarenafspraken’ zich tot de recent op basis van actueel kostenonderzoek vastgestelde tarieven voor de gehandicaptenzorg? Komen de tarieven door deze kortingen onder de berekende kostprijs?</w:t>
      </w:r>
    </w:p>
    <w:p w:rsidRPr="005F055E" w:rsidR="003E7003" w:rsidP="00180EEB" w:rsidRDefault="003E7003" w14:paraId="205A9D79" w14:textId="5E3B5429">
      <w:pPr>
        <w:suppressAutoHyphens/>
      </w:pPr>
      <w:r w:rsidRPr="005F055E">
        <w:t>Antwoord</w:t>
      </w:r>
    </w:p>
    <w:p w:rsidRPr="005F055E" w:rsidR="007E7344" w:rsidP="00180EEB" w:rsidRDefault="007E7344" w14:paraId="08462179" w14:textId="77777777">
      <w:pPr>
        <w:suppressAutoHyphens/>
        <w:spacing w:line="240" w:lineRule="atLeast"/>
        <w:rPr>
          <w:szCs w:val="18"/>
          <w:lang w:eastAsia="nl-NL"/>
        </w:rPr>
      </w:pPr>
      <w:r w:rsidRPr="005F055E">
        <w:rPr>
          <w:szCs w:val="18"/>
          <w:lang w:eastAsia="nl-NL"/>
        </w:rPr>
        <w:t>De maatregelen op het terrein van ‘</w:t>
      </w:r>
      <w:proofErr w:type="spellStart"/>
      <w:r w:rsidRPr="005F055E">
        <w:rPr>
          <w:szCs w:val="18"/>
          <w:lang w:eastAsia="nl-NL"/>
        </w:rPr>
        <w:t>Wlz</w:t>
      </w:r>
      <w:proofErr w:type="spellEnd"/>
      <w:r w:rsidRPr="005F055E">
        <w:rPr>
          <w:szCs w:val="18"/>
          <w:lang w:eastAsia="nl-NL"/>
        </w:rPr>
        <w:t xml:space="preserve">-behandeling’ en ‘meerjarenafspraken’ zijn gericht op het vergroten van de doelmatigheid in de zorgverlening. </w:t>
      </w:r>
    </w:p>
    <w:p w:rsidRPr="005F055E" w:rsidR="007E7344" w:rsidP="00180EEB" w:rsidRDefault="007E7344" w14:paraId="057EDE0D" w14:textId="77777777">
      <w:pPr>
        <w:suppressAutoHyphens/>
        <w:spacing w:line="240" w:lineRule="atLeast"/>
        <w:rPr>
          <w:szCs w:val="18"/>
          <w:lang w:eastAsia="nl-NL"/>
        </w:rPr>
      </w:pPr>
      <w:r w:rsidRPr="005F055E">
        <w:rPr>
          <w:szCs w:val="18"/>
          <w:lang w:eastAsia="nl-NL"/>
        </w:rPr>
        <w:t>Het doorvoeren van deze kortingen vanaf 2027 betekent overigens niet dat de tarieven voor de gehandicaptenzorg per saldo dalen ten opzichte van 2024. Regel 10 van bijgaande tabel laat zien dat het saldo voor de gehandicaptenzorg – ook rekening houdend met de tariefmaatregelen- in de jaren 2027-2031 positief is. De extra middelen per 2031 bedragen nog steeds € 145 miljoen structureel. Dit zijn de bedragen exclusief groeiruimte en exclusief loon- en prijsbijstelling.</w:t>
      </w:r>
    </w:p>
    <w:p w:rsidRPr="005F055E" w:rsidR="007E7344" w:rsidP="00180EEB" w:rsidRDefault="007E7344" w14:paraId="6F1949F3" w14:textId="77777777">
      <w:pPr>
        <w:suppressAutoHyphens/>
        <w:spacing w:line="240" w:lineRule="atLeast"/>
        <w:rPr>
          <w:szCs w:val="18"/>
          <w:lang w:eastAsia="nl-NL"/>
        </w:rPr>
      </w:pPr>
    </w:p>
    <w:p w:rsidRPr="005F055E" w:rsidR="007E7344" w:rsidP="00180EEB" w:rsidRDefault="007E7344" w14:paraId="3836D614" w14:textId="77777777">
      <w:pPr>
        <w:suppressAutoHyphens/>
        <w:spacing w:line="240" w:lineRule="atLeast"/>
        <w:rPr>
          <w:szCs w:val="18"/>
          <w:lang w:eastAsia="nl-NL"/>
        </w:rPr>
      </w:pPr>
      <w:r w:rsidRPr="005F055E">
        <w:rPr>
          <w:noProof/>
        </w:rPr>
        <w:drawing>
          <wp:inline distT="0" distB="0" distL="0" distR="0" wp14:anchorId="22AACC44" wp14:editId="0D6B1D08">
            <wp:extent cx="4784090" cy="2034540"/>
            <wp:effectExtent l="0" t="0" r="0" b="3810"/>
            <wp:docPr id="9403591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359135" name="Picture 1"/>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bwMode="auto">
                    <a:xfrm>
                      <a:off x="0" y="0"/>
                      <a:ext cx="4784090" cy="2034540"/>
                    </a:xfrm>
                    <a:prstGeom prst="rect">
                      <a:avLst/>
                    </a:prstGeom>
                    <a:noFill/>
                    <a:ln>
                      <a:noFill/>
                    </a:ln>
                  </pic:spPr>
                </pic:pic>
              </a:graphicData>
            </a:graphic>
          </wp:inline>
        </w:drawing>
      </w:r>
    </w:p>
    <w:p w:rsidRPr="005F055E" w:rsidR="007E7344" w:rsidP="00180EEB" w:rsidRDefault="007E7344" w14:paraId="2ABF9F33" w14:textId="77777777">
      <w:pPr>
        <w:suppressAutoHyphens/>
        <w:spacing w:line="240" w:lineRule="atLeast"/>
        <w:rPr>
          <w:szCs w:val="18"/>
          <w:lang w:eastAsia="nl-NL"/>
        </w:rPr>
      </w:pPr>
    </w:p>
    <w:p w:rsidRPr="005F055E" w:rsidR="009B2DB4" w:rsidP="00180EEB" w:rsidRDefault="003E7003" w14:paraId="57B13988" w14:textId="37DDAE87">
      <w:pPr>
        <w:suppressAutoHyphens/>
      </w:pPr>
      <w:r w:rsidRPr="005F055E">
        <w:t>Vraag 493</w:t>
      </w:r>
    </w:p>
    <w:p w:rsidRPr="005F055E" w:rsidR="009B2DB4" w:rsidP="00180EEB" w:rsidRDefault="003E7003" w14:paraId="5E67315D" w14:textId="77777777">
      <w:pPr>
        <w:suppressAutoHyphens/>
      </w:pPr>
      <w:r w:rsidRPr="005F055E">
        <w:t>Welk beleid worden aanbieders van gehandicaptenzorg geacht te voeren om deze kortingen te realiseren, met andere woorden: wat moeten zij anders of niet meer doen?</w:t>
      </w:r>
    </w:p>
    <w:p w:rsidRPr="005F055E" w:rsidR="003E7003" w:rsidP="00180EEB" w:rsidRDefault="003E7003" w14:paraId="4F57F091" w14:textId="1BE940C9">
      <w:pPr>
        <w:suppressAutoHyphens/>
      </w:pPr>
      <w:r w:rsidRPr="005F055E">
        <w:t>Antwoord</w:t>
      </w:r>
    </w:p>
    <w:p w:rsidRPr="005F055E" w:rsidR="00B63234" w:rsidP="00180EEB" w:rsidRDefault="00B63234" w14:paraId="02B59230" w14:textId="7F4B7EDA">
      <w:pPr>
        <w:suppressAutoHyphens/>
        <w:rPr>
          <w:szCs w:val="18"/>
        </w:rPr>
      </w:pPr>
      <w:r w:rsidRPr="005F055E">
        <w:rPr>
          <w:szCs w:val="18"/>
        </w:rPr>
        <w:t>Het beleid in de gehandicaptenzorg is erop gericht om de zorg toegankelijk, betaalbaar en van goede kwaliteit te houden. Dat betekent dat zorgaanbieders hun bedrijfsvoering doelmatig moeten organiseren. Hiervoor zijn drie maatregelen van belang. De maatregelen meerjarig contracteren en behandeling zijn becijferd in Zorgkeuzes in Kaart en gevalideerd door het Centraal Planbureau.</w:t>
      </w:r>
      <w:r w:rsidRPr="005F055E">
        <w:rPr>
          <w:szCs w:val="18"/>
          <w:vertAlign w:val="superscript"/>
        </w:rPr>
        <w:footnoteReference w:id="189"/>
      </w:r>
      <w:r w:rsidRPr="005F055E">
        <w:rPr>
          <w:szCs w:val="18"/>
        </w:rPr>
        <w:t xml:space="preserve"> Hieronder wordt hetgeen daar is opgenomen nader toegelicht.</w:t>
      </w:r>
      <w:r w:rsidRPr="005F055E" w:rsidR="00D73F76">
        <w:rPr>
          <w:szCs w:val="18"/>
        </w:rPr>
        <w:t xml:space="preserve"> </w:t>
      </w:r>
    </w:p>
    <w:p w:rsidRPr="005F055E" w:rsidR="00B63234" w:rsidP="00180EEB" w:rsidRDefault="00B63234" w14:paraId="0AB5DC42" w14:textId="4FB2507C">
      <w:pPr>
        <w:suppressAutoHyphens/>
        <w:rPr>
          <w:szCs w:val="18"/>
        </w:rPr>
      </w:pPr>
      <w:r w:rsidRPr="005F055E">
        <w:rPr>
          <w:szCs w:val="18"/>
        </w:rPr>
        <w:t xml:space="preserve">De maatregel meerjarig contracteren met budgetafspraken, gecombineerd met een meerjarige contracteerruimte, biedt zorgaanbieders meer financiële zekerheid en daarmee de ruimte om hun zorg anders te organiseren tegen lagere kosten. Meerjarige contracten met budgetafspraken zijn een middel voor zorgkantoren en zorgaanbieders om langere termijnafspraken te maken over de ontwikkeling van de zorg. Meerjarige contracten geven financiële zekerheid om te investeren in kwaliteit en toegankelijkheid en om personeel te binden. </w:t>
      </w:r>
    </w:p>
    <w:p w:rsidRPr="005F055E" w:rsidR="00B63234" w:rsidP="00180EEB" w:rsidRDefault="00B63234" w14:paraId="2028FCD2" w14:textId="06C67B25">
      <w:pPr>
        <w:suppressAutoHyphens/>
        <w:rPr>
          <w:szCs w:val="18"/>
        </w:rPr>
      </w:pPr>
      <w:r w:rsidRPr="005F055E">
        <w:rPr>
          <w:szCs w:val="18"/>
        </w:rPr>
        <w:t>Minder onzekerheid over de omvang van het meerjarige budget kan er bijvoorbeeld toe leiden dat vast personeel wordt aangetrokken in plaats van (duurdere) externe krachten. Ook kan meerjarige zekerheid ertoe leiden dat instellingen goedkoper kunnen lenen en banken eerder bereid zijn om geld te verstrekken. Tot slot leiden meerjarige contracten tot lagere administratieve lasten.</w:t>
      </w:r>
    </w:p>
    <w:p w:rsidRPr="005F055E" w:rsidR="00B63234" w:rsidP="00180EEB" w:rsidRDefault="00B63234" w14:paraId="127501FA" w14:textId="055F14AC">
      <w:pPr>
        <w:suppressAutoHyphens/>
        <w:rPr>
          <w:szCs w:val="18"/>
        </w:rPr>
      </w:pPr>
      <w:r w:rsidRPr="005F055E">
        <w:rPr>
          <w:szCs w:val="18"/>
        </w:rPr>
        <w:t xml:space="preserve">Op het terrein van </w:t>
      </w:r>
      <w:proofErr w:type="spellStart"/>
      <w:r w:rsidRPr="005F055E">
        <w:rPr>
          <w:szCs w:val="18"/>
        </w:rPr>
        <w:t>Wlz</w:t>
      </w:r>
      <w:proofErr w:type="spellEnd"/>
      <w:r w:rsidRPr="005F055E">
        <w:rPr>
          <w:szCs w:val="18"/>
        </w:rPr>
        <w:t xml:space="preserve">-behandeling is verondersteld dat er mogelijkheden voor meer doelmatigheid zijn in de doorrekening. Vergeleken met de kosten van algemene behandeling van </w:t>
      </w:r>
      <w:proofErr w:type="spellStart"/>
      <w:r w:rsidRPr="005F055E">
        <w:rPr>
          <w:szCs w:val="18"/>
        </w:rPr>
        <w:t>Wlz</w:t>
      </w:r>
      <w:proofErr w:type="spellEnd"/>
      <w:r w:rsidRPr="005F055E">
        <w:rPr>
          <w:szCs w:val="18"/>
        </w:rPr>
        <w:t xml:space="preserve">-cliënten via de </w:t>
      </w:r>
      <w:proofErr w:type="spellStart"/>
      <w:r w:rsidRPr="005F055E">
        <w:rPr>
          <w:szCs w:val="18"/>
        </w:rPr>
        <w:t>Zvw</w:t>
      </w:r>
      <w:proofErr w:type="spellEnd"/>
      <w:r w:rsidRPr="005F055E">
        <w:rPr>
          <w:szCs w:val="18"/>
        </w:rPr>
        <w:t xml:space="preserve"> liggen de kosten in de </w:t>
      </w:r>
      <w:proofErr w:type="spellStart"/>
      <w:r w:rsidRPr="005F055E">
        <w:rPr>
          <w:szCs w:val="18"/>
        </w:rPr>
        <w:t>Wlz</w:t>
      </w:r>
      <w:proofErr w:type="spellEnd"/>
      <w:r w:rsidRPr="005F055E">
        <w:rPr>
          <w:szCs w:val="18"/>
        </w:rPr>
        <w:t xml:space="preserve"> namelijk € 0,5 miljard hoger. Door de inzet van passende behandeling kunnen zorgaanbieders een deel daarvan besparen op de inzet van zorgpersoneel, hetgeen van groot belang is in het licht van de krappe arbeidsmarkt en het betaalbaar houden van de zorg. Over deze maatregel zijn met de sector specifieke alternatieve afspraken gemaakt. De korting is in de gehandicaptenzorg voor 2027 en verder nog in de begroting opgenomen.</w:t>
      </w:r>
      <w:r w:rsidRPr="005F055E" w:rsidR="00D73F76">
        <w:rPr>
          <w:szCs w:val="18"/>
        </w:rPr>
        <w:t xml:space="preserve">  </w:t>
      </w:r>
    </w:p>
    <w:p w:rsidRPr="005F055E" w:rsidR="00B63234" w:rsidP="00180EEB" w:rsidRDefault="00B63234" w14:paraId="608ED9DE" w14:textId="646DD8C8">
      <w:pPr>
        <w:suppressAutoHyphens/>
        <w:rPr>
          <w:szCs w:val="18"/>
        </w:rPr>
      </w:pPr>
      <w:r w:rsidRPr="005F055E">
        <w:rPr>
          <w:szCs w:val="18"/>
        </w:rPr>
        <w:t xml:space="preserve">De maatregel opschaling digitale zorg tot slot is erop gericht om </w:t>
      </w:r>
      <w:proofErr w:type="spellStart"/>
      <w:r w:rsidRPr="005F055E">
        <w:rPr>
          <w:szCs w:val="18"/>
        </w:rPr>
        <w:t>bedrijfsvoeringsprocessen</w:t>
      </w:r>
      <w:proofErr w:type="spellEnd"/>
      <w:r w:rsidRPr="005F055E">
        <w:rPr>
          <w:szCs w:val="18"/>
        </w:rPr>
        <w:t xml:space="preserve"> efficiënter in te richten. Ook deze maatregel via onder meer lagere administratieve lasten leiden tot besparingen op de inzet van (zorg)personeel. Tijdens de transitiefase van deze maatregelen zijn er extra middelen beschikbaar om de zorgaanbieders te ondersteunen. </w:t>
      </w:r>
    </w:p>
    <w:p w:rsidRPr="005F055E" w:rsidR="00CF1801" w:rsidP="00180EEB" w:rsidRDefault="00CF1801" w14:paraId="72DDD834" w14:textId="77777777">
      <w:pPr>
        <w:suppressAutoHyphens/>
      </w:pPr>
    </w:p>
    <w:p w:rsidRPr="005F055E" w:rsidR="009B2DB4" w:rsidP="00180EEB" w:rsidRDefault="003E7003" w14:paraId="4AD42F24" w14:textId="341DB60D">
      <w:pPr>
        <w:suppressAutoHyphens/>
      </w:pPr>
      <w:r w:rsidRPr="005F055E">
        <w:t>Vraag 494</w:t>
      </w:r>
    </w:p>
    <w:p w:rsidRPr="005F055E" w:rsidR="009B2DB4" w:rsidP="00180EEB" w:rsidRDefault="003E7003" w14:paraId="4683AC75" w14:textId="77777777">
      <w:pPr>
        <w:suppressAutoHyphens/>
      </w:pPr>
      <w:r w:rsidRPr="005F055E">
        <w:t xml:space="preserve">Betekent tabel 8 dat voor de huidige groep cliënten met zorg in natura in 2030 in reële termen ruim €1,2 miljard minder beschikbaar is dan in 2026, aangezien tabel 8 met ingang van 2027 een dalende reeks laat zien voor zorg in natura binnen de contracteerruimte, en de reeks nominaal en onverdeeld </w:t>
      </w:r>
      <w:proofErr w:type="spellStart"/>
      <w:r w:rsidRPr="005F055E">
        <w:t>Wlz</w:t>
      </w:r>
      <w:proofErr w:type="spellEnd"/>
      <w:r w:rsidRPr="005F055E">
        <w:t xml:space="preserve"> in dezelfde tabel bestemd is voor de groei van het aantal cliënten, de toenemende zorgzwaarte en het compenseren van de inflatie?</w:t>
      </w:r>
    </w:p>
    <w:p w:rsidRPr="005F055E" w:rsidR="003E7003" w:rsidP="00180EEB" w:rsidRDefault="003E7003" w14:paraId="7BB4BAB2" w14:textId="20DFD88F">
      <w:pPr>
        <w:suppressAutoHyphens/>
      </w:pPr>
      <w:r w:rsidRPr="005F055E">
        <w:t>Antwoord</w:t>
      </w:r>
    </w:p>
    <w:p w:rsidRPr="005F055E" w:rsidR="00FF3DFA" w:rsidP="00180EEB" w:rsidRDefault="00FF3DFA" w14:paraId="2F0FFCAC" w14:textId="7A97C983">
      <w:pPr>
        <w:suppressAutoHyphens/>
        <w:rPr>
          <w:szCs w:val="18"/>
        </w:rPr>
      </w:pPr>
      <w:r w:rsidRPr="005F055E">
        <w:rPr>
          <w:szCs w:val="18"/>
        </w:rPr>
        <w:t xml:space="preserve">Tabel 8 in de ontwerpbegroting 2026 laat de ontwikkeling van de </w:t>
      </w:r>
      <w:proofErr w:type="spellStart"/>
      <w:r w:rsidRPr="005F055E">
        <w:rPr>
          <w:szCs w:val="18"/>
        </w:rPr>
        <w:t>Wlz</w:t>
      </w:r>
      <w:proofErr w:type="spellEnd"/>
      <w:r w:rsidRPr="005F055E">
        <w:rPr>
          <w:szCs w:val="18"/>
        </w:rPr>
        <w:t xml:space="preserve">-uitgaven voor zorg in natura en persoonsgebonden budgetten per sector (ouderenzorg, gehandicaptenzorg en langdurige </w:t>
      </w:r>
      <w:r w:rsidR="00D55762">
        <w:rPr>
          <w:szCs w:val="18"/>
        </w:rPr>
        <w:t>GGZ</w:t>
      </w:r>
      <w:r w:rsidRPr="005F055E">
        <w:rPr>
          <w:szCs w:val="18"/>
        </w:rPr>
        <w:t>) zien, waarbij de maatregelen meerjarig in de kaders zijn verwerkt, maar de volumegroei vanaf 2027 nog niet. In onderstaande tabel is voor de zorg in natura ook de groeiruimte vanaf 2027 in beeld gebracht. De tabel laat op regel 5 zien dat in reële termen het beschikbare bedrag voor de huidige groep cliënten met zorg in natura in 2030 met € 109.800 per cliënt afgerond € 1.700 hoger ligt dan het bedrag in 2026 (€ 108.100 per cliënt). Dit betreft bedragen in loon- en prijspeil 2025. Deze zullen daarnaast dus nog worden geïndexeerd op grond van loon- en prijsontwikkelingen.</w:t>
      </w:r>
    </w:p>
    <w:p w:rsidRPr="005F055E" w:rsidR="00FF3DFA" w:rsidP="00180EEB" w:rsidRDefault="00FF3DFA" w14:paraId="135D3146" w14:textId="77777777">
      <w:pPr>
        <w:suppressAutoHyphens/>
        <w:rPr>
          <w:szCs w:val="18"/>
        </w:rPr>
      </w:pPr>
      <w:r w:rsidRPr="005F055E">
        <w:rPr>
          <w:szCs w:val="18"/>
        </w:rPr>
        <w:t>Het gemiddelde bedrag per cliënt met zorg in natura is als volgt berekend:</w:t>
      </w:r>
    </w:p>
    <w:p w:rsidRPr="005F055E" w:rsidR="00FF3DFA" w:rsidP="00180EEB" w:rsidRDefault="00FF3DFA" w14:paraId="7937F549" w14:textId="47A09AC4">
      <w:pPr>
        <w:pStyle w:val="Lijstalinea"/>
        <w:numPr>
          <w:ilvl w:val="0"/>
          <w:numId w:val="30"/>
        </w:numPr>
        <w:suppressAutoHyphens/>
        <w:rPr>
          <w:szCs w:val="18"/>
        </w:rPr>
      </w:pPr>
      <w:r w:rsidRPr="005F055E">
        <w:rPr>
          <w:szCs w:val="18"/>
        </w:rPr>
        <w:t xml:space="preserve">Regel 2 bevat de </w:t>
      </w:r>
      <w:r w:rsidRPr="005F055E" w:rsidR="00501B46">
        <w:rPr>
          <w:szCs w:val="18"/>
        </w:rPr>
        <w:t xml:space="preserve">voorlopige </w:t>
      </w:r>
      <w:r w:rsidRPr="005F055E">
        <w:rPr>
          <w:szCs w:val="18"/>
        </w:rPr>
        <w:t xml:space="preserve">groeiruimte op basis van de meest recente </w:t>
      </w:r>
      <w:proofErr w:type="spellStart"/>
      <w:r w:rsidRPr="005F055E">
        <w:rPr>
          <w:szCs w:val="18"/>
        </w:rPr>
        <w:t>middellangetermijnraming</w:t>
      </w:r>
      <w:proofErr w:type="spellEnd"/>
      <w:r w:rsidRPr="005F055E">
        <w:rPr>
          <w:szCs w:val="18"/>
        </w:rPr>
        <w:t xml:space="preserve"> (MLT) van het Centraal Planbureau. Dit betreft het aandeel van zorg in natura in de groeiruimte (dus exclusief de groeiruimte voor persoonsgebonden budgetten en overige </w:t>
      </w:r>
      <w:proofErr w:type="spellStart"/>
      <w:r w:rsidRPr="005F055E">
        <w:rPr>
          <w:szCs w:val="18"/>
        </w:rPr>
        <w:t>Wlz</w:t>
      </w:r>
      <w:proofErr w:type="spellEnd"/>
      <w:r w:rsidRPr="005F055E">
        <w:rPr>
          <w:szCs w:val="18"/>
        </w:rPr>
        <w:t xml:space="preserve">-uitgaven). </w:t>
      </w:r>
    </w:p>
    <w:p w:rsidRPr="005F055E" w:rsidR="00FF3DFA" w:rsidP="00180EEB" w:rsidRDefault="00FF3DFA" w14:paraId="72C9EDD3" w14:textId="77777777">
      <w:pPr>
        <w:pStyle w:val="Lijstalinea"/>
        <w:numPr>
          <w:ilvl w:val="0"/>
          <w:numId w:val="30"/>
        </w:numPr>
        <w:suppressAutoHyphens/>
        <w:rPr>
          <w:szCs w:val="18"/>
        </w:rPr>
      </w:pPr>
      <w:r w:rsidRPr="005F055E">
        <w:rPr>
          <w:szCs w:val="18"/>
        </w:rPr>
        <w:t xml:space="preserve">Regel 3 laat zien dat het beschikbare bedrag voor zorg in natura in de begroting toeneemt van afgerond € 35,3 miljard in 2026 tot € 38,7 miljard in 2030. </w:t>
      </w:r>
    </w:p>
    <w:p w:rsidRPr="005F055E" w:rsidR="00FF3DFA" w:rsidP="00180EEB" w:rsidRDefault="00FF3DFA" w14:paraId="47B59EAE" w14:textId="77777777">
      <w:pPr>
        <w:pStyle w:val="Lijstalinea"/>
        <w:numPr>
          <w:ilvl w:val="0"/>
          <w:numId w:val="30"/>
        </w:numPr>
        <w:suppressAutoHyphens/>
        <w:rPr>
          <w:szCs w:val="18"/>
        </w:rPr>
      </w:pPr>
      <w:r w:rsidRPr="005F055E">
        <w:rPr>
          <w:szCs w:val="18"/>
        </w:rPr>
        <w:t>Regel 4 bevat de ontwikkeling van het aantal cliënten met zorg in natura op grond van de demografische ontwikkelingen in de MLT. Dit neemt met ruim 1,9% per jaar toe van 321 duizend cliënten op peilmoment 1 juli 2025</w:t>
      </w:r>
      <w:r w:rsidRPr="005F055E">
        <w:rPr>
          <w:rStyle w:val="Voetnootmarkering"/>
          <w:szCs w:val="18"/>
        </w:rPr>
        <w:footnoteReference w:id="190"/>
      </w:r>
      <w:r w:rsidRPr="005F055E">
        <w:rPr>
          <w:szCs w:val="18"/>
        </w:rPr>
        <w:t xml:space="preserve"> naar 353 duizend cliënten in 2030.</w:t>
      </w:r>
    </w:p>
    <w:p w:rsidRPr="005F055E" w:rsidR="00FF3DFA" w:rsidP="00180EEB" w:rsidRDefault="00FF3DFA" w14:paraId="1D9549C3" w14:textId="77777777">
      <w:pPr>
        <w:pStyle w:val="Lijstalinea"/>
        <w:numPr>
          <w:ilvl w:val="0"/>
          <w:numId w:val="30"/>
        </w:numPr>
        <w:suppressAutoHyphens/>
        <w:rPr>
          <w:szCs w:val="18"/>
        </w:rPr>
      </w:pPr>
      <w:r w:rsidRPr="005F055E">
        <w:rPr>
          <w:szCs w:val="18"/>
        </w:rPr>
        <w:t>Regel 5 berekent het gemiddelde bedrag per cliënt per jaar als quotiënt van het beschikbaar bedrag op regel 3 en het aantal cliënten op regel 4.</w:t>
      </w:r>
    </w:p>
    <w:p w:rsidRPr="005F055E" w:rsidR="00FF3DFA" w:rsidP="00180EEB" w:rsidRDefault="00FF3DFA" w14:paraId="033B7B6F" w14:textId="77777777">
      <w:pPr>
        <w:suppressAutoHyphens/>
        <w:rPr>
          <w:szCs w:val="18"/>
        </w:rPr>
      </w:pPr>
    </w:p>
    <w:p w:rsidRPr="005F055E" w:rsidR="00FF3DFA" w:rsidP="00180EEB" w:rsidRDefault="00FF3DFA" w14:paraId="1BFB10A4" w14:textId="77777777">
      <w:pPr>
        <w:suppressAutoHyphens/>
        <w:rPr>
          <w:szCs w:val="18"/>
        </w:rPr>
      </w:pPr>
      <w:r w:rsidRPr="005F055E">
        <w:rPr>
          <w:noProof/>
        </w:rPr>
        <w:drawing>
          <wp:inline distT="0" distB="0" distL="0" distR="0" wp14:anchorId="45DF1C8F" wp14:editId="1B5773F1">
            <wp:extent cx="5732145" cy="936625"/>
            <wp:effectExtent l="0" t="0" r="1905" b="0"/>
            <wp:docPr id="124711263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32145" cy="936625"/>
                    </a:xfrm>
                    <a:prstGeom prst="rect">
                      <a:avLst/>
                    </a:prstGeom>
                    <a:noFill/>
                    <a:ln>
                      <a:noFill/>
                    </a:ln>
                  </pic:spPr>
                </pic:pic>
              </a:graphicData>
            </a:graphic>
          </wp:inline>
        </w:drawing>
      </w:r>
    </w:p>
    <w:p w:rsidRPr="005F055E" w:rsidR="00FF3DFA" w:rsidP="00180EEB" w:rsidRDefault="00FF3DFA" w14:paraId="09BA29B8" w14:textId="77777777">
      <w:pPr>
        <w:suppressAutoHyphens/>
      </w:pPr>
    </w:p>
    <w:p w:rsidRPr="005F055E" w:rsidR="009B2DB4" w:rsidP="00180EEB" w:rsidRDefault="003E7003" w14:paraId="14696D27" w14:textId="77777777">
      <w:pPr>
        <w:suppressAutoHyphens/>
      </w:pPr>
      <w:r w:rsidRPr="005F055E">
        <w:t>Vraag 495</w:t>
      </w:r>
    </w:p>
    <w:p w:rsidRPr="005F055E" w:rsidR="009B2DB4" w:rsidP="00180EEB" w:rsidRDefault="003E7003" w14:paraId="06533AA1" w14:textId="77777777">
      <w:pPr>
        <w:suppressAutoHyphens/>
      </w:pPr>
      <w:r w:rsidRPr="005F055E">
        <w:t>Waaraan wordt de envelop ouderenzorg uitgegeven?</w:t>
      </w:r>
    </w:p>
    <w:p w:rsidRPr="005F055E" w:rsidR="003E7003" w:rsidP="00180EEB" w:rsidRDefault="003E7003" w14:paraId="5F6B3E91" w14:textId="6421F8D0">
      <w:pPr>
        <w:suppressAutoHyphens/>
      </w:pPr>
      <w:r w:rsidRPr="005F055E">
        <w:t>Antwoord</w:t>
      </w:r>
    </w:p>
    <w:p w:rsidRPr="005F055E" w:rsidR="007E7344" w:rsidP="00180EEB" w:rsidRDefault="007E7344" w14:paraId="1BB06F17" w14:textId="79DC1C56">
      <w:pPr>
        <w:suppressAutoHyphens/>
        <w:spacing w:line="240" w:lineRule="atLeast"/>
        <w:rPr>
          <w:szCs w:val="18"/>
          <w:lang w:eastAsia="nl-NL"/>
        </w:rPr>
      </w:pPr>
      <w:bookmarkStart w:name="_Hlk210738517_0" w:id="63"/>
      <w:r w:rsidRPr="005F055E">
        <w:rPr>
          <w:szCs w:val="18"/>
          <w:lang w:eastAsia="nl-NL"/>
        </w:rPr>
        <w:t>Bijgaande tabel geeft een overzicht van de benutting van de enveloppe voor betere ouderenzorg op de Aanvullende Post bij het ministerie van Financiën. De bedragen zijn hierbij afgerond op miljoenen euro.</w:t>
      </w:r>
    </w:p>
    <w:p w:rsidRPr="005F055E" w:rsidR="007E7344" w:rsidP="00180EEB" w:rsidRDefault="007E7344" w14:paraId="5AA27DA0" w14:textId="77777777">
      <w:pPr>
        <w:suppressAutoHyphens/>
        <w:spacing w:line="240" w:lineRule="atLeast"/>
        <w:rPr>
          <w:szCs w:val="18"/>
          <w:lang w:eastAsia="nl-NL"/>
        </w:rPr>
      </w:pPr>
      <w:r w:rsidRPr="005F055E">
        <w:rPr>
          <w:noProof/>
          <w:szCs w:val="18"/>
        </w:rPr>
        <w:drawing>
          <wp:inline distT="0" distB="0" distL="0" distR="0" wp14:anchorId="70630CBC" wp14:editId="22EC7F36">
            <wp:extent cx="5732145" cy="1781810"/>
            <wp:effectExtent l="0" t="0" r="1905" b="8890"/>
            <wp:docPr id="1475671103"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671103" name="Picture 1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732145" cy="1781810"/>
                    </a:xfrm>
                    <a:prstGeom prst="rect">
                      <a:avLst/>
                    </a:prstGeom>
                    <a:noFill/>
                    <a:ln>
                      <a:noFill/>
                    </a:ln>
                  </pic:spPr>
                </pic:pic>
              </a:graphicData>
            </a:graphic>
          </wp:inline>
        </w:drawing>
      </w:r>
    </w:p>
    <w:p w:rsidRPr="005F055E" w:rsidR="007E7344" w:rsidP="00180EEB" w:rsidRDefault="007E7344" w14:paraId="26BA4CC7" w14:textId="77777777">
      <w:pPr>
        <w:suppressAutoHyphens/>
        <w:spacing w:line="240" w:lineRule="atLeast"/>
        <w:rPr>
          <w:szCs w:val="18"/>
          <w:lang w:eastAsia="nl-NL"/>
        </w:rPr>
      </w:pPr>
    </w:p>
    <w:p w:rsidRPr="005F055E" w:rsidR="007E7344" w:rsidP="00180EEB" w:rsidRDefault="007E7344" w14:paraId="5BB5B12E" w14:textId="77777777">
      <w:pPr>
        <w:suppressAutoHyphens/>
        <w:rPr>
          <w:szCs w:val="18"/>
          <w:lang w:eastAsia="nl-NL"/>
        </w:rPr>
      </w:pPr>
      <w:r w:rsidRPr="005F055E">
        <w:rPr>
          <w:szCs w:val="18"/>
          <w:lang w:eastAsia="nl-NL"/>
        </w:rPr>
        <w:t xml:space="preserve">In het Hoofdlijnenakkoord (HLA) is vanaf 2027 structureel € 600 miljoen beschikbaar gesteld voor investeringen in verzorgings- en verpleeghuisplekken. Met de toevoeging van de loon- en prijsbijstelling over 2025 kwam aanvullend structureel € 27,8 miljoen beschikbaar. Een deel van de envelop is inmiddels tijdelijk ingezet voor afspraken in het Hoofdlijnenakkoord ouderenzorg (HLO). In de jaren 2027-2029 gaat het om respectievelijk € 229 miljoen, € 148 miljoen en € 41 miljoen. Omdat de financiële afspraken in het HLO al per 2026 ingaan is een deel van de middelen naar 2026 geschoven (€ 171 miljoen euro vanuit 2027, € 92 miljoen euro vanuit 2028 en € 18 miljoen vanuit 2029). </w:t>
      </w:r>
    </w:p>
    <w:p w:rsidRPr="005F055E" w:rsidR="007E7344" w:rsidP="00180EEB" w:rsidRDefault="007E7344" w14:paraId="15833EA1" w14:textId="333D2B76">
      <w:pPr>
        <w:suppressAutoHyphens/>
        <w:rPr>
          <w:szCs w:val="18"/>
          <w:lang w:eastAsia="nl-NL"/>
        </w:rPr>
      </w:pPr>
      <w:r w:rsidRPr="005F055E">
        <w:rPr>
          <w:szCs w:val="18"/>
          <w:lang w:eastAsia="nl-NL"/>
        </w:rPr>
        <w:t>Daarnaast wordt er in 2027 65 miljoen euro ingezet ter (</w:t>
      </w:r>
      <w:proofErr w:type="spellStart"/>
      <w:r w:rsidRPr="005F055E">
        <w:rPr>
          <w:szCs w:val="18"/>
          <w:lang w:eastAsia="nl-NL"/>
        </w:rPr>
        <w:t>intertemporele</w:t>
      </w:r>
      <w:proofErr w:type="spellEnd"/>
      <w:r w:rsidRPr="005F055E">
        <w:rPr>
          <w:szCs w:val="18"/>
          <w:lang w:eastAsia="nl-NL"/>
        </w:rPr>
        <w:t>) dekking van de motie Dobbe en Westerveld</w:t>
      </w:r>
      <w:r w:rsidRPr="005F055E">
        <w:rPr>
          <w:szCs w:val="18"/>
          <w:vertAlign w:val="superscript"/>
          <w:lang w:eastAsia="nl-NL"/>
        </w:rPr>
        <w:footnoteReference w:id="191"/>
      </w:r>
      <w:r w:rsidRPr="005F055E">
        <w:rPr>
          <w:szCs w:val="18"/>
          <w:lang w:eastAsia="nl-NL"/>
        </w:rPr>
        <w:t xml:space="preserve"> om de tariefmaatregel meerjarig contracteren in de gehandicaptenzorg en de langdurige </w:t>
      </w:r>
      <w:r w:rsidR="00D55762">
        <w:rPr>
          <w:szCs w:val="18"/>
          <w:lang w:eastAsia="nl-NL"/>
        </w:rPr>
        <w:t>GGZ</w:t>
      </w:r>
      <w:r w:rsidRPr="005F055E">
        <w:rPr>
          <w:szCs w:val="18"/>
          <w:lang w:eastAsia="nl-NL"/>
        </w:rPr>
        <w:t xml:space="preserve"> voor 2026 niet in te laten gaan. Ook wordt er 4,4 miljoen euro in 2027 en vanaf 2028 structureel € 7,7 miljoen ingezet voor het toevoegen van twee doelgroepen in de aanspraak op gespecialiseerde langdurige zorg (traject ‘laag volume hoog complex’ (LVHC)). Ter dekking van structurele problematiek op de Rijksbegroting wordt structureel 150 miljoen euro vanaf 2027 ingezet. </w:t>
      </w:r>
    </w:p>
    <w:p w:rsidRPr="005F055E" w:rsidR="009B2DB4" w:rsidP="00180EEB" w:rsidRDefault="007E7344" w14:paraId="1BE9FF1B" w14:textId="645B16B6">
      <w:pPr>
        <w:suppressAutoHyphens/>
        <w:rPr>
          <w:szCs w:val="18"/>
          <w:lang w:eastAsia="nl-NL"/>
        </w:rPr>
      </w:pPr>
      <w:r w:rsidRPr="005F055E">
        <w:rPr>
          <w:szCs w:val="18"/>
          <w:lang w:eastAsia="nl-NL"/>
        </w:rPr>
        <w:t>Als laatste vindt er een kasschuif plaats van € 91 miljoen van 2029 naar 2028 om andere kasschuiven op de VWS-begroting mogelijk te maken zonder het saldo in deze jaren te belasten. Er resteert nu een structureel bedrag van € 470 miljoen dat is gereserveerd voor de realisatie van moderne verzorgingshuizen, zoals toegelicht in de brief van de Staatssecretaris Langdurige en Maatschappelijke Zorg over vergrijzing en het integrale ouderenbeleid.</w:t>
      </w:r>
      <w:r w:rsidRPr="005F055E">
        <w:rPr>
          <w:szCs w:val="18"/>
          <w:vertAlign w:val="superscript"/>
          <w:lang w:eastAsia="nl-NL"/>
        </w:rPr>
        <w:footnoteReference w:id="192"/>
      </w:r>
      <w:r w:rsidRPr="005F055E">
        <w:rPr>
          <w:szCs w:val="18"/>
          <w:lang w:eastAsia="nl-NL"/>
        </w:rPr>
        <w:t xml:space="preserve"> Op dit moment wordt uitgewerkt hoe het op termijn introduceren van de moderne verzorgingshuizen vorm kan krijgen.</w:t>
      </w:r>
      <w:bookmarkEnd w:id="63"/>
    </w:p>
    <w:p w:rsidRPr="005F055E" w:rsidR="007E7344" w:rsidP="00180EEB" w:rsidRDefault="007E7344" w14:paraId="799C4B90" w14:textId="77777777">
      <w:pPr>
        <w:suppressAutoHyphens/>
      </w:pPr>
    </w:p>
    <w:p w:rsidRPr="005F055E" w:rsidR="009B2DB4" w:rsidP="00180EEB" w:rsidRDefault="003E7003" w14:paraId="30B1BEF3" w14:textId="77777777">
      <w:pPr>
        <w:suppressAutoHyphens/>
      </w:pPr>
      <w:r w:rsidRPr="005F055E">
        <w:t>Vraag 496</w:t>
      </w:r>
    </w:p>
    <w:p w:rsidRPr="005F055E" w:rsidR="009B2DB4" w:rsidP="00180EEB" w:rsidRDefault="003E7003" w14:paraId="7F7C39C1" w14:textId="77777777">
      <w:pPr>
        <w:suppressAutoHyphens/>
      </w:pPr>
      <w:r w:rsidRPr="005F055E">
        <w:t>Hoeveel kost het om brillen voor kinderen op te nemen in het basispakket?</w:t>
      </w:r>
      <w:r w:rsidRPr="005F055E">
        <w:tab/>
      </w:r>
    </w:p>
    <w:p w:rsidRPr="005F055E" w:rsidR="003E7003" w:rsidP="00180EEB" w:rsidRDefault="003E7003" w14:paraId="304C1CEA" w14:textId="2DF7336A">
      <w:pPr>
        <w:suppressAutoHyphens/>
      </w:pPr>
      <w:r w:rsidRPr="005F055E">
        <w:t>Antwoord</w:t>
      </w:r>
    </w:p>
    <w:p w:rsidRPr="005F055E" w:rsidR="007E7344" w:rsidP="00180EEB" w:rsidRDefault="007E7344" w14:paraId="2719247C" w14:textId="4C7B3C96">
      <w:pPr>
        <w:suppressAutoHyphens/>
        <w:spacing w:line="240" w:lineRule="atLeast"/>
        <w:rPr>
          <w:szCs w:val="18"/>
          <w:lang w:eastAsia="nl-NL"/>
        </w:rPr>
      </w:pPr>
      <w:r w:rsidRPr="005F055E">
        <w:rPr>
          <w:szCs w:val="18"/>
          <w:lang w:eastAsia="nl-NL"/>
        </w:rPr>
        <w:t>Op dit moment worden alleen brillenglazen voor kinderen met specifieke medische afwijkingen vergoed vanuit het basispakket.</w:t>
      </w:r>
    </w:p>
    <w:p w:rsidRPr="005F055E" w:rsidR="007E7344" w:rsidP="00180EEB" w:rsidRDefault="007E7344" w14:paraId="38F24D2E" w14:textId="2ED01624">
      <w:pPr>
        <w:suppressAutoHyphens/>
        <w:spacing w:line="240" w:lineRule="atLeast"/>
        <w:rPr>
          <w:szCs w:val="18"/>
          <w:lang w:eastAsia="nl-NL"/>
        </w:rPr>
      </w:pPr>
      <w:r w:rsidRPr="005F055E">
        <w:rPr>
          <w:szCs w:val="18"/>
          <w:lang w:eastAsia="nl-NL"/>
        </w:rPr>
        <w:t>Ik heb het Zorginstituut gevraagd om inzichtelijk te maken wat de kosten zouden zijn als de aanspraak wordt uitgebreid. De geschatte kosten voor het uitbreiden van de aanspraak naar alle kinderbrillen liggen tussen de €72 miljoen en €160 miljoen per jaar, uitgaande van één bril per kind per jaar.</w:t>
      </w:r>
    </w:p>
    <w:p w:rsidRPr="005F055E" w:rsidR="007E7344" w:rsidP="00180EEB" w:rsidRDefault="007E7344" w14:paraId="4287ABB6" w14:textId="77777777">
      <w:pPr>
        <w:suppressAutoHyphens/>
        <w:spacing w:line="240" w:lineRule="atLeast"/>
        <w:rPr>
          <w:szCs w:val="18"/>
          <w:lang w:eastAsia="nl-NL"/>
        </w:rPr>
      </w:pPr>
      <w:r w:rsidRPr="005F055E">
        <w:rPr>
          <w:szCs w:val="18"/>
          <w:lang w:eastAsia="nl-NL"/>
        </w:rPr>
        <w:t>Wanneer de huidige eigen bijdrage van €64 per glas en maximaal €128 per bril gehandhaafd blijft, worden de totale kosten voor de uitbreiding van de aanspraak op kinderbrillen in het basispakket geraamd op tussen de €3,3 miljoen en €91,4 miljoen per jaar.</w:t>
      </w:r>
    </w:p>
    <w:p w:rsidRPr="005F055E" w:rsidR="009B2DB4" w:rsidP="00180EEB" w:rsidRDefault="003E7003" w14:paraId="57D0D6DB" w14:textId="77777777">
      <w:pPr>
        <w:suppressAutoHyphens/>
      </w:pPr>
      <w:r w:rsidRPr="005F055E">
        <w:t>Vraag 497</w:t>
      </w:r>
    </w:p>
    <w:p w:rsidRPr="005F055E" w:rsidR="009B2DB4" w:rsidP="00180EEB" w:rsidRDefault="003E7003" w14:paraId="6FF821C9" w14:textId="77777777">
      <w:pPr>
        <w:suppressAutoHyphens/>
      </w:pPr>
      <w:r w:rsidRPr="005F055E">
        <w:t>Klopt het dat vanaf 2026 alle gelden rond pandemische paraatheid voor de GGD-en komen te vervallen? Kan worden toegelicht waarom deze keuze gemaakt is? Wat betekent dit voor de opschaalbaarheid indien zich een nieuwe pandemie voordoet?</w:t>
      </w:r>
    </w:p>
    <w:p w:rsidRPr="005F055E" w:rsidR="003E7003" w:rsidP="00180EEB" w:rsidRDefault="003E7003" w14:paraId="72FE077C" w14:textId="0CA6A442">
      <w:pPr>
        <w:suppressAutoHyphens/>
      </w:pPr>
      <w:r w:rsidRPr="005F055E">
        <w:t>Antwoord</w:t>
      </w:r>
    </w:p>
    <w:p w:rsidRPr="005F055E" w:rsidR="007E7344" w:rsidP="00180EEB" w:rsidRDefault="007E7344" w14:paraId="2420A061" w14:textId="77777777">
      <w:pPr>
        <w:suppressAutoHyphens/>
        <w:spacing w:line="240" w:lineRule="atLeast"/>
        <w:rPr>
          <w:szCs w:val="20"/>
          <w:lang w:eastAsia="nl-NL"/>
        </w:rPr>
      </w:pPr>
      <w:r w:rsidRPr="005F055E">
        <w:rPr>
          <w:szCs w:val="20"/>
          <w:lang w:eastAsia="nl-NL"/>
        </w:rPr>
        <w:t xml:space="preserve">Dit klopt niet. Voor de versterkingen van de </w:t>
      </w:r>
      <w:proofErr w:type="spellStart"/>
      <w:r w:rsidRPr="005F055E">
        <w:rPr>
          <w:szCs w:val="20"/>
          <w:lang w:eastAsia="nl-NL"/>
        </w:rPr>
        <w:t>GGD’en</w:t>
      </w:r>
      <w:proofErr w:type="spellEnd"/>
      <w:r w:rsidRPr="005F055E">
        <w:rPr>
          <w:szCs w:val="20"/>
          <w:lang w:eastAsia="nl-NL"/>
        </w:rPr>
        <w:t xml:space="preserve"> is incidentele dekking gevonden t/m 2028. Hierover heeft mijn voorganger u op 3 juli jl. per brief geïnformeerd.</w:t>
      </w:r>
      <w:r w:rsidRPr="005F055E">
        <w:rPr>
          <w:szCs w:val="20"/>
          <w:vertAlign w:val="superscript"/>
          <w:lang w:eastAsia="nl-NL"/>
        </w:rPr>
        <w:footnoteReference w:id="193"/>
      </w:r>
      <w:r w:rsidRPr="005F055E">
        <w:rPr>
          <w:szCs w:val="20"/>
          <w:lang w:eastAsia="nl-NL"/>
        </w:rPr>
        <w:t xml:space="preserve"> </w:t>
      </w:r>
    </w:p>
    <w:p w:rsidRPr="005F055E" w:rsidR="009B2DB4" w:rsidP="00180EEB" w:rsidRDefault="009B2DB4" w14:paraId="19460F7E" w14:textId="77777777">
      <w:pPr>
        <w:suppressAutoHyphens/>
      </w:pPr>
    </w:p>
    <w:p w:rsidRPr="005F055E" w:rsidR="009B2DB4" w:rsidP="00180EEB" w:rsidRDefault="003E7003" w14:paraId="6EBFD627" w14:textId="77777777">
      <w:pPr>
        <w:suppressAutoHyphens/>
      </w:pPr>
      <w:r w:rsidRPr="005F055E">
        <w:t>Vraag 498</w:t>
      </w:r>
    </w:p>
    <w:p w:rsidRPr="005F055E" w:rsidR="009B2DB4" w:rsidP="00180EEB" w:rsidRDefault="003E7003" w14:paraId="0D480224" w14:textId="77777777">
      <w:pPr>
        <w:suppressAutoHyphens/>
      </w:pPr>
      <w:r w:rsidRPr="005F055E">
        <w:t>Kunt u aangeven hoe de zorg voor mensen met post-covid en q-koorts na 2027 is geregeld?</w:t>
      </w:r>
    </w:p>
    <w:p w:rsidRPr="005F055E" w:rsidR="003E7003" w:rsidP="00180EEB" w:rsidRDefault="003E7003" w14:paraId="16720F05" w14:textId="79FA2AC7">
      <w:pPr>
        <w:suppressAutoHyphens/>
      </w:pPr>
      <w:r w:rsidRPr="005F055E">
        <w:t>Antwoord</w:t>
      </w:r>
    </w:p>
    <w:p w:rsidRPr="005F055E" w:rsidR="00CF4A75" w:rsidP="00180EEB" w:rsidRDefault="00CF4A75" w14:paraId="2984E47E" w14:textId="77777777">
      <w:pPr>
        <w:suppressAutoHyphens/>
        <w:rPr>
          <w:szCs w:val="18"/>
        </w:rPr>
      </w:pPr>
      <w:r w:rsidRPr="005F055E">
        <w:rPr>
          <w:szCs w:val="18"/>
        </w:rPr>
        <w:t>In de begroting is een structurele reeks opgenomen van 2,44 miljoen euro voor het borgen van kennis, onder andere over nazorg voor patiënten met Q-koorts en post-COVID. Het is belangrijk dat patiënten met post-COVID, Q-koorts vermoeidheidssyndroom (QVS) en andere postinfectieuze aandoeningen zo snel mogelijk terecht kunnen in de reguliere structuren van zorg en welzijn. Daar bestaan instellingen wiens taak het is om deze mensen te behandelen alsook te ondersteunen. De huidige initiatieven (post-COVID expertisecentra, Q-koortsambassadeur en post-COVID onderzoeksprogramma) zijn ook nadrukkelijk gericht op het inbedden van deze patiënten in de reguliere zorg en ondersteuning, zodat zij direct goed geholpen worden.</w:t>
      </w:r>
    </w:p>
    <w:p w:rsidRPr="005F055E" w:rsidR="009B2DB4" w:rsidP="00180EEB" w:rsidRDefault="009B2DB4" w14:paraId="36F1D01E" w14:textId="77777777">
      <w:pPr>
        <w:suppressAutoHyphens/>
      </w:pPr>
    </w:p>
    <w:p w:rsidRPr="005F055E" w:rsidR="009B2DB4" w:rsidP="00180EEB" w:rsidRDefault="003E7003" w14:paraId="08D9D93E" w14:textId="77777777">
      <w:pPr>
        <w:suppressAutoHyphens/>
      </w:pPr>
      <w:r w:rsidRPr="005F055E">
        <w:t>Vraag 499</w:t>
      </w:r>
    </w:p>
    <w:p w:rsidRPr="005F055E" w:rsidR="009B2DB4" w:rsidP="00180EEB" w:rsidRDefault="003E7003" w14:paraId="60093DAC" w14:textId="77777777">
      <w:pPr>
        <w:suppressAutoHyphens/>
      </w:pPr>
      <w:r w:rsidRPr="005F055E">
        <w:t>Hoeveel mentale gezondheidscentra zijn er in het land? Hoeveel zijn er sinds het IZA opgericht? Is er sprake van een landelijk dekkend netwerk?</w:t>
      </w:r>
    </w:p>
    <w:p w:rsidRPr="005F055E" w:rsidR="003E7003" w:rsidP="00180EEB" w:rsidRDefault="003E7003" w14:paraId="30B6E6BE" w14:textId="65D60EF8">
      <w:pPr>
        <w:suppressAutoHyphens/>
      </w:pPr>
      <w:r w:rsidRPr="005F055E">
        <w:t>Antwoord</w:t>
      </w:r>
    </w:p>
    <w:p w:rsidRPr="005F055E" w:rsidR="00CF4A75" w:rsidP="00180EEB" w:rsidRDefault="00CF4A75" w14:paraId="2A391C6C" w14:textId="5187DD62">
      <w:pPr>
        <w:suppressAutoHyphens/>
        <w:rPr>
          <w:szCs w:val="18"/>
        </w:rPr>
      </w:pPr>
      <w:r w:rsidRPr="005F055E">
        <w:rPr>
          <w:szCs w:val="18"/>
        </w:rPr>
        <w:t xml:space="preserve">Er wordt toegewerkt naar een landelijk dekkend netwerken van Mentale Gezondheidsnetwerken. In alle IZA regio’s zijn mentale gezondheidsnetwerken (MGN) in oprichting, 42 in totaal. Hiervoor worden in alle regio’s transformatieplannen ingediend. In samenwerking met de brancheorganisaties, het Zorginstituut en de </w:t>
      </w:r>
      <w:proofErr w:type="spellStart"/>
      <w:r w:rsidRPr="005F055E">
        <w:rPr>
          <w:szCs w:val="18"/>
        </w:rPr>
        <w:t>NZa</w:t>
      </w:r>
      <w:proofErr w:type="spellEnd"/>
      <w:r w:rsidRPr="005F055E">
        <w:rPr>
          <w:szCs w:val="18"/>
        </w:rPr>
        <w:t xml:space="preserve"> zijn de afgelopen maanden verschillende maatregelen getroffen om de ontwikkeling van de mentale Gezondheidsnetwerken te versnellen. Het streven is dat alle 42 plannen voor het einde van dit jaar zijn goedgekeurd, waarna de fase komt waarin alle goedgekeurde plannen in de praktijk moeten worden gebracht.</w:t>
      </w:r>
    </w:p>
    <w:p w:rsidRPr="005F055E" w:rsidR="009B2DB4" w:rsidP="00180EEB" w:rsidRDefault="003E7003" w14:paraId="2AD40583" w14:textId="77777777">
      <w:pPr>
        <w:suppressAutoHyphens/>
      </w:pPr>
      <w:r w:rsidRPr="005F055E">
        <w:t>Vraag 500</w:t>
      </w:r>
    </w:p>
    <w:p w:rsidRPr="005F055E" w:rsidR="009B2DB4" w:rsidP="00180EEB" w:rsidRDefault="003E7003" w14:paraId="6275C0AA" w14:textId="33D0AB84">
      <w:pPr>
        <w:suppressAutoHyphens/>
      </w:pPr>
      <w:r w:rsidRPr="005F055E">
        <w:t xml:space="preserve">Wat valt er onder de definitie cruciale </w:t>
      </w:r>
      <w:r w:rsidR="00D55762">
        <w:t>GGZ</w:t>
      </w:r>
      <w:r w:rsidRPr="005F055E">
        <w:t>?</w:t>
      </w:r>
    </w:p>
    <w:p w:rsidRPr="005F055E" w:rsidR="003E7003" w:rsidP="00180EEB" w:rsidRDefault="003E7003" w14:paraId="73BEDC24" w14:textId="27B19389">
      <w:pPr>
        <w:suppressAutoHyphens/>
      </w:pPr>
      <w:r w:rsidRPr="005F055E">
        <w:t>Antwoord</w:t>
      </w:r>
    </w:p>
    <w:p w:rsidRPr="005F055E" w:rsidR="007E7344" w:rsidP="00180EEB" w:rsidRDefault="007E7344" w14:paraId="4E7B038C" w14:textId="3317DBA6">
      <w:pPr>
        <w:suppressAutoHyphens/>
        <w:spacing w:line="240" w:lineRule="atLeast"/>
        <w:rPr>
          <w:szCs w:val="18"/>
          <w:lang w:eastAsia="nl-NL"/>
        </w:rPr>
      </w:pPr>
      <w:r w:rsidRPr="005F055E">
        <w:rPr>
          <w:szCs w:val="18"/>
          <w:lang w:eastAsia="nl-NL"/>
        </w:rPr>
        <w:t xml:space="preserve">De werkdefinitie van cruciale </w:t>
      </w:r>
      <w:r w:rsidR="00D55762">
        <w:rPr>
          <w:szCs w:val="18"/>
          <w:lang w:eastAsia="nl-NL"/>
        </w:rPr>
        <w:t>GGZ</w:t>
      </w:r>
      <w:r w:rsidRPr="005F055E">
        <w:rPr>
          <w:szCs w:val="18"/>
          <w:lang w:eastAsia="nl-NL"/>
        </w:rPr>
        <w:t xml:space="preserve"> die in de regio’s wordt gebruikt bij het in kaart brengen van zorgvraag en de cruciale zorgnetwerken is: “</w:t>
      </w:r>
      <w:r w:rsidR="00D55762">
        <w:rPr>
          <w:szCs w:val="18"/>
          <w:lang w:eastAsia="nl-NL"/>
        </w:rPr>
        <w:t>GGZ</w:t>
      </w:r>
      <w:r w:rsidRPr="005F055E">
        <w:rPr>
          <w:szCs w:val="18"/>
          <w:lang w:eastAsia="nl-NL"/>
        </w:rPr>
        <w:t xml:space="preserve"> met een hoge logistiek (zorgaanbod) en een inhoudelijke (zorgvraag) complexiteit, waarbij cliënten/patiënten ernstige gezondheidsschade kunnen oplopen wanneer deze zorg (tijdelijk) niet meer beschikbaar is.” Cruciale </w:t>
      </w:r>
      <w:r w:rsidR="00D55762">
        <w:rPr>
          <w:szCs w:val="18"/>
          <w:lang w:eastAsia="nl-NL"/>
        </w:rPr>
        <w:t>GGZ</w:t>
      </w:r>
      <w:r w:rsidRPr="005F055E">
        <w:rPr>
          <w:szCs w:val="18"/>
          <w:lang w:eastAsia="nl-NL"/>
        </w:rPr>
        <w:t xml:space="preserve"> gaat dus om de zorgvraag van mensen die ernstig lijden, die niet in hokjes te stoppen zijn of een vastomlijnd aanbod volgen. Mensen lijden niet alleen aan een psychische aandoening, maar vaak meerdere aandoeningen of aan een combinatie van psychisch lijden en andere problematiek, zoals schulden, gebrek aan huisvesting of eenzaamheid. </w:t>
      </w:r>
    </w:p>
    <w:p w:rsidRPr="005F055E" w:rsidR="007E7344" w:rsidP="00180EEB" w:rsidRDefault="007E7344" w14:paraId="6043E481" w14:textId="43490ED2">
      <w:pPr>
        <w:suppressAutoHyphens/>
        <w:spacing w:line="240" w:lineRule="atLeast"/>
        <w:rPr>
          <w:szCs w:val="18"/>
          <w:lang w:eastAsia="nl-NL"/>
        </w:rPr>
      </w:pPr>
      <w:r w:rsidRPr="005F055E">
        <w:rPr>
          <w:szCs w:val="18"/>
          <w:lang w:eastAsia="nl-NL"/>
        </w:rPr>
        <w:t xml:space="preserve">Ook kent de zorg voor deze patiënten vaak een onvoorspelbaar beloop. Welk zorgaanbod cruciaal is, kan per regio verschillen, omdat de zorgvraag ook per regio verschilt. Er zijn wel zes clusters van zorgaanbod die tot cruciale </w:t>
      </w:r>
      <w:r w:rsidR="00D55762">
        <w:rPr>
          <w:szCs w:val="18"/>
          <w:lang w:eastAsia="nl-NL"/>
        </w:rPr>
        <w:t>GGZ</w:t>
      </w:r>
      <w:r w:rsidRPr="005F055E">
        <w:rPr>
          <w:szCs w:val="18"/>
          <w:lang w:eastAsia="nl-NL"/>
        </w:rPr>
        <w:t xml:space="preserve"> kunnen worden gerekend: acute zorg, </w:t>
      </w:r>
      <w:proofErr w:type="spellStart"/>
      <w:r w:rsidRPr="005F055E">
        <w:rPr>
          <w:szCs w:val="18"/>
          <w:lang w:eastAsia="nl-NL"/>
        </w:rPr>
        <w:t>outreachende</w:t>
      </w:r>
      <w:proofErr w:type="spellEnd"/>
      <w:r w:rsidRPr="005F055E">
        <w:rPr>
          <w:szCs w:val="18"/>
          <w:lang w:eastAsia="nl-NL"/>
        </w:rPr>
        <w:t xml:space="preserve"> zorg, klinische zorg, beveiligde zorg, </w:t>
      </w:r>
      <w:proofErr w:type="spellStart"/>
      <w:r w:rsidRPr="005F055E">
        <w:rPr>
          <w:szCs w:val="18"/>
          <w:lang w:eastAsia="nl-NL"/>
        </w:rPr>
        <w:t>hoogspecialistische</w:t>
      </w:r>
      <w:proofErr w:type="spellEnd"/>
      <w:r w:rsidRPr="005F055E">
        <w:rPr>
          <w:szCs w:val="18"/>
          <w:lang w:eastAsia="nl-NL"/>
        </w:rPr>
        <w:t xml:space="preserve"> zorg vanuit de </w:t>
      </w:r>
      <w:r w:rsidR="00D55762">
        <w:rPr>
          <w:szCs w:val="18"/>
          <w:lang w:eastAsia="nl-NL"/>
        </w:rPr>
        <w:t>GGZ</w:t>
      </w:r>
      <w:r w:rsidRPr="005F055E">
        <w:rPr>
          <w:szCs w:val="18"/>
          <w:lang w:eastAsia="nl-NL"/>
        </w:rPr>
        <w:t xml:space="preserve"> en </w:t>
      </w:r>
      <w:proofErr w:type="spellStart"/>
      <w:r w:rsidRPr="005F055E">
        <w:rPr>
          <w:szCs w:val="18"/>
          <w:lang w:eastAsia="nl-NL"/>
        </w:rPr>
        <w:t>hoogspecialistische</w:t>
      </w:r>
      <w:proofErr w:type="spellEnd"/>
      <w:r w:rsidRPr="005F055E">
        <w:rPr>
          <w:szCs w:val="18"/>
          <w:lang w:eastAsia="nl-NL"/>
        </w:rPr>
        <w:t xml:space="preserve"> zorg vanuit het ziekenhuis.</w:t>
      </w:r>
    </w:p>
    <w:p w:rsidRPr="005F055E" w:rsidR="009B2DB4" w:rsidP="00180EEB" w:rsidRDefault="009B2DB4" w14:paraId="28A662F3" w14:textId="77777777">
      <w:pPr>
        <w:suppressAutoHyphens/>
      </w:pPr>
    </w:p>
    <w:p w:rsidRPr="005F055E" w:rsidR="009B2DB4" w:rsidP="00180EEB" w:rsidRDefault="003E7003" w14:paraId="7F698957" w14:textId="77777777">
      <w:pPr>
        <w:suppressAutoHyphens/>
      </w:pPr>
      <w:r w:rsidRPr="005F055E">
        <w:t>Vraag 501</w:t>
      </w:r>
    </w:p>
    <w:p w:rsidRPr="005F055E" w:rsidR="009B2DB4" w:rsidP="00180EEB" w:rsidRDefault="003E7003" w14:paraId="472947D6" w14:textId="3552476C">
      <w:pPr>
        <w:suppressAutoHyphens/>
      </w:pPr>
      <w:r w:rsidRPr="005F055E">
        <w:t xml:space="preserve">Hoeveel cruciale </w:t>
      </w:r>
      <w:r w:rsidR="00D55762">
        <w:t>GGZ</w:t>
      </w:r>
      <w:r w:rsidR="00A540D3">
        <w:t>-</w:t>
      </w:r>
      <w:r w:rsidRPr="005F055E">
        <w:t>instellingen zijn er in Nederland? Hoeveel zijn er de afgelopen vijf jaar gesloten?</w:t>
      </w:r>
    </w:p>
    <w:p w:rsidRPr="005F055E" w:rsidR="003E7003" w:rsidP="00180EEB" w:rsidRDefault="003E7003" w14:paraId="7C10381A" w14:textId="7C042C6D">
      <w:pPr>
        <w:suppressAutoHyphens/>
      </w:pPr>
      <w:r w:rsidRPr="005F055E">
        <w:t>Antwoord</w:t>
      </w:r>
    </w:p>
    <w:p w:rsidRPr="005F055E" w:rsidR="00024FF9" w:rsidP="00180EEB" w:rsidRDefault="00024FF9" w14:paraId="1186B570" w14:textId="6AC83B2F">
      <w:pPr>
        <w:pStyle w:val="Normaalweb"/>
        <w:suppressAutoHyphens/>
        <w:spacing w:before="0" w:beforeAutospacing="0" w:after="0" w:afterAutospacing="0"/>
        <w:rPr>
          <w:rFonts w:ascii="Verdana" w:hAnsi="Verdana" w:cs="Calibri"/>
          <w:color w:val="000000"/>
          <w:sz w:val="18"/>
          <w:szCs w:val="18"/>
        </w:rPr>
      </w:pPr>
      <w:r w:rsidRPr="005F055E">
        <w:rPr>
          <w:rFonts w:ascii="Verdana" w:hAnsi="Verdana" w:cs="Calibri"/>
          <w:color w:val="000000"/>
          <w:sz w:val="18"/>
          <w:szCs w:val="18"/>
        </w:rPr>
        <w:t xml:space="preserve">Voor mensen met een hoog-complexe zorgvraag moet voldoende, passend zorgaanbod zijn: cruciale </w:t>
      </w:r>
      <w:r w:rsidR="00D55762">
        <w:rPr>
          <w:rFonts w:ascii="Verdana" w:hAnsi="Verdana" w:cs="Calibri"/>
          <w:color w:val="000000"/>
          <w:sz w:val="18"/>
          <w:szCs w:val="18"/>
        </w:rPr>
        <w:t>GGZ</w:t>
      </w:r>
      <w:r w:rsidRPr="005F055E">
        <w:rPr>
          <w:rFonts w:ascii="Verdana" w:hAnsi="Verdana" w:cs="Calibri"/>
          <w:color w:val="000000"/>
          <w:sz w:val="18"/>
          <w:szCs w:val="18"/>
        </w:rPr>
        <w:t xml:space="preserve">. Uitgangspunt is dat de zorgvraag leidend is. Elke regio legt op grond van de zorgvraag en regionale wachtlijsten de puzzel over welk aanbod nodig is. Elke regio stelt vast wat het aanbod cruciale </w:t>
      </w:r>
      <w:r w:rsidR="00D55762">
        <w:rPr>
          <w:rFonts w:ascii="Verdana" w:hAnsi="Verdana" w:cs="Calibri"/>
          <w:color w:val="000000"/>
          <w:sz w:val="18"/>
          <w:szCs w:val="18"/>
        </w:rPr>
        <w:t>GGZ</w:t>
      </w:r>
      <w:r w:rsidRPr="005F055E">
        <w:rPr>
          <w:rFonts w:ascii="Verdana" w:hAnsi="Verdana" w:cs="Calibri"/>
          <w:color w:val="000000"/>
          <w:sz w:val="18"/>
          <w:szCs w:val="18"/>
        </w:rPr>
        <w:t xml:space="preserve"> betreft. Er bestaan daarmee feitelijk geen ‘cruciale </w:t>
      </w:r>
      <w:r w:rsidR="00D55762">
        <w:rPr>
          <w:rFonts w:ascii="Verdana" w:hAnsi="Verdana" w:cs="Calibri"/>
          <w:color w:val="000000"/>
          <w:sz w:val="18"/>
          <w:szCs w:val="18"/>
        </w:rPr>
        <w:t>GGZ</w:t>
      </w:r>
      <w:r w:rsidRPr="005F055E">
        <w:rPr>
          <w:rFonts w:ascii="Verdana" w:hAnsi="Verdana" w:cs="Calibri"/>
          <w:color w:val="000000"/>
          <w:sz w:val="18"/>
          <w:szCs w:val="18"/>
        </w:rPr>
        <w:t xml:space="preserve">-instellingen’. Tegelijkertijd heb ik wel bestuurlijke afspraken gemaakt die bijdragen aan borging van cruciale </w:t>
      </w:r>
      <w:r w:rsidR="00D55762">
        <w:rPr>
          <w:rFonts w:ascii="Verdana" w:hAnsi="Verdana" w:cs="Calibri"/>
          <w:color w:val="000000"/>
          <w:sz w:val="18"/>
          <w:szCs w:val="18"/>
        </w:rPr>
        <w:t>GGZ</w:t>
      </w:r>
      <w:r w:rsidRPr="005F055E">
        <w:rPr>
          <w:rFonts w:ascii="Verdana" w:hAnsi="Verdana" w:cs="Calibri"/>
          <w:color w:val="000000"/>
          <w:sz w:val="18"/>
          <w:szCs w:val="18"/>
        </w:rPr>
        <w:t>:</w:t>
      </w:r>
    </w:p>
    <w:p w:rsidRPr="005F055E" w:rsidR="00024FF9" w:rsidP="00180EEB" w:rsidRDefault="00024FF9" w14:paraId="77EB4135" w14:textId="5112DF32">
      <w:pPr>
        <w:pStyle w:val="Normaalweb"/>
        <w:numPr>
          <w:ilvl w:val="0"/>
          <w:numId w:val="29"/>
        </w:numPr>
        <w:suppressAutoHyphens/>
        <w:spacing w:before="0" w:beforeAutospacing="0" w:after="0" w:afterAutospacing="0"/>
        <w:rPr>
          <w:rFonts w:ascii="Verdana" w:hAnsi="Verdana" w:cs="Calibri"/>
          <w:color w:val="000000"/>
          <w:sz w:val="18"/>
          <w:szCs w:val="18"/>
        </w:rPr>
      </w:pPr>
      <w:r w:rsidRPr="005F055E">
        <w:rPr>
          <w:rFonts w:ascii="Verdana" w:hAnsi="Verdana" w:cs="Calibri"/>
          <w:color w:val="000000"/>
          <w:sz w:val="18"/>
          <w:szCs w:val="18"/>
        </w:rPr>
        <w:t xml:space="preserve">Voor inkoopjaar 2025 en 2026 hebben landelijke </w:t>
      </w:r>
      <w:r w:rsidR="00D55762">
        <w:rPr>
          <w:rFonts w:ascii="Verdana" w:hAnsi="Verdana" w:cs="Calibri"/>
          <w:color w:val="000000"/>
          <w:sz w:val="18"/>
          <w:szCs w:val="18"/>
        </w:rPr>
        <w:t>GGZ</w:t>
      </w:r>
      <w:r w:rsidRPr="005F055E">
        <w:rPr>
          <w:rFonts w:ascii="Verdana" w:hAnsi="Verdana" w:cs="Calibri"/>
          <w:color w:val="000000"/>
          <w:sz w:val="18"/>
          <w:szCs w:val="18"/>
        </w:rPr>
        <w:t xml:space="preserve">-partijen afgesproken dat er geen cruciaal </w:t>
      </w:r>
      <w:r w:rsidR="00D55762">
        <w:rPr>
          <w:rFonts w:ascii="Verdana" w:hAnsi="Verdana" w:cs="Calibri"/>
          <w:color w:val="000000"/>
          <w:sz w:val="18"/>
          <w:szCs w:val="18"/>
        </w:rPr>
        <w:t>GGZ</w:t>
      </w:r>
      <w:r w:rsidRPr="005F055E">
        <w:rPr>
          <w:rFonts w:ascii="Verdana" w:hAnsi="Verdana" w:cs="Calibri"/>
          <w:color w:val="000000"/>
          <w:sz w:val="18"/>
          <w:szCs w:val="18"/>
        </w:rPr>
        <w:t xml:space="preserve"> aanbod verdwijnt om financiële redenen.</w:t>
      </w:r>
    </w:p>
    <w:p w:rsidRPr="005F055E" w:rsidR="00024FF9" w:rsidP="00180EEB" w:rsidRDefault="00024FF9" w14:paraId="17317EF3" w14:textId="0160478A">
      <w:pPr>
        <w:pStyle w:val="Normaalweb"/>
        <w:numPr>
          <w:ilvl w:val="0"/>
          <w:numId w:val="29"/>
        </w:numPr>
        <w:suppressAutoHyphens/>
        <w:rPr>
          <w:rFonts w:ascii="Verdana" w:hAnsi="Verdana" w:cs="Calibri"/>
          <w:color w:val="000000"/>
          <w:sz w:val="18"/>
          <w:szCs w:val="18"/>
        </w:rPr>
      </w:pPr>
      <w:r w:rsidRPr="005F055E">
        <w:rPr>
          <w:rFonts w:ascii="Verdana" w:hAnsi="Verdana" w:cs="Calibri"/>
          <w:color w:val="000000"/>
          <w:sz w:val="18"/>
          <w:szCs w:val="18"/>
        </w:rPr>
        <w:t xml:space="preserve">Voor de acute </w:t>
      </w:r>
      <w:r w:rsidR="00D55762">
        <w:rPr>
          <w:rFonts w:ascii="Verdana" w:hAnsi="Verdana" w:cs="Calibri"/>
          <w:color w:val="000000"/>
          <w:sz w:val="18"/>
          <w:szCs w:val="18"/>
        </w:rPr>
        <w:t>GGZ</w:t>
      </w:r>
      <w:r w:rsidRPr="005F055E">
        <w:rPr>
          <w:rFonts w:ascii="Verdana" w:hAnsi="Verdana" w:cs="Calibri"/>
          <w:color w:val="000000"/>
          <w:sz w:val="18"/>
          <w:szCs w:val="18"/>
        </w:rPr>
        <w:t xml:space="preserve"> (HIC en IHT) doet de </w:t>
      </w:r>
      <w:proofErr w:type="spellStart"/>
      <w:r w:rsidRPr="005F055E">
        <w:rPr>
          <w:rFonts w:ascii="Verdana" w:hAnsi="Verdana" w:cs="Calibri"/>
          <w:color w:val="000000"/>
          <w:sz w:val="18"/>
          <w:szCs w:val="18"/>
        </w:rPr>
        <w:t>NZa</w:t>
      </w:r>
      <w:proofErr w:type="spellEnd"/>
      <w:r w:rsidRPr="005F055E">
        <w:rPr>
          <w:rFonts w:ascii="Verdana" w:hAnsi="Verdana" w:cs="Calibri"/>
          <w:color w:val="000000"/>
          <w:sz w:val="18"/>
          <w:szCs w:val="18"/>
        </w:rPr>
        <w:t xml:space="preserve"> onderzoek naar budgetbekostiging voor de volledige High &amp; Intensive Care en Intensive Home treatment. Dit zijn onderdelen van de acute </w:t>
      </w:r>
      <w:r w:rsidR="00D55762">
        <w:rPr>
          <w:rFonts w:ascii="Verdana" w:hAnsi="Verdana" w:cs="Calibri"/>
          <w:color w:val="000000"/>
          <w:sz w:val="18"/>
          <w:szCs w:val="18"/>
        </w:rPr>
        <w:t>GGZ</w:t>
      </w:r>
      <w:r w:rsidRPr="005F055E">
        <w:rPr>
          <w:rFonts w:ascii="Verdana" w:hAnsi="Verdana" w:cs="Calibri"/>
          <w:color w:val="000000"/>
          <w:sz w:val="18"/>
          <w:szCs w:val="18"/>
        </w:rPr>
        <w:t xml:space="preserve">. </w:t>
      </w:r>
    </w:p>
    <w:p w:rsidRPr="005F055E" w:rsidR="00024FF9" w:rsidP="00180EEB" w:rsidRDefault="00024FF9" w14:paraId="60DFEAF2" w14:textId="6AC1BA9C">
      <w:pPr>
        <w:suppressAutoHyphens/>
        <w:spacing w:line="240" w:lineRule="auto"/>
        <w:rPr>
          <w:rFonts w:cs="Calibri"/>
          <w:color w:val="000000"/>
          <w:szCs w:val="18"/>
        </w:rPr>
      </w:pPr>
      <w:r w:rsidRPr="005F055E">
        <w:rPr>
          <w:rFonts w:cs="Calibri"/>
          <w:color w:val="000000"/>
          <w:szCs w:val="18"/>
        </w:rPr>
        <w:t>Mocht er sluiting van een zorginstelling plaatsvinden vanwege financiële redenen, waarbij de continuïteit van zorg voor patiënten en/of cliënten in het geding is, dan geldt het continuïteitsbeleid.</w:t>
      </w:r>
      <w:r w:rsidRPr="005F055E">
        <w:rPr>
          <w:rStyle w:val="Voetnootmarkering"/>
          <w:rFonts w:cs="Calibri"/>
          <w:color w:val="000000"/>
          <w:szCs w:val="18"/>
        </w:rPr>
        <w:footnoteReference w:id="194"/>
      </w:r>
      <w:r w:rsidRPr="005F055E" w:rsidR="00D73F76">
        <w:rPr>
          <w:rFonts w:cs="Calibri"/>
          <w:color w:val="000000"/>
          <w:szCs w:val="18"/>
        </w:rPr>
        <w:t xml:space="preserve"> </w:t>
      </w:r>
    </w:p>
    <w:p w:rsidRPr="005F055E" w:rsidR="009B2DB4" w:rsidP="00180EEB" w:rsidRDefault="009B2DB4" w14:paraId="750DDC1C" w14:textId="77777777">
      <w:pPr>
        <w:suppressAutoHyphens/>
      </w:pPr>
    </w:p>
    <w:p w:rsidRPr="005F055E" w:rsidR="009B2DB4" w:rsidP="00180EEB" w:rsidRDefault="003E7003" w14:paraId="2D2907D8" w14:textId="77777777">
      <w:pPr>
        <w:suppressAutoHyphens/>
      </w:pPr>
      <w:r w:rsidRPr="005F055E">
        <w:t>Vraag 502</w:t>
      </w:r>
    </w:p>
    <w:p w:rsidRPr="005F055E" w:rsidR="009B2DB4" w:rsidP="00180EEB" w:rsidRDefault="003E7003" w14:paraId="43CDFC74" w14:textId="77777777">
      <w:pPr>
        <w:suppressAutoHyphens/>
      </w:pPr>
      <w:r w:rsidRPr="005F055E">
        <w:t>Is de in 2025 via amendement toegekende €750.000 voor het ‘Uniek Sporten Centraal Loket’ in 2026 en 2027 gecontinueerd? Zo ja, waar is dit in de begroting terug te vinden?</w:t>
      </w:r>
    </w:p>
    <w:p w:rsidRPr="005F055E" w:rsidR="003E7003" w:rsidP="00180EEB" w:rsidRDefault="003E7003" w14:paraId="1545345C" w14:textId="26631FF7">
      <w:pPr>
        <w:suppressAutoHyphens/>
      </w:pPr>
      <w:r w:rsidRPr="005F055E">
        <w:t>Antwoord</w:t>
      </w:r>
    </w:p>
    <w:p w:rsidRPr="005F055E" w:rsidR="00024FF9" w:rsidP="00180EEB" w:rsidRDefault="00024FF9" w14:paraId="403321BC" w14:textId="308AC517">
      <w:pPr>
        <w:suppressAutoHyphens/>
      </w:pPr>
      <w:r w:rsidRPr="005F055E">
        <w:t xml:space="preserve">Het amendement stelt voor om in 2025 extra €750.000 vrij te maken voor het centrale loket voor sporthulpmiddelen. Dit gaat dus om een eenmalige toekenning. Daarnaast gaat het amendement in op de vraag of ook in 2026 en 2027 het centrale loket versterkt kan worden. Momenteel wordt onderzocht wat de mogelijkheden zijn om hetzelfde bedrag in 2026 en 2027 beschikbaar te stellen. </w:t>
      </w:r>
    </w:p>
    <w:p w:rsidRPr="005F055E" w:rsidR="009B2DB4" w:rsidP="00180EEB" w:rsidRDefault="009B2DB4" w14:paraId="47128A35" w14:textId="77777777">
      <w:pPr>
        <w:suppressAutoHyphens/>
      </w:pPr>
    </w:p>
    <w:p w:rsidRPr="005F055E" w:rsidR="009B2DB4" w:rsidP="00180EEB" w:rsidRDefault="003E7003" w14:paraId="67CD5B43" w14:textId="77777777">
      <w:pPr>
        <w:suppressAutoHyphens/>
      </w:pPr>
      <w:r w:rsidRPr="005F055E">
        <w:t>Vraag 503</w:t>
      </w:r>
    </w:p>
    <w:p w:rsidRPr="005F055E" w:rsidR="009B2DB4" w:rsidP="00180EEB" w:rsidRDefault="003E7003" w14:paraId="2001C5B2" w14:textId="77777777">
      <w:pPr>
        <w:suppressAutoHyphens/>
      </w:pPr>
      <w:r w:rsidRPr="005F055E">
        <w:t>Hoe wordt het totaalbudget van het Nationaal Actieplan Dakloosheid verdeelt, wetende dat €55 miljoen naar gemeenten gaat? Hoe wordt de overige €10 miljoen verdeeld? Hoeveel van deze middelen worden aan preventie besteed en hoeveel worden aan woonplekken voor dak- en thuisloze mensen besteed?</w:t>
      </w:r>
    </w:p>
    <w:p w:rsidRPr="005F055E" w:rsidR="003E7003" w:rsidP="00180EEB" w:rsidRDefault="003E7003" w14:paraId="1AF66B17" w14:textId="5D625272">
      <w:pPr>
        <w:suppressAutoHyphens/>
      </w:pPr>
      <w:r w:rsidRPr="005F055E">
        <w:t>Antwoord</w:t>
      </w:r>
    </w:p>
    <w:p w:rsidRPr="005F055E" w:rsidR="009A48D5" w:rsidP="00180EEB" w:rsidRDefault="009A48D5" w14:paraId="494EEDB1" w14:textId="7AEFFA1B">
      <w:pPr>
        <w:suppressAutoHyphens/>
      </w:pPr>
      <w:r w:rsidRPr="005F055E">
        <w:t>Vanaf 2022 is structureel € 65 miljoen extra beschikbaar gesteld voor de aanpak van dakloosheid. Er is structureel € 55 miljoen toegevoegd aan de decentralisatie uitkering Nationaal Actieplan Dakloosheid (voor centrumgemeenten). Daarnaast is er van de overige € 10 miljoen vanaf 2026 structureel € 8 miljoen onderdeel van de VWS-begroting ten behoeve van de aanpak van dakloosheid.</w:t>
      </w:r>
      <w:r w:rsidRPr="005F055E" w:rsidR="00D73F76">
        <w:t xml:space="preserve"> </w:t>
      </w:r>
      <w:r w:rsidRPr="005F055E">
        <w:t xml:space="preserve">Hiervan wordt voor € 3 miljoen wordt gewerkt aan de transitie naar Preventie en Wonen Eerst, het verbeteren van de monitoring dakloosheid (ETHOS tellingen) en het aanjagen van de beweging in regio’s door middel van subsidies aan o.a. </w:t>
      </w:r>
      <w:proofErr w:type="spellStart"/>
      <w:r w:rsidRPr="005F055E">
        <w:t>Housing</w:t>
      </w:r>
      <w:proofErr w:type="spellEnd"/>
      <w:r w:rsidRPr="005F055E">
        <w:t xml:space="preserve"> First Nederland, Platform Sociaal Domein en </w:t>
      </w:r>
      <w:proofErr w:type="spellStart"/>
      <w:r w:rsidRPr="005F055E">
        <w:t>Valente</w:t>
      </w:r>
      <w:proofErr w:type="spellEnd"/>
      <w:r w:rsidRPr="005F055E">
        <w:t xml:space="preserve">. Daarnaast wordt vanuit het ministerie van VWS het samenwerkingsverband Dakloosheid Voorbij! gefinancierd en wordt ingezet op het ontwikkelen van kennis over verschillende woonvormen voor (ex)dakloze mensen. Daarnaast wordt er vanaf 2026 t/m 2028 € 5 miljoen ingezet ten behoeve van de Pilot dakloze EU-burgers. De Pilot dakloze EU-burgers wordt vanaf 2026 uitgebreid en medegefinancierd door SZW met jaarlijks € 8 miljoen. In totaal is voor deze pilot jaarlijks €13 miljoen beschikbaar voor de jaren 2026, 2027 en 2028. De resterende € 2 miljoen is niet meer beschikbaar voor het Nationaal Actieplan Dakloosheid en ingezet ten behoeve van bredere </w:t>
      </w:r>
      <w:proofErr w:type="spellStart"/>
      <w:r w:rsidRPr="005F055E">
        <w:t>Wmo</w:t>
      </w:r>
      <w:proofErr w:type="spellEnd"/>
      <w:r w:rsidRPr="005F055E">
        <w:t xml:space="preserve"> doeleinden.</w:t>
      </w:r>
    </w:p>
    <w:p w:rsidRPr="005F055E" w:rsidR="009B2DB4" w:rsidP="00180EEB" w:rsidRDefault="009B2DB4" w14:paraId="3B1BA7C2" w14:textId="77777777">
      <w:pPr>
        <w:suppressAutoHyphens/>
      </w:pPr>
    </w:p>
    <w:p w:rsidRPr="005F055E" w:rsidR="009B2DB4" w:rsidP="00180EEB" w:rsidRDefault="003E7003" w14:paraId="0EC3FE8B" w14:textId="77777777">
      <w:pPr>
        <w:suppressAutoHyphens/>
      </w:pPr>
      <w:r w:rsidRPr="005F055E">
        <w:t>Vraag 504</w:t>
      </w:r>
    </w:p>
    <w:p w:rsidRPr="005F055E" w:rsidR="009B2DB4" w:rsidP="00180EEB" w:rsidRDefault="003E7003" w14:paraId="5EAB63A6" w14:textId="77777777">
      <w:pPr>
        <w:suppressAutoHyphens/>
      </w:pPr>
      <w:r w:rsidRPr="005F055E">
        <w:t>Waarom wordt er in 2026 door u €2 miljoen minder besteed aan de aanpak dakloze EU-burgers? Waar wordt deze €2 miljoen in 2026 aan besteed?</w:t>
      </w:r>
    </w:p>
    <w:p w:rsidRPr="005F055E" w:rsidR="003E7003" w:rsidP="00180EEB" w:rsidRDefault="003E7003" w14:paraId="7A7717A3" w14:textId="3E8A6758">
      <w:pPr>
        <w:suppressAutoHyphens/>
      </w:pPr>
      <w:r w:rsidRPr="005F055E">
        <w:t>Antwoord</w:t>
      </w:r>
    </w:p>
    <w:p w:rsidRPr="005F055E" w:rsidR="009A48D5" w:rsidP="00180EEB" w:rsidRDefault="009A48D5" w14:paraId="399FC0DB" w14:textId="77777777">
      <w:pPr>
        <w:suppressAutoHyphens/>
      </w:pPr>
      <w:r w:rsidRPr="005F055E">
        <w:t xml:space="preserve">In 2023 t/m 2025 was vanuit VWS € 7 miljoen per jaar beschikbaar voor 6 pilotgemeenten voor de opvang van dakloze EU migranten. Vanaf 2026 wordt de pilot uitgebreid naar 19 gemeenten/regio’s. Omdat dakloosheid van EU-burgers meerdere oorzaken kent, is besloten om vanuit meerdere ministeries een bijdrage te doen voor de financiering van deze pilot. Om die reden wordt vanaf 2026 de pilot gezamenlijk gefinancierd: voor de jaren 2026 t/m 2028 zal vanuit de VWS-middelen dakloosheid € 5 miljoen en vanuit SZW € 8 miljoen worden toegekend aan de voortzetting en uitbreiding van deze pilot. De resterende € 2 miljoen is niet meer beschikbaar voor het Nationaal Actieplan Dakloosheid en ingezet ten behoeve van bredere </w:t>
      </w:r>
      <w:proofErr w:type="spellStart"/>
      <w:r w:rsidRPr="005F055E">
        <w:t>Wmo</w:t>
      </w:r>
      <w:proofErr w:type="spellEnd"/>
      <w:r w:rsidRPr="005F055E">
        <w:t xml:space="preserve"> doeleinden.</w:t>
      </w:r>
    </w:p>
    <w:p w:rsidRPr="005F055E" w:rsidR="009A48D5" w:rsidP="00180EEB" w:rsidRDefault="009A48D5" w14:paraId="40B66DCC" w14:textId="77777777">
      <w:pPr>
        <w:suppressAutoHyphens/>
      </w:pPr>
    </w:p>
    <w:p w:rsidRPr="005F055E" w:rsidR="009B2DB4" w:rsidP="00180EEB" w:rsidRDefault="003E7003" w14:paraId="1C174312" w14:textId="77777777">
      <w:pPr>
        <w:suppressAutoHyphens/>
      </w:pPr>
      <w:r w:rsidRPr="005F055E">
        <w:t>Vraag 505</w:t>
      </w:r>
    </w:p>
    <w:p w:rsidRPr="005F055E" w:rsidR="009B2DB4" w:rsidP="00180EEB" w:rsidRDefault="003E7003" w14:paraId="044B52E9" w14:textId="77777777">
      <w:pPr>
        <w:suppressAutoHyphens/>
      </w:pPr>
      <w:r w:rsidRPr="005F055E">
        <w:t>Wordt er in 2026 of de jaren erna bezuinigd op het Nationaal Actieplan Dakloosheid of blijft het de hele periode van 2026 t/m 2030 €65 miljoen per jaar? Als er wel bezuinigd wordt, hoeveel en op wat?</w:t>
      </w:r>
    </w:p>
    <w:p w:rsidRPr="005F055E" w:rsidR="003E7003" w:rsidP="00180EEB" w:rsidRDefault="003E7003" w14:paraId="45D2B097" w14:textId="7086F3FE">
      <w:pPr>
        <w:suppressAutoHyphens/>
      </w:pPr>
      <w:r w:rsidRPr="005F055E">
        <w:t>Antwoord</w:t>
      </w:r>
    </w:p>
    <w:p w:rsidRPr="005F055E" w:rsidR="009A48D5" w:rsidP="00180EEB" w:rsidRDefault="009A48D5" w14:paraId="6BAC151F" w14:textId="62CC0EA5">
      <w:pPr>
        <w:suppressAutoHyphens/>
      </w:pPr>
      <w:r w:rsidRPr="005F055E">
        <w:t xml:space="preserve">Vanaf 2022 is structureel € 65 miljoen extra beschikbaar gesteld voor de aanpak van dakloosheid. Er is structureel € 55 miljoen toegevoegd aan de decentralisatie uitkering Nationaal Actieplan Dakloosheid (voor centrumgemeenten). De middelen komen boven op de € 385 miljoen (excl. indexatie via het accres) die via de decentralisatie uitkering Maatschappelijke Opvang aan 44 centrumgemeenten wordt verstrekt. Gemeenten ontvangen via decentralisatie uitkeringen dus € 440 miljoen in totaal (excl. indexatie via het accres). Deze middelen zijn structureel beschikbaar voor de aanpak van dakloosheid. Daarnaast is er van de overige € 10 miljoen vanaf 2026 €2 miljoen aangewend voor andere </w:t>
      </w:r>
      <w:proofErr w:type="spellStart"/>
      <w:r w:rsidRPr="005F055E">
        <w:t>Wmo</w:t>
      </w:r>
      <w:proofErr w:type="spellEnd"/>
      <w:r w:rsidRPr="005F055E">
        <w:t xml:space="preserve"> doeleinden en € 8 miljoen onderdeel van de VWS-begroting ten behoeve van de aanpak van dakloosheid. Voor € 3 miljoen wordt gewerkt aan de transitie naar Preventie en Wonen Eerst, het verbeteren van de monitoring dakloosheid (ETHOS tellingen) en het aanjagen van de beweging in regio’s door middel van subsidies aan o.a. </w:t>
      </w:r>
      <w:proofErr w:type="spellStart"/>
      <w:r w:rsidRPr="005F055E">
        <w:t>Housing</w:t>
      </w:r>
      <w:proofErr w:type="spellEnd"/>
      <w:r w:rsidRPr="005F055E">
        <w:t xml:space="preserve"> First Nederland, Platform Sociaal Domein en </w:t>
      </w:r>
      <w:proofErr w:type="spellStart"/>
      <w:r w:rsidRPr="005F055E">
        <w:t>Valente</w:t>
      </w:r>
      <w:proofErr w:type="spellEnd"/>
      <w:r w:rsidRPr="005F055E">
        <w:t xml:space="preserve">. Daarnaast wordt vanuit het ministerie van VWS het samenwerkingsverband Dakloosheid Voorbij! gefinancierd en wordt ingezet op het ontwikkelen van kennis over verschillende woonvormen voor (ex)dakloze mensen. Daarnaast wordt er vanaf 2026 t/m 2028 € 5 miljoen ingezet ten behoeve van de Pilot dakloze EU-burgers. De Pilot dakloze EU-burgers wordt vanaf 2026 uitgebreid en medegefinancierd door SZW met jaarlijks € 8 miljoen. In totaal is voor deze pilot jaarlijks €13 miljoen beschikbaar voor de jaren 2026, 2027 en 2028. Er is derhalve geen sprake van een bezuiniging op het Nationaal Actieplan Dakloosheid. </w:t>
      </w:r>
    </w:p>
    <w:p w:rsidR="00D71325" w:rsidP="00180EEB" w:rsidRDefault="00D71325" w14:paraId="1FE75E1A" w14:textId="77777777">
      <w:pPr>
        <w:suppressAutoHyphens/>
      </w:pPr>
    </w:p>
    <w:p w:rsidRPr="005F055E" w:rsidR="009B2DB4" w:rsidP="00180EEB" w:rsidRDefault="003E7003" w14:paraId="67294665" w14:textId="05155EED">
      <w:pPr>
        <w:suppressAutoHyphens/>
      </w:pPr>
      <w:r w:rsidRPr="005F055E">
        <w:t>Vraag 506</w:t>
      </w:r>
    </w:p>
    <w:p w:rsidRPr="005F055E" w:rsidR="009B2DB4" w:rsidP="00180EEB" w:rsidRDefault="003E7003" w14:paraId="4E8A57E0" w14:textId="77777777">
      <w:pPr>
        <w:suppressAutoHyphens/>
      </w:pPr>
      <w:r w:rsidRPr="005F055E">
        <w:t>Waar zijn de extra middelen voor de opvang van dakloze EU-burgers (€13 miljoen per jaar), die per 1 januari 2026 zouden worden besteed, te vinden op de begroting?</w:t>
      </w:r>
      <w:r w:rsidRPr="005F055E">
        <w:tab/>
      </w:r>
    </w:p>
    <w:p w:rsidRPr="005F055E" w:rsidR="003E7003" w:rsidP="00180EEB" w:rsidRDefault="003E7003" w14:paraId="3ECD6BBE" w14:textId="357E6F8E">
      <w:pPr>
        <w:suppressAutoHyphens/>
      </w:pPr>
      <w:r w:rsidRPr="005F055E">
        <w:t>Antwoord</w:t>
      </w:r>
    </w:p>
    <w:p w:rsidRPr="005F055E" w:rsidR="009B2DB4" w:rsidP="00180EEB" w:rsidRDefault="00024FF9" w14:paraId="1805D71E" w14:textId="1C0FEE86">
      <w:pPr>
        <w:suppressAutoHyphens/>
      </w:pPr>
      <w:r w:rsidRPr="005F055E">
        <w:t xml:space="preserve">Voor de jaren 2026 t/m 2028 zal vanuit de VWS-middelen die beschikbaar zijn voor de aanpak van dakloosheid € 5 miljoen en vanuit SZW € 8 miljoen worden toegekend aan de voortzetting en uitbreiding van deze pilot. De € 5 miljoen die VWS besteedt, is te vinden op artikel 3 en de SZW-middelen staan op de SZW-begroting op artikel 99. </w:t>
      </w:r>
    </w:p>
    <w:p w:rsidRPr="005F055E" w:rsidR="001E6A58" w:rsidP="00180EEB" w:rsidRDefault="001E6A58" w14:paraId="79F564C2" w14:textId="77777777">
      <w:pPr>
        <w:suppressAutoHyphens/>
      </w:pPr>
    </w:p>
    <w:p w:rsidRPr="005F055E" w:rsidR="009B2DB4" w:rsidP="00180EEB" w:rsidRDefault="003E7003" w14:paraId="4FEE368F" w14:textId="77777777">
      <w:pPr>
        <w:suppressAutoHyphens/>
      </w:pPr>
      <w:r w:rsidRPr="005F055E">
        <w:t>Vraag 507</w:t>
      </w:r>
    </w:p>
    <w:p w:rsidRPr="005F055E" w:rsidR="009B2DB4" w:rsidP="00180EEB" w:rsidRDefault="003E7003" w14:paraId="0FFCF402" w14:textId="77777777">
      <w:pPr>
        <w:suppressAutoHyphens/>
      </w:pPr>
      <w:r w:rsidRPr="005F055E">
        <w:t>Waarom is in de Strategische Beleidsagenda met betrekking tot de evaluatie van het persoonsgebonden budget (PGB) slechts één onderzoek opgenomen, wetende dat veel mensen met één van de vier soorten PGB zorg inkopen en meer onderzoek naar de evaluatie hiervan dus van meerwaarde kan zijn?</w:t>
      </w:r>
    </w:p>
    <w:p w:rsidRPr="005F055E" w:rsidR="00B06701" w:rsidP="00180EEB" w:rsidRDefault="003E7003" w14:paraId="5318A2F3" w14:textId="7A6501A4">
      <w:pPr>
        <w:suppressAutoHyphens/>
      </w:pPr>
      <w:r w:rsidRPr="005F055E">
        <w:t>Antwoord</w:t>
      </w:r>
    </w:p>
    <w:p w:rsidR="0032493A" w:rsidP="00180EEB" w:rsidRDefault="0032493A" w14:paraId="2936A34C" w14:textId="5403CCD4">
      <w:pPr>
        <w:suppressAutoHyphens/>
      </w:pPr>
      <w:r w:rsidRPr="005F055E">
        <w:t xml:space="preserve">Het klopt dat in de door u aangehaalde agenda alleen een onderzoek staat over het persoonsgebonden budget in de </w:t>
      </w:r>
      <w:proofErr w:type="spellStart"/>
      <w:r w:rsidRPr="005F055E">
        <w:t>Wlz</w:t>
      </w:r>
      <w:proofErr w:type="spellEnd"/>
      <w:r w:rsidRPr="005F055E">
        <w:t xml:space="preserve">. Ik heb hiervoor gekozen omdat het </w:t>
      </w:r>
      <w:proofErr w:type="spellStart"/>
      <w:r w:rsidRPr="005F055E">
        <w:t>Wlz</w:t>
      </w:r>
      <w:proofErr w:type="spellEnd"/>
      <w:r w:rsidRPr="005F055E">
        <w:t xml:space="preserve">-pgb de grootste en snelst groeiende variant is van het pgb. Daarbij verwacht ik dat ik op basis van dit verkennende onderzoek duidelijk wordt hoe de verschillende soorten pgb elkaar beïnvloeden. Ook wil ik uit het onderzoek naar de </w:t>
      </w:r>
      <w:proofErr w:type="spellStart"/>
      <w:r w:rsidRPr="005F055E">
        <w:t>Wlz</w:t>
      </w:r>
      <w:proofErr w:type="spellEnd"/>
      <w:r w:rsidRPr="005F055E">
        <w:t xml:space="preserve"> lessen trekken die ik kan toepassen op het pgb in andere domeinen. Deze lessen worden dan voor nader onderzoek in de SEA geformuleerd. De resultaten van deze verbredingsslag zullen onderdeel vormen van de geactualiseerde SEA in de eerstkomende begroting. Daarnaast heeft mijn voorganger afgesproken dat het besluit, om de hoogte van het pgb-</w:t>
      </w:r>
      <w:proofErr w:type="spellStart"/>
      <w:r w:rsidRPr="005F055E">
        <w:t>Wlz</w:t>
      </w:r>
      <w:proofErr w:type="spellEnd"/>
      <w:r w:rsidRPr="005F055E">
        <w:t xml:space="preserve"> verplicht af te stemmen op een passende zorginzet, wordt geëvalueerd. Het besluit is inwerking getreden op 1 januari 2025 en zal al in 2026 worden geëvalueerd. Dit levert eerste beelden op van de implementatie van dit besluit.</w:t>
      </w:r>
    </w:p>
    <w:p w:rsidR="00D544B0" w:rsidP="00180EEB" w:rsidRDefault="00D544B0" w14:paraId="453A02C8" w14:textId="77777777">
      <w:pPr>
        <w:suppressAutoHyphens/>
      </w:pPr>
    </w:p>
    <w:p w:rsidRPr="005F055E" w:rsidR="00D544B0" w:rsidP="00180EEB" w:rsidRDefault="00D544B0" w14:paraId="17CC2B46" w14:textId="77777777">
      <w:pPr>
        <w:suppressAutoHyphens/>
      </w:pPr>
      <w:r w:rsidRPr="005F055E">
        <w:t>Vraag 508</w:t>
      </w:r>
      <w:r w:rsidRPr="005F055E">
        <w:tab/>
      </w:r>
    </w:p>
    <w:p w:rsidRPr="005F055E" w:rsidR="00D544B0" w:rsidP="00180EEB" w:rsidRDefault="00D544B0" w14:paraId="0EA4CDA9" w14:textId="77777777">
      <w:pPr>
        <w:suppressAutoHyphens/>
      </w:pPr>
      <w:r w:rsidRPr="005F055E">
        <w:t>Hoeveel mensen hebben momenteel geen vaste huisarts?</w:t>
      </w:r>
      <w:r w:rsidRPr="005F055E">
        <w:tab/>
      </w:r>
    </w:p>
    <w:p w:rsidRPr="005F055E" w:rsidR="00D544B0" w:rsidP="00180EEB" w:rsidRDefault="00D544B0" w14:paraId="63728CD5" w14:textId="77777777">
      <w:pPr>
        <w:suppressAutoHyphens/>
      </w:pPr>
      <w:r w:rsidRPr="005F055E">
        <w:t>Antwoord</w:t>
      </w:r>
    </w:p>
    <w:p w:rsidRPr="005F055E" w:rsidR="00D544B0" w:rsidP="00180EEB" w:rsidRDefault="00D544B0" w14:paraId="3C91A950" w14:textId="77777777">
      <w:pPr>
        <w:suppressAutoHyphens/>
        <w:spacing w:line="240" w:lineRule="atLeast"/>
        <w:rPr>
          <w:szCs w:val="18"/>
          <w:lang w:eastAsia="nl-NL"/>
        </w:rPr>
      </w:pPr>
      <w:r w:rsidRPr="005F055E">
        <w:rPr>
          <w:szCs w:val="18"/>
          <w:lang w:eastAsia="nl-NL"/>
        </w:rPr>
        <w:t>Op basis van bestaande onderzoeken, onder andere van het NIVEL, heeft de Algemene Rekenkamer geconcludeerd dat er tussen de 45.000 en 194.000 mensen zonder huisarts zijn</w:t>
      </w:r>
      <w:r w:rsidRPr="005F055E">
        <w:rPr>
          <w:szCs w:val="18"/>
          <w:vertAlign w:val="superscript"/>
          <w:lang w:eastAsia="nl-NL"/>
        </w:rPr>
        <w:footnoteReference w:id="195"/>
      </w:r>
      <w:r w:rsidRPr="005F055E">
        <w:rPr>
          <w:szCs w:val="18"/>
          <w:lang w:eastAsia="nl-NL"/>
        </w:rPr>
        <w:t xml:space="preserve">. Deze groep mensen staat (ongewenst) niet ingeschreven bij een huisartsenpraktijk. </w:t>
      </w:r>
    </w:p>
    <w:p w:rsidRPr="005F055E" w:rsidR="00D544B0" w:rsidP="00180EEB" w:rsidRDefault="00D544B0" w14:paraId="3B19250D" w14:textId="77777777">
      <w:pPr>
        <w:suppressAutoHyphens/>
        <w:spacing w:line="240" w:lineRule="atLeast"/>
        <w:rPr>
          <w:szCs w:val="18"/>
          <w:lang w:eastAsia="nl-NL"/>
        </w:rPr>
      </w:pPr>
      <w:r w:rsidRPr="005F055E">
        <w:rPr>
          <w:szCs w:val="18"/>
          <w:lang w:eastAsia="nl-NL"/>
        </w:rPr>
        <w:t xml:space="preserve">Er zijn geen cijfers beschikbaar over het aantal mensen dat wel bij een praktijk staat ingeschreven, maar daar geen vaste huisarts of vast team van zorgverleners heeft. </w:t>
      </w:r>
    </w:p>
    <w:p w:rsidRPr="005F055E" w:rsidR="00D544B0" w:rsidP="00180EEB" w:rsidRDefault="00D544B0" w14:paraId="7EDA4D15" w14:textId="77777777">
      <w:pPr>
        <w:suppressAutoHyphens/>
      </w:pPr>
    </w:p>
    <w:sectPr w:rsidRPr="005F055E" w:rsidR="00D544B0" w:rsidSect="001E6A24">
      <w:footerReference w:type="default" r:id="rId46"/>
      <w:footerReference w:type="first" r:id="rId4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E262" w14:textId="77777777" w:rsidR="00211938" w:rsidRDefault="00211938" w:rsidP="000478A7">
      <w:pPr>
        <w:spacing w:after="0" w:line="240" w:lineRule="auto"/>
      </w:pPr>
      <w:r>
        <w:separator/>
      </w:r>
    </w:p>
  </w:endnote>
  <w:endnote w:type="continuationSeparator" w:id="0">
    <w:p w14:paraId="42975705" w14:textId="77777777" w:rsidR="00211938" w:rsidRDefault="00211938" w:rsidP="0004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variable"/>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Aptos Narrow">
    <w:charset w:val="00"/>
    <w:family w:val="swiss"/>
    <w:pitch w:val="variable"/>
    <w:sig w:usb0="20000287" w:usb1="00000003" w:usb2="00000000" w:usb3="00000000" w:csb0="0000019F" w:csb1="00000000"/>
  </w:font>
  <w:font w:name="GMBLJ B+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A9F8" w14:textId="77777777" w:rsidR="00912A7D" w:rsidRDefault="00912A7D">
    <w:pPr>
      <w:pStyle w:val="Voettekst"/>
    </w:pPr>
    <w:r>
      <w:rPr>
        <w:noProof/>
      </w:rPr>
      <mc:AlternateContent>
        <mc:Choice Requires="wps">
          <w:drawing>
            <wp:anchor distT="0" distB="0" distL="114300" distR="114300" simplePos="0" relativeHeight="251660288" behindDoc="0" locked="0" layoutInCell="1" allowOverlap="1" wp14:anchorId="33BE6999" wp14:editId="2AE5D5CB">
              <wp:simplePos x="0" y="0"/>
              <wp:positionH relativeFrom="column">
                <wp:posOffset>5081270</wp:posOffset>
              </wp:positionH>
              <wp:positionV relativeFrom="paragraph">
                <wp:posOffset>-167005</wp:posOffset>
              </wp:positionV>
              <wp:extent cx="1263650" cy="342900"/>
              <wp:effectExtent l="4445" t="4445" r="0" b="0"/>
              <wp:wrapNone/>
              <wp:docPr id="3106811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A4C57" w14:textId="77777777" w:rsidR="00912A7D" w:rsidRDefault="00912A7D" w:rsidP="00FA7B56">
                          <w:pPr>
                            <w:pStyle w:val="Afzendgegevens"/>
                          </w:pPr>
                          <w:r>
                            <w:t xml:space="preserve">Pagina </w:t>
                          </w:r>
                          <w:r>
                            <w:fldChar w:fldCharType="begin"/>
                          </w:r>
                          <w:r>
                            <w:instrText xml:space="preserve"> Page </w:instrText>
                          </w:r>
                          <w:r>
                            <w:fldChar w:fldCharType="separate"/>
                          </w:r>
                          <w:r>
                            <w:rPr>
                              <w:noProof/>
                            </w:rPr>
                            <w:t>2</w:t>
                          </w:r>
                          <w:r>
                            <w:rPr>
                              <w:noProof/>
                            </w:rPr>
                            <w:fldChar w:fldCharType="end"/>
                          </w:r>
                          <w:r>
                            <w:t xml:space="preserve"> van </w:t>
                          </w:r>
                          <w:fldSimple w:instr=" NUMPAGES   \* MERGEFORMAT ">
                            <w:r>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BE6999" id="_x0000_t202" coordsize="21600,21600" o:spt="202" path="m,l,21600r21600,l21600,xe">
              <v:stroke joinstyle="miter"/>
              <v:path gradientshapeok="t" o:connecttype="rect"/>
            </v:shapetype>
            <v:shape id="Text Box 8" o:spid="_x0000_s1026" type="#_x0000_t202" style="position:absolute;margin-left:400.1pt;margin-top:-13.1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B5/6VvgAAAACgEAAA8AAABkcnMvZG93bnJldi54bWxMj8FOwzAMhu9IvENkJC5o&#10;SwlSt5amE2xwg8PGtLPXZG21xqmSdO3ennAaR9uffn9/sZpMxy7a+daShOd5AkxTZVVLtYT9z+ds&#10;CcwHJIWdJS3hqj2syvu7AnNlR9rqyy7ULIaQz1FCE0Kfc+6rRhv0c9trireTdQZDHF3NlcMxhpuO&#10;iyRJucGW4ocGe71udHXeDUZCunHDuKX102b/8YXffS0O79eDlI8P09srsKCncIPhTz+qQxmdjnYg&#10;5VknYZkkIqISZiJ9ARaJLMvi5ihBLBbAy4L/r1D+AgAA//8DAFBLAQItABQABgAIAAAAIQC2gziS&#10;/gAAAOEBAAATAAAAAAAAAAAAAAAAAAAAAABbQ29udGVudF9UeXBlc10ueG1sUEsBAi0AFAAGAAgA&#10;AAAhADj9If/WAAAAlAEAAAsAAAAAAAAAAAAAAAAALwEAAF9yZWxzLy5yZWxzUEsBAi0AFAAGAAgA&#10;AAAhAMszd2TdAQAAoAMAAA4AAAAAAAAAAAAAAAAALgIAAGRycy9lMm9Eb2MueG1sUEsBAi0AFAAG&#10;AAgAAAAhAB5/6VvgAAAACgEAAA8AAAAAAAAAAAAAAAAANwQAAGRycy9kb3ducmV2LnhtbFBLBQYA&#10;AAAABAAEAPMAAABEBQAAAAA=&#10;" stroked="f">
              <v:textbox inset="0,0,0,0">
                <w:txbxContent>
                  <w:p w14:paraId="1EEA4C57" w14:textId="77777777" w:rsidR="00912A7D" w:rsidRDefault="00912A7D" w:rsidP="00FA7B56">
                    <w:pPr>
                      <w:pStyle w:val="Afzendgegevens"/>
                    </w:pPr>
                    <w:r>
                      <w:t xml:space="preserve">Pagina </w:t>
                    </w:r>
                    <w:r>
                      <w:fldChar w:fldCharType="begin"/>
                    </w:r>
                    <w:r>
                      <w:instrText xml:space="preserve"> Page </w:instrText>
                    </w:r>
                    <w:r>
                      <w:fldChar w:fldCharType="separate"/>
                    </w:r>
                    <w:r>
                      <w:rPr>
                        <w:noProof/>
                      </w:rPr>
                      <w:t>2</w:t>
                    </w:r>
                    <w:r>
                      <w:rPr>
                        <w:noProof/>
                      </w:rPr>
                      <w:fldChar w:fldCharType="end"/>
                    </w:r>
                    <w:r>
                      <w:t xml:space="preserve"> van </w:t>
                    </w:r>
                    <w:fldSimple w:instr=" NUMPAGES   \* MERGEFORMAT ">
                      <w:r>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A48C" w14:textId="77777777" w:rsidR="00912A7D" w:rsidRDefault="00912A7D">
    <w:pPr>
      <w:pStyle w:val="Voettekst"/>
    </w:pPr>
    <w:r>
      <w:rPr>
        <w:noProof/>
      </w:rPr>
      <mc:AlternateContent>
        <mc:Choice Requires="wps">
          <w:drawing>
            <wp:anchor distT="0" distB="0" distL="114300" distR="114300" simplePos="0" relativeHeight="251659264" behindDoc="0" locked="0" layoutInCell="1" allowOverlap="1" wp14:anchorId="4E47A3F6" wp14:editId="2D69FEB1">
              <wp:simplePos x="0" y="0"/>
              <wp:positionH relativeFrom="column">
                <wp:posOffset>4928870</wp:posOffset>
              </wp:positionH>
              <wp:positionV relativeFrom="paragraph">
                <wp:posOffset>-319405</wp:posOffset>
              </wp:positionV>
              <wp:extent cx="1263650" cy="342900"/>
              <wp:effectExtent l="4445" t="4445" r="0" b="0"/>
              <wp:wrapNone/>
              <wp:docPr id="1485218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DF22D" w14:textId="77777777" w:rsidR="00912A7D" w:rsidRDefault="00912A7D" w:rsidP="008E7FA0">
                          <w:pPr>
                            <w:pStyle w:val="Afzendgegevens"/>
                          </w:pPr>
                          <w:r>
                            <w:t xml:space="preserve">Pagina </w:t>
                          </w:r>
                          <w:r>
                            <w:fldChar w:fldCharType="begin"/>
                          </w:r>
                          <w:r>
                            <w:instrText xml:space="preserve"> Page </w:instrText>
                          </w:r>
                          <w:r>
                            <w:fldChar w:fldCharType="separate"/>
                          </w:r>
                          <w:r>
                            <w:t>1</w:t>
                          </w:r>
                          <w:r>
                            <w:rPr>
                              <w:noProof/>
                            </w:rPr>
                            <w:fldChar w:fldCharType="end"/>
                          </w:r>
                          <w:r>
                            <w:t xml:space="preserve"> van </w:t>
                          </w:r>
                          <w:fldSimple w:instr=" NUMPAGES   \* MERGEFORMAT ">
                            <w:r>
                              <w:rPr>
                                <w:noProof/>
                              </w:rPr>
                              <w:t>1</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E47A3F6" id="_x0000_t202" coordsize="21600,21600" o:spt="202" path="m,l,21600r21600,l21600,xe">
              <v:stroke joinstyle="miter"/>
              <v:path gradientshapeok="t" o:connecttype="rect"/>
            </v:shapetype>
            <v:shape id="Text Box 6" o:spid="_x0000_s1027" type="#_x0000_t202" style="position:absolute;margin-left:388.1pt;margin-top:-25.1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Qlqg7t8AAAAJAQAADwAAAGRycy9kb3ducmV2LnhtbEyPwU7DMAyG70i8Q2Qk&#10;LmhL6bR2K3Un2OAGh41pZ68JbUXjVE26dm9POMHR9qff359vJtOKi+5dYxnhcR6B0Fxa1XCFcPx8&#10;m61AOE+sqLWsEa7awaa4vckpU3bkvb4cfCVCCLuMEGrvu0xKV9bakJvbTnO4fdnekA9jX0nV0xjC&#10;TSvjKEqkoYbDh5o6va11+X0YDEKy64dxz9uH3fH1nT66Kj69XE+I93fT8xMIryf/B8OvflCHIjid&#10;7cDKiRYhTZM4oAizZbQAEYh1ugybM8IiBVnk8n+D4gcAAP//AwBQSwECLQAUAAYACAAAACEAtoM4&#10;kv4AAADhAQAAEwAAAAAAAAAAAAAAAAAAAAAAW0NvbnRlbnRfVHlwZXNdLnhtbFBLAQItABQABgAI&#10;AAAAIQA4/SH/1gAAAJQBAAALAAAAAAAAAAAAAAAAAC8BAABfcmVscy8ucmVsc1BLAQItABQABgAI&#10;AAAAIQB7k8Jf3wEAAKcDAAAOAAAAAAAAAAAAAAAAAC4CAABkcnMvZTJvRG9jLnhtbFBLAQItABQA&#10;BgAIAAAAIQBCWqDu3wAAAAkBAAAPAAAAAAAAAAAAAAAAADkEAABkcnMvZG93bnJldi54bWxQSwUG&#10;AAAAAAQABADzAAAARQUAAAAA&#10;" stroked="f">
              <v:textbox inset="0,0,0,0">
                <w:txbxContent>
                  <w:p w14:paraId="3BCDF22D" w14:textId="77777777" w:rsidR="00912A7D" w:rsidRDefault="00912A7D" w:rsidP="008E7FA0">
                    <w:pPr>
                      <w:pStyle w:val="Afzendgegevens"/>
                    </w:pPr>
                    <w:r>
                      <w:t xml:space="preserve">Pagina </w:t>
                    </w:r>
                    <w:r>
                      <w:fldChar w:fldCharType="begin"/>
                    </w:r>
                    <w:r>
                      <w:instrText xml:space="preserve"> Page </w:instrText>
                    </w:r>
                    <w:r>
                      <w:fldChar w:fldCharType="separate"/>
                    </w:r>
                    <w:r>
                      <w:t>1</w:t>
                    </w:r>
                    <w:r>
                      <w:rPr>
                        <w:noProof/>
                      </w:rPr>
                      <w:fldChar w:fldCharType="end"/>
                    </w:r>
                    <w:r>
                      <w:t xml:space="preserve"> van </w:t>
                    </w:r>
                    <w:fldSimple w:instr=" NUMPAGES   \* MERGEFORMAT ">
                      <w:r>
                        <w:rPr>
                          <w:noProof/>
                        </w:rPr>
                        <w:t>1</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C4F5" w14:textId="77777777" w:rsidR="00211938" w:rsidRDefault="00211938" w:rsidP="000478A7">
      <w:pPr>
        <w:spacing w:after="0" w:line="240" w:lineRule="auto"/>
      </w:pPr>
      <w:r>
        <w:separator/>
      </w:r>
    </w:p>
  </w:footnote>
  <w:footnote w:type="continuationSeparator" w:id="0">
    <w:p w14:paraId="34462F43" w14:textId="77777777" w:rsidR="00211938" w:rsidRDefault="00211938" w:rsidP="000478A7">
      <w:pPr>
        <w:spacing w:after="0" w:line="240" w:lineRule="auto"/>
      </w:pPr>
      <w:r>
        <w:continuationSeparator/>
      </w:r>
    </w:p>
  </w:footnote>
  <w:footnote w:id="1">
    <w:p w14:paraId="6A685502" w14:textId="77777777" w:rsidR="000478A7" w:rsidRPr="009873CE" w:rsidRDefault="000478A7"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Tweede Kamer, vergaderjaar 2024–2025, 19 637, nr. 3451</w:t>
      </w:r>
    </w:p>
  </w:footnote>
  <w:footnote w:id="2">
    <w:p w14:paraId="2D1E7393" w14:textId="6E3F21BF" w:rsidR="00975FAA" w:rsidRPr="009873CE" w:rsidRDefault="00975FAA"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Kamerstukken II 2024/25, 32 793, nr. 869</w:t>
      </w:r>
    </w:p>
  </w:footnote>
  <w:footnote w:id="3">
    <w:p w14:paraId="59C49B7A" w14:textId="77777777" w:rsidR="00A41081" w:rsidRPr="009873CE" w:rsidRDefault="00A41081"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Kamerstukken II 2024/25, 32 793, nr. 869</w:t>
      </w:r>
    </w:p>
  </w:footnote>
  <w:footnote w:id="4">
    <w:p w14:paraId="64C25497" w14:textId="77777777" w:rsidR="00A41081" w:rsidRPr="009873CE" w:rsidRDefault="00A41081"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Kamerstukken II 2024/25, 32 793, nr. 869</w:t>
      </w:r>
    </w:p>
  </w:footnote>
  <w:footnote w:id="5">
    <w:p w14:paraId="4372996E" w14:textId="77777777" w:rsidR="00A41081" w:rsidRPr="009873CE" w:rsidRDefault="00A41081"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Kamerstukken II 2024/25, 32 793, nr. 869</w:t>
      </w:r>
    </w:p>
  </w:footnote>
  <w:footnote w:id="6">
    <w:p w14:paraId="1E808DB6" w14:textId="77777777" w:rsidR="00BE5CD4" w:rsidRPr="009873CE" w:rsidRDefault="00BE5CD4"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TK 2025–2026, 32 793, nr. 859</w:t>
      </w:r>
    </w:p>
  </w:footnote>
  <w:footnote w:id="7">
    <w:p w14:paraId="7F0971E6" w14:textId="77777777" w:rsidR="00BE5CD4" w:rsidRPr="009873CE" w:rsidRDefault="00BE5CD4"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TK 2025–2026, 32 793, nr. 859</w:t>
      </w:r>
    </w:p>
  </w:footnote>
  <w:footnote w:id="8">
    <w:p w14:paraId="6B8B192C" w14:textId="77777777" w:rsidR="006C5882" w:rsidRPr="009873CE" w:rsidRDefault="006C5882"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TK 2025–2026, 32 793, nr. 859</w:t>
      </w:r>
    </w:p>
  </w:footnote>
  <w:footnote w:id="9">
    <w:p w14:paraId="2654FD7D" w14:textId="77777777" w:rsidR="00BE5CD4" w:rsidRPr="009873CE" w:rsidRDefault="00BE5CD4"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TK 2025–2026, 32 793, nr. 859</w:t>
      </w:r>
    </w:p>
  </w:footnote>
  <w:footnote w:id="10">
    <w:p w14:paraId="41658676" w14:textId="77777777" w:rsidR="00BE5CD4" w:rsidRPr="009873CE" w:rsidRDefault="00BE5CD4"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TK 2025–2026, 32 793, nr. 859</w:t>
      </w:r>
    </w:p>
  </w:footnote>
  <w:footnote w:id="11">
    <w:p w14:paraId="2C2FF7D1" w14:textId="77777777" w:rsidR="006C5882" w:rsidRPr="009873CE" w:rsidRDefault="006C5882"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r w:rsidRPr="009873CE">
        <w:rPr>
          <w:rFonts w:eastAsia="Aptos" w:cs="Calibri"/>
          <w:sz w:val="16"/>
          <w:szCs w:val="16"/>
        </w:rPr>
        <w:t xml:space="preserve">Het RIVM voert regie op de uitvoering van de SPUK-ASG, de middelen voor de uitvoering van deze taken worden via het RIVM aan acht coördinerende </w:t>
      </w:r>
      <w:proofErr w:type="spellStart"/>
      <w:r w:rsidRPr="009873CE">
        <w:rPr>
          <w:rFonts w:eastAsia="Aptos" w:cs="Calibri"/>
          <w:sz w:val="16"/>
          <w:szCs w:val="16"/>
        </w:rPr>
        <w:t>GGD’en</w:t>
      </w:r>
      <w:proofErr w:type="spellEnd"/>
      <w:r w:rsidRPr="009873CE">
        <w:rPr>
          <w:rFonts w:eastAsia="Aptos" w:cs="Calibri"/>
          <w:sz w:val="16"/>
          <w:szCs w:val="16"/>
        </w:rPr>
        <w:t xml:space="preserve"> verstrekt.</w:t>
      </w:r>
    </w:p>
  </w:footnote>
  <w:footnote w:id="12">
    <w:p w14:paraId="599AAF59" w14:textId="77777777" w:rsidR="006C5882" w:rsidRPr="009873CE" w:rsidRDefault="006C5882"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r w:rsidRPr="009873CE">
        <w:rPr>
          <w:rFonts w:eastAsia="Aptos" w:cs="Calibri"/>
          <w:sz w:val="16"/>
          <w:szCs w:val="16"/>
        </w:rPr>
        <w:t xml:space="preserve">Het RIVM voert regie op de uitvoering van de SPUK-ASG, de middelen voor de uitvoering van deze taken worden via het RIVM aan acht coördinerende </w:t>
      </w:r>
      <w:proofErr w:type="spellStart"/>
      <w:r w:rsidRPr="009873CE">
        <w:rPr>
          <w:rFonts w:eastAsia="Aptos" w:cs="Calibri"/>
          <w:sz w:val="16"/>
          <w:szCs w:val="16"/>
        </w:rPr>
        <w:t>GGD’en</w:t>
      </w:r>
      <w:proofErr w:type="spellEnd"/>
      <w:r w:rsidRPr="009873CE">
        <w:rPr>
          <w:rFonts w:eastAsia="Aptos" w:cs="Calibri"/>
          <w:sz w:val="16"/>
          <w:szCs w:val="16"/>
        </w:rPr>
        <w:t xml:space="preserve"> verstrekt.</w:t>
      </w:r>
    </w:p>
  </w:footnote>
  <w:footnote w:id="13">
    <w:p w14:paraId="4701894A" w14:textId="77777777" w:rsidR="006C5882" w:rsidRPr="009873CE" w:rsidRDefault="006C5882"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36725-XVI-3.</w:t>
      </w:r>
    </w:p>
  </w:footnote>
  <w:footnote w:id="14">
    <w:p w14:paraId="20FCB73A" w14:textId="77777777" w:rsidR="006C5882" w:rsidRPr="009873CE" w:rsidRDefault="006C5882"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Staatscourant 2025, 32588.</w:t>
      </w:r>
    </w:p>
  </w:footnote>
  <w:footnote w:id="15">
    <w:p w14:paraId="6B72E072" w14:textId="77777777" w:rsidR="007B58FB" w:rsidRPr="009873CE" w:rsidRDefault="007B58FB" w:rsidP="009873CE">
      <w:pPr>
        <w:pStyle w:val="Voetnoottekst1"/>
        <w:suppressAutoHyphens/>
        <w:rPr>
          <w:rFonts w:ascii="Verdana" w:hAnsi="Verdana"/>
          <w:sz w:val="16"/>
          <w:szCs w:val="16"/>
        </w:rPr>
      </w:pPr>
      <w:r w:rsidRPr="009873CE">
        <w:rPr>
          <w:rStyle w:val="Voetnootmarkering"/>
          <w:rFonts w:ascii="Verdana" w:hAnsi="Verdana"/>
          <w:sz w:val="16"/>
          <w:szCs w:val="16"/>
        </w:rPr>
        <w:footnoteRef/>
      </w:r>
      <w:r w:rsidRPr="009873CE">
        <w:rPr>
          <w:rFonts w:ascii="Verdana" w:hAnsi="Verdana"/>
          <w:sz w:val="16"/>
          <w:szCs w:val="16"/>
        </w:rPr>
        <w:t xml:space="preserve"> Kamerstukken II 2024/25, 29689, nr. 1296.</w:t>
      </w:r>
    </w:p>
  </w:footnote>
  <w:footnote w:id="16">
    <w:p w14:paraId="3DF251C9" w14:textId="77777777" w:rsidR="007B58FB" w:rsidRPr="009873CE" w:rsidRDefault="007B58FB"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Kamerstukken II 2021/22, 31765, nr. 655.</w:t>
      </w:r>
    </w:p>
  </w:footnote>
  <w:footnote w:id="17">
    <w:p w14:paraId="1438626A" w14:textId="77777777" w:rsidR="007B58FB" w:rsidRPr="009873CE" w:rsidRDefault="007B58FB"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Kamerstukken II 2024/25, 31765, nr. 943.</w:t>
      </w:r>
    </w:p>
  </w:footnote>
  <w:footnote w:id="18">
    <w:p w14:paraId="2A14B023" w14:textId="1F7FD10D" w:rsidR="00381398" w:rsidRPr="009873CE" w:rsidRDefault="00381398"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Kamerstukken II 2024/25, 32 793, nr. 869</w:t>
      </w:r>
    </w:p>
  </w:footnote>
  <w:footnote w:id="19">
    <w:p w14:paraId="1BEB0DA3" w14:textId="77777777" w:rsidR="00B90292" w:rsidRPr="009873CE" w:rsidRDefault="00B90292"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Geregistreerd door Dutch Audit </w:t>
      </w:r>
      <w:proofErr w:type="spellStart"/>
      <w:r w:rsidRPr="009873CE">
        <w:rPr>
          <w:sz w:val="16"/>
          <w:szCs w:val="16"/>
        </w:rPr>
        <w:t>for</w:t>
      </w:r>
      <w:proofErr w:type="spellEnd"/>
      <w:r w:rsidRPr="009873CE">
        <w:rPr>
          <w:sz w:val="16"/>
          <w:szCs w:val="16"/>
        </w:rPr>
        <w:t xml:space="preserve"> Treatment of </w:t>
      </w:r>
      <w:proofErr w:type="spellStart"/>
      <w:r w:rsidRPr="009873CE">
        <w:rPr>
          <w:sz w:val="16"/>
          <w:szCs w:val="16"/>
        </w:rPr>
        <w:t>Obesity</w:t>
      </w:r>
      <w:proofErr w:type="spellEnd"/>
      <w:r w:rsidRPr="009873CE">
        <w:rPr>
          <w:sz w:val="16"/>
          <w:szCs w:val="16"/>
        </w:rPr>
        <w:t xml:space="preserve"> (DATO): </w:t>
      </w:r>
      <w:hyperlink r:id="rId1" w:history="1">
        <w:r w:rsidRPr="009873CE">
          <w:rPr>
            <w:rStyle w:val="Hyperlink"/>
            <w:rFonts w:eastAsiaTheme="majorEastAsia"/>
            <w:sz w:val="16"/>
            <w:szCs w:val="16"/>
          </w:rPr>
          <w:t xml:space="preserve">Obesitas - DATO - </w:t>
        </w:r>
        <w:proofErr w:type="spellStart"/>
        <w:r w:rsidRPr="009873CE">
          <w:rPr>
            <w:rStyle w:val="Hyperlink"/>
            <w:rFonts w:eastAsiaTheme="majorEastAsia"/>
            <w:sz w:val="16"/>
            <w:szCs w:val="16"/>
          </w:rPr>
          <w:t>Dica</w:t>
        </w:r>
        <w:proofErr w:type="spellEnd"/>
      </w:hyperlink>
    </w:p>
  </w:footnote>
  <w:footnote w:id="20">
    <w:p w14:paraId="0138F271" w14:textId="77777777" w:rsidR="00E24EC6" w:rsidRPr="009873CE" w:rsidRDefault="00E24EC6" w:rsidP="009873CE">
      <w:pPr>
        <w:suppressAutoHyphens/>
        <w:rPr>
          <w:sz w:val="16"/>
          <w:szCs w:val="16"/>
        </w:rPr>
      </w:pPr>
    </w:p>
  </w:footnote>
  <w:footnote w:id="21">
    <w:p w14:paraId="00B97F91" w14:textId="77777777" w:rsidR="00E24EC6" w:rsidRPr="009873CE" w:rsidRDefault="00E24EC6"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Zie ook tabel 5 op blz. 53 van de miljoenennota 2026</w:t>
      </w:r>
    </w:p>
  </w:footnote>
  <w:footnote w:id="22">
    <w:p w14:paraId="40AD88E1" w14:textId="77777777" w:rsidR="00B90292" w:rsidRPr="009873CE" w:rsidRDefault="00B90292"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2025/26, 25268, nr. 244.</w:t>
      </w:r>
    </w:p>
  </w:footnote>
  <w:footnote w:id="23">
    <w:p w14:paraId="17F369EB" w14:textId="77777777" w:rsidR="004D1243" w:rsidRPr="009873CE" w:rsidRDefault="004D1243"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Centraal Planbureau. Analyse coalitieakkoord 2022–2025, januari 2022.</w:t>
      </w:r>
    </w:p>
  </w:footnote>
  <w:footnote w:id="24">
    <w:p w14:paraId="70332C3E" w14:textId="77777777" w:rsidR="004D1243" w:rsidRPr="009873CE" w:rsidRDefault="004D1243"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r w:rsidRPr="009873CE">
        <w:rPr>
          <w:i/>
          <w:iCs/>
          <w:sz w:val="16"/>
          <w:szCs w:val="16"/>
        </w:rPr>
        <w:t>Kamerstukken II</w:t>
      </w:r>
      <w:r w:rsidRPr="009873CE">
        <w:rPr>
          <w:sz w:val="16"/>
          <w:szCs w:val="16"/>
        </w:rPr>
        <w:t xml:space="preserve">, 2024-2025, 36 725-XVI, </w:t>
      </w:r>
      <w:proofErr w:type="spellStart"/>
      <w:r w:rsidRPr="009873CE">
        <w:rPr>
          <w:sz w:val="16"/>
          <w:szCs w:val="16"/>
        </w:rPr>
        <w:t>nr</w:t>
      </w:r>
      <w:proofErr w:type="spellEnd"/>
      <w:r w:rsidRPr="009873CE">
        <w:rPr>
          <w:sz w:val="16"/>
          <w:szCs w:val="16"/>
        </w:rPr>
        <w:t xml:space="preserve"> 18.</w:t>
      </w:r>
    </w:p>
  </w:footnote>
  <w:footnote w:id="25">
    <w:p w14:paraId="1E47B8D9" w14:textId="77777777" w:rsidR="004D1243" w:rsidRPr="009873CE" w:rsidRDefault="004D1243"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r w:rsidRPr="009873CE">
        <w:rPr>
          <w:i/>
          <w:iCs/>
          <w:sz w:val="16"/>
          <w:szCs w:val="16"/>
        </w:rPr>
        <w:t>Kamerstukken II</w:t>
      </w:r>
      <w:r w:rsidRPr="009873CE">
        <w:rPr>
          <w:sz w:val="16"/>
          <w:szCs w:val="16"/>
        </w:rPr>
        <w:t>, 2023–2024, 34 104, nr. 405.</w:t>
      </w:r>
    </w:p>
  </w:footnote>
  <w:footnote w:id="26">
    <w:p w14:paraId="39B32278" w14:textId="77777777" w:rsidR="004D1243" w:rsidRPr="009873CE" w:rsidRDefault="004D1243"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r w:rsidRPr="009873CE">
        <w:rPr>
          <w:i/>
          <w:iCs/>
          <w:sz w:val="16"/>
          <w:szCs w:val="16"/>
        </w:rPr>
        <w:t>Kamerstukken II</w:t>
      </w:r>
      <w:r w:rsidRPr="009873CE">
        <w:rPr>
          <w:sz w:val="16"/>
          <w:szCs w:val="16"/>
        </w:rPr>
        <w:t xml:space="preserve">, 2024-2025, 36 725-XVI, </w:t>
      </w:r>
      <w:proofErr w:type="spellStart"/>
      <w:r w:rsidRPr="009873CE">
        <w:rPr>
          <w:sz w:val="16"/>
          <w:szCs w:val="16"/>
        </w:rPr>
        <w:t>nr</w:t>
      </w:r>
      <w:proofErr w:type="spellEnd"/>
      <w:r w:rsidRPr="009873CE">
        <w:rPr>
          <w:sz w:val="16"/>
          <w:szCs w:val="16"/>
        </w:rPr>
        <w:t xml:space="preserve"> 18.</w:t>
      </w:r>
    </w:p>
  </w:footnote>
  <w:footnote w:id="27">
    <w:p w14:paraId="283E235F" w14:textId="77777777" w:rsidR="004D1243" w:rsidRPr="009873CE" w:rsidRDefault="004D1243" w:rsidP="009873CE">
      <w:pPr>
        <w:pStyle w:val="Voetnoottekst"/>
        <w:suppressAutoHyphens/>
        <w:rPr>
          <w:sz w:val="16"/>
          <w:szCs w:val="16"/>
        </w:rPr>
      </w:pPr>
    </w:p>
    <w:p w14:paraId="72DFBBD1" w14:textId="77777777" w:rsidR="004D1243" w:rsidRPr="009873CE" w:rsidRDefault="004D1243"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r w:rsidRPr="009873CE">
        <w:rPr>
          <w:i/>
          <w:iCs/>
          <w:sz w:val="16"/>
          <w:szCs w:val="16"/>
        </w:rPr>
        <w:t>Kamerstukken II</w:t>
      </w:r>
      <w:r w:rsidRPr="009873CE">
        <w:rPr>
          <w:sz w:val="16"/>
          <w:szCs w:val="16"/>
        </w:rPr>
        <w:t>, 2025–2026, 29 389, nr. 158c.</w:t>
      </w:r>
    </w:p>
  </w:footnote>
  <w:footnote w:id="28">
    <w:p w14:paraId="7616F290" w14:textId="77777777" w:rsidR="005C6EBC" w:rsidRPr="009873CE" w:rsidRDefault="005C6EBC"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Kamerstuk 31 765, nr. 936 </w:t>
      </w:r>
    </w:p>
  </w:footnote>
  <w:footnote w:id="29">
    <w:p w14:paraId="69647393" w14:textId="77777777" w:rsidR="005C6EBC" w:rsidRPr="009873CE" w:rsidRDefault="005C6EBC"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Kamerstuk 25 424, nr. 767</w:t>
      </w:r>
    </w:p>
  </w:footnote>
  <w:footnote w:id="30">
    <w:p w14:paraId="3838BDB4" w14:textId="77777777" w:rsidR="00BE5CD4" w:rsidRPr="009873CE" w:rsidRDefault="00BE5CD4"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 32793, nr. 794</w:t>
      </w:r>
    </w:p>
  </w:footnote>
  <w:footnote w:id="31">
    <w:p w14:paraId="7AB175F2" w14:textId="77777777" w:rsidR="00BE5CD4" w:rsidRPr="009873CE" w:rsidRDefault="00BE5CD4" w:rsidP="009873CE">
      <w:pPr>
        <w:suppressAutoHyphens/>
        <w:rPr>
          <w:sz w:val="16"/>
          <w:szCs w:val="16"/>
        </w:rPr>
      </w:pPr>
      <w:r w:rsidRPr="009873CE">
        <w:rPr>
          <w:rStyle w:val="Voetnootmarkering"/>
          <w:sz w:val="16"/>
          <w:szCs w:val="16"/>
        </w:rPr>
        <w:footnoteRef/>
      </w:r>
      <w:r w:rsidRPr="009873CE">
        <w:rPr>
          <w:sz w:val="16"/>
          <w:szCs w:val="16"/>
        </w:rPr>
        <w:t xml:space="preserve"> </w:t>
      </w:r>
      <w:hyperlink r:id="rId2" w:anchor="/CBS/nl/dataset/85445NED/table?ts=1759760267349" w:history="1">
        <w:proofErr w:type="spellStart"/>
        <w:r w:rsidRPr="009873CE">
          <w:rPr>
            <w:rStyle w:val="Hyperlink"/>
            <w:sz w:val="16"/>
            <w:szCs w:val="16"/>
          </w:rPr>
          <w:t>StatLine</w:t>
        </w:r>
        <w:proofErr w:type="spellEnd"/>
        <w:r w:rsidRPr="009873CE">
          <w:rPr>
            <w:rStyle w:val="Hyperlink"/>
            <w:sz w:val="16"/>
            <w:szCs w:val="16"/>
          </w:rPr>
          <w:t xml:space="preserve"> - Gezonde levensverwachting; inkomen en welvaart</w:t>
        </w:r>
      </w:hyperlink>
    </w:p>
  </w:footnote>
  <w:footnote w:id="32">
    <w:p w14:paraId="539748E7" w14:textId="77777777" w:rsidR="00D55762" w:rsidRPr="009873CE" w:rsidRDefault="00D55762"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3" w:anchor="/CBS/nl/dataset/84842NED/table?dl=C6A86" w:history="1">
        <w:proofErr w:type="spellStart"/>
        <w:r w:rsidRPr="009873CE">
          <w:rPr>
            <w:rStyle w:val="Hyperlink"/>
            <w:rFonts w:eastAsiaTheme="majorEastAsia"/>
            <w:sz w:val="16"/>
            <w:szCs w:val="16"/>
          </w:rPr>
          <w:t>StatLine</w:t>
        </w:r>
        <w:proofErr w:type="spellEnd"/>
        <w:r w:rsidRPr="009873CE">
          <w:rPr>
            <w:rStyle w:val="Hyperlink"/>
            <w:rFonts w:eastAsiaTheme="majorEastAsia"/>
            <w:sz w:val="16"/>
            <w:szCs w:val="16"/>
          </w:rPr>
          <w:t xml:space="preserve"> - Gezonde levensverwachting; geslacht, leeftijd en onderwijsniveau</w:t>
        </w:r>
      </w:hyperlink>
    </w:p>
  </w:footnote>
  <w:footnote w:id="33">
    <w:p w14:paraId="374B11D9" w14:textId="77777777" w:rsidR="004D1243" w:rsidRPr="009873CE" w:rsidRDefault="004D1243"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Behandeling: </w:t>
      </w:r>
      <w:hyperlink r:id="rId4" w:history="1">
        <w:r w:rsidRPr="009873CE">
          <w:rPr>
            <w:rStyle w:val="Hyperlink"/>
            <w:rFonts w:eastAsiaTheme="majorEastAsia"/>
            <w:sz w:val="16"/>
            <w:szCs w:val="16"/>
          </w:rPr>
          <w:t>https://www.staatvenz.nl/kerncijfers/wachttijd-behandeling-medisch-specialistische-zorg-overschrijding-treeknorm-en-gemiddelde-wachttijd</w:t>
        </w:r>
      </w:hyperlink>
      <w:r w:rsidRPr="009873CE">
        <w:rPr>
          <w:sz w:val="16"/>
          <w:szCs w:val="16"/>
        </w:rPr>
        <w:t>, datum: 17-02-2025</w:t>
      </w:r>
    </w:p>
  </w:footnote>
  <w:footnote w:id="34">
    <w:p w14:paraId="55F88633" w14:textId="77777777" w:rsidR="004D1243" w:rsidRPr="009873CE" w:rsidRDefault="004D1243"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Diagnostiek: </w:t>
      </w:r>
      <w:hyperlink r:id="rId5" w:history="1">
        <w:r w:rsidRPr="009873CE">
          <w:rPr>
            <w:rStyle w:val="Hyperlink"/>
            <w:rFonts w:eastAsiaTheme="majorEastAsia"/>
            <w:sz w:val="16"/>
            <w:szCs w:val="16"/>
          </w:rPr>
          <w:t>https://www.staatvenz.nl/kerncijfers/wachttijd-diagnostiek-medisch-specialistische-zorg-overschrijding-treeknorm-en-gemiddelde-wachttijd</w:t>
        </w:r>
      </w:hyperlink>
      <w:r w:rsidRPr="009873CE">
        <w:rPr>
          <w:sz w:val="16"/>
          <w:szCs w:val="16"/>
        </w:rPr>
        <w:t>, datum: 17-02-2025</w:t>
      </w:r>
    </w:p>
  </w:footnote>
  <w:footnote w:id="35">
    <w:p w14:paraId="3A414099" w14:textId="77777777" w:rsidR="004D1243" w:rsidRPr="009873CE" w:rsidRDefault="004D1243"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Polikliniek: </w:t>
      </w:r>
      <w:hyperlink r:id="rId6" w:history="1">
        <w:r w:rsidRPr="009873CE">
          <w:rPr>
            <w:rStyle w:val="Hyperlink"/>
            <w:rFonts w:eastAsiaTheme="majorEastAsia"/>
            <w:sz w:val="16"/>
            <w:szCs w:val="16"/>
          </w:rPr>
          <w:t>https://www.staatvenz.nl/wachttijd-poliklinisch-consult-medisch-specialistische-zorg-overschrijding-treeknorm-en-gemiddelde</w:t>
        </w:r>
      </w:hyperlink>
      <w:r w:rsidRPr="009873CE">
        <w:rPr>
          <w:sz w:val="16"/>
          <w:szCs w:val="16"/>
        </w:rPr>
        <w:t>, datum: 03-03-2025</w:t>
      </w:r>
    </w:p>
  </w:footnote>
  <w:footnote w:id="36">
    <w:p w14:paraId="755956F6" w14:textId="77777777" w:rsidR="00BE5CD4" w:rsidRPr="009873CE" w:rsidRDefault="00BE5CD4"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7" w:history="1">
        <w:r w:rsidRPr="009873CE">
          <w:rPr>
            <w:rStyle w:val="Hyperlink"/>
            <w:rFonts w:eastAsiaTheme="majorEastAsia"/>
            <w:sz w:val="16"/>
            <w:szCs w:val="16"/>
          </w:rPr>
          <w:t>https://www.rekenkamer.nl/publicaties/rapporten/2025/04/02/focus-op-huisartsentekort</w:t>
        </w:r>
      </w:hyperlink>
      <w:r w:rsidRPr="009873CE">
        <w:rPr>
          <w:sz w:val="16"/>
          <w:szCs w:val="16"/>
        </w:rPr>
        <w:t xml:space="preserve"> </w:t>
      </w:r>
    </w:p>
  </w:footnote>
  <w:footnote w:id="37">
    <w:p w14:paraId="7F6A248F" w14:textId="77777777" w:rsidR="00BE5CD4" w:rsidRPr="009873CE" w:rsidRDefault="00BE5CD4"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8" w:history="1">
        <w:r w:rsidRPr="009873CE">
          <w:rPr>
            <w:rStyle w:val="Hyperlink"/>
            <w:rFonts w:eastAsiaTheme="majorEastAsia"/>
            <w:sz w:val="16"/>
            <w:szCs w:val="16"/>
          </w:rPr>
          <w:t>https://www.nivel.nl/nl/publicatie/burgers-over-inschrijving-bij-een-nieuwe-huisartsenpraktijk</w:t>
        </w:r>
      </w:hyperlink>
      <w:r w:rsidRPr="009873CE">
        <w:rPr>
          <w:sz w:val="16"/>
          <w:szCs w:val="16"/>
        </w:rPr>
        <w:t xml:space="preserve"> </w:t>
      </w:r>
    </w:p>
  </w:footnote>
  <w:footnote w:id="38">
    <w:p w14:paraId="5F225579" w14:textId="77777777" w:rsidR="00912A7D" w:rsidRPr="009873CE" w:rsidRDefault="00912A7D"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Rapport: Goed geregeld? Een onderzoek naar gemeentelijke regelingen rondom financieel maatwerk voor hoge zorgkosten.</w:t>
      </w:r>
    </w:p>
  </w:footnote>
  <w:footnote w:id="39">
    <w:p w14:paraId="359298CB" w14:textId="77777777" w:rsidR="00460C7F" w:rsidRPr="009873CE" w:rsidRDefault="00460C7F"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9" w:history="1">
        <w:r w:rsidRPr="009873CE">
          <w:rPr>
            <w:rStyle w:val="Hyperlink"/>
            <w:rFonts w:eastAsiaTheme="majorEastAsia"/>
            <w:sz w:val="16"/>
            <w:szCs w:val="16"/>
          </w:rPr>
          <w:t>https://www.jeugdautoriteit.nl/documenten/2025/07/14/monitor-jeugdzorgplus-peildatum-31-maart-2025</w:t>
        </w:r>
      </w:hyperlink>
      <w:r w:rsidRPr="009873CE">
        <w:rPr>
          <w:sz w:val="16"/>
          <w:szCs w:val="16"/>
        </w:rPr>
        <w:t xml:space="preserve"> </w:t>
      </w:r>
    </w:p>
  </w:footnote>
  <w:footnote w:id="40">
    <w:p w14:paraId="758A81E0" w14:textId="77777777" w:rsidR="00575B14" w:rsidRPr="009873CE" w:rsidRDefault="00575B14"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10" w:history="1">
        <w:r w:rsidRPr="009873CE">
          <w:rPr>
            <w:rStyle w:val="Hyperlink"/>
            <w:rFonts w:eastAsiaTheme="majorEastAsia"/>
            <w:sz w:val="16"/>
            <w:szCs w:val="16"/>
          </w:rPr>
          <w:t>https://www.cbs.nl/nl-nl/longread/rapportages/2025/jeugdhulp-2024/1-jongeren-met-jeugdhulp</w:t>
        </w:r>
      </w:hyperlink>
    </w:p>
  </w:footnote>
  <w:footnote w:id="41">
    <w:p w14:paraId="4C67B400" w14:textId="77777777" w:rsidR="00BE5CD4" w:rsidRPr="009873CE" w:rsidRDefault="00BE5CD4"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Tweede Kamer, vergaderjaar 2023/2024, kamerdossier 29282, kamerstuk nr. 552</w:t>
      </w:r>
    </w:p>
  </w:footnote>
  <w:footnote w:id="42">
    <w:p w14:paraId="4CBB19B4" w14:textId="77777777" w:rsidR="00BE5CD4" w:rsidRPr="009873CE" w:rsidRDefault="00BE5CD4"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Tweede Kamer, vergaderjaar 2023/2024, Kamerdossier 29 282, kamerstuk nr. 580</w:t>
      </w:r>
    </w:p>
  </w:footnote>
  <w:footnote w:id="43">
    <w:p w14:paraId="5D8E8703" w14:textId="4755F019" w:rsidR="006D64E4" w:rsidRPr="009873CE" w:rsidRDefault="006D64E4"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r w:rsidR="00715958" w:rsidRPr="009873CE">
        <w:rPr>
          <w:sz w:val="16"/>
          <w:szCs w:val="16"/>
        </w:rPr>
        <w:t>Zorgkeuzes in Kaart (</w:t>
      </w:r>
      <w:proofErr w:type="spellStart"/>
      <w:r w:rsidR="00715958" w:rsidRPr="009873CE">
        <w:rPr>
          <w:sz w:val="16"/>
          <w:szCs w:val="16"/>
        </w:rPr>
        <w:t>ZiK</w:t>
      </w:r>
      <w:proofErr w:type="spellEnd"/>
      <w:r w:rsidR="00715958" w:rsidRPr="009873CE">
        <w:rPr>
          <w:sz w:val="16"/>
          <w:szCs w:val="16"/>
        </w:rPr>
        <w:t xml:space="preserve">) 37 </w:t>
      </w:r>
      <w:hyperlink r:id="rId11" w:history="1">
        <w:r w:rsidR="00715958" w:rsidRPr="009873CE">
          <w:rPr>
            <w:rStyle w:val="Hyperlink"/>
            <w:sz w:val="16"/>
            <w:szCs w:val="16"/>
          </w:rPr>
          <w:t>Zorgkeuzes in Kaart | Rapport | Rijksoverheid.nl</w:t>
        </w:r>
      </w:hyperlink>
    </w:p>
  </w:footnote>
  <w:footnote w:id="44">
    <w:p w14:paraId="2D2B6E84" w14:textId="6856B364" w:rsidR="00715958" w:rsidRPr="009873CE" w:rsidRDefault="00715958"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12" w:history="1">
        <w:r w:rsidRPr="009873CE">
          <w:rPr>
            <w:rStyle w:val="Hyperlink"/>
            <w:sz w:val="16"/>
            <w:szCs w:val="16"/>
          </w:rPr>
          <w:t>Keuzes in Kaart 2027-2030 | CPB Website</w:t>
        </w:r>
      </w:hyperlink>
    </w:p>
  </w:footnote>
  <w:footnote w:id="45">
    <w:p w14:paraId="0A7E1378" w14:textId="77777777" w:rsidR="004D1243" w:rsidRPr="009873CE" w:rsidRDefault="004D1243"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13" w:history="1">
        <w:r w:rsidRPr="009873CE">
          <w:rPr>
            <w:rStyle w:val="Hyperlink"/>
            <w:rFonts w:eastAsiaTheme="majorEastAsia"/>
            <w:sz w:val="16"/>
            <w:szCs w:val="16"/>
          </w:rPr>
          <w:t>AZW: uitkomsten werknemersenquête, 2e kwartaal 2025 | CBS</w:t>
        </w:r>
      </w:hyperlink>
    </w:p>
  </w:footnote>
  <w:footnote w:id="46">
    <w:p w14:paraId="6290D60D" w14:textId="77777777" w:rsidR="00BE5CD4" w:rsidRPr="009873CE" w:rsidRDefault="00BE5CD4"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Volgens criteria waaronder 24/7 aanbod.</w:t>
      </w:r>
    </w:p>
  </w:footnote>
  <w:footnote w:id="47">
    <w:p w14:paraId="69709AAB" w14:textId="77777777" w:rsidR="00BE5CD4" w:rsidRPr="009873CE" w:rsidRDefault="00BE5CD4"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Voor de jaren tot 2014 is door RIVM niet expliciet gevraagd naar het aanbod acute verloskunde volgens de criteria. Destijds is gevraagd of de SEH van een ziekenhuis “8 poortspecialismen aanbiedt”, acute verloskunde was 1 van die 8 poortspecialismen. Vanaf 2014 is de uitvraag specifieker, met uitvraag naar aanwezigheid en beschikbaarheid van professionals en team. Daarom zijn de cijfers voor 2014 niet helemaal vergelijkbaar met de aantallen na 2014.</w:t>
      </w:r>
    </w:p>
  </w:footnote>
  <w:footnote w:id="48">
    <w:p w14:paraId="4198BB8D" w14:textId="77777777" w:rsidR="00BE5CD4" w:rsidRPr="009873CE" w:rsidRDefault="00BE5CD4"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Een ziekenhuis is gevoelig voor de 45-minutennorm, indien het sluiten van diens afdeling spoedeisende hulp of acute verloskunde ertoe leidt dat het aantal mensen dat niet binnen 45 minuten per ambulance een afdeling spoedeisende hulp of acute verloskunde kan bereiken toeneemt.</w:t>
      </w:r>
    </w:p>
  </w:footnote>
  <w:footnote w:id="49">
    <w:p w14:paraId="1B5FD65C" w14:textId="77777777" w:rsidR="00BE5CD4" w:rsidRPr="009873CE" w:rsidRDefault="00BE5CD4"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2024/25, 36278, nr. 20.</w:t>
      </w:r>
    </w:p>
  </w:footnote>
  <w:footnote w:id="50">
    <w:p w14:paraId="46AF3B7F" w14:textId="77777777" w:rsidR="00BE5CD4" w:rsidRPr="009873CE" w:rsidRDefault="00BE5CD4"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De (inmiddels gesloten) internetconsultatie is te vinden op: https://www.internetconsultatie.nl/wijzigingen_regelgeving_acute_zorg/</w:t>
      </w:r>
    </w:p>
  </w:footnote>
  <w:footnote w:id="51">
    <w:p w14:paraId="1BF58A87" w14:textId="77777777" w:rsidR="00632BAA" w:rsidRPr="009873CE" w:rsidRDefault="00632BA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 29477, nr. 939</w:t>
      </w:r>
    </w:p>
  </w:footnote>
  <w:footnote w:id="52">
    <w:p w14:paraId="35D01E3B" w14:textId="77777777" w:rsidR="00632BAA" w:rsidRPr="009873CE" w:rsidRDefault="00632BA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 29477, nr. 918</w:t>
      </w:r>
    </w:p>
  </w:footnote>
  <w:footnote w:id="53">
    <w:p w14:paraId="0C249853" w14:textId="77777777" w:rsidR="00632BAA" w:rsidRPr="009873CE" w:rsidRDefault="00632BA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 31765, nr. O</w:t>
      </w:r>
    </w:p>
  </w:footnote>
  <w:footnote w:id="54">
    <w:p w14:paraId="06443177" w14:textId="77777777" w:rsidR="00632BAA" w:rsidRPr="009873CE" w:rsidRDefault="00632BA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14" w:history="1">
        <w:r w:rsidRPr="009873CE">
          <w:rPr>
            <w:rStyle w:val="Hyperlink"/>
            <w:rFonts w:eastAsiaTheme="majorEastAsia"/>
            <w:sz w:val="16"/>
            <w:szCs w:val="16"/>
          </w:rPr>
          <w:t>Informatiekaart concentraties in de zorg 2025 - Nederlandse Zorgautoriteit</w:t>
        </w:r>
      </w:hyperlink>
    </w:p>
  </w:footnote>
  <w:footnote w:id="55">
    <w:p w14:paraId="18FB57F3" w14:textId="77777777" w:rsidR="00632BAA" w:rsidRPr="009873CE" w:rsidRDefault="00632BA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EY, onderzoek naar private </w:t>
      </w:r>
      <w:proofErr w:type="spellStart"/>
      <w:r w:rsidRPr="009873CE">
        <w:rPr>
          <w:sz w:val="16"/>
          <w:szCs w:val="16"/>
        </w:rPr>
        <w:t>equity</w:t>
      </w:r>
      <w:proofErr w:type="spellEnd"/>
      <w:r w:rsidRPr="009873CE">
        <w:rPr>
          <w:sz w:val="16"/>
          <w:szCs w:val="16"/>
        </w:rPr>
        <w:t xml:space="preserve"> in de zorg, 8 april 2024</w:t>
      </w:r>
    </w:p>
  </w:footnote>
  <w:footnote w:id="56">
    <w:p w14:paraId="3634F55A" w14:textId="77777777" w:rsidR="00632BAA" w:rsidRPr="009873CE" w:rsidRDefault="00632BA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Zorgkeuzes in Kaart, Centraal Planbureau, Ministerie van Volksgezondheid, Welzijn en Sport, Ministerie van Financiën, Juli 2020</w:t>
      </w:r>
    </w:p>
  </w:footnote>
  <w:footnote w:id="57">
    <w:p w14:paraId="76CC71E9" w14:textId="77777777" w:rsidR="00575B14" w:rsidRPr="009873CE" w:rsidRDefault="00575B14"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15" w:history="1">
        <w:r w:rsidRPr="009873CE">
          <w:rPr>
            <w:rStyle w:val="Hyperlink"/>
            <w:rFonts w:eastAsiaTheme="majorEastAsia"/>
            <w:sz w:val="16"/>
            <w:szCs w:val="16"/>
          </w:rPr>
          <w:t>https://www.rijksoverheid.nl/documenten/kamerstukken/2023/04/12/kamerbrief-over-overstapseizoen-2022-2023</w:t>
        </w:r>
      </w:hyperlink>
    </w:p>
  </w:footnote>
  <w:footnote w:id="58">
    <w:p w14:paraId="19E843B7" w14:textId="77777777" w:rsidR="00632BAA" w:rsidRPr="009873CE" w:rsidRDefault="00632BA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16" w:history="1">
        <w:r w:rsidRPr="009873CE">
          <w:rPr>
            <w:rStyle w:val="Hyperlink"/>
            <w:rFonts w:eastAsiaTheme="majorEastAsia"/>
            <w:sz w:val="16"/>
            <w:szCs w:val="16"/>
          </w:rPr>
          <w:t>Rapport - Kostenanalyse mondzorg volwassenen | Zorginstituut Nederland</w:t>
        </w:r>
      </w:hyperlink>
    </w:p>
  </w:footnote>
  <w:footnote w:id="59">
    <w:p w14:paraId="77662935" w14:textId="77777777" w:rsidR="00632BAA" w:rsidRPr="009873CE" w:rsidRDefault="00632BA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17" w:history="1">
        <w:r w:rsidRPr="009873CE">
          <w:rPr>
            <w:rStyle w:val="Hyperlink"/>
            <w:rFonts w:eastAsiaTheme="majorEastAsia"/>
            <w:sz w:val="16"/>
            <w:szCs w:val="16"/>
          </w:rPr>
          <w:t>Rapport - Kostenanalyse mondzorg volwassenen | Zorginstituut Nederland</w:t>
        </w:r>
      </w:hyperlink>
    </w:p>
  </w:footnote>
  <w:footnote w:id="60">
    <w:p w14:paraId="0F9D0766" w14:textId="77777777" w:rsidR="00632BAA" w:rsidRPr="009873CE" w:rsidRDefault="00632BA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2024/25, 31765, nr. 916.</w:t>
      </w:r>
    </w:p>
  </w:footnote>
  <w:footnote w:id="61">
    <w:p w14:paraId="6081E4C2" w14:textId="77777777" w:rsidR="00632BAA" w:rsidRPr="009873CE" w:rsidRDefault="00632BA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29477, nr. 938. </w:t>
      </w:r>
    </w:p>
  </w:footnote>
  <w:footnote w:id="62">
    <w:p w14:paraId="02131480" w14:textId="77777777" w:rsidR="00341727" w:rsidRPr="009873CE" w:rsidRDefault="00341727" w:rsidP="009873CE">
      <w:pPr>
        <w:pStyle w:val="Geenafstand"/>
        <w:suppressAutoHyphens/>
        <w:rPr>
          <w:i/>
          <w:iCs/>
          <w:sz w:val="16"/>
          <w:szCs w:val="16"/>
          <w:lang w:eastAsia="nl-NL"/>
        </w:rPr>
      </w:pPr>
      <w:r w:rsidRPr="009873CE">
        <w:rPr>
          <w:rStyle w:val="Voetnootmarkering"/>
          <w:i/>
          <w:iCs/>
          <w:sz w:val="16"/>
          <w:szCs w:val="16"/>
        </w:rPr>
        <w:footnoteRef/>
      </w:r>
      <w:r w:rsidRPr="009873CE">
        <w:rPr>
          <w:rStyle w:val="Voetnootmarkering"/>
          <w:i/>
          <w:iCs/>
          <w:sz w:val="16"/>
          <w:szCs w:val="16"/>
        </w:rPr>
        <w:t xml:space="preserve"> </w:t>
      </w:r>
      <w:r w:rsidRPr="009873CE">
        <w:rPr>
          <w:i/>
          <w:iCs/>
          <w:sz w:val="16"/>
          <w:szCs w:val="16"/>
          <w:lang w:eastAsia="nl-NL"/>
        </w:rPr>
        <w:t xml:space="preserve">Bij de beoordeling van deze cijfers is van belang dat de groei van de zorguitgaven wordt beïnvloed door wijzigingen in de definitie van de zorguitgaven (zoals de overheveling van grote delen van de </w:t>
      </w:r>
      <w:proofErr w:type="spellStart"/>
      <w:r w:rsidRPr="009873CE">
        <w:rPr>
          <w:i/>
          <w:iCs/>
          <w:sz w:val="16"/>
          <w:szCs w:val="16"/>
          <w:lang w:eastAsia="nl-NL"/>
        </w:rPr>
        <w:t>Wmo</w:t>
      </w:r>
      <w:proofErr w:type="spellEnd"/>
      <w:r w:rsidRPr="009873CE">
        <w:rPr>
          <w:i/>
          <w:iCs/>
          <w:sz w:val="16"/>
          <w:szCs w:val="16"/>
          <w:lang w:eastAsia="nl-NL"/>
        </w:rPr>
        <w:t xml:space="preserve"> en de jeugdzorg naar het gemeentefonds) en door statistische vertekeningen, zoals in 2014 de technische correctie kader jeugd, in 2015</w:t>
      </w:r>
      <w:r w:rsidRPr="009873CE">
        <w:rPr>
          <w:rFonts w:cs="Calibri"/>
          <w:i/>
          <w:iCs/>
          <w:sz w:val="16"/>
          <w:szCs w:val="16"/>
          <w:lang w:eastAsia="nl-NL"/>
        </w:rPr>
        <w:t xml:space="preserve"> de technische correctie verkorting DBC-doorlooptijd en in</w:t>
      </w:r>
      <w:r w:rsidRPr="009873CE">
        <w:rPr>
          <w:i/>
          <w:iCs/>
          <w:sz w:val="16"/>
          <w:szCs w:val="16"/>
          <w:lang w:eastAsia="nl-NL"/>
        </w:rPr>
        <w:t xml:space="preserve"> 2021 de statistische verlaging van de uitgaven vanwege de nieuwe bekostigingssystematiek in de ggz. </w:t>
      </w:r>
    </w:p>
    <w:p w14:paraId="31061DA9" w14:textId="77777777" w:rsidR="00341727" w:rsidRPr="009873CE" w:rsidRDefault="00341727" w:rsidP="009873CE">
      <w:pPr>
        <w:pStyle w:val="Geenafstand"/>
        <w:suppressAutoHyphens/>
        <w:rPr>
          <w:i/>
          <w:iCs/>
          <w:sz w:val="16"/>
          <w:szCs w:val="16"/>
          <w:lang w:eastAsia="nl-NL"/>
        </w:rPr>
      </w:pPr>
      <w:r w:rsidRPr="009873CE">
        <w:rPr>
          <w:i/>
          <w:iCs/>
          <w:sz w:val="16"/>
          <w:szCs w:val="16"/>
          <w:lang w:eastAsia="nl-NL"/>
        </w:rPr>
        <w:t xml:space="preserve">Per 2024 is het Uitgavenplafond zorg (UPZ) afgeschaft. </w:t>
      </w:r>
    </w:p>
    <w:p w14:paraId="52ACA7D9" w14:textId="77777777" w:rsidR="00341727" w:rsidRPr="009873CE" w:rsidRDefault="00341727" w:rsidP="009873CE">
      <w:pPr>
        <w:pStyle w:val="Geenafstand"/>
        <w:suppressAutoHyphens/>
        <w:rPr>
          <w:rFonts w:cs="Calibri"/>
          <w:i/>
          <w:iCs/>
          <w:sz w:val="16"/>
          <w:szCs w:val="16"/>
          <w:lang w:eastAsia="nl-NL"/>
        </w:rPr>
      </w:pPr>
      <w:r w:rsidRPr="009873CE">
        <w:rPr>
          <w:rFonts w:cs="Calibri"/>
          <w:i/>
          <w:iCs/>
          <w:sz w:val="16"/>
          <w:szCs w:val="16"/>
          <w:lang w:eastAsia="nl-NL"/>
        </w:rPr>
        <w:t xml:space="preserve">Vanwege het afschaffen van de deelplafonds worden de </w:t>
      </w:r>
      <w:proofErr w:type="spellStart"/>
      <w:r w:rsidRPr="009873CE">
        <w:rPr>
          <w:rFonts w:cs="Calibri"/>
          <w:i/>
          <w:iCs/>
          <w:sz w:val="16"/>
          <w:szCs w:val="16"/>
          <w:lang w:eastAsia="nl-NL"/>
        </w:rPr>
        <w:t>begrotingsgefinancierde</w:t>
      </w:r>
      <w:proofErr w:type="spellEnd"/>
      <w:r w:rsidRPr="009873CE">
        <w:rPr>
          <w:rFonts w:cs="Calibri"/>
          <w:i/>
          <w:iCs/>
          <w:sz w:val="16"/>
          <w:szCs w:val="16"/>
          <w:lang w:eastAsia="nl-NL"/>
        </w:rPr>
        <w:t xml:space="preserve"> zorguitgaven van de VWS-begroting en de gereserveerde loon- en prijsbijstellingen vanaf de ontwerpbegroting 2025 voor de jaren vanaf 2024 niet meer opgenomen onder de definitie </w:t>
      </w:r>
      <w:proofErr w:type="spellStart"/>
      <w:r w:rsidRPr="009873CE">
        <w:rPr>
          <w:rFonts w:cs="Calibri"/>
          <w:i/>
          <w:iCs/>
          <w:sz w:val="16"/>
          <w:szCs w:val="16"/>
          <w:lang w:eastAsia="nl-NL"/>
        </w:rPr>
        <w:t>Premiegefinancierde</w:t>
      </w:r>
      <w:proofErr w:type="spellEnd"/>
      <w:r w:rsidRPr="009873CE">
        <w:rPr>
          <w:rFonts w:cs="Calibri"/>
          <w:i/>
          <w:iCs/>
          <w:sz w:val="16"/>
          <w:szCs w:val="16"/>
          <w:lang w:eastAsia="nl-NL"/>
        </w:rPr>
        <w:t xml:space="preserve"> zorguitgaven (PZ). Om vergelijkbare cijfers te presenteren zijn deze uitgaven in de onderstaande tabel ook voor de jaren 2010 t/m 2023 gecorrigeerd. In deze uitgavendefinitie zijn de uitgaven uit de artikelen van de VWS-begroting niet meegenomen. De definitie wijkt ook af van de definitie die in de Miljoenennota wordt gehanteerd.</w:t>
      </w:r>
    </w:p>
    <w:p w14:paraId="44B01D4D" w14:textId="77777777" w:rsidR="00341727" w:rsidRPr="009873CE" w:rsidRDefault="00341727" w:rsidP="009873CE">
      <w:pPr>
        <w:pStyle w:val="Geenafstand"/>
        <w:suppressAutoHyphens/>
        <w:rPr>
          <w:rFonts w:cs="Calibri"/>
          <w:i/>
          <w:iCs/>
          <w:sz w:val="16"/>
          <w:szCs w:val="16"/>
          <w:lang w:eastAsia="nl-NL"/>
        </w:rPr>
      </w:pPr>
    </w:p>
  </w:footnote>
  <w:footnote w:id="63">
    <w:p w14:paraId="3360FB46" w14:textId="77777777" w:rsidR="00341727" w:rsidRPr="009873CE" w:rsidRDefault="00341727" w:rsidP="009873CE">
      <w:pPr>
        <w:pStyle w:val="Voetnoottekst"/>
        <w:suppressAutoHyphens/>
        <w:rPr>
          <w:rFonts w:cs="Calibri"/>
          <w:i/>
          <w:iCs/>
          <w:sz w:val="16"/>
          <w:szCs w:val="16"/>
        </w:rPr>
      </w:pPr>
      <w:r w:rsidRPr="009873CE">
        <w:rPr>
          <w:rStyle w:val="Voetnootmarkering"/>
          <w:i/>
          <w:iCs/>
          <w:sz w:val="16"/>
          <w:szCs w:val="16"/>
        </w:rPr>
        <w:footnoteRef/>
      </w:r>
      <w:r w:rsidRPr="009873CE">
        <w:rPr>
          <w:i/>
          <w:iCs/>
          <w:sz w:val="16"/>
          <w:szCs w:val="16"/>
        </w:rPr>
        <w:t xml:space="preserve"> </w:t>
      </w:r>
      <w:r w:rsidRPr="009873CE">
        <w:rPr>
          <w:rFonts w:cs="Calibri"/>
          <w:i/>
          <w:iCs/>
          <w:sz w:val="16"/>
          <w:szCs w:val="16"/>
        </w:rPr>
        <w:t>In 2014 zijn de zorguitgaven met € 346 miljoen neerwaarts bijgesteld als gevolg van de technische correctie kader jeugd.</w:t>
      </w:r>
    </w:p>
    <w:p w14:paraId="2A948047" w14:textId="77777777" w:rsidR="00341727" w:rsidRPr="009873CE" w:rsidRDefault="00341727" w:rsidP="009873CE">
      <w:pPr>
        <w:pStyle w:val="Voetnoottekst"/>
        <w:suppressAutoHyphens/>
        <w:rPr>
          <w:rFonts w:cs="Calibri"/>
          <w:i/>
          <w:iCs/>
          <w:sz w:val="16"/>
          <w:szCs w:val="16"/>
        </w:rPr>
      </w:pPr>
    </w:p>
  </w:footnote>
  <w:footnote w:id="64">
    <w:p w14:paraId="1E09E116" w14:textId="77777777" w:rsidR="00341727" w:rsidRPr="009873CE" w:rsidRDefault="00341727" w:rsidP="009873CE">
      <w:pPr>
        <w:pStyle w:val="Voetnoottekst"/>
        <w:suppressAutoHyphens/>
        <w:rPr>
          <w:rFonts w:cs="Calibri"/>
          <w:i/>
          <w:iCs/>
          <w:color w:val="000000"/>
          <w:sz w:val="16"/>
          <w:szCs w:val="16"/>
        </w:rPr>
      </w:pPr>
      <w:r w:rsidRPr="009873CE">
        <w:rPr>
          <w:rStyle w:val="Voetnootmarkering"/>
          <w:i/>
          <w:iCs/>
          <w:sz w:val="16"/>
          <w:szCs w:val="16"/>
        </w:rPr>
        <w:footnoteRef/>
      </w:r>
      <w:r w:rsidRPr="009873CE">
        <w:rPr>
          <w:i/>
          <w:iCs/>
          <w:sz w:val="16"/>
          <w:szCs w:val="16"/>
        </w:rPr>
        <w:t xml:space="preserve"> </w:t>
      </w:r>
      <w:r w:rsidRPr="009873CE">
        <w:rPr>
          <w:rFonts w:cs="Calibri"/>
          <w:i/>
          <w:iCs/>
          <w:color w:val="000000"/>
          <w:sz w:val="16"/>
          <w:szCs w:val="16"/>
        </w:rPr>
        <w:t>In 2015 zijn de zorguitgaven met € 685 miljoen neerwaarts bijgesteld als gevolg van de technische correctie verkorting DBC-doorlooptijd.</w:t>
      </w:r>
    </w:p>
    <w:p w14:paraId="7C0CD2CB" w14:textId="77777777" w:rsidR="00341727" w:rsidRPr="009873CE" w:rsidRDefault="00341727" w:rsidP="009873CE">
      <w:pPr>
        <w:pStyle w:val="Voetnoottekst"/>
        <w:suppressAutoHyphens/>
        <w:rPr>
          <w:i/>
          <w:iCs/>
          <w:sz w:val="16"/>
          <w:szCs w:val="16"/>
        </w:rPr>
      </w:pPr>
    </w:p>
  </w:footnote>
  <w:footnote w:id="65">
    <w:p w14:paraId="12FFB2BB" w14:textId="77777777" w:rsidR="00341727" w:rsidRPr="009873CE" w:rsidRDefault="00341727" w:rsidP="009873CE">
      <w:pPr>
        <w:pStyle w:val="Voetnoottekst"/>
        <w:suppressAutoHyphens/>
        <w:rPr>
          <w:rFonts w:cs="Calibri"/>
          <w:i/>
          <w:iCs/>
          <w:color w:val="000000"/>
          <w:sz w:val="16"/>
          <w:szCs w:val="16"/>
        </w:rPr>
      </w:pPr>
      <w:r w:rsidRPr="009873CE">
        <w:rPr>
          <w:rStyle w:val="Voetnootmarkering"/>
          <w:i/>
          <w:iCs/>
          <w:sz w:val="16"/>
          <w:szCs w:val="16"/>
        </w:rPr>
        <w:footnoteRef/>
      </w:r>
      <w:r w:rsidRPr="009873CE">
        <w:rPr>
          <w:i/>
          <w:iCs/>
          <w:sz w:val="16"/>
          <w:szCs w:val="16"/>
        </w:rPr>
        <w:t xml:space="preserve"> </w:t>
      </w:r>
      <w:r w:rsidRPr="009873CE">
        <w:rPr>
          <w:rFonts w:cs="Calibri"/>
          <w:i/>
          <w:iCs/>
          <w:color w:val="000000"/>
          <w:sz w:val="16"/>
          <w:szCs w:val="16"/>
        </w:rPr>
        <w:t xml:space="preserve">De grote daling in 2015 ten opzichte van 2014 wordt met name veroorzaakt door de overheveling van de </w:t>
      </w:r>
      <w:proofErr w:type="spellStart"/>
      <w:r w:rsidRPr="009873CE">
        <w:rPr>
          <w:rFonts w:cs="Calibri"/>
          <w:i/>
          <w:iCs/>
          <w:color w:val="000000"/>
          <w:sz w:val="16"/>
          <w:szCs w:val="16"/>
        </w:rPr>
        <w:t>Wmo</w:t>
      </w:r>
      <w:proofErr w:type="spellEnd"/>
      <w:r w:rsidRPr="009873CE">
        <w:rPr>
          <w:rFonts w:cs="Calibri"/>
          <w:i/>
          <w:iCs/>
          <w:color w:val="000000"/>
          <w:sz w:val="16"/>
          <w:szCs w:val="16"/>
        </w:rPr>
        <w:t xml:space="preserve"> en jeugd in 2015 naar de Integratie-uitkering Sociaal Domein (IUSD). De IUSD telde mee in de definitie van de zorguitgaven. Vanaf 2019 zijn de middelen uit de IUSD opgegaan in de Algemene Uitkering van het gemeentefonds en zijn ze geen onderdeel meer van de definitie van de zorguitgaven. Om een vergelijkbare uitgavenreeks te hebben met dezelfde definitie is voor de jaren 2015 t/m 2018 gecorrigeerd voor de IUSD, door deze ook voor deze jaren niet mee te laten tellen onder de definitie die nu wordt gehanteerd voor de </w:t>
      </w:r>
      <w:proofErr w:type="spellStart"/>
      <w:r w:rsidRPr="009873CE">
        <w:rPr>
          <w:rFonts w:cs="Calibri"/>
          <w:i/>
          <w:iCs/>
          <w:color w:val="000000"/>
          <w:sz w:val="16"/>
          <w:szCs w:val="16"/>
        </w:rPr>
        <w:t>Premiegefinancierde</w:t>
      </w:r>
      <w:proofErr w:type="spellEnd"/>
      <w:r w:rsidRPr="009873CE">
        <w:rPr>
          <w:rFonts w:cs="Calibri"/>
          <w:i/>
          <w:iCs/>
          <w:color w:val="000000"/>
          <w:sz w:val="16"/>
          <w:szCs w:val="16"/>
        </w:rPr>
        <w:t xml:space="preserve"> Zorguitgaven (PZ).</w:t>
      </w:r>
    </w:p>
    <w:p w14:paraId="76786282" w14:textId="77777777" w:rsidR="00341727" w:rsidRPr="009873CE" w:rsidRDefault="00341727" w:rsidP="009873CE">
      <w:pPr>
        <w:pStyle w:val="Voetnoottekst"/>
        <w:suppressAutoHyphens/>
        <w:rPr>
          <w:rFonts w:cs="Calibri"/>
          <w:i/>
          <w:iCs/>
          <w:color w:val="000000"/>
          <w:sz w:val="16"/>
          <w:szCs w:val="16"/>
        </w:rPr>
      </w:pPr>
    </w:p>
  </w:footnote>
  <w:footnote w:id="66">
    <w:p w14:paraId="44F09CAA" w14:textId="77777777" w:rsidR="00390010" w:rsidRPr="009873CE" w:rsidRDefault="00390010" w:rsidP="009873CE">
      <w:pPr>
        <w:pStyle w:val="Geenafstand"/>
        <w:suppressAutoHyphens/>
        <w:rPr>
          <w:i/>
          <w:iCs/>
          <w:sz w:val="16"/>
          <w:szCs w:val="16"/>
          <w:lang w:eastAsia="nl-NL"/>
        </w:rPr>
      </w:pPr>
    </w:p>
  </w:footnote>
  <w:footnote w:id="67">
    <w:p w14:paraId="1F352EF2" w14:textId="77777777" w:rsidR="00936238" w:rsidRPr="009873CE" w:rsidRDefault="00936238"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Kamerstuk 32140 nr. 119</w:t>
      </w:r>
    </w:p>
  </w:footnote>
  <w:footnote w:id="68">
    <w:p w14:paraId="34DCA676" w14:textId="77777777" w:rsidR="00936238" w:rsidRPr="009873CE" w:rsidRDefault="00936238"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Fitnesscentra; klanten, abonnementsprijzen en voorzieningen, CBS (2023).</w:t>
      </w:r>
    </w:p>
  </w:footnote>
  <w:footnote w:id="69">
    <w:p w14:paraId="06C0E601" w14:textId="77777777" w:rsidR="00936238" w:rsidRPr="009873CE" w:rsidRDefault="00936238"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Contributiemonitor 2024/2025, </w:t>
      </w:r>
      <w:proofErr w:type="spellStart"/>
      <w:r w:rsidRPr="009873CE">
        <w:rPr>
          <w:sz w:val="16"/>
          <w:szCs w:val="16"/>
        </w:rPr>
        <w:t>Mulier</w:t>
      </w:r>
      <w:proofErr w:type="spellEnd"/>
      <w:r w:rsidRPr="009873CE">
        <w:rPr>
          <w:sz w:val="16"/>
          <w:szCs w:val="16"/>
        </w:rPr>
        <w:t xml:space="preserve"> Instituut (2025).</w:t>
      </w:r>
    </w:p>
  </w:footnote>
  <w:footnote w:id="70">
    <w:p w14:paraId="0FA030D2" w14:textId="77777777" w:rsidR="00D07289" w:rsidRPr="009873CE" w:rsidRDefault="00D07289"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Gedeeld als bijlage met Kamerstuk 31839, nr. 1031</w:t>
      </w:r>
    </w:p>
  </w:footnote>
  <w:footnote w:id="71">
    <w:p w14:paraId="36C3C0F3" w14:textId="77777777" w:rsidR="00D07289" w:rsidRPr="009873CE" w:rsidRDefault="00D07289"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Gedeeld als bijlage bij Kamerstukken II, 2024/25, 31839, nr. 1031</w:t>
      </w:r>
    </w:p>
  </w:footnote>
  <w:footnote w:id="72">
    <w:p w14:paraId="0ECDF223" w14:textId="77777777" w:rsidR="00D07289" w:rsidRPr="009873CE" w:rsidRDefault="00D07289"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Kamerstukken II, 2024/25, 31839, nr. 1063</w:t>
      </w:r>
    </w:p>
  </w:footnote>
  <w:footnote w:id="73">
    <w:p w14:paraId="37D330E1" w14:textId="77777777" w:rsidR="00D07289" w:rsidRPr="009873CE" w:rsidRDefault="00D07289"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TK 2024/2025, 34104, nr. 439. </w:t>
      </w:r>
    </w:p>
  </w:footnote>
  <w:footnote w:id="74">
    <w:p w14:paraId="34774B32" w14:textId="77777777" w:rsidR="00D07289" w:rsidRPr="009873CE" w:rsidRDefault="00D07289"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18" w:history="1">
        <w:r w:rsidRPr="009873CE">
          <w:rPr>
            <w:rStyle w:val="Hyperlink"/>
            <w:rFonts w:eastAsiaTheme="majorEastAsia"/>
            <w:sz w:val="16"/>
            <w:szCs w:val="16"/>
          </w:rPr>
          <w:t xml:space="preserve">Post-COVID: onderzoeksprogramma, kennisinfrastructuur en </w:t>
        </w:r>
        <w:proofErr w:type="spellStart"/>
        <w:r w:rsidRPr="009873CE">
          <w:rPr>
            <w:rStyle w:val="Hyperlink"/>
            <w:rFonts w:eastAsiaTheme="majorEastAsia"/>
            <w:sz w:val="16"/>
            <w:szCs w:val="16"/>
          </w:rPr>
          <w:t>expertis</w:t>
        </w:r>
        <w:proofErr w:type="spellEnd"/>
      </w:hyperlink>
    </w:p>
  </w:footnote>
  <w:footnote w:id="75">
    <w:p w14:paraId="5F8C88B1" w14:textId="77777777" w:rsidR="00D07289" w:rsidRPr="009873CE" w:rsidRDefault="00D07289"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19" w:history="1">
        <w:r w:rsidRPr="009873CE">
          <w:rPr>
            <w:rStyle w:val="Hyperlink"/>
            <w:rFonts w:eastAsiaTheme="majorEastAsia"/>
            <w:sz w:val="16"/>
            <w:szCs w:val="16"/>
          </w:rPr>
          <w:t>https://projecten.zonmw.nl/nl/project/reclaim-minocycline-vs-placebo-reclaim-mp</w:t>
        </w:r>
      </w:hyperlink>
      <w:r w:rsidRPr="009873CE">
        <w:rPr>
          <w:sz w:val="16"/>
          <w:szCs w:val="16"/>
        </w:rPr>
        <w:t xml:space="preserve"> </w:t>
      </w:r>
    </w:p>
  </w:footnote>
  <w:footnote w:id="76">
    <w:p w14:paraId="6E529682" w14:textId="77777777" w:rsidR="00C279FC" w:rsidRPr="009873CE" w:rsidRDefault="00C279FC"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Kamerstukken II 2024/25, 25295, nr. 2235</w:t>
      </w:r>
    </w:p>
  </w:footnote>
  <w:footnote w:id="77">
    <w:p w14:paraId="44640A4D" w14:textId="77777777" w:rsidR="00630335" w:rsidRPr="009873CE" w:rsidRDefault="00630335"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Remgelden zijn de in het Hoofdlijnenakkoord gereserveerde middelen om de extra zorgvraag als gevolg van de verlaging van het eigen risico vanaf 2027 op te vangen.</w:t>
      </w:r>
    </w:p>
  </w:footnote>
  <w:footnote w:id="78">
    <w:p w14:paraId="3D5024EA" w14:textId="77777777" w:rsidR="00274792" w:rsidRPr="009873CE" w:rsidRDefault="00274792"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2022/23, 36 350, nr. 1.</w:t>
      </w:r>
    </w:p>
  </w:footnote>
  <w:footnote w:id="79">
    <w:p w14:paraId="46A4FA0D" w14:textId="77777777" w:rsidR="00274792" w:rsidRPr="009873CE" w:rsidRDefault="00274792"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r w:rsidRPr="009873CE">
        <w:rPr>
          <w:bCs/>
          <w:sz w:val="16"/>
          <w:szCs w:val="16"/>
        </w:rPr>
        <w:t>Kamerstukken II 2024/25, 29 538, nr. 365. Het werd noodzakelijk geacht de beoogde invoeringsdatum te verschuiven omdat er voldoende tijd moet zitten tussen de publicatie van het wetsvoorstel en het moment van inwerkingtreding en om zo aan zowel burgers, aanbieders van ondersteuning, als aan uitvoerende partijen – zoals het CAK en gemeenten – de gelegenheid te bieden zich goed voor te bereiden op de invoering van dit wetsvoorstel.</w:t>
      </w:r>
    </w:p>
  </w:footnote>
  <w:footnote w:id="80">
    <w:p w14:paraId="4219A4C8" w14:textId="77777777" w:rsidR="00274792" w:rsidRPr="009873CE" w:rsidRDefault="00274792" w:rsidP="009873CE">
      <w:pPr>
        <w:suppressAutoHyphens/>
        <w:rPr>
          <w:sz w:val="16"/>
          <w:szCs w:val="16"/>
        </w:rPr>
      </w:pPr>
      <w:r w:rsidRPr="009873CE">
        <w:rPr>
          <w:rStyle w:val="Voetnootmarkering"/>
          <w:sz w:val="16"/>
          <w:szCs w:val="16"/>
        </w:rPr>
        <w:footnoteRef/>
      </w:r>
      <w:r w:rsidRPr="009873CE">
        <w:rPr>
          <w:sz w:val="16"/>
          <w:szCs w:val="16"/>
        </w:rPr>
        <w:t xml:space="preserve"> </w:t>
      </w:r>
      <w:r w:rsidRPr="009873CE">
        <w:rPr>
          <w:bCs/>
          <w:sz w:val="16"/>
          <w:szCs w:val="16"/>
        </w:rPr>
        <w:t>Kamerstukken II 2024/25,</w:t>
      </w:r>
      <w:r w:rsidRPr="009873CE">
        <w:rPr>
          <w:sz w:val="16"/>
          <w:szCs w:val="16"/>
        </w:rPr>
        <w:t xml:space="preserve"> 36 725, nr. 1.</w:t>
      </w:r>
    </w:p>
  </w:footnote>
  <w:footnote w:id="81">
    <w:p w14:paraId="0ACF832E" w14:textId="77777777" w:rsidR="0014318A" w:rsidRPr="009873CE" w:rsidRDefault="0014318A" w:rsidP="009873CE">
      <w:pPr>
        <w:suppressAutoHyphens/>
        <w:ind w:left="142" w:hanging="142"/>
        <w:rPr>
          <w:sz w:val="16"/>
          <w:szCs w:val="16"/>
        </w:rPr>
      </w:pPr>
      <w:r w:rsidRPr="009873CE">
        <w:rPr>
          <w:rStyle w:val="Voetnootmarkering"/>
          <w:sz w:val="16"/>
          <w:szCs w:val="16"/>
        </w:rPr>
        <w:footnoteRef/>
      </w:r>
      <w:r w:rsidRPr="009873CE">
        <w:rPr>
          <w:sz w:val="16"/>
          <w:szCs w:val="16"/>
        </w:rPr>
        <w:t xml:space="preserve"> RIVM, 2006. Zorgkosten van ongezond gedrag. Beschikbaar via </w:t>
      </w:r>
      <w:hyperlink r:id="rId20" w:history="1">
        <w:r w:rsidRPr="009873CE">
          <w:rPr>
            <w:rStyle w:val="Hyperlink"/>
            <w:sz w:val="16"/>
            <w:szCs w:val="16"/>
          </w:rPr>
          <w:t>https://www.rivm.nl/bibliotheek/rapporten/270751015.pdf</w:t>
        </w:r>
      </w:hyperlink>
    </w:p>
  </w:footnote>
  <w:footnote w:id="82">
    <w:p w14:paraId="55E82C30" w14:textId="77777777" w:rsidR="0014318A" w:rsidRPr="009873CE" w:rsidRDefault="0014318A" w:rsidP="009873CE">
      <w:pPr>
        <w:pStyle w:val="Voetnoottekst"/>
        <w:suppressAutoHyphens/>
        <w:ind w:left="142" w:hanging="142"/>
        <w:rPr>
          <w:sz w:val="16"/>
          <w:szCs w:val="16"/>
        </w:rPr>
      </w:pPr>
      <w:r w:rsidRPr="009873CE">
        <w:rPr>
          <w:rStyle w:val="Voetnootmarkering"/>
          <w:sz w:val="16"/>
          <w:szCs w:val="16"/>
        </w:rPr>
        <w:footnoteRef/>
      </w:r>
      <w:r w:rsidRPr="009873CE">
        <w:rPr>
          <w:sz w:val="16"/>
          <w:szCs w:val="16"/>
          <w:lang w:val="en-GB"/>
        </w:rPr>
        <w:t xml:space="preserve"> Hecker J. et al. 2022. Burden of disease study of overweight and obesity; the societal impact in terms of cost-of-illness and health-related quality of life. </w:t>
      </w:r>
      <w:r w:rsidRPr="009873CE">
        <w:rPr>
          <w:sz w:val="16"/>
          <w:szCs w:val="16"/>
        </w:rPr>
        <w:t>BMC Public Health, 22</w:t>
      </w:r>
      <w:r w:rsidRPr="009873CE">
        <w:rPr>
          <w:rFonts w:cs="Segoe UI"/>
          <w:color w:val="212121"/>
          <w:sz w:val="16"/>
          <w:szCs w:val="16"/>
          <w:shd w:val="clear" w:color="auto" w:fill="FFFFFF"/>
        </w:rPr>
        <w:t xml:space="preserve"> </w:t>
      </w:r>
      <w:r w:rsidRPr="009873CE">
        <w:rPr>
          <w:sz w:val="16"/>
          <w:szCs w:val="16"/>
        </w:rPr>
        <w:t xml:space="preserve">(1):46. Beschikbaar via: </w:t>
      </w:r>
      <w:hyperlink r:id="rId21" w:history="1">
        <w:r w:rsidRPr="009873CE">
          <w:rPr>
            <w:rStyle w:val="Hyperlink"/>
            <w:rFonts w:eastAsiaTheme="majorEastAsia"/>
            <w:sz w:val="16"/>
            <w:szCs w:val="16"/>
          </w:rPr>
          <w:t>https://bmcpublichealth.biomedcentral.com/articles/10.1186/s12889-021-12449-2</w:t>
        </w:r>
      </w:hyperlink>
    </w:p>
  </w:footnote>
  <w:footnote w:id="83">
    <w:p w14:paraId="46F41B48" w14:textId="77777777" w:rsidR="0014318A" w:rsidRPr="009873CE" w:rsidRDefault="0014318A" w:rsidP="009873CE">
      <w:pPr>
        <w:pStyle w:val="Voetnoottekst"/>
        <w:suppressAutoHyphens/>
        <w:ind w:left="142" w:hanging="142"/>
        <w:rPr>
          <w:sz w:val="16"/>
          <w:szCs w:val="16"/>
        </w:rPr>
      </w:pPr>
      <w:r w:rsidRPr="009873CE">
        <w:rPr>
          <w:rStyle w:val="Voetnootmarkering"/>
          <w:sz w:val="16"/>
          <w:szCs w:val="16"/>
        </w:rPr>
        <w:footnoteRef/>
      </w:r>
      <w:r w:rsidRPr="009873CE">
        <w:rPr>
          <w:sz w:val="16"/>
          <w:szCs w:val="16"/>
        </w:rPr>
        <w:t xml:space="preserve"> RIVM. VZinfo.nl - Overgewicht | Volwassenen. Beschikbaar via: </w:t>
      </w:r>
      <w:hyperlink r:id="rId22" w:history="1">
        <w:r w:rsidRPr="009873CE">
          <w:rPr>
            <w:rStyle w:val="Hyperlink"/>
            <w:rFonts w:eastAsiaTheme="majorEastAsia"/>
            <w:sz w:val="16"/>
            <w:szCs w:val="16"/>
          </w:rPr>
          <w:t>https://www.vzinfo.nl/overgewicht/volwassenen</w:t>
        </w:r>
      </w:hyperlink>
    </w:p>
    <w:p w14:paraId="1DC77DF0" w14:textId="77777777" w:rsidR="0014318A" w:rsidRPr="009873CE" w:rsidRDefault="0014318A" w:rsidP="009873CE">
      <w:pPr>
        <w:pStyle w:val="Voetnoottekst"/>
        <w:suppressAutoHyphens/>
        <w:rPr>
          <w:sz w:val="16"/>
          <w:szCs w:val="16"/>
        </w:rPr>
      </w:pPr>
    </w:p>
  </w:footnote>
  <w:footnote w:id="84">
    <w:p w14:paraId="4D399C4C" w14:textId="77777777" w:rsidR="00630335" w:rsidRPr="009873CE" w:rsidRDefault="00630335" w:rsidP="009873CE">
      <w:pPr>
        <w:pStyle w:val="Voetnoottekst"/>
        <w:suppressAutoHyphens/>
        <w:rPr>
          <w:sz w:val="16"/>
          <w:szCs w:val="16"/>
          <w:lang w:val="en-US"/>
        </w:rPr>
      </w:pPr>
      <w:r w:rsidRPr="009873CE">
        <w:rPr>
          <w:rStyle w:val="Voetnootmarkering"/>
          <w:rFonts w:eastAsiaTheme="majorEastAsia"/>
          <w:sz w:val="16"/>
          <w:szCs w:val="16"/>
        </w:rPr>
        <w:footnoteRef/>
      </w:r>
      <w:r w:rsidRPr="009873CE">
        <w:rPr>
          <w:sz w:val="16"/>
          <w:szCs w:val="16"/>
          <w:lang w:val="en-US"/>
        </w:rPr>
        <w:t xml:space="preserve"> </w:t>
      </w:r>
      <w:proofErr w:type="spellStart"/>
      <w:r w:rsidRPr="009873CE">
        <w:rPr>
          <w:sz w:val="16"/>
          <w:szCs w:val="16"/>
          <w:lang w:val="en-US"/>
        </w:rPr>
        <w:t>Geregistreerd</w:t>
      </w:r>
      <w:proofErr w:type="spellEnd"/>
      <w:r w:rsidRPr="009873CE">
        <w:rPr>
          <w:sz w:val="16"/>
          <w:szCs w:val="16"/>
          <w:lang w:val="en-US"/>
        </w:rPr>
        <w:t xml:space="preserve"> door Dutch Audit for Treatment of Obesity (DATO): </w:t>
      </w:r>
      <w:hyperlink r:id="rId23" w:history="1">
        <w:proofErr w:type="spellStart"/>
        <w:r w:rsidRPr="009873CE">
          <w:rPr>
            <w:rStyle w:val="Hyperlink"/>
            <w:rFonts w:eastAsiaTheme="majorEastAsia"/>
            <w:sz w:val="16"/>
            <w:szCs w:val="16"/>
            <w:lang w:val="en-US"/>
          </w:rPr>
          <w:t>Obesitas</w:t>
        </w:r>
        <w:proofErr w:type="spellEnd"/>
        <w:r w:rsidRPr="009873CE">
          <w:rPr>
            <w:rStyle w:val="Hyperlink"/>
            <w:rFonts w:eastAsiaTheme="majorEastAsia"/>
            <w:sz w:val="16"/>
            <w:szCs w:val="16"/>
            <w:lang w:val="en-US"/>
          </w:rPr>
          <w:t xml:space="preserve"> - DATO - </w:t>
        </w:r>
        <w:proofErr w:type="spellStart"/>
        <w:r w:rsidRPr="009873CE">
          <w:rPr>
            <w:rStyle w:val="Hyperlink"/>
            <w:rFonts w:eastAsiaTheme="majorEastAsia"/>
            <w:sz w:val="16"/>
            <w:szCs w:val="16"/>
            <w:lang w:val="en-US"/>
          </w:rPr>
          <w:t>Dica</w:t>
        </w:r>
        <w:proofErr w:type="spellEnd"/>
      </w:hyperlink>
    </w:p>
  </w:footnote>
  <w:footnote w:id="85">
    <w:p w14:paraId="38CA1D1F" w14:textId="77777777" w:rsidR="00630335" w:rsidRPr="009873CE" w:rsidRDefault="00630335" w:rsidP="009873CE">
      <w:pPr>
        <w:pStyle w:val="Voetnoottekst"/>
        <w:suppressAutoHyphens/>
        <w:ind w:left="142" w:hanging="142"/>
        <w:rPr>
          <w:sz w:val="16"/>
          <w:szCs w:val="16"/>
        </w:rPr>
      </w:pPr>
      <w:r w:rsidRPr="009873CE">
        <w:rPr>
          <w:rStyle w:val="Voetnootmarkering"/>
          <w:rFonts w:eastAsiaTheme="majorEastAsia"/>
          <w:sz w:val="16"/>
          <w:szCs w:val="16"/>
        </w:rPr>
        <w:footnoteRef/>
      </w:r>
      <w:r w:rsidRPr="009873CE">
        <w:rPr>
          <w:sz w:val="16"/>
          <w:szCs w:val="16"/>
        </w:rPr>
        <w:t xml:space="preserve"> RIVM, De Staat van Volksgezondheid en Zorg. Roken: volwassenen. Beschikbaar via </w:t>
      </w:r>
      <w:hyperlink r:id="rId24" w:history="1">
        <w:r w:rsidRPr="009873CE">
          <w:rPr>
            <w:rStyle w:val="Hyperlink"/>
            <w:rFonts w:eastAsiaTheme="majorEastAsia"/>
            <w:sz w:val="16"/>
            <w:szCs w:val="16"/>
          </w:rPr>
          <w:t>https://www.staatvenz.nl/kerncijfers/roken</w:t>
        </w:r>
      </w:hyperlink>
    </w:p>
  </w:footnote>
  <w:footnote w:id="86">
    <w:p w14:paraId="3CCBF49F" w14:textId="77777777" w:rsidR="00630335" w:rsidRPr="009873CE" w:rsidRDefault="00630335" w:rsidP="009873CE">
      <w:pPr>
        <w:pStyle w:val="Voetnoottekst"/>
        <w:suppressAutoHyphens/>
        <w:ind w:left="142" w:hanging="142"/>
        <w:rPr>
          <w:sz w:val="16"/>
          <w:szCs w:val="16"/>
        </w:rPr>
      </w:pPr>
      <w:r w:rsidRPr="009873CE">
        <w:rPr>
          <w:rStyle w:val="Voetnootmarkering"/>
          <w:rFonts w:eastAsiaTheme="majorEastAsia"/>
          <w:sz w:val="16"/>
          <w:szCs w:val="16"/>
        </w:rPr>
        <w:footnoteRef/>
      </w:r>
      <w:r w:rsidRPr="009873CE">
        <w:rPr>
          <w:sz w:val="16"/>
          <w:szCs w:val="16"/>
        </w:rPr>
        <w:t xml:space="preserve"> RIVM, De Staat van Volksgezondheid en Zorg. Roken: jongeren. Beschikbaar via </w:t>
      </w:r>
      <w:hyperlink r:id="rId25" w:history="1">
        <w:r w:rsidRPr="009873CE">
          <w:rPr>
            <w:rStyle w:val="Hyperlink"/>
            <w:rFonts w:eastAsiaTheme="majorEastAsia"/>
            <w:sz w:val="16"/>
            <w:szCs w:val="16"/>
          </w:rPr>
          <w:t>https://www.staatvenz.nl/kerncijfers/roken-jongeren</w:t>
        </w:r>
      </w:hyperlink>
    </w:p>
  </w:footnote>
  <w:footnote w:id="87">
    <w:p w14:paraId="4EBA2DCF" w14:textId="77777777" w:rsidR="0014318A" w:rsidRPr="009873CE" w:rsidRDefault="0014318A"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Tweede Kamer, 2024/25, 32793, nr. 851</w:t>
      </w:r>
    </w:p>
  </w:footnote>
  <w:footnote w:id="88">
    <w:p w14:paraId="577C34D1" w14:textId="77777777" w:rsidR="0014318A" w:rsidRPr="009873CE" w:rsidRDefault="0014318A"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26" w:history="1">
        <w:r w:rsidRPr="009873CE">
          <w:rPr>
            <w:rStyle w:val="Hyperlink"/>
            <w:rFonts w:eastAsiaTheme="majorEastAsia"/>
            <w:sz w:val="16"/>
            <w:szCs w:val="16"/>
          </w:rPr>
          <w:t>Rijksvaccinatieprogramma (RVP): deelname zuigelingen | De Staat van Volksgezondheid en Zorg (staatvenz.nl)</w:t>
        </w:r>
      </w:hyperlink>
    </w:p>
  </w:footnote>
  <w:footnote w:id="89">
    <w:p w14:paraId="52F82FB3" w14:textId="77777777" w:rsidR="00C0122C" w:rsidRPr="009873CE" w:rsidRDefault="00C0122C" w:rsidP="009873CE">
      <w:pPr>
        <w:pStyle w:val="Voetnoottekst"/>
        <w:suppressAutoHyphens/>
        <w:rPr>
          <w:sz w:val="16"/>
          <w:szCs w:val="16"/>
          <w:lang w:val="en-US"/>
        </w:rPr>
      </w:pPr>
      <w:r w:rsidRPr="009873CE">
        <w:rPr>
          <w:rStyle w:val="Voetnootmarkering"/>
          <w:sz w:val="16"/>
          <w:szCs w:val="16"/>
        </w:rPr>
        <w:footnoteRef/>
      </w:r>
      <w:r w:rsidRPr="009873CE">
        <w:rPr>
          <w:sz w:val="16"/>
          <w:szCs w:val="16"/>
          <w:lang w:val="en-US"/>
        </w:rPr>
        <w:t xml:space="preserve"> Tweede Kamer, </w:t>
      </w:r>
      <w:proofErr w:type="spellStart"/>
      <w:r w:rsidRPr="009873CE">
        <w:rPr>
          <w:sz w:val="16"/>
          <w:szCs w:val="16"/>
          <w:lang w:val="en-US"/>
        </w:rPr>
        <w:t>vergaderjaar</w:t>
      </w:r>
      <w:proofErr w:type="spellEnd"/>
      <w:r w:rsidRPr="009873CE">
        <w:rPr>
          <w:sz w:val="16"/>
          <w:szCs w:val="16"/>
          <w:lang w:val="en-US"/>
        </w:rPr>
        <w:t xml:space="preserve"> 2023–2024, 31 765, nr. 843</w:t>
      </w:r>
    </w:p>
    <w:p w14:paraId="7F0674B1" w14:textId="164ABF1F" w:rsidR="00C0122C" w:rsidRPr="009873CE" w:rsidRDefault="00C0122C" w:rsidP="009873CE">
      <w:pPr>
        <w:pStyle w:val="Voetnoottekst"/>
        <w:suppressAutoHyphens/>
        <w:rPr>
          <w:sz w:val="16"/>
          <w:szCs w:val="16"/>
          <w:lang w:val="en-US"/>
        </w:rPr>
      </w:pPr>
    </w:p>
  </w:footnote>
  <w:footnote w:id="90">
    <w:p w14:paraId="4268D191" w14:textId="77777777" w:rsidR="0014318A" w:rsidRPr="009873CE" w:rsidRDefault="0014318A" w:rsidP="009873CE">
      <w:pPr>
        <w:pStyle w:val="Voetnoottekst"/>
        <w:suppressAutoHyphens/>
        <w:rPr>
          <w:sz w:val="16"/>
          <w:szCs w:val="16"/>
          <w:lang w:val="en-US"/>
        </w:rPr>
      </w:pPr>
      <w:r w:rsidRPr="009873CE">
        <w:rPr>
          <w:rStyle w:val="Voetnootmarkering"/>
          <w:sz w:val="16"/>
          <w:szCs w:val="16"/>
        </w:rPr>
        <w:footnoteRef/>
      </w:r>
      <w:r w:rsidRPr="009873CE">
        <w:rPr>
          <w:sz w:val="16"/>
          <w:szCs w:val="16"/>
          <w:lang w:val="en-US"/>
        </w:rPr>
        <w:t xml:space="preserve"> </w:t>
      </w:r>
      <w:hyperlink r:id="rId27" w:history="1">
        <w:r w:rsidRPr="009873CE">
          <w:rPr>
            <w:rStyle w:val="Hyperlink"/>
            <w:rFonts w:eastAsiaTheme="majorEastAsia"/>
            <w:sz w:val="16"/>
            <w:szCs w:val="16"/>
            <w:lang w:val="en-US"/>
          </w:rPr>
          <w:t>Health literacy of Dutch adults: a cross sectional survey - PubMed (nih.gov)</w:t>
        </w:r>
      </w:hyperlink>
    </w:p>
  </w:footnote>
  <w:footnote w:id="91">
    <w:p w14:paraId="4A3C9239" w14:textId="77777777" w:rsidR="0014318A" w:rsidRPr="009873CE" w:rsidRDefault="0014318A" w:rsidP="009873CE">
      <w:pPr>
        <w:suppressAutoHyphens/>
        <w:spacing w:line="252" w:lineRule="auto"/>
        <w:rPr>
          <w:sz w:val="16"/>
          <w:szCs w:val="16"/>
          <w:lang w:val="en-US"/>
        </w:rPr>
      </w:pPr>
      <w:r w:rsidRPr="009873CE">
        <w:rPr>
          <w:rStyle w:val="Voetnootmarkering"/>
          <w:sz w:val="16"/>
          <w:szCs w:val="16"/>
        </w:rPr>
        <w:footnoteRef/>
      </w:r>
      <w:r w:rsidRPr="009873CE">
        <w:rPr>
          <w:sz w:val="16"/>
          <w:szCs w:val="16"/>
          <w:lang w:val="en-US"/>
        </w:rPr>
        <w:t xml:space="preserve"> </w:t>
      </w:r>
      <w:hyperlink r:id="rId28" w:history="1">
        <w:r w:rsidRPr="009873CE">
          <w:rPr>
            <w:rStyle w:val="Hyperlink"/>
            <w:sz w:val="16"/>
            <w:szCs w:val="16"/>
            <w:lang w:val="en-US"/>
          </w:rPr>
          <w:t>About M-POHL | M-POHL - WHO Action Network on Measuring Population and Organizational Health Literacy</w:t>
        </w:r>
      </w:hyperlink>
    </w:p>
  </w:footnote>
  <w:footnote w:id="92">
    <w:p w14:paraId="4C25FE36" w14:textId="77777777" w:rsidR="0014318A" w:rsidRPr="009873CE" w:rsidRDefault="0014318A" w:rsidP="009873CE">
      <w:pPr>
        <w:pStyle w:val="Voetnoottekst"/>
        <w:suppressAutoHyphens/>
        <w:rPr>
          <w:rStyle w:val="Hyperlink"/>
          <w:rFonts w:eastAsiaTheme="majorEastAsia"/>
          <w:sz w:val="16"/>
          <w:szCs w:val="16"/>
        </w:rPr>
      </w:pPr>
      <w:r w:rsidRPr="009873CE">
        <w:rPr>
          <w:rStyle w:val="Voetnootmarkering"/>
          <w:sz w:val="16"/>
          <w:szCs w:val="16"/>
        </w:rPr>
        <w:footnoteRef/>
      </w:r>
      <w:r w:rsidRPr="009873CE">
        <w:rPr>
          <w:sz w:val="16"/>
          <w:szCs w:val="16"/>
        </w:rPr>
        <w:t xml:space="preserve"> </w:t>
      </w:r>
      <w:hyperlink r:id="rId29" w:history="1">
        <w:r w:rsidRPr="009873CE">
          <w:rPr>
            <w:rStyle w:val="Hyperlink"/>
            <w:rFonts w:eastAsiaTheme="majorEastAsia"/>
            <w:sz w:val="16"/>
            <w:szCs w:val="16"/>
          </w:rPr>
          <w:t xml:space="preserve">Microsoft PowerPoint - 2024-05-13 </w:t>
        </w:r>
        <w:proofErr w:type="spellStart"/>
        <w:r w:rsidRPr="009873CE">
          <w:rPr>
            <w:rStyle w:val="Hyperlink"/>
            <w:rFonts w:eastAsiaTheme="majorEastAsia"/>
            <w:sz w:val="16"/>
            <w:szCs w:val="16"/>
          </w:rPr>
          <w:t>Infographic</w:t>
        </w:r>
        <w:proofErr w:type="spellEnd"/>
        <w:r w:rsidRPr="009873CE">
          <w:rPr>
            <w:rStyle w:val="Hyperlink"/>
            <w:rFonts w:eastAsiaTheme="majorEastAsia"/>
            <w:sz w:val="16"/>
            <w:szCs w:val="16"/>
          </w:rPr>
          <w:t xml:space="preserve"> gezondheidsvaardigheden 2023.pptx (nivel.nl)</w:t>
        </w:r>
      </w:hyperlink>
    </w:p>
    <w:p w14:paraId="68962B3E" w14:textId="77777777" w:rsidR="0014318A" w:rsidRPr="009873CE" w:rsidRDefault="0014318A" w:rsidP="009873CE">
      <w:pPr>
        <w:pStyle w:val="Voetnoottekst"/>
        <w:suppressAutoHyphens/>
        <w:rPr>
          <w:sz w:val="16"/>
          <w:szCs w:val="16"/>
        </w:rPr>
      </w:pPr>
    </w:p>
  </w:footnote>
  <w:footnote w:id="93">
    <w:p w14:paraId="439624C5" w14:textId="77777777" w:rsidR="00630335" w:rsidRPr="009873CE" w:rsidRDefault="00630335" w:rsidP="009873CE">
      <w:pPr>
        <w:pStyle w:val="Voetnoottekst"/>
        <w:suppressAutoHyphens/>
        <w:rPr>
          <w:sz w:val="16"/>
          <w:szCs w:val="16"/>
          <w:lang w:val="en-US"/>
        </w:rPr>
      </w:pPr>
      <w:r w:rsidRPr="009873CE">
        <w:rPr>
          <w:rStyle w:val="Voetnootmarkering"/>
          <w:rFonts w:eastAsiaTheme="majorEastAsia"/>
          <w:sz w:val="16"/>
          <w:szCs w:val="16"/>
        </w:rPr>
        <w:footnoteRef/>
      </w:r>
      <w:r w:rsidRPr="009873CE">
        <w:rPr>
          <w:sz w:val="16"/>
          <w:szCs w:val="16"/>
          <w:lang w:val="en-US"/>
        </w:rPr>
        <w:t xml:space="preserve"> </w:t>
      </w:r>
      <w:hyperlink r:id="rId30" w:history="1">
        <w:r w:rsidRPr="009873CE">
          <w:rPr>
            <w:rStyle w:val="Hyperlink"/>
            <w:rFonts w:eastAsiaTheme="majorEastAsia"/>
            <w:sz w:val="16"/>
            <w:szCs w:val="16"/>
            <w:lang w:val="en-US"/>
          </w:rPr>
          <w:t>Health literacy of Dutch adults: a cross sectional survey - PubMed (nih.gov)</w:t>
        </w:r>
      </w:hyperlink>
    </w:p>
  </w:footnote>
  <w:footnote w:id="94">
    <w:p w14:paraId="720D6504" w14:textId="77777777" w:rsidR="00630335" w:rsidRPr="009873CE" w:rsidRDefault="00630335" w:rsidP="009873CE">
      <w:pPr>
        <w:pStyle w:val="Voetnoottekst"/>
        <w:suppressAutoHyphens/>
        <w:rPr>
          <w:sz w:val="16"/>
          <w:szCs w:val="16"/>
          <w:lang w:val="en-US"/>
        </w:rPr>
      </w:pPr>
      <w:r w:rsidRPr="009873CE">
        <w:rPr>
          <w:rStyle w:val="Voetnootmarkering"/>
          <w:rFonts w:eastAsiaTheme="majorEastAsia"/>
          <w:sz w:val="16"/>
          <w:szCs w:val="16"/>
        </w:rPr>
        <w:footnoteRef/>
      </w:r>
      <w:r w:rsidRPr="009873CE">
        <w:rPr>
          <w:sz w:val="16"/>
          <w:szCs w:val="16"/>
          <w:lang w:val="en-US"/>
        </w:rPr>
        <w:t xml:space="preserve"> </w:t>
      </w:r>
      <w:hyperlink r:id="rId31" w:history="1">
        <w:r w:rsidRPr="009873CE">
          <w:rPr>
            <w:rStyle w:val="Hyperlink"/>
            <w:rFonts w:eastAsiaTheme="majorEastAsia"/>
            <w:sz w:val="16"/>
            <w:szCs w:val="16"/>
            <w:lang w:val="en-US"/>
          </w:rPr>
          <w:t>Health literacy in Europe: comparative results of the European health literacy survey (HLS-EU) - PubMed (nih.gov)</w:t>
        </w:r>
      </w:hyperlink>
    </w:p>
  </w:footnote>
  <w:footnote w:id="95">
    <w:p w14:paraId="06E9474A" w14:textId="77777777" w:rsidR="00630335" w:rsidRPr="009873CE" w:rsidRDefault="00630335" w:rsidP="009873CE">
      <w:pPr>
        <w:suppressAutoHyphens/>
        <w:spacing w:line="252" w:lineRule="auto"/>
        <w:rPr>
          <w:sz w:val="16"/>
          <w:szCs w:val="16"/>
          <w:lang w:val="en-US"/>
        </w:rPr>
      </w:pPr>
      <w:r w:rsidRPr="009873CE">
        <w:rPr>
          <w:rStyle w:val="Voetnootmarkering"/>
          <w:sz w:val="16"/>
          <w:szCs w:val="16"/>
        </w:rPr>
        <w:footnoteRef/>
      </w:r>
      <w:r w:rsidRPr="009873CE">
        <w:rPr>
          <w:sz w:val="16"/>
          <w:szCs w:val="16"/>
          <w:lang w:val="en-US"/>
        </w:rPr>
        <w:t xml:space="preserve"> </w:t>
      </w:r>
      <w:hyperlink r:id="rId32" w:history="1">
        <w:r w:rsidRPr="009873CE">
          <w:rPr>
            <w:rStyle w:val="Hyperlink"/>
            <w:sz w:val="16"/>
            <w:szCs w:val="16"/>
            <w:lang w:val="en-US"/>
          </w:rPr>
          <w:t>About M-POHL | M-POHL - WHO Action Network on Measuring Population and Organizational Health Literacy</w:t>
        </w:r>
      </w:hyperlink>
    </w:p>
    <w:p w14:paraId="3E6086AC" w14:textId="77777777" w:rsidR="00630335" w:rsidRPr="009873CE" w:rsidRDefault="00630335" w:rsidP="009873CE">
      <w:pPr>
        <w:pStyle w:val="Voetnoottekst"/>
        <w:suppressAutoHyphens/>
        <w:rPr>
          <w:sz w:val="16"/>
          <w:szCs w:val="16"/>
          <w:lang w:val="en-US"/>
        </w:rPr>
      </w:pPr>
    </w:p>
  </w:footnote>
  <w:footnote w:id="96">
    <w:p w14:paraId="6061E55D" w14:textId="77777777" w:rsidR="00630335" w:rsidRPr="009873CE" w:rsidRDefault="00630335"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Bron: </w:t>
      </w:r>
      <w:hyperlink r:id="rId33" w:history="1">
        <w:r w:rsidRPr="009873CE">
          <w:rPr>
            <w:rStyle w:val="Hyperlink"/>
            <w:rFonts w:eastAsiaTheme="majorEastAsia"/>
            <w:sz w:val="16"/>
            <w:szCs w:val="16"/>
          </w:rPr>
          <w:t>Jaarverslag 2023_DEF</w:t>
        </w:r>
      </w:hyperlink>
      <w:r w:rsidRPr="009873CE">
        <w:rPr>
          <w:sz w:val="16"/>
          <w:szCs w:val="16"/>
        </w:rPr>
        <w:t xml:space="preserve"> HartslagNu.nl</w:t>
      </w:r>
    </w:p>
  </w:footnote>
  <w:footnote w:id="97">
    <w:p w14:paraId="4F13EC06" w14:textId="77777777" w:rsidR="004F2D7A" w:rsidRPr="009873CE" w:rsidRDefault="004F2D7A" w:rsidP="009873CE">
      <w:pPr>
        <w:pStyle w:val="Voetnoottekst"/>
        <w:suppressAutoHyphens/>
        <w:rPr>
          <w:sz w:val="16"/>
          <w:szCs w:val="16"/>
          <w:lang w:val="en-US"/>
        </w:rPr>
      </w:pPr>
      <w:r w:rsidRPr="009873CE">
        <w:rPr>
          <w:rStyle w:val="Voetnootmarkering"/>
          <w:rFonts w:eastAsiaTheme="majorEastAsia"/>
          <w:sz w:val="16"/>
          <w:szCs w:val="16"/>
        </w:rPr>
        <w:footnoteRef/>
      </w:r>
      <w:r w:rsidRPr="009873CE">
        <w:rPr>
          <w:sz w:val="16"/>
          <w:szCs w:val="16"/>
        </w:rPr>
        <w:t xml:space="preserve"> </w:t>
      </w:r>
      <w:proofErr w:type="spellStart"/>
      <w:r w:rsidRPr="009873CE">
        <w:rPr>
          <w:sz w:val="16"/>
          <w:szCs w:val="16"/>
        </w:rPr>
        <w:t>Stieglis</w:t>
      </w:r>
      <w:proofErr w:type="spellEnd"/>
      <w:r w:rsidRPr="009873CE">
        <w:rPr>
          <w:sz w:val="16"/>
          <w:szCs w:val="16"/>
        </w:rPr>
        <w:t xml:space="preserve"> R. et al. </w:t>
      </w:r>
      <w:r w:rsidRPr="009873CE">
        <w:rPr>
          <w:sz w:val="16"/>
          <w:szCs w:val="16"/>
          <w:lang w:val="en-US"/>
        </w:rPr>
        <w:t>(2021). Alert system-supported lay defibrillation and basic life-support for cardiac arrest at home 1 Department of Cardiology, Amsterdam University Medical Center, Location AMC</w:t>
      </w:r>
    </w:p>
  </w:footnote>
  <w:footnote w:id="98">
    <w:p w14:paraId="18E780FC" w14:textId="77777777" w:rsidR="004F2D7A" w:rsidRPr="009873CE" w:rsidRDefault="004F2D7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2024/2025, 36600 XVI, </w:t>
      </w:r>
      <w:proofErr w:type="spellStart"/>
      <w:r w:rsidRPr="009873CE">
        <w:rPr>
          <w:sz w:val="16"/>
          <w:szCs w:val="16"/>
        </w:rPr>
        <w:t>nr</w:t>
      </w:r>
      <w:proofErr w:type="spellEnd"/>
      <w:r w:rsidRPr="009873CE">
        <w:rPr>
          <w:sz w:val="16"/>
          <w:szCs w:val="16"/>
        </w:rPr>
        <w:t xml:space="preserve"> 69</w:t>
      </w:r>
    </w:p>
  </w:footnote>
  <w:footnote w:id="99">
    <w:p w14:paraId="4BA75C4D" w14:textId="77777777" w:rsidR="004F2D7A" w:rsidRPr="009873CE" w:rsidRDefault="004F2D7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2024/25, 32 620, nr. 304.</w:t>
      </w:r>
    </w:p>
  </w:footnote>
  <w:footnote w:id="100">
    <w:p w14:paraId="6E8CE563" w14:textId="77777777" w:rsidR="004F2D7A" w:rsidRPr="009873CE" w:rsidRDefault="004F2D7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2024/25, 32 620, nr. 310.</w:t>
      </w:r>
    </w:p>
  </w:footnote>
  <w:footnote w:id="101">
    <w:p w14:paraId="2E490AFD" w14:textId="77777777" w:rsidR="004F2D7A" w:rsidRPr="009873CE" w:rsidRDefault="004F2D7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34" w:history="1">
        <w:r w:rsidRPr="009873CE">
          <w:rPr>
            <w:rStyle w:val="Hyperlink"/>
            <w:rFonts w:eastAsiaTheme="majorEastAsia"/>
            <w:sz w:val="16"/>
            <w:szCs w:val="16"/>
          </w:rPr>
          <w:t>Rapport - Kostenanalyse mondzorg volwassenen | Zorginstituut Nederland</w:t>
        </w:r>
      </w:hyperlink>
    </w:p>
  </w:footnote>
  <w:footnote w:id="102">
    <w:p w14:paraId="38A536BA" w14:textId="77777777" w:rsidR="004F2D7A" w:rsidRPr="009873CE" w:rsidRDefault="004F2D7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Zie: “RVP-vaccinatieopkomst schoolkinderen en jongeren 2024” (28 januari 2025). https://amsterdam.raadsinformatie.nl/document/15093578/1?connection_type=17&amp;connection_id=11469027</w:t>
      </w:r>
    </w:p>
  </w:footnote>
  <w:footnote w:id="103">
    <w:p w14:paraId="35314C9F" w14:textId="77777777" w:rsidR="004F2D7A" w:rsidRPr="009873CE" w:rsidRDefault="004F2D7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Zie: “Vaccinatiegraadcijfers op stadsdeel- en wijkniveau in Den Haag” (9 september 2025). https://denhaag.raadsinformatie.nl/document/15947862/1?connection_type=17&amp;connection_id=12318307</w:t>
      </w:r>
    </w:p>
  </w:footnote>
  <w:footnote w:id="104">
    <w:p w14:paraId="0F715DBF" w14:textId="77777777" w:rsidR="00855C28" w:rsidRPr="009873CE" w:rsidRDefault="00855C28"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35" w:history="1">
        <w:r w:rsidRPr="009873CE">
          <w:rPr>
            <w:rStyle w:val="Hyperlink"/>
            <w:rFonts w:eastAsiaTheme="majorEastAsia"/>
            <w:sz w:val="16"/>
            <w:szCs w:val="16"/>
          </w:rPr>
          <w:t>https://www.volksgezondheidtoekomstverkenning.nl/vtv-2024/hoofdrapport</w:t>
        </w:r>
      </w:hyperlink>
      <w:r w:rsidRPr="009873CE">
        <w:rPr>
          <w:sz w:val="16"/>
          <w:szCs w:val="16"/>
        </w:rPr>
        <w:t xml:space="preserve"> </w:t>
      </w:r>
    </w:p>
  </w:footnote>
  <w:footnote w:id="105">
    <w:p w14:paraId="0B26126D" w14:textId="77777777" w:rsidR="00855C28" w:rsidRPr="009873CE" w:rsidRDefault="00855C28"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36" w:anchor="/CBS/nl/dataset/71950ned/table?ts=1759941846859" w:history="1">
        <w:proofErr w:type="spellStart"/>
        <w:r w:rsidRPr="009873CE">
          <w:rPr>
            <w:rStyle w:val="Hyperlink"/>
            <w:rFonts w:eastAsiaTheme="majorEastAsia"/>
            <w:sz w:val="16"/>
            <w:szCs w:val="16"/>
          </w:rPr>
          <w:t>StatLine</w:t>
        </w:r>
        <w:proofErr w:type="spellEnd"/>
        <w:r w:rsidRPr="009873CE">
          <w:rPr>
            <w:rStyle w:val="Hyperlink"/>
            <w:rFonts w:eastAsiaTheme="majorEastAsia"/>
            <w:sz w:val="16"/>
            <w:szCs w:val="16"/>
          </w:rPr>
          <w:t xml:space="preserve"> - Gezonde levensverwachting; vanaf 1981</w:t>
        </w:r>
      </w:hyperlink>
    </w:p>
  </w:footnote>
  <w:footnote w:id="106">
    <w:p w14:paraId="4E9D8F40" w14:textId="77777777" w:rsidR="00855C28" w:rsidRPr="009873CE" w:rsidRDefault="00855C28"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37" w:anchor="/CBS/nl/dataset/84842NED/table?dl=C6A86" w:history="1">
        <w:proofErr w:type="spellStart"/>
        <w:r w:rsidRPr="009873CE">
          <w:rPr>
            <w:rStyle w:val="Hyperlink"/>
            <w:rFonts w:eastAsiaTheme="majorEastAsia"/>
            <w:sz w:val="16"/>
            <w:szCs w:val="16"/>
          </w:rPr>
          <w:t>StatLine</w:t>
        </w:r>
        <w:proofErr w:type="spellEnd"/>
        <w:r w:rsidRPr="009873CE">
          <w:rPr>
            <w:rStyle w:val="Hyperlink"/>
            <w:rFonts w:eastAsiaTheme="majorEastAsia"/>
            <w:sz w:val="16"/>
            <w:szCs w:val="16"/>
          </w:rPr>
          <w:t xml:space="preserve"> - Gezonde levensverwachting; geslacht, leeftijd en onderwijsniveau</w:t>
        </w:r>
      </w:hyperlink>
    </w:p>
  </w:footnote>
  <w:footnote w:id="107">
    <w:p w14:paraId="5CB87245" w14:textId="47C663F6" w:rsidR="00EF1412" w:rsidRPr="009873CE" w:rsidRDefault="00EF1412"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38" w:anchor="/CBS/nl/dataset/84842NED/table?dl=C6A86" w:history="1">
        <w:proofErr w:type="spellStart"/>
        <w:r w:rsidRPr="009873CE">
          <w:rPr>
            <w:rStyle w:val="Hyperlink"/>
            <w:sz w:val="16"/>
            <w:szCs w:val="16"/>
          </w:rPr>
          <w:t>StatLine</w:t>
        </w:r>
        <w:proofErr w:type="spellEnd"/>
        <w:r w:rsidRPr="009873CE">
          <w:rPr>
            <w:rStyle w:val="Hyperlink"/>
            <w:sz w:val="16"/>
            <w:szCs w:val="16"/>
          </w:rPr>
          <w:t xml:space="preserve"> - Gezonde levensverwachting; geslacht, leeftijd en onderwijsniveau</w:t>
        </w:r>
      </w:hyperlink>
    </w:p>
  </w:footnote>
  <w:footnote w:id="108">
    <w:p w14:paraId="0D8D782C" w14:textId="77777777" w:rsidR="00855C28" w:rsidRPr="009873CE" w:rsidRDefault="00855C28"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39" w:history="1">
        <w:r w:rsidRPr="009873CE">
          <w:rPr>
            <w:rStyle w:val="Hyperlink"/>
            <w:rFonts w:eastAsiaTheme="majorEastAsia"/>
            <w:sz w:val="16"/>
            <w:szCs w:val="16"/>
          </w:rPr>
          <w:t>https://www.volksgezondheidtoekomstverkenning.nl/vtv-2024/hoofdrapport</w:t>
        </w:r>
      </w:hyperlink>
    </w:p>
  </w:footnote>
  <w:footnote w:id="109">
    <w:p w14:paraId="3FC96A0C" w14:textId="77777777" w:rsidR="004F2D7A" w:rsidRPr="009873CE" w:rsidRDefault="004F2D7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40" w:history="1">
        <w:r w:rsidRPr="009873CE">
          <w:rPr>
            <w:rStyle w:val="Hyperlink"/>
            <w:rFonts w:eastAsiaTheme="majorEastAsia"/>
            <w:sz w:val="16"/>
            <w:szCs w:val="16"/>
          </w:rPr>
          <w:t>Hoofdlijnenakkoord Ouderenzorg</w:t>
        </w:r>
      </w:hyperlink>
    </w:p>
  </w:footnote>
  <w:footnote w:id="110">
    <w:p w14:paraId="2CF6305E" w14:textId="77777777" w:rsidR="004F2D7A" w:rsidRPr="009873CE" w:rsidRDefault="004F2D7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41" w:history="1">
        <w:r w:rsidRPr="009873CE">
          <w:rPr>
            <w:rStyle w:val="Hyperlink"/>
            <w:rFonts w:eastAsiaTheme="majorEastAsia"/>
            <w:sz w:val="16"/>
            <w:szCs w:val="16"/>
          </w:rPr>
          <w:t>Werkagenda VN-verdrag Handicap 2025-2030</w:t>
        </w:r>
      </w:hyperlink>
    </w:p>
  </w:footnote>
  <w:footnote w:id="111">
    <w:p w14:paraId="7BAA5019" w14:textId="77777777" w:rsidR="004F2D7A" w:rsidRPr="009873CE" w:rsidRDefault="004F2D7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2024/2025 29515, nr. 494</w:t>
      </w:r>
    </w:p>
  </w:footnote>
  <w:footnote w:id="112">
    <w:p w14:paraId="07679CC2" w14:textId="77777777" w:rsidR="00855C28" w:rsidRPr="009873CE" w:rsidRDefault="00855C28"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42" w:anchor="/CBS/nl/dataset/84842NED/table?dl=C6A86" w:history="1">
        <w:proofErr w:type="spellStart"/>
        <w:r w:rsidRPr="009873CE">
          <w:rPr>
            <w:rStyle w:val="Hyperlink"/>
            <w:rFonts w:eastAsiaTheme="majorEastAsia"/>
            <w:sz w:val="16"/>
            <w:szCs w:val="16"/>
          </w:rPr>
          <w:t>StatLine</w:t>
        </w:r>
        <w:proofErr w:type="spellEnd"/>
        <w:r w:rsidRPr="009873CE">
          <w:rPr>
            <w:rStyle w:val="Hyperlink"/>
            <w:rFonts w:eastAsiaTheme="majorEastAsia"/>
            <w:sz w:val="16"/>
            <w:szCs w:val="16"/>
          </w:rPr>
          <w:t xml:space="preserve"> - Gezonde levensverwachting; geslacht, leeftijd en onderwijsniveau</w:t>
        </w:r>
      </w:hyperlink>
    </w:p>
  </w:footnote>
  <w:footnote w:id="113">
    <w:p w14:paraId="29F36545" w14:textId="77777777" w:rsidR="004F04EB" w:rsidRPr="009873CE" w:rsidRDefault="004F04EB" w:rsidP="009873CE">
      <w:pPr>
        <w:suppressAutoHyphens/>
        <w:rPr>
          <w:i/>
          <w:iCs/>
          <w:sz w:val="16"/>
          <w:szCs w:val="16"/>
        </w:rPr>
      </w:pPr>
      <w:r w:rsidRPr="009873CE">
        <w:rPr>
          <w:rStyle w:val="Voetnootmarkering"/>
          <w:sz w:val="16"/>
          <w:szCs w:val="16"/>
        </w:rPr>
        <w:footnoteRef/>
      </w:r>
      <w:r w:rsidRPr="009873CE">
        <w:rPr>
          <w:sz w:val="16"/>
          <w:szCs w:val="16"/>
        </w:rPr>
        <w:t xml:space="preserve"> </w:t>
      </w:r>
      <w:hyperlink r:id="rId43" w:history="1">
        <w:r w:rsidRPr="009873CE">
          <w:rPr>
            <w:rStyle w:val="Hyperlink"/>
            <w:i/>
            <w:iCs/>
            <w:sz w:val="16"/>
            <w:szCs w:val="16"/>
          </w:rPr>
          <w:t>https://www.rijksoverheid.nl/documenten/kamerstukken/2024/10/21/aanbiedingsbrief-nota-van-wijziging-op-ontwerpbegroting-van-het-ministerie-van-volksgezondheid-welzijn-en-sport-voor-het-jaar-2025</w:t>
        </w:r>
      </w:hyperlink>
    </w:p>
    <w:p w14:paraId="7980CF8B" w14:textId="77777777" w:rsidR="004F04EB" w:rsidRPr="009873CE" w:rsidRDefault="004F04EB" w:rsidP="009873CE">
      <w:pPr>
        <w:pStyle w:val="Voetnoottekst"/>
        <w:suppressAutoHyphens/>
        <w:rPr>
          <w:sz w:val="16"/>
          <w:szCs w:val="16"/>
        </w:rPr>
      </w:pPr>
    </w:p>
  </w:footnote>
  <w:footnote w:id="114">
    <w:p w14:paraId="4361018A" w14:textId="77777777" w:rsidR="00855C28" w:rsidRPr="009873CE" w:rsidRDefault="00855C28"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 31765, nr. 936 </w:t>
      </w:r>
    </w:p>
  </w:footnote>
  <w:footnote w:id="115">
    <w:p w14:paraId="05E67759" w14:textId="77777777" w:rsidR="00855C28" w:rsidRPr="009873CE" w:rsidRDefault="00855C28"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TK 2024/2025 31765 nr. 936 </w:t>
      </w:r>
    </w:p>
  </w:footnote>
  <w:footnote w:id="116">
    <w:p w14:paraId="757D3D50" w14:textId="77777777" w:rsidR="00855C28" w:rsidRPr="009873CE" w:rsidRDefault="00855C28"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44" w:history="1">
        <w:r w:rsidRPr="009873CE">
          <w:rPr>
            <w:rStyle w:val="Hyperlink"/>
            <w:rFonts w:eastAsiaTheme="majorEastAsia"/>
            <w:color w:val="auto"/>
            <w:sz w:val="16"/>
            <w:szCs w:val="16"/>
          </w:rPr>
          <w:t xml:space="preserve">Vrouwspecifieke gezondheid | </w:t>
        </w:r>
        <w:proofErr w:type="spellStart"/>
        <w:r w:rsidRPr="009873CE">
          <w:rPr>
            <w:rStyle w:val="Hyperlink"/>
            <w:rFonts w:eastAsiaTheme="majorEastAsia"/>
            <w:color w:val="auto"/>
            <w:sz w:val="16"/>
            <w:szCs w:val="16"/>
          </w:rPr>
          <w:t>ZonMw</w:t>
        </w:r>
        <w:proofErr w:type="spellEnd"/>
      </w:hyperlink>
    </w:p>
  </w:footnote>
  <w:footnote w:id="117">
    <w:p w14:paraId="27A40701" w14:textId="77777777" w:rsidR="00AB4F6B" w:rsidRPr="009873CE" w:rsidRDefault="00AB4F6B"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2024/25, 31765, nr. 916.</w:t>
      </w:r>
    </w:p>
  </w:footnote>
  <w:footnote w:id="118">
    <w:p w14:paraId="53BB8896" w14:textId="77777777" w:rsidR="0067609F" w:rsidRPr="009873CE" w:rsidRDefault="0067609F"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2023-2024, 32 620, nr. 292</w:t>
      </w:r>
    </w:p>
  </w:footnote>
  <w:footnote w:id="119">
    <w:p w14:paraId="5C73C087" w14:textId="05836169" w:rsidR="0067609F" w:rsidRPr="009873CE" w:rsidRDefault="0067609F"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lang w:val="en-US"/>
        </w:rPr>
        <w:t xml:space="preserve"> “Global-, Regional-, and Country-level Economic Impact of Dental Diseases in 2015”, A. </w:t>
      </w:r>
      <w:proofErr w:type="spellStart"/>
      <w:r w:rsidRPr="009873CE">
        <w:rPr>
          <w:sz w:val="16"/>
          <w:szCs w:val="16"/>
          <w:lang w:val="en-US"/>
        </w:rPr>
        <w:t>Righol</w:t>
      </w:r>
      <w:proofErr w:type="spellEnd"/>
      <w:r w:rsidRPr="009873CE">
        <w:rPr>
          <w:sz w:val="16"/>
          <w:szCs w:val="16"/>
          <w:lang w:val="en-US"/>
        </w:rPr>
        <w:t xml:space="preserve">, M. </w:t>
      </w:r>
      <w:proofErr w:type="spellStart"/>
      <w:r w:rsidRPr="009873CE">
        <w:rPr>
          <w:sz w:val="16"/>
          <w:szCs w:val="16"/>
          <w:lang w:val="en-US"/>
        </w:rPr>
        <w:t>Jevdjevic</w:t>
      </w:r>
      <w:proofErr w:type="spellEnd"/>
      <w:r w:rsidRPr="009873CE">
        <w:rPr>
          <w:sz w:val="16"/>
          <w:szCs w:val="16"/>
          <w:lang w:val="en-US"/>
        </w:rPr>
        <w:t xml:space="preserve">, W. </w:t>
      </w:r>
      <w:proofErr w:type="spellStart"/>
      <w:r w:rsidRPr="009873CE">
        <w:rPr>
          <w:sz w:val="16"/>
          <w:szCs w:val="16"/>
          <w:lang w:val="en-US"/>
        </w:rPr>
        <w:t>Marcenes</w:t>
      </w:r>
      <w:proofErr w:type="spellEnd"/>
      <w:r w:rsidRPr="009873CE">
        <w:rPr>
          <w:sz w:val="16"/>
          <w:szCs w:val="16"/>
          <w:lang w:val="en-US"/>
        </w:rPr>
        <w:t xml:space="preserve">, and S. </w:t>
      </w:r>
      <w:proofErr w:type="spellStart"/>
      <w:r w:rsidRPr="009873CE">
        <w:rPr>
          <w:sz w:val="16"/>
          <w:szCs w:val="16"/>
          <w:lang w:val="en-US"/>
        </w:rPr>
        <w:t>Listl</w:t>
      </w:r>
      <w:proofErr w:type="spellEnd"/>
      <w:r w:rsidRPr="009873CE">
        <w:rPr>
          <w:sz w:val="16"/>
          <w:szCs w:val="16"/>
          <w:lang w:val="en-US"/>
        </w:rPr>
        <w:t xml:space="preserve">, 2018. </w:t>
      </w:r>
      <w:r w:rsidRPr="009873CE">
        <w:rPr>
          <w:sz w:val="16"/>
          <w:szCs w:val="16"/>
          <w:lang w:val="en-US"/>
        </w:rPr>
        <w:br/>
      </w:r>
      <w:r w:rsidRPr="009873CE">
        <w:rPr>
          <w:sz w:val="16"/>
          <w:szCs w:val="16"/>
        </w:rPr>
        <w:t>NB: Een DALY is een samengestelde (financiële) maat voor gezondheidsverlies.</w:t>
      </w:r>
      <w:r w:rsidR="00D73F76" w:rsidRPr="009873CE">
        <w:rPr>
          <w:sz w:val="16"/>
          <w:szCs w:val="16"/>
        </w:rPr>
        <w:t xml:space="preserve"> </w:t>
      </w:r>
    </w:p>
  </w:footnote>
  <w:footnote w:id="120">
    <w:p w14:paraId="799AECAB" w14:textId="77777777" w:rsidR="0067609F" w:rsidRPr="009873CE" w:rsidRDefault="0067609F"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r w:rsidRPr="009873CE">
        <w:rPr>
          <w:i/>
          <w:iCs/>
          <w:sz w:val="16"/>
          <w:szCs w:val="16"/>
        </w:rPr>
        <w:t>Kamerstukken II</w:t>
      </w:r>
      <w:r w:rsidRPr="009873CE">
        <w:rPr>
          <w:sz w:val="16"/>
          <w:szCs w:val="16"/>
        </w:rPr>
        <w:t xml:space="preserve">, 2024-2025, 36 725-XVI, </w:t>
      </w:r>
      <w:proofErr w:type="spellStart"/>
      <w:r w:rsidRPr="009873CE">
        <w:rPr>
          <w:sz w:val="16"/>
          <w:szCs w:val="16"/>
        </w:rPr>
        <w:t>nr</w:t>
      </w:r>
      <w:proofErr w:type="spellEnd"/>
      <w:r w:rsidRPr="009873CE">
        <w:rPr>
          <w:sz w:val="16"/>
          <w:szCs w:val="16"/>
        </w:rPr>
        <w:t xml:space="preserve"> 18.</w:t>
      </w:r>
    </w:p>
  </w:footnote>
  <w:footnote w:id="121">
    <w:p w14:paraId="24057F36" w14:textId="77777777" w:rsidR="0067609F" w:rsidRPr="009873CE" w:rsidRDefault="0067609F"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r w:rsidRPr="009873CE">
        <w:rPr>
          <w:i/>
          <w:iCs/>
          <w:sz w:val="16"/>
          <w:szCs w:val="16"/>
        </w:rPr>
        <w:t>Kamerstukken II</w:t>
      </w:r>
      <w:r w:rsidRPr="009873CE">
        <w:rPr>
          <w:sz w:val="16"/>
          <w:szCs w:val="16"/>
        </w:rPr>
        <w:t>, 2025–2026, 29 389, nr. 158c.</w:t>
      </w:r>
    </w:p>
  </w:footnote>
  <w:footnote w:id="122">
    <w:p w14:paraId="16D36532" w14:textId="77777777" w:rsidR="007E044A" w:rsidRPr="009873CE" w:rsidRDefault="007E044A" w:rsidP="009873CE">
      <w:pPr>
        <w:pStyle w:val="Voetnoottekst"/>
        <w:suppressAutoHyphens/>
        <w:rPr>
          <w:sz w:val="16"/>
          <w:szCs w:val="16"/>
        </w:rPr>
      </w:pPr>
      <w:r w:rsidRPr="009873CE">
        <w:rPr>
          <w:rStyle w:val="Voetnootmarkering"/>
          <w:rFonts w:eastAsiaTheme="majorEastAsia"/>
          <w:sz w:val="16"/>
          <w:szCs w:val="16"/>
        </w:rPr>
        <w:t>[1]</w:t>
      </w:r>
      <w:r w:rsidRPr="009873CE">
        <w:rPr>
          <w:sz w:val="16"/>
          <w:szCs w:val="16"/>
        </w:rPr>
        <w:t xml:space="preserve"> </w:t>
      </w:r>
      <w:hyperlink r:id="rId45" w:history="1">
        <w:r w:rsidRPr="009873CE">
          <w:rPr>
            <w:rStyle w:val="Hyperlink"/>
            <w:rFonts w:eastAsiaTheme="majorEastAsia"/>
            <w:sz w:val="16"/>
            <w:szCs w:val="16"/>
          </w:rPr>
          <w:t>Registratierapportage-VPTZ-AHzN-2024-aug-2025 (1).pdf</w:t>
        </w:r>
      </w:hyperlink>
    </w:p>
  </w:footnote>
  <w:footnote w:id="123">
    <w:p w14:paraId="34DC49CB" w14:textId="77777777" w:rsidR="004F04EB" w:rsidRPr="009873CE" w:rsidRDefault="004F04EB"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46" w:history="1">
        <w:r w:rsidRPr="009873CE">
          <w:rPr>
            <w:color w:val="0000FF"/>
            <w:sz w:val="16"/>
            <w:szCs w:val="16"/>
            <w:u w:val="single"/>
          </w:rPr>
          <w:t xml:space="preserve">Kamerbrief over definitieve kaderbrief </w:t>
        </w:r>
        <w:proofErr w:type="spellStart"/>
        <w:r w:rsidRPr="009873CE">
          <w:rPr>
            <w:color w:val="0000FF"/>
            <w:sz w:val="16"/>
            <w:szCs w:val="16"/>
            <w:u w:val="single"/>
          </w:rPr>
          <w:t>Wlz</w:t>
        </w:r>
        <w:proofErr w:type="spellEnd"/>
        <w:r w:rsidRPr="009873CE">
          <w:rPr>
            <w:color w:val="0000FF"/>
            <w:sz w:val="16"/>
            <w:szCs w:val="16"/>
            <w:u w:val="single"/>
          </w:rPr>
          <w:t xml:space="preserve"> 2026 en het indicatieve </w:t>
        </w:r>
        <w:proofErr w:type="spellStart"/>
        <w:r w:rsidRPr="009873CE">
          <w:rPr>
            <w:color w:val="0000FF"/>
            <w:sz w:val="16"/>
            <w:szCs w:val="16"/>
            <w:u w:val="single"/>
          </w:rPr>
          <w:t>Wlz</w:t>
        </w:r>
        <w:proofErr w:type="spellEnd"/>
        <w:r w:rsidRPr="009873CE">
          <w:rPr>
            <w:color w:val="0000FF"/>
            <w:sz w:val="16"/>
            <w:szCs w:val="16"/>
            <w:u w:val="single"/>
          </w:rPr>
          <w:t>-kader voor de jaren 2027-2030 | Kamerstuk | Rijksoverheid.nl</w:t>
        </w:r>
      </w:hyperlink>
    </w:p>
  </w:footnote>
  <w:footnote w:id="124">
    <w:p w14:paraId="28A27CF3" w14:textId="0D970299" w:rsidR="001D7516" w:rsidRPr="009873CE" w:rsidRDefault="001D7516"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Alle deelnemers van AIC4NL staan vermeld op de website: </w:t>
      </w:r>
      <w:hyperlink r:id="rId47" w:history="1">
        <w:r w:rsidRPr="009873CE">
          <w:rPr>
            <w:rStyle w:val="Hyperlink"/>
            <w:color w:val="auto"/>
            <w:sz w:val="16"/>
            <w:szCs w:val="16"/>
          </w:rPr>
          <w:t>https://aic4nl.nl/deelnemers/</w:t>
        </w:r>
      </w:hyperlink>
      <w:r w:rsidRPr="009873CE">
        <w:rPr>
          <w:sz w:val="16"/>
          <w:szCs w:val="16"/>
        </w:rPr>
        <w:t>.</w:t>
      </w:r>
    </w:p>
  </w:footnote>
  <w:footnote w:id="125">
    <w:p w14:paraId="5501E3B0" w14:textId="77777777" w:rsidR="00B90292" w:rsidRPr="009873CE" w:rsidRDefault="00B90292"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r w:rsidRPr="009873CE">
        <w:rPr>
          <w:i/>
          <w:iCs/>
          <w:sz w:val="16"/>
          <w:szCs w:val="16"/>
        </w:rPr>
        <w:t>Kamerstukken II</w:t>
      </w:r>
      <w:r w:rsidRPr="009873CE">
        <w:rPr>
          <w:sz w:val="16"/>
          <w:szCs w:val="16"/>
        </w:rPr>
        <w:t xml:space="preserve"> 2024/2025, 27 529, nr. 326</w:t>
      </w:r>
    </w:p>
  </w:footnote>
  <w:footnote w:id="126">
    <w:p w14:paraId="68A4072A" w14:textId="77777777" w:rsidR="00B90292" w:rsidRPr="009873CE" w:rsidRDefault="00B90292"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r w:rsidRPr="009873CE">
        <w:rPr>
          <w:i/>
          <w:iCs/>
          <w:sz w:val="16"/>
          <w:szCs w:val="16"/>
        </w:rPr>
        <w:t>Kamerstukken II</w:t>
      </w:r>
      <w:r w:rsidRPr="009873CE">
        <w:rPr>
          <w:sz w:val="16"/>
          <w:szCs w:val="16"/>
        </w:rPr>
        <w:t xml:space="preserve"> 2024/2025, 6600-XVI nr. 200</w:t>
      </w:r>
    </w:p>
  </w:footnote>
  <w:footnote w:id="127">
    <w:p w14:paraId="709E65AA" w14:textId="77777777" w:rsidR="00EE5450" w:rsidRPr="009873CE" w:rsidRDefault="00EE5450"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2024/25, 36600-XVI, nr. 136</w:t>
      </w:r>
    </w:p>
  </w:footnote>
  <w:footnote w:id="128">
    <w:p w14:paraId="07AF262B" w14:textId="77777777" w:rsidR="00EE5450" w:rsidRPr="009873CE" w:rsidRDefault="00EE5450"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2024/25, 29689, nr. 1315</w:t>
      </w:r>
    </w:p>
  </w:footnote>
  <w:footnote w:id="129">
    <w:p w14:paraId="2A1FEB1F" w14:textId="77777777" w:rsidR="00EE5450" w:rsidRPr="009873CE" w:rsidRDefault="00EE5450"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2024/25, 32793, nr. 851</w:t>
      </w:r>
    </w:p>
  </w:footnote>
  <w:footnote w:id="130">
    <w:p w14:paraId="4E0E07F7" w14:textId="77777777" w:rsidR="00306ADC" w:rsidRPr="009873CE" w:rsidRDefault="00306ADC"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r w:rsidRPr="009873CE">
        <w:rPr>
          <w:rFonts w:cs="Helvetica"/>
          <w:color w:val="231F20"/>
          <w:sz w:val="16"/>
          <w:szCs w:val="16"/>
        </w:rPr>
        <w:t xml:space="preserve">Kamerstuk </w:t>
      </w:r>
      <w:r w:rsidRPr="009873CE">
        <w:rPr>
          <w:sz w:val="16"/>
          <w:szCs w:val="16"/>
        </w:rPr>
        <w:t>36 410 XVI, nr. 130</w:t>
      </w:r>
    </w:p>
  </w:footnote>
  <w:footnote w:id="131">
    <w:p w14:paraId="242E13DB" w14:textId="77777777" w:rsidR="00306ADC" w:rsidRPr="009873CE" w:rsidRDefault="00306ADC"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Kamerstukken II 2024/25, 29 538, nr. 365.</w:t>
      </w:r>
    </w:p>
  </w:footnote>
  <w:footnote w:id="132">
    <w:p w14:paraId="7B287230" w14:textId="77777777" w:rsidR="00306ADC" w:rsidRPr="009873CE" w:rsidRDefault="00306ADC" w:rsidP="009873CE">
      <w:pPr>
        <w:pStyle w:val="Voetnoottekst"/>
        <w:suppressAutoHyphens/>
        <w:rPr>
          <w:i/>
          <w:iCs/>
          <w:sz w:val="16"/>
          <w:szCs w:val="16"/>
        </w:rPr>
      </w:pPr>
      <w:r w:rsidRPr="009873CE">
        <w:rPr>
          <w:rStyle w:val="Voetnootmarkering"/>
          <w:i/>
          <w:iCs/>
          <w:sz w:val="16"/>
          <w:szCs w:val="16"/>
        </w:rPr>
        <w:footnoteRef/>
      </w:r>
      <w:r w:rsidRPr="009873CE">
        <w:rPr>
          <w:i/>
          <w:iCs/>
          <w:sz w:val="16"/>
          <w:szCs w:val="16"/>
        </w:rPr>
        <w:t xml:space="preserve"> Kamerstukken II 2023/24, 31839, nr. 1031.</w:t>
      </w:r>
    </w:p>
    <w:p w14:paraId="59B1A53B" w14:textId="77777777" w:rsidR="00306ADC" w:rsidRPr="009873CE" w:rsidRDefault="00306ADC" w:rsidP="009873CE">
      <w:pPr>
        <w:pStyle w:val="Voetnoottekst"/>
        <w:suppressAutoHyphens/>
        <w:rPr>
          <w:i/>
          <w:iCs/>
          <w:sz w:val="16"/>
          <w:szCs w:val="16"/>
        </w:rPr>
      </w:pPr>
    </w:p>
  </w:footnote>
  <w:footnote w:id="133">
    <w:p w14:paraId="0F1CA3C6" w14:textId="77777777" w:rsidR="00306ADC" w:rsidRPr="009873CE" w:rsidRDefault="00306ADC" w:rsidP="009873CE">
      <w:pPr>
        <w:pStyle w:val="Voetnoottekst"/>
        <w:suppressAutoHyphens/>
        <w:rPr>
          <w:sz w:val="16"/>
          <w:szCs w:val="16"/>
        </w:rPr>
      </w:pPr>
      <w:r w:rsidRPr="009873CE">
        <w:rPr>
          <w:rStyle w:val="Voetnootmarkering"/>
          <w:i/>
          <w:iCs/>
          <w:sz w:val="16"/>
          <w:szCs w:val="16"/>
        </w:rPr>
        <w:footnoteRef/>
      </w:r>
      <w:r w:rsidRPr="009873CE">
        <w:rPr>
          <w:i/>
          <w:iCs/>
          <w:sz w:val="16"/>
          <w:szCs w:val="16"/>
        </w:rPr>
        <w:t xml:space="preserve"> Kamerstukken II, 2023/24, 31839, nr. 1093.</w:t>
      </w:r>
    </w:p>
  </w:footnote>
  <w:footnote w:id="134">
    <w:p w14:paraId="6A68215E" w14:textId="77777777" w:rsidR="00306ADC" w:rsidRPr="009873CE" w:rsidRDefault="00306ADC" w:rsidP="009873CE">
      <w:pPr>
        <w:pStyle w:val="Lijstopsomteken"/>
        <w:numPr>
          <w:ilvl w:val="0"/>
          <w:numId w:val="0"/>
        </w:numPr>
        <w:suppressAutoHyphens/>
        <w:rPr>
          <w:noProof w:val="0"/>
          <w:sz w:val="16"/>
          <w:szCs w:val="16"/>
        </w:rPr>
      </w:pPr>
      <w:r w:rsidRPr="009873CE">
        <w:rPr>
          <w:rStyle w:val="Voetnootmarkering"/>
          <w:rFonts w:eastAsiaTheme="majorEastAsia"/>
          <w:sz w:val="16"/>
          <w:szCs w:val="16"/>
        </w:rPr>
        <w:footnoteRef/>
      </w:r>
      <w:r w:rsidRPr="009873CE">
        <w:rPr>
          <w:sz w:val="16"/>
          <w:szCs w:val="16"/>
        </w:rPr>
        <w:t xml:space="preserve"> </w:t>
      </w:r>
      <w:r w:rsidRPr="009873CE">
        <w:rPr>
          <w:noProof w:val="0"/>
          <w:sz w:val="16"/>
          <w:szCs w:val="16"/>
        </w:rPr>
        <w:t>Via deze ondersteuningslijn kunnen gemeenten middels werkpakketten, voorlichting, advies en daadwerkelijke ondersteuning en coaching door transformatiecoaches, worden geholpen om te komen tot een meer stevig lokaal team.</w:t>
      </w:r>
    </w:p>
  </w:footnote>
  <w:footnote w:id="135">
    <w:p w14:paraId="37D502A4" w14:textId="77777777" w:rsidR="00306ADC" w:rsidRPr="009873CE" w:rsidRDefault="00306ADC" w:rsidP="009873CE">
      <w:pPr>
        <w:pStyle w:val="Voetnoottekst"/>
        <w:suppressAutoHyphens/>
        <w:rPr>
          <w:sz w:val="16"/>
          <w:szCs w:val="16"/>
        </w:rPr>
      </w:pPr>
      <w:r w:rsidRPr="009873CE">
        <w:rPr>
          <w:sz w:val="16"/>
          <w:szCs w:val="16"/>
        </w:rPr>
        <w:footnoteRef/>
      </w:r>
      <w:r w:rsidRPr="009873CE">
        <w:rPr>
          <w:sz w:val="16"/>
          <w:szCs w:val="16"/>
        </w:rPr>
        <w:t xml:space="preserve"> Dit kader is vastgesteld door de VNG en gemeenten in het voorjaar van 2024. Hierin zijn de kenmerken van stevige lokale teams vastgelegd.</w:t>
      </w:r>
    </w:p>
  </w:footnote>
  <w:footnote w:id="136">
    <w:p w14:paraId="26C0E02F" w14:textId="77777777" w:rsidR="00765997" w:rsidRPr="009873CE" w:rsidRDefault="00765997" w:rsidP="009873CE">
      <w:pPr>
        <w:pStyle w:val="Voetnoottekst"/>
        <w:suppressAutoHyphens/>
        <w:rPr>
          <w:rFonts w:cs="Calibri"/>
          <w:sz w:val="16"/>
          <w:szCs w:val="16"/>
        </w:rPr>
      </w:pPr>
      <w:hyperlink r:id="rId48" w:tooltip="https://bonairegov.com/nieuwsoverzicht/artikel/diensten-en-organisaties-ouderenzorg-bundelen-krachten-om-samen-kwaliteit-leven-ouderen-te-verhogen" w:history="1">
        <w:r w:rsidRPr="009873CE">
          <w:rPr>
            <w:rStyle w:val="Hyperlink"/>
            <w:rFonts w:cs="Calibri"/>
            <w:sz w:val="16"/>
            <w:szCs w:val="16"/>
            <w:vertAlign w:val="superscript"/>
          </w:rPr>
          <w:footnoteRef/>
        </w:r>
        <w:r w:rsidRPr="009873CE">
          <w:rPr>
            <w:rStyle w:val="Hyperlink"/>
            <w:rFonts w:cs="Calibri"/>
            <w:sz w:val="16"/>
            <w:szCs w:val="16"/>
          </w:rPr>
          <w:t xml:space="preserve"> </w:t>
        </w:r>
        <w:hyperlink r:id="rId49" w:history="1">
          <w:r w:rsidRPr="009873CE">
            <w:rPr>
              <w:rStyle w:val="Hyperlink"/>
              <w:rFonts w:cs="Calibri"/>
              <w:sz w:val="16"/>
              <w:szCs w:val="16"/>
            </w:rPr>
            <w:t>https://ris.konsehoinsular.org/Agenda/Document/f9d57644-d2a0-44dc-ac8e-e57e11867ef0?documentId=f529ddce-f13a-4869-91e0-8963c250e49b&amp;agendaItemId=e360b6a1-3d23-4a3f-9ffd-abbf13504ef0</w:t>
          </w:r>
        </w:hyperlink>
      </w:hyperlink>
    </w:p>
  </w:footnote>
  <w:footnote w:id="137">
    <w:p w14:paraId="5065290A" w14:textId="77777777" w:rsidR="00765997" w:rsidRPr="009873CE" w:rsidRDefault="00765997" w:rsidP="009873CE">
      <w:pPr>
        <w:pStyle w:val="Voetnoottekst"/>
        <w:suppressAutoHyphens/>
        <w:rPr>
          <w:rFonts w:cs="Calibri"/>
          <w:sz w:val="16"/>
          <w:szCs w:val="16"/>
        </w:rPr>
      </w:pPr>
      <w:r w:rsidRPr="009873CE">
        <w:rPr>
          <w:rStyle w:val="Voetnootmarkering"/>
          <w:rFonts w:eastAsiaTheme="majorEastAsia" w:cs="Calibri"/>
          <w:sz w:val="16"/>
          <w:szCs w:val="16"/>
        </w:rPr>
        <w:footnoteRef/>
      </w:r>
      <w:r w:rsidRPr="009873CE">
        <w:rPr>
          <w:rFonts w:cs="Calibri"/>
          <w:sz w:val="16"/>
          <w:szCs w:val="16"/>
        </w:rPr>
        <w:t xml:space="preserve"> </w:t>
      </w:r>
      <w:hyperlink r:id="rId50" w:history="1">
        <w:r w:rsidRPr="009873CE">
          <w:rPr>
            <w:rStyle w:val="Hyperlink"/>
            <w:rFonts w:cs="Calibri"/>
            <w:sz w:val="16"/>
            <w:szCs w:val="16"/>
          </w:rPr>
          <w:t>https://www.rijksdienstcn.com/actueel/nieuws/2024/december/06/wijziging-aansprakenpakket-zorgverzekering-caribisch-nederland-per-1-januari-2025</w:t>
        </w:r>
      </w:hyperlink>
    </w:p>
  </w:footnote>
  <w:footnote w:id="138">
    <w:p w14:paraId="53E446CA" w14:textId="77777777" w:rsidR="00765997" w:rsidRPr="009873CE" w:rsidRDefault="00765997" w:rsidP="009873CE">
      <w:pPr>
        <w:pStyle w:val="Voetnoottekst"/>
        <w:suppressAutoHyphens/>
        <w:rPr>
          <w:rFonts w:cs="Calibri"/>
          <w:sz w:val="16"/>
          <w:szCs w:val="16"/>
        </w:rPr>
      </w:pPr>
      <w:r w:rsidRPr="009873CE">
        <w:rPr>
          <w:rStyle w:val="Voetnootmarkering"/>
          <w:rFonts w:eastAsiaTheme="majorEastAsia" w:cs="Calibri"/>
          <w:sz w:val="16"/>
          <w:szCs w:val="16"/>
        </w:rPr>
        <w:footnoteRef/>
      </w:r>
      <w:r w:rsidRPr="009873CE">
        <w:rPr>
          <w:rFonts w:cs="Calibri"/>
          <w:sz w:val="16"/>
          <w:szCs w:val="16"/>
        </w:rPr>
        <w:t xml:space="preserve"> </w:t>
      </w:r>
      <w:hyperlink r:id="rId51" w:history="1">
        <w:r w:rsidRPr="009873CE">
          <w:rPr>
            <w:rStyle w:val="Hyperlink"/>
            <w:rFonts w:cs="Calibri"/>
            <w:sz w:val="16"/>
            <w:szCs w:val="16"/>
          </w:rPr>
          <w:t>https://www.zonmw.nl/nl/nieuws/kwaliteit-van-leven-voor-mensen-met-dementie-op-de-cariben-verbeteren</w:t>
        </w:r>
      </w:hyperlink>
    </w:p>
  </w:footnote>
  <w:footnote w:id="139">
    <w:p w14:paraId="777C8B45" w14:textId="77777777" w:rsidR="00765997" w:rsidRPr="009873CE" w:rsidRDefault="00765997" w:rsidP="009873CE">
      <w:pPr>
        <w:pStyle w:val="Voetnoottekst"/>
        <w:suppressAutoHyphens/>
        <w:rPr>
          <w:rFonts w:cs="Calibri"/>
          <w:sz w:val="16"/>
          <w:szCs w:val="16"/>
        </w:rPr>
      </w:pPr>
      <w:r w:rsidRPr="009873CE">
        <w:rPr>
          <w:rStyle w:val="Voetnootmarkering"/>
          <w:rFonts w:eastAsiaTheme="majorEastAsia" w:cs="Calibri"/>
          <w:sz w:val="16"/>
          <w:szCs w:val="16"/>
        </w:rPr>
        <w:footnoteRef/>
      </w:r>
      <w:r w:rsidRPr="009873CE">
        <w:rPr>
          <w:rFonts w:cs="Calibri"/>
          <w:sz w:val="16"/>
          <w:szCs w:val="16"/>
        </w:rPr>
        <w:t xml:space="preserve"> </w:t>
      </w:r>
      <w:hyperlink r:id="rId52" w:history="1">
        <w:r w:rsidRPr="009873CE">
          <w:rPr>
            <w:rStyle w:val="Hyperlink"/>
            <w:rFonts w:cs="Calibri"/>
            <w:sz w:val="16"/>
            <w:szCs w:val="16"/>
          </w:rPr>
          <w:t>https://www.alzint.org/u/Beleidsplan-Dementie-Bonaire-2019-09-Webversion-Losse-paginas.pdf</w:t>
        </w:r>
      </w:hyperlink>
    </w:p>
  </w:footnote>
  <w:footnote w:id="140">
    <w:p w14:paraId="7FF7D8BD" w14:textId="77777777" w:rsidR="00765997" w:rsidRPr="009873CE" w:rsidRDefault="00765997" w:rsidP="009873CE">
      <w:pPr>
        <w:pStyle w:val="Voetnoottekst"/>
        <w:suppressAutoHyphens/>
        <w:rPr>
          <w:rFonts w:cs="Calibri"/>
          <w:sz w:val="16"/>
          <w:szCs w:val="16"/>
        </w:rPr>
      </w:pPr>
      <w:r w:rsidRPr="009873CE">
        <w:rPr>
          <w:rStyle w:val="Voetnootmarkering"/>
          <w:rFonts w:eastAsiaTheme="majorEastAsia" w:cs="Calibri"/>
          <w:sz w:val="16"/>
          <w:szCs w:val="16"/>
        </w:rPr>
        <w:footnoteRef/>
      </w:r>
      <w:r w:rsidRPr="009873CE">
        <w:rPr>
          <w:rFonts w:cs="Calibri"/>
          <w:sz w:val="16"/>
          <w:szCs w:val="16"/>
        </w:rPr>
        <w:t xml:space="preserve"> </w:t>
      </w:r>
      <w:hyperlink r:id="rId53" w:history="1">
        <w:r w:rsidRPr="009873CE">
          <w:rPr>
            <w:rStyle w:val="Hyperlink"/>
            <w:rFonts w:cs="Calibri"/>
            <w:sz w:val="16"/>
            <w:szCs w:val="16"/>
          </w:rPr>
          <w:t>https://media.alzheimer-nederland.nl/s3fs-public/media/2025-03/documents/Rapport%20Dementiemonitor%20Bonaire%202025.pdf</w:t>
        </w:r>
      </w:hyperlink>
    </w:p>
  </w:footnote>
  <w:footnote w:id="141">
    <w:p w14:paraId="10C8104E" w14:textId="77777777" w:rsidR="00EE5450" w:rsidRPr="009873CE" w:rsidRDefault="00EE5450"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2024/2025, 36600 XVI, </w:t>
      </w:r>
      <w:proofErr w:type="spellStart"/>
      <w:r w:rsidRPr="009873CE">
        <w:rPr>
          <w:sz w:val="16"/>
          <w:szCs w:val="16"/>
        </w:rPr>
        <w:t>nr</w:t>
      </w:r>
      <w:proofErr w:type="spellEnd"/>
      <w:r w:rsidRPr="009873CE">
        <w:rPr>
          <w:sz w:val="16"/>
          <w:szCs w:val="16"/>
        </w:rPr>
        <w:t xml:space="preserve"> 69</w:t>
      </w:r>
    </w:p>
  </w:footnote>
  <w:footnote w:id="142">
    <w:p w14:paraId="2DD39518" w14:textId="77777777" w:rsidR="007E044A" w:rsidRPr="009873CE" w:rsidRDefault="007E044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2022/23, 36 350, nr. 1.</w:t>
      </w:r>
    </w:p>
  </w:footnote>
  <w:footnote w:id="143">
    <w:p w14:paraId="290B7656" w14:textId="77777777" w:rsidR="007E044A" w:rsidRPr="009873CE" w:rsidRDefault="007E044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r w:rsidRPr="009873CE">
        <w:rPr>
          <w:bCs/>
          <w:sz w:val="16"/>
          <w:szCs w:val="16"/>
        </w:rPr>
        <w:t>Kamerstukken II 2024/25, 29 538, nr. 365. Het werd noodzakelijk geacht de beoogde invoeringsdatum te verschuiven omdat er voldoende tijd moet zitten tussen de publicatie van het wetsvoorstel en het moment van inwerkingtreding en om zo aan zowel burgers, aanbieders van ondersteuning, als aan uitvoerende partijen – zoals het CAK en gemeenten – de gelegenheid te bieden zich goed voor te bereiden op de invoering van dit wetsvoorstel.</w:t>
      </w:r>
    </w:p>
  </w:footnote>
  <w:footnote w:id="144">
    <w:p w14:paraId="37C7990F" w14:textId="77777777" w:rsidR="007E044A" w:rsidRPr="009873CE" w:rsidRDefault="007E044A" w:rsidP="009873CE">
      <w:pPr>
        <w:suppressAutoHyphens/>
        <w:rPr>
          <w:sz w:val="16"/>
          <w:szCs w:val="16"/>
        </w:rPr>
      </w:pPr>
      <w:r w:rsidRPr="009873CE">
        <w:rPr>
          <w:rStyle w:val="Voetnootmarkering"/>
          <w:rFonts w:eastAsia="Verdana"/>
          <w:sz w:val="16"/>
          <w:szCs w:val="16"/>
        </w:rPr>
        <w:footnoteRef/>
      </w:r>
      <w:r w:rsidRPr="009873CE">
        <w:rPr>
          <w:sz w:val="16"/>
          <w:szCs w:val="16"/>
        </w:rPr>
        <w:t xml:space="preserve"> </w:t>
      </w:r>
      <w:r w:rsidRPr="009873CE">
        <w:rPr>
          <w:bCs/>
          <w:sz w:val="16"/>
          <w:szCs w:val="16"/>
        </w:rPr>
        <w:t>Kamerstukken II 2024/25,</w:t>
      </w:r>
      <w:r w:rsidRPr="009873CE">
        <w:rPr>
          <w:sz w:val="16"/>
          <w:szCs w:val="16"/>
        </w:rPr>
        <w:t xml:space="preserve"> 36 725, nr. 1.</w:t>
      </w:r>
    </w:p>
  </w:footnote>
  <w:footnote w:id="145">
    <w:p w14:paraId="7F47A9CA" w14:textId="77777777" w:rsidR="007E044A" w:rsidRPr="009873CE" w:rsidRDefault="007E044A"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2024/25, 36 713, </w:t>
      </w:r>
      <w:proofErr w:type="spellStart"/>
      <w:r w:rsidRPr="009873CE">
        <w:rPr>
          <w:sz w:val="16"/>
          <w:szCs w:val="16"/>
        </w:rPr>
        <w:t>nrs</w:t>
      </w:r>
      <w:proofErr w:type="spellEnd"/>
      <w:r w:rsidRPr="009873CE">
        <w:rPr>
          <w:sz w:val="16"/>
          <w:szCs w:val="16"/>
        </w:rPr>
        <w:t>. 3 en 8.</w:t>
      </w:r>
    </w:p>
  </w:footnote>
  <w:footnote w:id="146">
    <w:p w14:paraId="44B5BB4B" w14:textId="77777777" w:rsidR="00901B1C" w:rsidRPr="009873CE" w:rsidRDefault="00901B1C"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54" w:history="1">
        <w:r w:rsidRPr="009873CE">
          <w:rPr>
            <w:rStyle w:val="Hyperlink"/>
            <w:rFonts w:eastAsiaTheme="majorEastAsia"/>
            <w:sz w:val="16"/>
            <w:szCs w:val="16"/>
          </w:rPr>
          <w:t>https://lcg.nl/lijst-kritieke-geneesmiddelen/</w:t>
        </w:r>
      </w:hyperlink>
      <w:r w:rsidRPr="009873CE">
        <w:rPr>
          <w:sz w:val="16"/>
          <w:szCs w:val="16"/>
        </w:rPr>
        <w:t xml:space="preserve"> </w:t>
      </w:r>
    </w:p>
  </w:footnote>
  <w:footnote w:id="147">
    <w:p w14:paraId="0DD2C372" w14:textId="77777777" w:rsidR="00EE5450" w:rsidRPr="009873CE" w:rsidRDefault="00EE5450"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Zie </w:t>
      </w:r>
      <w:hyperlink r:id="rId55" w:history="1">
        <w:r w:rsidRPr="009873CE">
          <w:rPr>
            <w:rStyle w:val="Hyperlink"/>
            <w:rFonts w:eastAsiaTheme="majorEastAsia"/>
            <w:sz w:val="16"/>
            <w:szCs w:val="16"/>
          </w:rPr>
          <w:t>Lijst kritieke geneesmiddelen | Landelijk Coördinatiecentrum Geneesmiddelen</w:t>
        </w:r>
      </w:hyperlink>
    </w:p>
  </w:footnote>
  <w:footnote w:id="148">
    <w:p w14:paraId="41EEFBC6" w14:textId="77777777" w:rsidR="009E2BC0" w:rsidRPr="009873CE" w:rsidRDefault="009E2BC0"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Monitor Langdurige Zorg, CBS</w:t>
      </w:r>
    </w:p>
  </w:footnote>
  <w:footnote w:id="149">
    <w:p w14:paraId="22BB7DE5" w14:textId="77777777" w:rsidR="00EE5450" w:rsidRPr="009873CE" w:rsidRDefault="00EE5450"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2024/2025, 24 170, nr. 352</w:t>
      </w:r>
    </w:p>
  </w:footnote>
  <w:footnote w:id="150">
    <w:p w14:paraId="0DD987BF" w14:textId="77777777" w:rsidR="00EE5450" w:rsidRPr="009873CE" w:rsidRDefault="00EE5450"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2024/2025, 25 424, nr. 727</w:t>
      </w:r>
    </w:p>
  </w:footnote>
  <w:footnote w:id="151">
    <w:p w14:paraId="48EFF4B0" w14:textId="77777777" w:rsidR="008D2F23" w:rsidRPr="009873CE" w:rsidRDefault="008D2F23" w:rsidP="009873CE">
      <w:pPr>
        <w:pStyle w:val="Voetnoottekst"/>
        <w:suppressAutoHyphens/>
        <w:rPr>
          <w:sz w:val="16"/>
          <w:szCs w:val="16"/>
          <w:u w:val="single"/>
        </w:rPr>
      </w:pPr>
      <w:r w:rsidRPr="009873CE">
        <w:rPr>
          <w:rStyle w:val="Voetnootmarkering"/>
          <w:rFonts w:eastAsiaTheme="majorEastAsia"/>
          <w:sz w:val="16"/>
          <w:szCs w:val="16"/>
          <w:u w:val="single"/>
        </w:rPr>
        <w:footnoteRef/>
      </w:r>
      <w:r w:rsidRPr="009873CE">
        <w:rPr>
          <w:sz w:val="16"/>
          <w:szCs w:val="16"/>
          <w:u w:val="single"/>
        </w:rPr>
        <w:t xml:space="preserve"> </w:t>
      </w:r>
      <w:hyperlink r:id="rId56" w:history="1">
        <w:r w:rsidRPr="009873CE">
          <w:rPr>
            <w:rStyle w:val="Hyperlink"/>
            <w:rFonts w:eastAsiaTheme="majorEastAsia"/>
            <w:color w:val="auto"/>
            <w:sz w:val="16"/>
            <w:szCs w:val="16"/>
          </w:rPr>
          <w:t>Roken | Volwassenen | Volksgezondheid en Zorg</w:t>
        </w:r>
      </w:hyperlink>
    </w:p>
  </w:footnote>
  <w:footnote w:id="152">
    <w:p w14:paraId="388AE4F8" w14:textId="77777777" w:rsidR="008D2F23" w:rsidRPr="009873CE" w:rsidRDefault="008D2F23" w:rsidP="009873CE">
      <w:pPr>
        <w:pStyle w:val="Voetnoottekst"/>
        <w:suppressAutoHyphens/>
        <w:rPr>
          <w:sz w:val="16"/>
          <w:szCs w:val="16"/>
          <w:u w:val="single"/>
        </w:rPr>
      </w:pPr>
      <w:r w:rsidRPr="009873CE">
        <w:rPr>
          <w:rStyle w:val="Voetnootmarkering"/>
          <w:rFonts w:eastAsiaTheme="majorEastAsia"/>
          <w:sz w:val="16"/>
          <w:szCs w:val="16"/>
          <w:u w:val="single"/>
        </w:rPr>
        <w:footnoteRef/>
      </w:r>
      <w:r w:rsidRPr="009873CE">
        <w:rPr>
          <w:sz w:val="16"/>
          <w:szCs w:val="16"/>
          <w:u w:val="single"/>
        </w:rPr>
        <w:t xml:space="preserve"> </w:t>
      </w:r>
      <w:hyperlink r:id="rId57" w:history="1">
        <w:r w:rsidRPr="009873CE">
          <w:rPr>
            <w:rStyle w:val="Hyperlink"/>
            <w:rFonts w:eastAsiaTheme="majorEastAsia"/>
            <w:color w:val="auto"/>
            <w:sz w:val="16"/>
            <w:szCs w:val="16"/>
          </w:rPr>
          <w:t>Longkanker | Volksgezondheid en Zorg</w:t>
        </w:r>
      </w:hyperlink>
    </w:p>
  </w:footnote>
  <w:footnote w:id="153">
    <w:p w14:paraId="437EE08D" w14:textId="77777777" w:rsidR="008D2F23" w:rsidRPr="009873CE" w:rsidRDefault="008D2F23" w:rsidP="009873CE">
      <w:pPr>
        <w:pStyle w:val="Voetnoottekst"/>
        <w:suppressAutoHyphens/>
        <w:rPr>
          <w:sz w:val="16"/>
          <w:szCs w:val="16"/>
          <w:u w:val="single"/>
        </w:rPr>
      </w:pPr>
      <w:r w:rsidRPr="009873CE">
        <w:rPr>
          <w:rStyle w:val="Voetnootmarkering"/>
          <w:rFonts w:eastAsiaTheme="majorEastAsia"/>
          <w:sz w:val="16"/>
          <w:szCs w:val="16"/>
          <w:u w:val="single"/>
        </w:rPr>
        <w:footnoteRef/>
      </w:r>
      <w:r w:rsidRPr="009873CE">
        <w:rPr>
          <w:sz w:val="16"/>
          <w:szCs w:val="16"/>
          <w:u w:val="single"/>
        </w:rPr>
        <w:t xml:space="preserve"> </w:t>
      </w:r>
      <w:hyperlink r:id="rId58" w:history="1">
        <w:r w:rsidRPr="009873CE">
          <w:rPr>
            <w:rStyle w:val="Hyperlink"/>
            <w:rFonts w:eastAsiaTheme="majorEastAsia"/>
            <w:color w:val="auto"/>
            <w:sz w:val="16"/>
            <w:szCs w:val="16"/>
          </w:rPr>
          <w:t>Hart- en vaatziekten | Volksgezondheid en Zorg</w:t>
        </w:r>
      </w:hyperlink>
    </w:p>
  </w:footnote>
  <w:footnote w:id="154">
    <w:p w14:paraId="28D61524" w14:textId="77777777" w:rsidR="005C1E1E" w:rsidRPr="009873CE" w:rsidRDefault="005C1E1E"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59" w:history="1">
        <w:r w:rsidRPr="009873CE">
          <w:rPr>
            <w:rStyle w:val="Hyperlink"/>
            <w:rFonts w:eastAsiaTheme="majorEastAsia"/>
            <w:sz w:val="16"/>
            <w:szCs w:val="16"/>
          </w:rPr>
          <w:t>https://www.zonmw.nl/nl/programma/covid-19-programma</w:t>
        </w:r>
      </w:hyperlink>
    </w:p>
  </w:footnote>
  <w:footnote w:id="155">
    <w:p w14:paraId="37F5D128" w14:textId="77777777" w:rsidR="005C1E1E" w:rsidRPr="009873CE" w:rsidRDefault="005C1E1E"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60" w:history="1">
        <w:r w:rsidRPr="009873CE">
          <w:rPr>
            <w:rStyle w:val="Hyperlink"/>
            <w:rFonts w:eastAsiaTheme="majorEastAsia"/>
            <w:sz w:val="16"/>
            <w:szCs w:val="16"/>
          </w:rPr>
          <w:t>https://projecten.zonmw.nl/nl/project/switching-covid-19-vaccines-solution-problems-multicentre-randomised-single-blind</w:t>
        </w:r>
      </w:hyperlink>
    </w:p>
  </w:footnote>
  <w:footnote w:id="156">
    <w:p w14:paraId="6C65C585" w14:textId="77777777" w:rsidR="005C1E1E" w:rsidRPr="009873CE" w:rsidRDefault="005C1E1E"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61" w:history="1">
        <w:r w:rsidRPr="009873CE">
          <w:rPr>
            <w:rStyle w:val="Hyperlink"/>
            <w:rFonts w:eastAsiaTheme="majorEastAsia"/>
            <w:sz w:val="16"/>
            <w:szCs w:val="16"/>
          </w:rPr>
          <w:t>https://projecten.zonmw.nl/nl/project/turn-covid-nederlandse-cohort-studie-ter-evaluatie-van-het-gebruik-van-neutraliserende</w:t>
        </w:r>
      </w:hyperlink>
    </w:p>
  </w:footnote>
  <w:footnote w:id="157">
    <w:p w14:paraId="17575EED" w14:textId="77777777" w:rsidR="005C1E1E" w:rsidRPr="009873CE" w:rsidRDefault="005C1E1E"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62" w:history="1">
        <w:r w:rsidRPr="009873CE">
          <w:rPr>
            <w:rStyle w:val="Hyperlink"/>
            <w:rFonts w:eastAsiaTheme="majorEastAsia"/>
            <w:sz w:val="16"/>
            <w:szCs w:val="16"/>
          </w:rPr>
          <w:t>https://www.zonmw.nl/nl/onderzoek-naar-optimale-medisch-specialistische-zorg-bij-covid-19</w:t>
        </w:r>
      </w:hyperlink>
    </w:p>
  </w:footnote>
  <w:footnote w:id="158">
    <w:p w14:paraId="0DE17B40" w14:textId="77777777" w:rsidR="005C1E1E" w:rsidRPr="009873CE" w:rsidRDefault="005C1E1E"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63" w:history="1">
        <w:r w:rsidRPr="009873CE">
          <w:rPr>
            <w:rStyle w:val="Hyperlink"/>
            <w:rFonts w:eastAsiaTheme="majorEastAsia"/>
            <w:sz w:val="16"/>
            <w:szCs w:val="16"/>
          </w:rPr>
          <w:t>https://www.zonmw.nl/nl/programma/kennisprogramma-pandemische-paraatheid</w:t>
        </w:r>
      </w:hyperlink>
      <w:r w:rsidRPr="009873CE">
        <w:rPr>
          <w:sz w:val="16"/>
          <w:szCs w:val="16"/>
        </w:rPr>
        <w:t xml:space="preserve"> </w:t>
      </w:r>
    </w:p>
  </w:footnote>
  <w:footnote w:id="159">
    <w:p w14:paraId="1E41EEDD" w14:textId="77777777" w:rsidR="005C1E1E" w:rsidRPr="009873CE" w:rsidRDefault="005C1E1E"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64" w:history="1">
        <w:r w:rsidRPr="009873CE">
          <w:rPr>
            <w:rStyle w:val="Hyperlink"/>
            <w:rFonts w:eastAsiaTheme="majorEastAsia"/>
            <w:sz w:val="16"/>
            <w:szCs w:val="16"/>
          </w:rPr>
          <w:t>https://projecten.zonmw.nl/nl/project/inrichting-van-een-organisatie-en-infrastructuur-voor-onderzoeksgroep-overstijgende</w:t>
        </w:r>
      </w:hyperlink>
    </w:p>
  </w:footnote>
  <w:footnote w:id="160">
    <w:p w14:paraId="627558FE" w14:textId="77777777" w:rsidR="005C1E1E" w:rsidRPr="009873CE" w:rsidRDefault="005C1E1E"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65" w:history="1">
        <w:r w:rsidRPr="009873CE">
          <w:rPr>
            <w:rStyle w:val="Hyperlink"/>
            <w:rFonts w:eastAsiaTheme="majorEastAsia"/>
            <w:sz w:val="16"/>
            <w:szCs w:val="16"/>
          </w:rPr>
          <w:t>https://www.zonmw.nl/nl/nieuws/consortia-ncoh-en-beprepared-ontvangen-aanvullende-financiering</w:t>
        </w:r>
      </w:hyperlink>
    </w:p>
  </w:footnote>
  <w:footnote w:id="161">
    <w:p w14:paraId="4AE3F7C4" w14:textId="77777777" w:rsidR="005C1E1E" w:rsidRPr="009873CE" w:rsidRDefault="005C1E1E"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66" w:history="1">
        <w:r w:rsidRPr="009873CE">
          <w:rPr>
            <w:rStyle w:val="Hyperlink"/>
            <w:rFonts w:eastAsiaTheme="majorEastAsia"/>
            <w:sz w:val="16"/>
            <w:szCs w:val="16"/>
          </w:rPr>
          <w:t>https://cordis.europa.eu/project/id/101226682</w:t>
        </w:r>
      </w:hyperlink>
      <w:r w:rsidRPr="009873CE">
        <w:rPr>
          <w:sz w:val="16"/>
          <w:szCs w:val="16"/>
        </w:rPr>
        <w:t xml:space="preserve"> </w:t>
      </w:r>
    </w:p>
  </w:footnote>
  <w:footnote w:id="162">
    <w:p w14:paraId="26A4FED5" w14:textId="77777777" w:rsidR="005C1E1E" w:rsidRPr="009873CE" w:rsidRDefault="005C1E1E"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67" w:history="1">
        <w:r w:rsidRPr="009873CE">
          <w:rPr>
            <w:rStyle w:val="Hyperlink"/>
            <w:rFonts w:eastAsiaTheme="majorEastAsia"/>
            <w:sz w:val="16"/>
            <w:szCs w:val="16"/>
          </w:rPr>
          <w:t>https://www.zonmw.nl/nl/programma/post-covid-onderzoeksprogramma-kennisinfrastructuur-en-expertisenetwerk</w:t>
        </w:r>
      </w:hyperlink>
      <w:r w:rsidRPr="009873CE">
        <w:rPr>
          <w:sz w:val="16"/>
          <w:szCs w:val="16"/>
        </w:rPr>
        <w:t xml:space="preserve"> </w:t>
      </w:r>
    </w:p>
  </w:footnote>
  <w:footnote w:id="163">
    <w:p w14:paraId="1F57E69C" w14:textId="77777777" w:rsidR="00E57EFE" w:rsidRPr="009873CE" w:rsidRDefault="00E57EFE"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68" w:history="1">
        <w:r w:rsidRPr="009873CE">
          <w:rPr>
            <w:rStyle w:val="Hyperlink"/>
            <w:rFonts w:eastAsiaTheme="majorEastAsia"/>
            <w:sz w:val="16"/>
            <w:szCs w:val="16"/>
          </w:rPr>
          <w:t>https://www.zonmw.nl/nl/programma/covid-19-programma</w:t>
        </w:r>
      </w:hyperlink>
    </w:p>
  </w:footnote>
  <w:footnote w:id="164">
    <w:p w14:paraId="0A36B7A8" w14:textId="77777777" w:rsidR="00E57EFE" w:rsidRPr="009873CE" w:rsidRDefault="00E57EFE"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69" w:history="1">
        <w:r w:rsidRPr="009873CE">
          <w:rPr>
            <w:rStyle w:val="Hyperlink"/>
            <w:rFonts w:eastAsiaTheme="majorEastAsia"/>
            <w:sz w:val="16"/>
            <w:szCs w:val="16"/>
          </w:rPr>
          <w:t>https://projecten.zonmw.nl/nl/project/switching-covid-19-vaccines-solution-problems-multicentre-randomised-single-blind</w:t>
        </w:r>
      </w:hyperlink>
      <w:r w:rsidRPr="009873CE">
        <w:rPr>
          <w:sz w:val="16"/>
          <w:szCs w:val="16"/>
        </w:rPr>
        <w:t>)</w:t>
      </w:r>
    </w:p>
  </w:footnote>
  <w:footnote w:id="165">
    <w:p w14:paraId="7030585B" w14:textId="77777777" w:rsidR="00E57EFE" w:rsidRPr="009873CE" w:rsidRDefault="00E57EFE"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70" w:history="1">
        <w:r w:rsidRPr="009873CE">
          <w:rPr>
            <w:rStyle w:val="Hyperlink"/>
            <w:rFonts w:eastAsiaTheme="majorEastAsia"/>
            <w:sz w:val="16"/>
            <w:szCs w:val="16"/>
          </w:rPr>
          <w:t>https://projecten.zonmw.nl/nl/project/turn-covid-nederlandse-cohort-studie-ter-evaluatie-van-het-gebruik-van-neutraliserende</w:t>
        </w:r>
      </w:hyperlink>
    </w:p>
  </w:footnote>
  <w:footnote w:id="166">
    <w:p w14:paraId="09BAA155" w14:textId="77777777" w:rsidR="00E57EFE" w:rsidRPr="009873CE" w:rsidRDefault="00E57EFE"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71" w:history="1">
        <w:r w:rsidRPr="009873CE">
          <w:rPr>
            <w:rStyle w:val="Hyperlink"/>
            <w:rFonts w:eastAsiaTheme="majorEastAsia"/>
            <w:sz w:val="16"/>
            <w:szCs w:val="16"/>
          </w:rPr>
          <w:t>https://www.zonmw.nl/nl/onderzoek-naar-optimale-medisch-specialistische-zorg-bij-covid-19</w:t>
        </w:r>
      </w:hyperlink>
    </w:p>
  </w:footnote>
  <w:footnote w:id="167">
    <w:p w14:paraId="57CC0089" w14:textId="77777777" w:rsidR="00E57EFE" w:rsidRPr="009873CE" w:rsidRDefault="00E57EFE"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72" w:history="1">
        <w:r w:rsidRPr="009873CE">
          <w:rPr>
            <w:rStyle w:val="Hyperlink"/>
            <w:rFonts w:eastAsiaTheme="majorEastAsia"/>
            <w:sz w:val="16"/>
            <w:szCs w:val="16"/>
          </w:rPr>
          <w:t>https://www.zonmw.nl/nl/programma/kennisprogramma-pandemische-paraatheid</w:t>
        </w:r>
      </w:hyperlink>
      <w:r w:rsidRPr="009873CE">
        <w:rPr>
          <w:sz w:val="16"/>
          <w:szCs w:val="16"/>
        </w:rPr>
        <w:t xml:space="preserve"> </w:t>
      </w:r>
    </w:p>
  </w:footnote>
  <w:footnote w:id="168">
    <w:p w14:paraId="483D6C9F" w14:textId="77777777" w:rsidR="00E57EFE" w:rsidRPr="009873CE" w:rsidRDefault="00E57EFE"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73" w:history="1">
        <w:r w:rsidRPr="009873CE">
          <w:rPr>
            <w:rStyle w:val="Hyperlink"/>
            <w:rFonts w:eastAsiaTheme="majorEastAsia"/>
            <w:sz w:val="16"/>
            <w:szCs w:val="16"/>
          </w:rPr>
          <w:t>https://www.zonmw.nl/nl/nieuws/consortia-ncoh-en-beprepared-ontvangen-aanvullende-financiering</w:t>
        </w:r>
      </w:hyperlink>
    </w:p>
  </w:footnote>
  <w:footnote w:id="169">
    <w:p w14:paraId="777CFC54" w14:textId="77777777" w:rsidR="00E57EFE" w:rsidRPr="009873CE" w:rsidRDefault="00E57EFE"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https://cordis.europa.eu/project/id/101226682</w:t>
      </w:r>
    </w:p>
  </w:footnote>
  <w:footnote w:id="170">
    <w:p w14:paraId="2BE61B7A" w14:textId="77777777" w:rsidR="008D2F23" w:rsidRPr="009873CE" w:rsidRDefault="008D2F23"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2023-2024, 32793, nr. 753</w:t>
      </w:r>
    </w:p>
  </w:footnote>
  <w:footnote w:id="171">
    <w:p w14:paraId="7EEDBE2C" w14:textId="77777777" w:rsidR="00E57EFE" w:rsidRPr="009873CE" w:rsidRDefault="00E57EFE"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Kamerstuk II 2025/26, 25424, nr. 729</w:t>
      </w:r>
    </w:p>
  </w:footnote>
  <w:footnote w:id="172">
    <w:p w14:paraId="5F1C490C" w14:textId="77777777" w:rsidR="008D2F23" w:rsidRPr="009873CE" w:rsidRDefault="008D2F23"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74" w:history="1">
        <w:r w:rsidRPr="009873CE">
          <w:rPr>
            <w:rStyle w:val="Hyperlink"/>
            <w:rFonts w:eastAsiaTheme="majorEastAsia"/>
            <w:sz w:val="16"/>
            <w:szCs w:val="16"/>
          </w:rPr>
          <w:t>https://lcg.nl/lijst-kritieke-geneesmiddelen/</w:t>
        </w:r>
      </w:hyperlink>
      <w:r w:rsidRPr="009873CE">
        <w:rPr>
          <w:sz w:val="16"/>
          <w:szCs w:val="16"/>
        </w:rPr>
        <w:t xml:space="preserve"> </w:t>
      </w:r>
    </w:p>
  </w:footnote>
  <w:footnote w:id="173">
    <w:p w14:paraId="46221076" w14:textId="77777777" w:rsidR="008D2F23" w:rsidRPr="009873CE" w:rsidRDefault="008D2F23"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2024-2025, 29477, nr. 918, 939 en 949</w:t>
      </w:r>
    </w:p>
  </w:footnote>
  <w:footnote w:id="174">
    <w:p w14:paraId="7A6E9E58" w14:textId="77777777" w:rsidR="00E57EFE" w:rsidRPr="009873CE" w:rsidRDefault="00E57EFE"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2022–2023, 29 282, nr. 521</w:t>
      </w:r>
    </w:p>
  </w:footnote>
  <w:footnote w:id="175">
    <w:p w14:paraId="3B1EFB81" w14:textId="77777777" w:rsidR="009E2BC0" w:rsidRPr="009873CE" w:rsidRDefault="009E2BC0"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75" w:history="1">
        <w:r w:rsidRPr="009873CE">
          <w:rPr>
            <w:rStyle w:val="Hyperlink"/>
            <w:rFonts w:eastAsiaTheme="majorEastAsia"/>
            <w:sz w:val="16"/>
            <w:szCs w:val="16"/>
          </w:rPr>
          <w:t>Uitvoeringsadvies Integrale prestaties verpleging en verzorging wijkverpleging | Rapport | Rijksoverheid.nl</w:t>
        </w:r>
      </w:hyperlink>
    </w:p>
  </w:footnote>
  <w:footnote w:id="176">
    <w:p w14:paraId="2EA34F9E" w14:textId="77777777" w:rsidR="009E2BC0" w:rsidRPr="009873CE" w:rsidRDefault="009E2BC0"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76" w:history="1">
        <w:r w:rsidRPr="009873CE">
          <w:rPr>
            <w:rStyle w:val="Hyperlink"/>
            <w:rFonts w:eastAsiaTheme="majorEastAsia"/>
            <w:sz w:val="16"/>
            <w:szCs w:val="16"/>
          </w:rPr>
          <w:t>Uitvoeringsadvies Integrale prestaties verpleging en verzorging wijkverpleging | Rapport | Rijksoverheid.nl</w:t>
        </w:r>
      </w:hyperlink>
    </w:p>
  </w:footnote>
  <w:footnote w:id="177">
    <w:p w14:paraId="5669E5A8" w14:textId="77777777" w:rsidR="008D2F23" w:rsidRPr="009873CE" w:rsidRDefault="008D2F23"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77" w:history="1">
        <w:r w:rsidRPr="009873CE">
          <w:rPr>
            <w:rStyle w:val="Hyperlink"/>
            <w:rFonts w:eastAsiaTheme="majorEastAsia"/>
            <w:sz w:val="16"/>
            <w:szCs w:val="16"/>
          </w:rPr>
          <w:t>https://www.zorginstituutnederland.nl/documenten/2025/09/24/consultatiedocument-advies-over-vergoeden-van-geneesmiddelen-bij-allergie</w:t>
        </w:r>
      </w:hyperlink>
      <w:r w:rsidRPr="009873CE">
        <w:rPr>
          <w:sz w:val="16"/>
          <w:szCs w:val="16"/>
        </w:rPr>
        <w:t xml:space="preserve">. </w:t>
      </w:r>
    </w:p>
  </w:footnote>
  <w:footnote w:id="178">
    <w:p w14:paraId="6382596A" w14:textId="77777777" w:rsidR="008D2F23" w:rsidRPr="009873CE" w:rsidRDefault="008D2F23"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Boven op deze reeks wordt binnen het AZWA nog structureel € 70 miljoen toegevoegd vanuit het remgeld. Dit is ten behoeve van de structurele borging van de Regionale Eerstelijnssamenwerkingsverbanden (</w:t>
      </w:r>
      <w:proofErr w:type="spellStart"/>
      <w:r w:rsidRPr="009873CE">
        <w:rPr>
          <w:sz w:val="16"/>
          <w:szCs w:val="16"/>
        </w:rPr>
        <w:t>RESVs</w:t>
      </w:r>
      <w:proofErr w:type="spellEnd"/>
      <w:r w:rsidRPr="009873CE">
        <w:rPr>
          <w:sz w:val="16"/>
          <w:szCs w:val="16"/>
        </w:rPr>
        <w:t>).</w:t>
      </w:r>
    </w:p>
  </w:footnote>
  <w:footnote w:id="179">
    <w:p w14:paraId="4743D38D" w14:textId="77777777" w:rsidR="00CF4A75" w:rsidRPr="009873CE" w:rsidRDefault="00CF4A75"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78" w:history="1">
        <w:r w:rsidRPr="009873CE">
          <w:rPr>
            <w:rStyle w:val="Hyperlink"/>
            <w:sz w:val="16"/>
            <w:szCs w:val="16"/>
          </w:rPr>
          <w:t>https://www.rijksoverheid.nl/documenten/kamerstukken/2024/12/16/kamerbrief-over-nivel-kennisvraag-kenmerken-van-mensen-die-afzien-van-zorg-om-financiele-redenen</w:t>
        </w:r>
      </w:hyperlink>
    </w:p>
  </w:footnote>
  <w:footnote w:id="180">
    <w:p w14:paraId="1017915B" w14:textId="77777777" w:rsidR="00CF4A75" w:rsidRPr="009873CE" w:rsidRDefault="00CF4A75"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79" w:history="1">
        <w:r w:rsidRPr="009873CE">
          <w:rPr>
            <w:rStyle w:val="Hyperlink"/>
            <w:sz w:val="16"/>
            <w:szCs w:val="16"/>
          </w:rPr>
          <w:t>https://www.rijksfinancien.nl/sites/default/files/kamerstuk_pdf/kst-36725-XVI-2_0.pdf</w:t>
        </w:r>
      </w:hyperlink>
    </w:p>
  </w:footnote>
  <w:footnote w:id="181">
    <w:p w14:paraId="29C4D1E2" w14:textId="77777777" w:rsidR="008D2F23" w:rsidRPr="009873CE" w:rsidRDefault="008D2F23"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80" w:history="1">
        <w:r w:rsidRPr="009873CE">
          <w:rPr>
            <w:rStyle w:val="Hyperlink"/>
            <w:rFonts w:eastAsiaTheme="majorEastAsia"/>
            <w:sz w:val="16"/>
            <w:szCs w:val="16"/>
          </w:rPr>
          <w:t>Financiële kengetallen zorginstellingen, 2024** | Maatwerk publicatie | Monitor Langdurige Zorg</w:t>
        </w:r>
      </w:hyperlink>
      <w:r w:rsidRPr="009873CE">
        <w:rPr>
          <w:sz w:val="16"/>
          <w:szCs w:val="16"/>
        </w:rPr>
        <w:t>.</w:t>
      </w:r>
    </w:p>
  </w:footnote>
  <w:footnote w:id="182">
    <w:p w14:paraId="362422A3" w14:textId="77777777" w:rsidR="007E7344" w:rsidRPr="009873CE" w:rsidRDefault="007E7344"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Centraal Planbureau, «Analyse coalitieakkoord 2022–2025», januari 2022.</w:t>
      </w:r>
    </w:p>
  </w:footnote>
  <w:footnote w:id="183">
    <w:p w14:paraId="44C2985F" w14:textId="77777777" w:rsidR="00FF3DFA" w:rsidRPr="009873CE" w:rsidRDefault="00FF3DFA"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Zie: </w:t>
      </w:r>
      <w:hyperlink r:id="rId81" w:history="1">
        <w:r w:rsidRPr="009873CE">
          <w:rPr>
            <w:rStyle w:val="Hyperlink"/>
            <w:sz w:val="16"/>
            <w:szCs w:val="16"/>
          </w:rPr>
          <w:t>Budgettaire bijlage coalitieakkoord 2021-2025 | Publicatie | Rijksoverheid.nl</w:t>
        </w:r>
      </w:hyperlink>
    </w:p>
  </w:footnote>
  <w:footnote w:id="184">
    <w:p w14:paraId="785C3EB0" w14:textId="77777777" w:rsidR="00FF3DFA" w:rsidRPr="009873CE" w:rsidRDefault="00FF3DFA"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r w:rsidRPr="009873CE">
        <w:rPr>
          <w:i/>
          <w:iCs/>
          <w:sz w:val="16"/>
          <w:szCs w:val="16"/>
        </w:rPr>
        <w:t xml:space="preserve">Kamerstukken II, </w:t>
      </w:r>
      <w:r w:rsidRPr="009873CE">
        <w:rPr>
          <w:sz w:val="16"/>
          <w:szCs w:val="16"/>
        </w:rPr>
        <w:t>vergaderjaar 2021–2022, 29 389, nr. 111.</w:t>
      </w:r>
    </w:p>
  </w:footnote>
  <w:footnote w:id="185">
    <w:p w14:paraId="05DDDF66" w14:textId="77777777" w:rsidR="00FF3DFA" w:rsidRPr="009873CE" w:rsidRDefault="00FF3DFA"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r w:rsidRPr="009873CE">
        <w:rPr>
          <w:i/>
          <w:iCs/>
          <w:sz w:val="16"/>
          <w:szCs w:val="16"/>
        </w:rPr>
        <w:t>Kamerstukken II</w:t>
      </w:r>
      <w:r w:rsidRPr="009873CE">
        <w:rPr>
          <w:sz w:val="16"/>
          <w:szCs w:val="16"/>
        </w:rPr>
        <w:t>, 2023–2024, 34 104, nr. 405.</w:t>
      </w:r>
    </w:p>
  </w:footnote>
  <w:footnote w:id="186">
    <w:p w14:paraId="2BD01077" w14:textId="77777777" w:rsidR="00FF3DFA" w:rsidRPr="009873CE" w:rsidRDefault="00FF3DFA"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w:t>
      </w:r>
      <w:hyperlink r:id="rId82" w:history="1">
        <w:r w:rsidRPr="009873CE">
          <w:rPr>
            <w:rStyle w:val="Hyperlink"/>
            <w:sz w:val="16"/>
            <w:szCs w:val="16"/>
          </w:rPr>
          <w:t>Financiële kengetallen zorginstellingen, 2024** | Maatwerk publicatie | Monitor Langdurige Zorg</w:t>
        </w:r>
      </w:hyperlink>
      <w:r w:rsidRPr="009873CE">
        <w:rPr>
          <w:sz w:val="16"/>
          <w:szCs w:val="16"/>
        </w:rPr>
        <w:t>.</w:t>
      </w:r>
    </w:p>
  </w:footnote>
  <w:footnote w:id="187">
    <w:p w14:paraId="2050CEF1" w14:textId="77777777" w:rsidR="00B63234" w:rsidRPr="009873CE" w:rsidRDefault="00B63234"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Centraal Planbureau, «Analyse coalitieakkoord 2022–2025», januari 2022.</w:t>
      </w:r>
    </w:p>
  </w:footnote>
  <w:footnote w:id="188">
    <w:p w14:paraId="56CB0D75" w14:textId="77777777" w:rsidR="0069427F" w:rsidRPr="009873CE" w:rsidRDefault="0069427F"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Kamerstukken II, 2025–2026, 34 104, nr. 450.</w:t>
      </w:r>
    </w:p>
  </w:footnote>
  <w:footnote w:id="189">
    <w:p w14:paraId="5A11C544" w14:textId="77777777" w:rsidR="00B63234" w:rsidRPr="009873CE" w:rsidRDefault="00B63234"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Centraal Planbureau, «Analyse coalitieakkoord 2022–2025», januari 2022.</w:t>
      </w:r>
    </w:p>
  </w:footnote>
  <w:footnote w:id="190">
    <w:p w14:paraId="05079DCD" w14:textId="77777777" w:rsidR="00FF3DFA" w:rsidRPr="009873CE" w:rsidRDefault="00FF3DFA" w:rsidP="009873CE">
      <w:pPr>
        <w:pStyle w:val="Voetnoottekst"/>
        <w:suppressAutoHyphens/>
        <w:rPr>
          <w:sz w:val="16"/>
          <w:szCs w:val="16"/>
        </w:rPr>
      </w:pPr>
      <w:r w:rsidRPr="009873CE">
        <w:rPr>
          <w:rStyle w:val="Voetnootmarkering"/>
          <w:sz w:val="16"/>
          <w:szCs w:val="16"/>
        </w:rPr>
        <w:footnoteRef/>
      </w:r>
      <w:r w:rsidRPr="009873CE">
        <w:rPr>
          <w:sz w:val="16"/>
          <w:szCs w:val="16"/>
        </w:rPr>
        <w:t xml:space="preserve"> Bron: Uitvoeringsinformatie </w:t>
      </w:r>
      <w:proofErr w:type="spellStart"/>
      <w:r w:rsidRPr="009873CE">
        <w:rPr>
          <w:sz w:val="16"/>
          <w:szCs w:val="16"/>
        </w:rPr>
        <w:t>iWlz</w:t>
      </w:r>
      <w:proofErr w:type="spellEnd"/>
      <w:r w:rsidRPr="009873CE">
        <w:rPr>
          <w:sz w:val="16"/>
          <w:szCs w:val="16"/>
        </w:rPr>
        <w:t xml:space="preserve"> van Zorginstituut Nederland, peilmoment 1 juli 2025.</w:t>
      </w:r>
    </w:p>
  </w:footnote>
  <w:footnote w:id="191">
    <w:p w14:paraId="65D8F848" w14:textId="77777777" w:rsidR="007E7344" w:rsidRPr="009873CE" w:rsidRDefault="007E7344"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2024-2025, 36 725-XVI, </w:t>
      </w:r>
      <w:proofErr w:type="spellStart"/>
      <w:r w:rsidRPr="009873CE">
        <w:rPr>
          <w:sz w:val="16"/>
          <w:szCs w:val="16"/>
        </w:rPr>
        <w:t>nr</w:t>
      </w:r>
      <w:proofErr w:type="spellEnd"/>
      <w:r w:rsidRPr="009873CE">
        <w:rPr>
          <w:sz w:val="16"/>
          <w:szCs w:val="16"/>
        </w:rPr>
        <w:t xml:space="preserve"> 18.</w:t>
      </w:r>
    </w:p>
  </w:footnote>
  <w:footnote w:id="192">
    <w:p w14:paraId="4FB9CECD" w14:textId="77777777" w:rsidR="007E7344" w:rsidRPr="009873CE" w:rsidRDefault="007E7344"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2025–2026, 29 389, nr. 158c.</w:t>
      </w:r>
    </w:p>
  </w:footnote>
  <w:footnote w:id="193">
    <w:p w14:paraId="12B58122" w14:textId="77777777" w:rsidR="007E7344" w:rsidRPr="009873CE" w:rsidRDefault="007E7344"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Kamerstukken II 2024/25, 30 821, nr. 303.</w:t>
      </w:r>
    </w:p>
  </w:footnote>
  <w:footnote w:id="194">
    <w:p w14:paraId="09452860" w14:textId="77777777" w:rsidR="00024FF9" w:rsidRPr="009873CE" w:rsidRDefault="00024FF9" w:rsidP="009873CE">
      <w:pPr>
        <w:pStyle w:val="Voetnoottekst"/>
        <w:suppressAutoHyphens/>
        <w:rPr>
          <w:rFonts w:cstheme="minorHAnsi"/>
          <w:sz w:val="16"/>
          <w:szCs w:val="16"/>
        </w:rPr>
      </w:pPr>
      <w:r w:rsidRPr="009873CE">
        <w:rPr>
          <w:rStyle w:val="Voetnootmarkering"/>
          <w:rFonts w:eastAsiaTheme="majorEastAsia" w:cstheme="minorHAnsi"/>
          <w:sz w:val="16"/>
          <w:szCs w:val="16"/>
        </w:rPr>
        <w:footnoteRef/>
      </w:r>
      <w:r w:rsidRPr="009873CE">
        <w:rPr>
          <w:rFonts w:cstheme="minorHAnsi"/>
          <w:sz w:val="16"/>
          <w:szCs w:val="16"/>
        </w:rPr>
        <w:t xml:space="preserve"> Kamerstukken II 2019-2020 31 016, nr. 288</w:t>
      </w:r>
    </w:p>
  </w:footnote>
  <w:footnote w:id="195">
    <w:p w14:paraId="4EAF2609" w14:textId="77777777" w:rsidR="00D544B0" w:rsidRPr="009873CE" w:rsidRDefault="00D544B0" w:rsidP="009873CE">
      <w:pPr>
        <w:pStyle w:val="Voetnoottekst"/>
        <w:suppressAutoHyphens/>
        <w:rPr>
          <w:sz w:val="16"/>
          <w:szCs w:val="16"/>
        </w:rPr>
      </w:pPr>
      <w:r w:rsidRPr="009873CE">
        <w:rPr>
          <w:rStyle w:val="Voetnootmarkering"/>
          <w:rFonts w:eastAsiaTheme="majorEastAsia"/>
          <w:sz w:val="16"/>
          <w:szCs w:val="16"/>
        </w:rPr>
        <w:footnoteRef/>
      </w:r>
      <w:r w:rsidRPr="009873CE">
        <w:rPr>
          <w:sz w:val="16"/>
          <w:szCs w:val="16"/>
        </w:rPr>
        <w:t xml:space="preserve"> </w:t>
      </w:r>
      <w:hyperlink r:id="rId83" w:history="1">
        <w:r w:rsidRPr="009873CE">
          <w:rPr>
            <w:rStyle w:val="Hyperlink"/>
            <w:rFonts w:eastAsiaTheme="majorEastAsia"/>
            <w:sz w:val="16"/>
            <w:szCs w:val="16"/>
          </w:rPr>
          <w:t>https://www.rekenkamer.nl/publicaties/rapporten/2025/04/02/focus-op-huisartsentekort</w:t>
        </w:r>
      </w:hyperlink>
      <w:r w:rsidRPr="009873CE">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56F"/>
    <w:multiLevelType w:val="hybridMultilevel"/>
    <w:tmpl w:val="110C686C"/>
    <w:lvl w:ilvl="0" w:tplc="1BFAB336">
      <w:start w:val="1"/>
      <w:numFmt w:val="bullet"/>
      <w:lvlText w:val=""/>
      <w:lvlJc w:val="left"/>
      <w:pPr>
        <w:ind w:left="720" w:hanging="360"/>
      </w:pPr>
      <w:rPr>
        <w:rFonts w:ascii="Symbol" w:hAnsi="Symbol" w:hint="default"/>
      </w:rPr>
    </w:lvl>
    <w:lvl w:ilvl="1" w:tplc="CCE0501A" w:tentative="1">
      <w:start w:val="1"/>
      <w:numFmt w:val="bullet"/>
      <w:lvlText w:val="o"/>
      <w:lvlJc w:val="left"/>
      <w:pPr>
        <w:ind w:left="1440" w:hanging="360"/>
      </w:pPr>
      <w:rPr>
        <w:rFonts w:ascii="Courier New" w:hAnsi="Courier New" w:cs="Courier New" w:hint="default"/>
      </w:rPr>
    </w:lvl>
    <w:lvl w:ilvl="2" w:tplc="6D9ECA2E" w:tentative="1">
      <w:start w:val="1"/>
      <w:numFmt w:val="bullet"/>
      <w:lvlText w:val=""/>
      <w:lvlJc w:val="left"/>
      <w:pPr>
        <w:ind w:left="2160" w:hanging="360"/>
      </w:pPr>
      <w:rPr>
        <w:rFonts w:ascii="Wingdings" w:hAnsi="Wingdings" w:hint="default"/>
      </w:rPr>
    </w:lvl>
    <w:lvl w:ilvl="3" w:tplc="E6225324" w:tentative="1">
      <w:start w:val="1"/>
      <w:numFmt w:val="bullet"/>
      <w:lvlText w:val=""/>
      <w:lvlJc w:val="left"/>
      <w:pPr>
        <w:ind w:left="2880" w:hanging="360"/>
      </w:pPr>
      <w:rPr>
        <w:rFonts w:ascii="Symbol" w:hAnsi="Symbol" w:hint="default"/>
      </w:rPr>
    </w:lvl>
    <w:lvl w:ilvl="4" w:tplc="FF8C49E0" w:tentative="1">
      <w:start w:val="1"/>
      <w:numFmt w:val="bullet"/>
      <w:lvlText w:val="o"/>
      <w:lvlJc w:val="left"/>
      <w:pPr>
        <w:ind w:left="3600" w:hanging="360"/>
      </w:pPr>
      <w:rPr>
        <w:rFonts w:ascii="Courier New" w:hAnsi="Courier New" w:cs="Courier New" w:hint="default"/>
      </w:rPr>
    </w:lvl>
    <w:lvl w:ilvl="5" w:tplc="8752D518" w:tentative="1">
      <w:start w:val="1"/>
      <w:numFmt w:val="bullet"/>
      <w:lvlText w:val=""/>
      <w:lvlJc w:val="left"/>
      <w:pPr>
        <w:ind w:left="4320" w:hanging="360"/>
      </w:pPr>
      <w:rPr>
        <w:rFonts w:ascii="Wingdings" w:hAnsi="Wingdings" w:hint="default"/>
      </w:rPr>
    </w:lvl>
    <w:lvl w:ilvl="6" w:tplc="B5D4F354" w:tentative="1">
      <w:start w:val="1"/>
      <w:numFmt w:val="bullet"/>
      <w:lvlText w:val=""/>
      <w:lvlJc w:val="left"/>
      <w:pPr>
        <w:ind w:left="5040" w:hanging="360"/>
      </w:pPr>
      <w:rPr>
        <w:rFonts w:ascii="Symbol" w:hAnsi="Symbol" w:hint="default"/>
      </w:rPr>
    </w:lvl>
    <w:lvl w:ilvl="7" w:tplc="69C8758E" w:tentative="1">
      <w:start w:val="1"/>
      <w:numFmt w:val="bullet"/>
      <w:lvlText w:val="o"/>
      <w:lvlJc w:val="left"/>
      <w:pPr>
        <w:ind w:left="5760" w:hanging="360"/>
      </w:pPr>
      <w:rPr>
        <w:rFonts w:ascii="Courier New" w:hAnsi="Courier New" w:cs="Courier New" w:hint="default"/>
      </w:rPr>
    </w:lvl>
    <w:lvl w:ilvl="8" w:tplc="664A8B0C" w:tentative="1">
      <w:start w:val="1"/>
      <w:numFmt w:val="bullet"/>
      <w:lvlText w:val=""/>
      <w:lvlJc w:val="left"/>
      <w:pPr>
        <w:ind w:left="6480" w:hanging="360"/>
      </w:pPr>
      <w:rPr>
        <w:rFonts w:ascii="Wingdings" w:hAnsi="Wingdings" w:hint="default"/>
      </w:rPr>
    </w:lvl>
  </w:abstractNum>
  <w:abstractNum w:abstractNumId="1" w15:restartNumberingAfterBreak="0">
    <w:nsid w:val="0632671E"/>
    <w:multiLevelType w:val="hybridMultilevel"/>
    <w:tmpl w:val="762CE394"/>
    <w:lvl w:ilvl="0" w:tplc="D7DC99F4">
      <w:start w:val="1"/>
      <w:numFmt w:val="bullet"/>
      <w:lvlText w:val=""/>
      <w:lvlJc w:val="left"/>
      <w:pPr>
        <w:ind w:left="720" w:hanging="360"/>
      </w:pPr>
      <w:rPr>
        <w:rFonts w:ascii="Symbol" w:hAnsi="Symbol" w:hint="default"/>
      </w:rPr>
    </w:lvl>
    <w:lvl w:ilvl="1" w:tplc="A1BAD230" w:tentative="1">
      <w:start w:val="1"/>
      <w:numFmt w:val="bullet"/>
      <w:lvlText w:val="o"/>
      <w:lvlJc w:val="left"/>
      <w:pPr>
        <w:ind w:left="1440" w:hanging="360"/>
      </w:pPr>
      <w:rPr>
        <w:rFonts w:ascii="Courier New" w:hAnsi="Courier New" w:cs="Courier New" w:hint="default"/>
      </w:rPr>
    </w:lvl>
    <w:lvl w:ilvl="2" w:tplc="0EFAD978" w:tentative="1">
      <w:start w:val="1"/>
      <w:numFmt w:val="bullet"/>
      <w:lvlText w:val=""/>
      <w:lvlJc w:val="left"/>
      <w:pPr>
        <w:ind w:left="2160" w:hanging="360"/>
      </w:pPr>
      <w:rPr>
        <w:rFonts w:ascii="Wingdings" w:hAnsi="Wingdings" w:hint="default"/>
      </w:rPr>
    </w:lvl>
    <w:lvl w:ilvl="3" w:tplc="760E6782" w:tentative="1">
      <w:start w:val="1"/>
      <w:numFmt w:val="bullet"/>
      <w:lvlText w:val=""/>
      <w:lvlJc w:val="left"/>
      <w:pPr>
        <w:ind w:left="2880" w:hanging="360"/>
      </w:pPr>
      <w:rPr>
        <w:rFonts w:ascii="Symbol" w:hAnsi="Symbol" w:hint="default"/>
      </w:rPr>
    </w:lvl>
    <w:lvl w:ilvl="4" w:tplc="66460624" w:tentative="1">
      <w:start w:val="1"/>
      <w:numFmt w:val="bullet"/>
      <w:lvlText w:val="o"/>
      <w:lvlJc w:val="left"/>
      <w:pPr>
        <w:ind w:left="3600" w:hanging="360"/>
      </w:pPr>
      <w:rPr>
        <w:rFonts w:ascii="Courier New" w:hAnsi="Courier New" w:cs="Courier New" w:hint="default"/>
      </w:rPr>
    </w:lvl>
    <w:lvl w:ilvl="5" w:tplc="FAF29CC0" w:tentative="1">
      <w:start w:val="1"/>
      <w:numFmt w:val="bullet"/>
      <w:lvlText w:val=""/>
      <w:lvlJc w:val="left"/>
      <w:pPr>
        <w:ind w:left="4320" w:hanging="360"/>
      </w:pPr>
      <w:rPr>
        <w:rFonts w:ascii="Wingdings" w:hAnsi="Wingdings" w:hint="default"/>
      </w:rPr>
    </w:lvl>
    <w:lvl w:ilvl="6" w:tplc="FAD09F20" w:tentative="1">
      <w:start w:val="1"/>
      <w:numFmt w:val="bullet"/>
      <w:lvlText w:val=""/>
      <w:lvlJc w:val="left"/>
      <w:pPr>
        <w:ind w:left="5040" w:hanging="360"/>
      </w:pPr>
      <w:rPr>
        <w:rFonts w:ascii="Symbol" w:hAnsi="Symbol" w:hint="default"/>
      </w:rPr>
    </w:lvl>
    <w:lvl w:ilvl="7" w:tplc="19343E08" w:tentative="1">
      <w:start w:val="1"/>
      <w:numFmt w:val="bullet"/>
      <w:lvlText w:val="o"/>
      <w:lvlJc w:val="left"/>
      <w:pPr>
        <w:ind w:left="5760" w:hanging="360"/>
      </w:pPr>
      <w:rPr>
        <w:rFonts w:ascii="Courier New" w:hAnsi="Courier New" w:cs="Courier New" w:hint="default"/>
      </w:rPr>
    </w:lvl>
    <w:lvl w:ilvl="8" w:tplc="1744F04E" w:tentative="1">
      <w:start w:val="1"/>
      <w:numFmt w:val="bullet"/>
      <w:lvlText w:val=""/>
      <w:lvlJc w:val="left"/>
      <w:pPr>
        <w:ind w:left="6480" w:hanging="360"/>
      </w:pPr>
      <w:rPr>
        <w:rFonts w:ascii="Wingdings" w:hAnsi="Wingdings" w:hint="default"/>
      </w:rPr>
    </w:lvl>
  </w:abstractNum>
  <w:abstractNum w:abstractNumId="2" w15:restartNumberingAfterBreak="0">
    <w:nsid w:val="06412848"/>
    <w:multiLevelType w:val="hybridMultilevel"/>
    <w:tmpl w:val="944A421A"/>
    <w:lvl w:ilvl="0" w:tplc="FD8C7B9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770515"/>
    <w:multiLevelType w:val="hybridMultilevel"/>
    <w:tmpl w:val="DEA2AFF8"/>
    <w:lvl w:ilvl="0" w:tplc="C31EF4CA">
      <w:numFmt w:val="bullet"/>
      <w:lvlText w:val="-"/>
      <w:lvlJc w:val="left"/>
      <w:pPr>
        <w:ind w:left="720" w:hanging="360"/>
      </w:pPr>
      <w:rPr>
        <w:rFonts w:ascii="Verdana" w:eastAsia="Times New Roman" w:hAnsi="Verdana" w:cs="Times New Roman" w:hint="default"/>
      </w:rPr>
    </w:lvl>
    <w:lvl w:ilvl="1" w:tplc="9BC2E784" w:tentative="1">
      <w:start w:val="1"/>
      <w:numFmt w:val="bullet"/>
      <w:lvlText w:val="o"/>
      <w:lvlJc w:val="left"/>
      <w:pPr>
        <w:ind w:left="1440" w:hanging="360"/>
      </w:pPr>
      <w:rPr>
        <w:rFonts w:ascii="Courier New" w:hAnsi="Courier New" w:cs="Courier New" w:hint="default"/>
      </w:rPr>
    </w:lvl>
    <w:lvl w:ilvl="2" w:tplc="38465428" w:tentative="1">
      <w:start w:val="1"/>
      <w:numFmt w:val="bullet"/>
      <w:lvlText w:val=""/>
      <w:lvlJc w:val="left"/>
      <w:pPr>
        <w:ind w:left="2160" w:hanging="360"/>
      </w:pPr>
      <w:rPr>
        <w:rFonts w:ascii="Wingdings" w:hAnsi="Wingdings" w:hint="default"/>
      </w:rPr>
    </w:lvl>
    <w:lvl w:ilvl="3" w:tplc="DFECDA12" w:tentative="1">
      <w:start w:val="1"/>
      <w:numFmt w:val="bullet"/>
      <w:lvlText w:val=""/>
      <w:lvlJc w:val="left"/>
      <w:pPr>
        <w:ind w:left="2880" w:hanging="360"/>
      </w:pPr>
      <w:rPr>
        <w:rFonts w:ascii="Symbol" w:hAnsi="Symbol" w:hint="default"/>
      </w:rPr>
    </w:lvl>
    <w:lvl w:ilvl="4" w:tplc="9CA883F0" w:tentative="1">
      <w:start w:val="1"/>
      <w:numFmt w:val="bullet"/>
      <w:lvlText w:val="o"/>
      <w:lvlJc w:val="left"/>
      <w:pPr>
        <w:ind w:left="3600" w:hanging="360"/>
      </w:pPr>
      <w:rPr>
        <w:rFonts w:ascii="Courier New" w:hAnsi="Courier New" w:cs="Courier New" w:hint="default"/>
      </w:rPr>
    </w:lvl>
    <w:lvl w:ilvl="5" w:tplc="21FE8856" w:tentative="1">
      <w:start w:val="1"/>
      <w:numFmt w:val="bullet"/>
      <w:lvlText w:val=""/>
      <w:lvlJc w:val="left"/>
      <w:pPr>
        <w:ind w:left="4320" w:hanging="360"/>
      </w:pPr>
      <w:rPr>
        <w:rFonts w:ascii="Wingdings" w:hAnsi="Wingdings" w:hint="default"/>
      </w:rPr>
    </w:lvl>
    <w:lvl w:ilvl="6" w:tplc="C272284C" w:tentative="1">
      <w:start w:val="1"/>
      <w:numFmt w:val="bullet"/>
      <w:lvlText w:val=""/>
      <w:lvlJc w:val="left"/>
      <w:pPr>
        <w:ind w:left="5040" w:hanging="360"/>
      </w:pPr>
      <w:rPr>
        <w:rFonts w:ascii="Symbol" w:hAnsi="Symbol" w:hint="default"/>
      </w:rPr>
    </w:lvl>
    <w:lvl w:ilvl="7" w:tplc="5ED46E12" w:tentative="1">
      <w:start w:val="1"/>
      <w:numFmt w:val="bullet"/>
      <w:lvlText w:val="o"/>
      <w:lvlJc w:val="left"/>
      <w:pPr>
        <w:ind w:left="5760" w:hanging="360"/>
      </w:pPr>
      <w:rPr>
        <w:rFonts w:ascii="Courier New" w:hAnsi="Courier New" w:cs="Courier New" w:hint="default"/>
      </w:rPr>
    </w:lvl>
    <w:lvl w:ilvl="8" w:tplc="4204E25E" w:tentative="1">
      <w:start w:val="1"/>
      <w:numFmt w:val="bullet"/>
      <w:lvlText w:val=""/>
      <w:lvlJc w:val="left"/>
      <w:pPr>
        <w:ind w:left="6480" w:hanging="360"/>
      </w:pPr>
      <w:rPr>
        <w:rFonts w:ascii="Wingdings" w:hAnsi="Wingdings" w:hint="default"/>
      </w:rPr>
    </w:lvl>
  </w:abstractNum>
  <w:abstractNum w:abstractNumId="4" w15:restartNumberingAfterBreak="0">
    <w:nsid w:val="0BFC7DFF"/>
    <w:multiLevelType w:val="hybridMultilevel"/>
    <w:tmpl w:val="E2009D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FD21512"/>
    <w:multiLevelType w:val="hybridMultilevel"/>
    <w:tmpl w:val="CF0C959E"/>
    <w:lvl w:ilvl="0" w:tplc="DE8C1D9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0446DA"/>
    <w:multiLevelType w:val="hybridMultilevel"/>
    <w:tmpl w:val="A94425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F2C1F77"/>
    <w:multiLevelType w:val="hybridMultilevel"/>
    <w:tmpl w:val="A7E218C2"/>
    <w:lvl w:ilvl="0" w:tplc="15FE2DF0">
      <w:start w:val="2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995475"/>
    <w:multiLevelType w:val="hybridMultilevel"/>
    <w:tmpl w:val="9966574C"/>
    <w:lvl w:ilvl="0" w:tplc="4F361C2E">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2367A2"/>
    <w:multiLevelType w:val="hybridMultilevel"/>
    <w:tmpl w:val="19F40436"/>
    <w:lvl w:ilvl="0" w:tplc="B8726D72">
      <w:numFmt w:val="bullet"/>
      <w:lvlText w:val="-"/>
      <w:lvlJc w:val="left"/>
      <w:pPr>
        <w:ind w:left="360" w:hanging="360"/>
      </w:pPr>
      <w:rPr>
        <w:rFonts w:ascii="Aptos" w:eastAsiaTheme="minorHAnsi" w:hAnsi="Aptos" w:cstheme="minorBidi" w:hint="default"/>
      </w:rPr>
    </w:lvl>
    <w:lvl w:ilvl="1" w:tplc="19A2D12E" w:tentative="1">
      <w:start w:val="1"/>
      <w:numFmt w:val="bullet"/>
      <w:lvlText w:val="o"/>
      <w:lvlJc w:val="left"/>
      <w:pPr>
        <w:ind w:left="1080" w:hanging="360"/>
      </w:pPr>
      <w:rPr>
        <w:rFonts w:ascii="Courier New" w:hAnsi="Courier New" w:cs="Courier New" w:hint="default"/>
      </w:rPr>
    </w:lvl>
    <w:lvl w:ilvl="2" w:tplc="697E97CE" w:tentative="1">
      <w:start w:val="1"/>
      <w:numFmt w:val="bullet"/>
      <w:lvlText w:val=""/>
      <w:lvlJc w:val="left"/>
      <w:pPr>
        <w:ind w:left="1800" w:hanging="360"/>
      </w:pPr>
      <w:rPr>
        <w:rFonts w:ascii="Wingdings" w:hAnsi="Wingdings" w:hint="default"/>
      </w:rPr>
    </w:lvl>
    <w:lvl w:ilvl="3" w:tplc="556C6A6C" w:tentative="1">
      <w:start w:val="1"/>
      <w:numFmt w:val="bullet"/>
      <w:lvlText w:val=""/>
      <w:lvlJc w:val="left"/>
      <w:pPr>
        <w:ind w:left="2520" w:hanging="360"/>
      </w:pPr>
      <w:rPr>
        <w:rFonts w:ascii="Symbol" w:hAnsi="Symbol" w:hint="default"/>
      </w:rPr>
    </w:lvl>
    <w:lvl w:ilvl="4" w:tplc="20A252C6" w:tentative="1">
      <w:start w:val="1"/>
      <w:numFmt w:val="bullet"/>
      <w:lvlText w:val="o"/>
      <w:lvlJc w:val="left"/>
      <w:pPr>
        <w:ind w:left="3240" w:hanging="360"/>
      </w:pPr>
      <w:rPr>
        <w:rFonts w:ascii="Courier New" w:hAnsi="Courier New" w:cs="Courier New" w:hint="default"/>
      </w:rPr>
    </w:lvl>
    <w:lvl w:ilvl="5" w:tplc="C526D25A" w:tentative="1">
      <w:start w:val="1"/>
      <w:numFmt w:val="bullet"/>
      <w:lvlText w:val=""/>
      <w:lvlJc w:val="left"/>
      <w:pPr>
        <w:ind w:left="3960" w:hanging="360"/>
      </w:pPr>
      <w:rPr>
        <w:rFonts w:ascii="Wingdings" w:hAnsi="Wingdings" w:hint="default"/>
      </w:rPr>
    </w:lvl>
    <w:lvl w:ilvl="6" w:tplc="7B6EB4F8" w:tentative="1">
      <w:start w:val="1"/>
      <w:numFmt w:val="bullet"/>
      <w:lvlText w:val=""/>
      <w:lvlJc w:val="left"/>
      <w:pPr>
        <w:ind w:left="4680" w:hanging="360"/>
      </w:pPr>
      <w:rPr>
        <w:rFonts w:ascii="Symbol" w:hAnsi="Symbol" w:hint="default"/>
      </w:rPr>
    </w:lvl>
    <w:lvl w:ilvl="7" w:tplc="0C7A1792" w:tentative="1">
      <w:start w:val="1"/>
      <w:numFmt w:val="bullet"/>
      <w:lvlText w:val="o"/>
      <w:lvlJc w:val="left"/>
      <w:pPr>
        <w:ind w:left="5400" w:hanging="360"/>
      </w:pPr>
      <w:rPr>
        <w:rFonts w:ascii="Courier New" w:hAnsi="Courier New" w:cs="Courier New" w:hint="default"/>
      </w:rPr>
    </w:lvl>
    <w:lvl w:ilvl="8" w:tplc="BB4AA3B2" w:tentative="1">
      <w:start w:val="1"/>
      <w:numFmt w:val="bullet"/>
      <w:lvlText w:val=""/>
      <w:lvlJc w:val="left"/>
      <w:pPr>
        <w:ind w:left="6120" w:hanging="360"/>
      </w:pPr>
      <w:rPr>
        <w:rFonts w:ascii="Wingdings" w:hAnsi="Wingdings" w:hint="default"/>
      </w:rPr>
    </w:lvl>
  </w:abstractNum>
  <w:abstractNum w:abstractNumId="10" w15:restartNumberingAfterBreak="0">
    <w:nsid w:val="26E97FD8"/>
    <w:multiLevelType w:val="hybridMultilevel"/>
    <w:tmpl w:val="CFBAB3FC"/>
    <w:lvl w:ilvl="0" w:tplc="4F4C93A8">
      <w:start w:val="1"/>
      <w:numFmt w:val="bullet"/>
      <w:lvlText w:val=""/>
      <w:lvlJc w:val="left"/>
      <w:pPr>
        <w:ind w:left="720" w:hanging="360"/>
      </w:pPr>
      <w:rPr>
        <w:rFonts w:ascii="Symbol" w:hAnsi="Symbol" w:hint="default"/>
      </w:rPr>
    </w:lvl>
    <w:lvl w:ilvl="1" w:tplc="30C6A1D8">
      <w:start w:val="1"/>
      <w:numFmt w:val="bullet"/>
      <w:lvlText w:val="o"/>
      <w:lvlJc w:val="left"/>
      <w:pPr>
        <w:ind w:left="1440" w:hanging="360"/>
      </w:pPr>
      <w:rPr>
        <w:rFonts w:ascii="Courier New" w:hAnsi="Courier New" w:cs="Courier New" w:hint="default"/>
      </w:rPr>
    </w:lvl>
    <w:lvl w:ilvl="2" w:tplc="502AC606">
      <w:start w:val="1"/>
      <w:numFmt w:val="bullet"/>
      <w:lvlText w:val=""/>
      <w:lvlJc w:val="left"/>
      <w:pPr>
        <w:ind w:left="2160" w:hanging="360"/>
      </w:pPr>
      <w:rPr>
        <w:rFonts w:ascii="Wingdings" w:hAnsi="Wingdings" w:hint="default"/>
      </w:rPr>
    </w:lvl>
    <w:lvl w:ilvl="3" w:tplc="8738E804">
      <w:start w:val="1"/>
      <w:numFmt w:val="bullet"/>
      <w:lvlText w:val=""/>
      <w:lvlJc w:val="left"/>
      <w:pPr>
        <w:ind w:left="2880" w:hanging="360"/>
      </w:pPr>
      <w:rPr>
        <w:rFonts w:ascii="Symbol" w:hAnsi="Symbol" w:hint="default"/>
      </w:rPr>
    </w:lvl>
    <w:lvl w:ilvl="4" w:tplc="941214A4">
      <w:start w:val="1"/>
      <w:numFmt w:val="bullet"/>
      <w:lvlText w:val="o"/>
      <w:lvlJc w:val="left"/>
      <w:pPr>
        <w:ind w:left="3600" w:hanging="360"/>
      </w:pPr>
      <w:rPr>
        <w:rFonts w:ascii="Courier New" w:hAnsi="Courier New" w:cs="Courier New" w:hint="default"/>
      </w:rPr>
    </w:lvl>
    <w:lvl w:ilvl="5" w:tplc="46102834">
      <w:start w:val="1"/>
      <w:numFmt w:val="bullet"/>
      <w:lvlText w:val=""/>
      <w:lvlJc w:val="left"/>
      <w:pPr>
        <w:ind w:left="4320" w:hanging="360"/>
      </w:pPr>
      <w:rPr>
        <w:rFonts w:ascii="Wingdings" w:hAnsi="Wingdings" w:hint="default"/>
      </w:rPr>
    </w:lvl>
    <w:lvl w:ilvl="6" w:tplc="B30C680A">
      <w:start w:val="1"/>
      <w:numFmt w:val="bullet"/>
      <w:lvlText w:val=""/>
      <w:lvlJc w:val="left"/>
      <w:pPr>
        <w:ind w:left="5040" w:hanging="360"/>
      </w:pPr>
      <w:rPr>
        <w:rFonts w:ascii="Symbol" w:hAnsi="Symbol" w:hint="default"/>
      </w:rPr>
    </w:lvl>
    <w:lvl w:ilvl="7" w:tplc="E390AE90">
      <w:start w:val="1"/>
      <w:numFmt w:val="bullet"/>
      <w:lvlText w:val="o"/>
      <w:lvlJc w:val="left"/>
      <w:pPr>
        <w:ind w:left="5760" w:hanging="360"/>
      </w:pPr>
      <w:rPr>
        <w:rFonts w:ascii="Courier New" w:hAnsi="Courier New" w:cs="Courier New" w:hint="default"/>
      </w:rPr>
    </w:lvl>
    <w:lvl w:ilvl="8" w:tplc="595EC630">
      <w:start w:val="1"/>
      <w:numFmt w:val="bullet"/>
      <w:lvlText w:val=""/>
      <w:lvlJc w:val="left"/>
      <w:pPr>
        <w:ind w:left="6480" w:hanging="360"/>
      </w:pPr>
      <w:rPr>
        <w:rFonts w:ascii="Wingdings" w:hAnsi="Wingdings" w:hint="default"/>
      </w:rPr>
    </w:lvl>
  </w:abstractNum>
  <w:abstractNum w:abstractNumId="11" w15:restartNumberingAfterBreak="0">
    <w:nsid w:val="2E06634E"/>
    <w:multiLevelType w:val="hybridMultilevel"/>
    <w:tmpl w:val="63564D66"/>
    <w:lvl w:ilvl="0" w:tplc="B980DD4E">
      <w:start w:val="1"/>
      <w:numFmt w:val="bullet"/>
      <w:lvlText w:val=""/>
      <w:lvlJc w:val="left"/>
      <w:pPr>
        <w:ind w:left="720" w:hanging="360"/>
      </w:pPr>
      <w:rPr>
        <w:rFonts w:ascii="Symbol" w:hAnsi="Symbol" w:hint="default"/>
      </w:rPr>
    </w:lvl>
    <w:lvl w:ilvl="1" w:tplc="8A624842">
      <w:start w:val="1"/>
      <w:numFmt w:val="bullet"/>
      <w:lvlText w:val="o"/>
      <w:lvlJc w:val="left"/>
      <w:pPr>
        <w:ind w:left="1440" w:hanging="360"/>
      </w:pPr>
      <w:rPr>
        <w:rFonts w:ascii="Courier New" w:hAnsi="Courier New" w:cs="Courier New" w:hint="default"/>
      </w:rPr>
    </w:lvl>
    <w:lvl w:ilvl="2" w:tplc="9FFC111E">
      <w:start w:val="1"/>
      <w:numFmt w:val="bullet"/>
      <w:lvlText w:val=""/>
      <w:lvlJc w:val="left"/>
      <w:pPr>
        <w:ind w:left="2160" w:hanging="360"/>
      </w:pPr>
      <w:rPr>
        <w:rFonts w:ascii="Wingdings" w:hAnsi="Wingdings" w:hint="default"/>
      </w:rPr>
    </w:lvl>
    <w:lvl w:ilvl="3" w:tplc="FEAE160C">
      <w:start w:val="1"/>
      <w:numFmt w:val="bullet"/>
      <w:lvlText w:val=""/>
      <w:lvlJc w:val="left"/>
      <w:pPr>
        <w:ind w:left="2880" w:hanging="360"/>
      </w:pPr>
      <w:rPr>
        <w:rFonts w:ascii="Symbol" w:hAnsi="Symbol" w:hint="default"/>
      </w:rPr>
    </w:lvl>
    <w:lvl w:ilvl="4" w:tplc="19A2BABC">
      <w:start w:val="1"/>
      <w:numFmt w:val="bullet"/>
      <w:lvlText w:val="o"/>
      <w:lvlJc w:val="left"/>
      <w:pPr>
        <w:ind w:left="3600" w:hanging="360"/>
      </w:pPr>
      <w:rPr>
        <w:rFonts w:ascii="Courier New" w:hAnsi="Courier New" w:cs="Courier New" w:hint="default"/>
      </w:rPr>
    </w:lvl>
    <w:lvl w:ilvl="5" w:tplc="4410AFD2">
      <w:start w:val="1"/>
      <w:numFmt w:val="bullet"/>
      <w:lvlText w:val=""/>
      <w:lvlJc w:val="left"/>
      <w:pPr>
        <w:ind w:left="4320" w:hanging="360"/>
      </w:pPr>
      <w:rPr>
        <w:rFonts w:ascii="Wingdings" w:hAnsi="Wingdings" w:hint="default"/>
      </w:rPr>
    </w:lvl>
    <w:lvl w:ilvl="6" w:tplc="797AB90C">
      <w:start w:val="1"/>
      <w:numFmt w:val="bullet"/>
      <w:lvlText w:val=""/>
      <w:lvlJc w:val="left"/>
      <w:pPr>
        <w:ind w:left="5040" w:hanging="360"/>
      </w:pPr>
      <w:rPr>
        <w:rFonts w:ascii="Symbol" w:hAnsi="Symbol" w:hint="default"/>
      </w:rPr>
    </w:lvl>
    <w:lvl w:ilvl="7" w:tplc="8DDA7834">
      <w:start w:val="1"/>
      <w:numFmt w:val="bullet"/>
      <w:lvlText w:val="o"/>
      <w:lvlJc w:val="left"/>
      <w:pPr>
        <w:ind w:left="5760" w:hanging="360"/>
      </w:pPr>
      <w:rPr>
        <w:rFonts w:ascii="Courier New" w:hAnsi="Courier New" w:cs="Courier New" w:hint="default"/>
      </w:rPr>
    </w:lvl>
    <w:lvl w:ilvl="8" w:tplc="F4981198">
      <w:start w:val="1"/>
      <w:numFmt w:val="bullet"/>
      <w:lvlText w:val=""/>
      <w:lvlJc w:val="left"/>
      <w:pPr>
        <w:ind w:left="6480" w:hanging="360"/>
      </w:pPr>
      <w:rPr>
        <w:rFonts w:ascii="Wingdings" w:hAnsi="Wingdings" w:hint="default"/>
      </w:rPr>
    </w:lvl>
  </w:abstractNum>
  <w:abstractNum w:abstractNumId="12" w15:restartNumberingAfterBreak="0">
    <w:nsid w:val="30810111"/>
    <w:multiLevelType w:val="hybridMultilevel"/>
    <w:tmpl w:val="12DCD35E"/>
    <w:lvl w:ilvl="0" w:tplc="7472CA18">
      <w:start w:val="1"/>
      <w:numFmt w:val="bullet"/>
      <w:lvlText w:val=""/>
      <w:lvlJc w:val="left"/>
      <w:pPr>
        <w:ind w:left="720" w:hanging="360"/>
      </w:pPr>
      <w:rPr>
        <w:rFonts w:ascii="Symbol" w:hAnsi="Symbol" w:hint="default"/>
      </w:rPr>
    </w:lvl>
    <w:lvl w:ilvl="1" w:tplc="8D18526A" w:tentative="1">
      <w:start w:val="1"/>
      <w:numFmt w:val="bullet"/>
      <w:lvlText w:val="o"/>
      <w:lvlJc w:val="left"/>
      <w:pPr>
        <w:ind w:left="1440" w:hanging="360"/>
      </w:pPr>
      <w:rPr>
        <w:rFonts w:ascii="Courier New" w:hAnsi="Courier New" w:cs="Courier New" w:hint="default"/>
      </w:rPr>
    </w:lvl>
    <w:lvl w:ilvl="2" w:tplc="2BCEDD34" w:tentative="1">
      <w:start w:val="1"/>
      <w:numFmt w:val="bullet"/>
      <w:lvlText w:val=""/>
      <w:lvlJc w:val="left"/>
      <w:pPr>
        <w:ind w:left="2160" w:hanging="360"/>
      </w:pPr>
      <w:rPr>
        <w:rFonts w:ascii="Wingdings" w:hAnsi="Wingdings" w:hint="default"/>
      </w:rPr>
    </w:lvl>
    <w:lvl w:ilvl="3" w:tplc="B05C275A" w:tentative="1">
      <w:start w:val="1"/>
      <w:numFmt w:val="bullet"/>
      <w:lvlText w:val=""/>
      <w:lvlJc w:val="left"/>
      <w:pPr>
        <w:ind w:left="2880" w:hanging="360"/>
      </w:pPr>
      <w:rPr>
        <w:rFonts w:ascii="Symbol" w:hAnsi="Symbol" w:hint="default"/>
      </w:rPr>
    </w:lvl>
    <w:lvl w:ilvl="4" w:tplc="221E513C" w:tentative="1">
      <w:start w:val="1"/>
      <w:numFmt w:val="bullet"/>
      <w:lvlText w:val="o"/>
      <w:lvlJc w:val="left"/>
      <w:pPr>
        <w:ind w:left="3600" w:hanging="360"/>
      </w:pPr>
      <w:rPr>
        <w:rFonts w:ascii="Courier New" w:hAnsi="Courier New" w:cs="Courier New" w:hint="default"/>
      </w:rPr>
    </w:lvl>
    <w:lvl w:ilvl="5" w:tplc="D4344F70" w:tentative="1">
      <w:start w:val="1"/>
      <w:numFmt w:val="bullet"/>
      <w:lvlText w:val=""/>
      <w:lvlJc w:val="left"/>
      <w:pPr>
        <w:ind w:left="4320" w:hanging="360"/>
      </w:pPr>
      <w:rPr>
        <w:rFonts w:ascii="Wingdings" w:hAnsi="Wingdings" w:hint="default"/>
      </w:rPr>
    </w:lvl>
    <w:lvl w:ilvl="6" w:tplc="D474EE9A" w:tentative="1">
      <w:start w:val="1"/>
      <w:numFmt w:val="bullet"/>
      <w:lvlText w:val=""/>
      <w:lvlJc w:val="left"/>
      <w:pPr>
        <w:ind w:left="5040" w:hanging="360"/>
      </w:pPr>
      <w:rPr>
        <w:rFonts w:ascii="Symbol" w:hAnsi="Symbol" w:hint="default"/>
      </w:rPr>
    </w:lvl>
    <w:lvl w:ilvl="7" w:tplc="2AFA2998" w:tentative="1">
      <w:start w:val="1"/>
      <w:numFmt w:val="bullet"/>
      <w:lvlText w:val="o"/>
      <w:lvlJc w:val="left"/>
      <w:pPr>
        <w:ind w:left="5760" w:hanging="360"/>
      </w:pPr>
      <w:rPr>
        <w:rFonts w:ascii="Courier New" w:hAnsi="Courier New" w:cs="Courier New" w:hint="default"/>
      </w:rPr>
    </w:lvl>
    <w:lvl w:ilvl="8" w:tplc="F33E3B42" w:tentative="1">
      <w:start w:val="1"/>
      <w:numFmt w:val="bullet"/>
      <w:lvlText w:val=""/>
      <w:lvlJc w:val="left"/>
      <w:pPr>
        <w:ind w:left="6480" w:hanging="360"/>
      </w:pPr>
      <w:rPr>
        <w:rFonts w:ascii="Wingdings" w:hAnsi="Wingdings" w:hint="default"/>
      </w:rPr>
    </w:lvl>
  </w:abstractNum>
  <w:abstractNum w:abstractNumId="13" w15:restartNumberingAfterBreak="0">
    <w:nsid w:val="31507C0C"/>
    <w:multiLevelType w:val="hybridMultilevel"/>
    <w:tmpl w:val="6B4252D4"/>
    <w:lvl w:ilvl="0" w:tplc="79BA6F62">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6EA780D"/>
    <w:multiLevelType w:val="hybridMultilevel"/>
    <w:tmpl w:val="1DA22038"/>
    <w:lvl w:ilvl="0" w:tplc="43464FD4">
      <w:start w:val="29"/>
      <w:numFmt w:val="bullet"/>
      <w:lvlText w:val="-"/>
      <w:lvlJc w:val="left"/>
      <w:pPr>
        <w:ind w:left="720" w:hanging="360"/>
      </w:pPr>
      <w:rPr>
        <w:rFonts w:ascii="Verdana" w:eastAsia="Times New Roman" w:hAnsi="Verdana" w:cs="Times New Roman" w:hint="default"/>
      </w:rPr>
    </w:lvl>
    <w:lvl w:ilvl="1" w:tplc="FE00DB04" w:tentative="1">
      <w:start w:val="1"/>
      <w:numFmt w:val="bullet"/>
      <w:lvlText w:val="o"/>
      <w:lvlJc w:val="left"/>
      <w:pPr>
        <w:ind w:left="1440" w:hanging="360"/>
      </w:pPr>
      <w:rPr>
        <w:rFonts w:ascii="Courier New" w:hAnsi="Courier New" w:cs="Courier New" w:hint="default"/>
      </w:rPr>
    </w:lvl>
    <w:lvl w:ilvl="2" w:tplc="E8AEE8AC" w:tentative="1">
      <w:start w:val="1"/>
      <w:numFmt w:val="bullet"/>
      <w:lvlText w:val=""/>
      <w:lvlJc w:val="left"/>
      <w:pPr>
        <w:ind w:left="2160" w:hanging="360"/>
      </w:pPr>
      <w:rPr>
        <w:rFonts w:ascii="Wingdings" w:hAnsi="Wingdings" w:hint="default"/>
      </w:rPr>
    </w:lvl>
    <w:lvl w:ilvl="3" w:tplc="A85EA3F2" w:tentative="1">
      <w:start w:val="1"/>
      <w:numFmt w:val="bullet"/>
      <w:lvlText w:val=""/>
      <w:lvlJc w:val="left"/>
      <w:pPr>
        <w:ind w:left="2880" w:hanging="360"/>
      </w:pPr>
      <w:rPr>
        <w:rFonts w:ascii="Symbol" w:hAnsi="Symbol" w:hint="default"/>
      </w:rPr>
    </w:lvl>
    <w:lvl w:ilvl="4" w:tplc="E3804316" w:tentative="1">
      <w:start w:val="1"/>
      <w:numFmt w:val="bullet"/>
      <w:lvlText w:val="o"/>
      <w:lvlJc w:val="left"/>
      <w:pPr>
        <w:ind w:left="3600" w:hanging="360"/>
      </w:pPr>
      <w:rPr>
        <w:rFonts w:ascii="Courier New" w:hAnsi="Courier New" w:cs="Courier New" w:hint="default"/>
      </w:rPr>
    </w:lvl>
    <w:lvl w:ilvl="5" w:tplc="EE6E7C62" w:tentative="1">
      <w:start w:val="1"/>
      <w:numFmt w:val="bullet"/>
      <w:lvlText w:val=""/>
      <w:lvlJc w:val="left"/>
      <w:pPr>
        <w:ind w:left="4320" w:hanging="360"/>
      </w:pPr>
      <w:rPr>
        <w:rFonts w:ascii="Wingdings" w:hAnsi="Wingdings" w:hint="default"/>
      </w:rPr>
    </w:lvl>
    <w:lvl w:ilvl="6" w:tplc="402AFF2E" w:tentative="1">
      <w:start w:val="1"/>
      <w:numFmt w:val="bullet"/>
      <w:lvlText w:val=""/>
      <w:lvlJc w:val="left"/>
      <w:pPr>
        <w:ind w:left="5040" w:hanging="360"/>
      </w:pPr>
      <w:rPr>
        <w:rFonts w:ascii="Symbol" w:hAnsi="Symbol" w:hint="default"/>
      </w:rPr>
    </w:lvl>
    <w:lvl w:ilvl="7" w:tplc="34D0599A" w:tentative="1">
      <w:start w:val="1"/>
      <w:numFmt w:val="bullet"/>
      <w:lvlText w:val="o"/>
      <w:lvlJc w:val="left"/>
      <w:pPr>
        <w:ind w:left="5760" w:hanging="360"/>
      </w:pPr>
      <w:rPr>
        <w:rFonts w:ascii="Courier New" w:hAnsi="Courier New" w:cs="Courier New" w:hint="default"/>
      </w:rPr>
    </w:lvl>
    <w:lvl w:ilvl="8" w:tplc="EFE4BE54" w:tentative="1">
      <w:start w:val="1"/>
      <w:numFmt w:val="bullet"/>
      <w:lvlText w:val=""/>
      <w:lvlJc w:val="left"/>
      <w:pPr>
        <w:ind w:left="6480" w:hanging="360"/>
      </w:pPr>
      <w:rPr>
        <w:rFonts w:ascii="Wingdings" w:hAnsi="Wingdings" w:hint="default"/>
      </w:rPr>
    </w:lvl>
  </w:abstractNum>
  <w:abstractNum w:abstractNumId="15" w15:restartNumberingAfterBreak="0">
    <w:nsid w:val="38696325"/>
    <w:multiLevelType w:val="hybridMultilevel"/>
    <w:tmpl w:val="AA2248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9250255"/>
    <w:multiLevelType w:val="hybridMultilevel"/>
    <w:tmpl w:val="47A2A6D2"/>
    <w:lvl w:ilvl="0" w:tplc="378E945A">
      <w:start w:val="1"/>
      <w:numFmt w:val="bullet"/>
      <w:lvlText w:val=""/>
      <w:lvlJc w:val="left"/>
      <w:pPr>
        <w:ind w:left="720" w:hanging="360"/>
      </w:pPr>
      <w:rPr>
        <w:rFonts w:ascii="Symbol" w:hAnsi="Symbol"/>
      </w:rPr>
    </w:lvl>
    <w:lvl w:ilvl="1" w:tplc="C5A62AF0">
      <w:start w:val="1"/>
      <w:numFmt w:val="bullet"/>
      <w:lvlText w:val=""/>
      <w:lvlJc w:val="left"/>
      <w:pPr>
        <w:ind w:left="720" w:hanging="360"/>
      </w:pPr>
      <w:rPr>
        <w:rFonts w:ascii="Symbol" w:hAnsi="Symbol"/>
      </w:rPr>
    </w:lvl>
    <w:lvl w:ilvl="2" w:tplc="B6E05A1A">
      <w:start w:val="1"/>
      <w:numFmt w:val="bullet"/>
      <w:lvlText w:val=""/>
      <w:lvlJc w:val="left"/>
      <w:pPr>
        <w:ind w:left="720" w:hanging="360"/>
      </w:pPr>
      <w:rPr>
        <w:rFonts w:ascii="Symbol" w:hAnsi="Symbol"/>
      </w:rPr>
    </w:lvl>
    <w:lvl w:ilvl="3" w:tplc="292867CC">
      <w:start w:val="1"/>
      <w:numFmt w:val="bullet"/>
      <w:lvlText w:val=""/>
      <w:lvlJc w:val="left"/>
      <w:pPr>
        <w:ind w:left="720" w:hanging="360"/>
      </w:pPr>
      <w:rPr>
        <w:rFonts w:ascii="Symbol" w:hAnsi="Symbol"/>
      </w:rPr>
    </w:lvl>
    <w:lvl w:ilvl="4" w:tplc="86527D4C">
      <w:start w:val="1"/>
      <w:numFmt w:val="bullet"/>
      <w:lvlText w:val=""/>
      <w:lvlJc w:val="left"/>
      <w:pPr>
        <w:ind w:left="720" w:hanging="360"/>
      </w:pPr>
      <w:rPr>
        <w:rFonts w:ascii="Symbol" w:hAnsi="Symbol"/>
      </w:rPr>
    </w:lvl>
    <w:lvl w:ilvl="5" w:tplc="37844858">
      <w:start w:val="1"/>
      <w:numFmt w:val="bullet"/>
      <w:lvlText w:val=""/>
      <w:lvlJc w:val="left"/>
      <w:pPr>
        <w:ind w:left="720" w:hanging="360"/>
      </w:pPr>
      <w:rPr>
        <w:rFonts w:ascii="Symbol" w:hAnsi="Symbol"/>
      </w:rPr>
    </w:lvl>
    <w:lvl w:ilvl="6" w:tplc="BA525452">
      <w:start w:val="1"/>
      <w:numFmt w:val="bullet"/>
      <w:lvlText w:val=""/>
      <w:lvlJc w:val="left"/>
      <w:pPr>
        <w:ind w:left="720" w:hanging="360"/>
      </w:pPr>
      <w:rPr>
        <w:rFonts w:ascii="Symbol" w:hAnsi="Symbol"/>
      </w:rPr>
    </w:lvl>
    <w:lvl w:ilvl="7" w:tplc="307682C4">
      <w:start w:val="1"/>
      <w:numFmt w:val="bullet"/>
      <w:lvlText w:val=""/>
      <w:lvlJc w:val="left"/>
      <w:pPr>
        <w:ind w:left="720" w:hanging="360"/>
      </w:pPr>
      <w:rPr>
        <w:rFonts w:ascii="Symbol" w:hAnsi="Symbol"/>
      </w:rPr>
    </w:lvl>
    <w:lvl w:ilvl="8" w:tplc="1E4493EA">
      <w:start w:val="1"/>
      <w:numFmt w:val="bullet"/>
      <w:lvlText w:val=""/>
      <w:lvlJc w:val="left"/>
      <w:pPr>
        <w:ind w:left="720" w:hanging="360"/>
      </w:pPr>
      <w:rPr>
        <w:rFonts w:ascii="Symbol" w:hAnsi="Symbol"/>
      </w:rPr>
    </w:lvl>
  </w:abstractNum>
  <w:abstractNum w:abstractNumId="17" w15:restartNumberingAfterBreak="0">
    <w:nsid w:val="3C6B1281"/>
    <w:multiLevelType w:val="hybridMultilevel"/>
    <w:tmpl w:val="119E5042"/>
    <w:lvl w:ilvl="0" w:tplc="4AA40826">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065987"/>
    <w:multiLevelType w:val="hybridMultilevel"/>
    <w:tmpl w:val="7DE2D5A8"/>
    <w:lvl w:ilvl="0" w:tplc="4D9025A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1A6735"/>
    <w:multiLevelType w:val="hybridMultilevel"/>
    <w:tmpl w:val="351278C6"/>
    <w:lvl w:ilvl="0" w:tplc="D2DE4D6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0A2F86"/>
    <w:multiLevelType w:val="hybridMultilevel"/>
    <w:tmpl w:val="CCA0BABA"/>
    <w:lvl w:ilvl="0" w:tplc="CA22EFFE">
      <w:start w:val="1"/>
      <w:numFmt w:val="bullet"/>
      <w:pStyle w:val="Lijstopsomteken"/>
      <w:lvlText w:val="•"/>
      <w:lvlJc w:val="left"/>
      <w:pPr>
        <w:tabs>
          <w:tab w:val="num" w:pos="227"/>
        </w:tabs>
        <w:ind w:left="227"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50228F"/>
    <w:multiLevelType w:val="hybridMultilevel"/>
    <w:tmpl w:val="0A68AFEC"/>
    <w:lvl w:ilvl="0" w:tplc="6EBC9DFA">
      <w:start w:val="1"/>
      <w:numFmt w:val="bullet"/>
      <w:lvlText w:val=""/>
      <w:lvlJc w:val="left"/>
      <w:pPr>
        <w:ind w:left="1440" w:hanging="360"/>
      </w:pPr>
      <w:rPr>
        <w:rFonts w:ascii="Symbol" w:hAnsi="Symbol"/>
      </w:rPr>
    </w:lvl>
    <w:lvl w:ilvl="1" w:tplc="095EB93E">
      <w:start w:val="1"/>
      <w:numFmt w:val="bullet"/>
      <w:lvlText w:val=""/>
      <w:lvlJc w:val="left"/>
      <w:pPr>
        <w:ind w:left="1440" w:hanging="360"/>
      </w:pPr>
      <w:rPr>
        <w:rFonts w:ascii="Symbol" w:hAnsi="Symbol"/>
      </w:rPr>
    </w:lvl>
    <w:lvl w:ilvl="2" w:tplc="27543F58">
      <w:start w:val="1"/>
      <w:numFmt w:val="bullet"/>
      <w:lvlText w:val=""/>
      <w:lvlJc w:val="left"/>
      <w:pPr>
        <w:ind w:left="1440" w:hanging="360"/>
      </w:pPr>
      <w:rPr>
        <w:rFonts w:ascii="Symbol" w:hAnsi="Symbol"/>
      </w:rPr>
    </w:lvl>
    <w:lvl w:ilvl="3" w:tplc="81B8F0C6">
      <w:start w:val="1"/>
      <w:numFmt w:val="bullet"/>
      <w:lvlText w:val=""/>
      <w:lvlJc w:val="left"/>
      <w:pPr>
        <w:ind w:left="1440" w:hanging="360"/>
      </w:pPr>
      <w:rPr>
        <w:rFonts w:ascii="Symbol" w:hAnsi="Symbol"/>
      </w:rPr>
    </w:lvl>
    <w:lvl w:ilvl="4" w:tplc="7A8CF08C">
      <w:start w:val="1"/>
      <w:numFmt w:val="bullet"/>
      <w:lvlText w:val=""/>
      <w:lvlJc w:val="left"/>
      <w:pPr>
        <w:ind w:left="1440" w:hanging="360"/>
      </w:pPr>
      <w:rPr>
        <w:rFonts w:ascii="Symbol" w:hAnsi="Symbol"/>
      </w:rPr>
    </w:lvl>
    <w:lvl w:ilvl="5" w:tplc="B9BC1092">
      <w:start w:val="1"/>
      <w:numFmt w:val="bullet"/>
      <w:lvlText w:val=""/>
      <w:lvlJc w:val="left"/>
      <w:pPr>
        <w:ind w:left="1440" w:hanging="360"/>
      </w:pPr>
      <w:rPr>
        <w:rFonts w:ascii="Symbol" w:hAnsi="Symbol"/>
      </w:rPr>
    </w:lvl>
    <w:lvl w:ilvl="6" w:tplc="0FA2176E">
      <w:start w:val="1"/>
      <w:numFmt w:val="bullet"/>
      <w:lvlText w:val=""/>
      <w:lvlJc w:val="left"/>
      <w:pPr>
        <w:ind w:left="1440" w:hanging="360"/>
      </w:pPr>
      <w:rPr>
        <w:rFonts w:ascii="Symbol" w:hAnsi="Symbol"/>
      </w:rPr>
    </w:lvl>
    <w:lvl w:ilvl="7" w:tplc="34A64880">
      <w:start w:val="1"/>
      <w:numFmt w:val="bullet"/>
      <w:lvlText w:val=""/>
      <w:lvlJc w:val="left"/>
      <w:pPr>
        <w:ind w:left="1440" w:hanging="360"/>
      </w:pPr>
      <w:rPr>
        <w:rFonts w:ascii="Symbol" w:hAnsi="Symbol"/>
      </w:rPr>
    </w:lvl>
    <w:lvl w:ilvl="8" w:tplc="BB9CD2F4">
      <w:start w:val="1"/>
      <w:numFmt w:val="bullet"/>
      <w:lvlText w:val=""/>
      <w:lvlJc w:val="left"/>
      <w:pPr>
        <w:ind w:left="1440" w:hanging="360"/>
      </w:pPr>
      <w:rPr>
        <w:rFonts w:ascii="Symbol" w:hAnsi="Symbol"/>
      </w:rPr>
    </w:lvl>
  </w:abstractNum>
  <w:abstractNum w:abstractNumId="22" w15:restartNumberingAfterBreak="0">
    <w:nsid w:val="4F000961"/>
    <w:multiLevelType w:val="hybridMultilevel"/>
    <w:tmpl w:val="409E3D48"/>
    <w:lvl w:ilvl="0" w:tplc="835CFF56">
      <w:start w:val="1"/>
      <w:numFmt w:val="bullet"/>
      <w:lvlText w:val=""/>
      <w:lvlJc w:val="left"/>
      <w:pPr>
        <w:ind w:left="720" w:hanging="360"/>
      </w:pPr>
      <w:rPr>
        <w:rFonts w:ascii="Symbol" w:hAnsi="Symbol" w:hint="default"/>
      </w:rPr>
    </w:lvl>
    <w:lvl w:ilvl="1" w:tplc="53F430CC">
      <w:start w:val="1"/>
      <w:numFmt w:val="bullet"/>
      <w:lvlText w:val="o"/>
      <w:lvlJc w:val="left"/>
      <w:pPr>
        <w:ind w:left="1440" w:hanging="360"/>
      </w:pPr>
      <w:rPr>
        <w:rFonts w:ascii="Courier New" w:hAnsi="Courier New" w:cs="Courier New" w:hint="default"/>
      </w:rPr>
    </w:lvl>
    <w:lvl w:ilvl="2" w:tplc="9378C61E">
      <w:start w:val="1"/>
      <w:numFmt w:val="bullet"/>
      <w:lvlText w:val=""/>
      <w:lvlJc w:val="left"/>
      <w:pPr>
        <w:ind w:left="2160" w:hanging="360"/>
      </w:pPr>
      <w:rPr>
        <w:rFonts w:ascii="Wingdings" w:hAnsi="Wingdings" w:hint="default"/>
      </w:rPr>
    </w:lvl>
    <w:lvl w:ilvl="3" w:tplc="F8824FC4">
      <w:start w:val="1"/>
      <w:numFmt w:val="bullet"/>
      <w:lvlText w:val=""/>
      <w:lvlJc w:val="left"/>
      <w:pPr>
        <w:ind w:left="2880" w:hanging="360"/>
      </w:pPr>
      <w:rPr>
        <w:rFonts w:ascii="Symbol" w:hAnsi="Symbol" w:hint="default"/>
      </w:rPr>
    </w:lvl>
    <w:lvl w:ilvl="4" w:tplc="A3F6B3DC">
      <w:start w:val="1"/>
      <w:numFmt w:val="bullet"/>
      <w:lvlText w:val="o"/>
      <w:lvlJc w:val="left"/>
      <w:pPr>
        <w:ind w:left="3600" w:hanging="360"/>
      </w:pPr>
      <w:rPr>
        <w:rFonts w:ascii="Courier New" w:hAnsi="Courier New" w:cs="Courier New" w:hint="default"/>
      </w:rPr>
    </w:lvl>
    <w:lvl w:ilvl="5" w:tplc="8A8EE3B8">
      <w:start w:val="1"/>
      <w:numFmt w:val="bullet"/>
      <w:lvlText w:val=""/>
      <w:lvlJc w:val="left"/>
      <w:pPr>
        <w:ind w:left="4320" w:hanging="360"/>
      </w:pPr>
      <w:rPr>
        <w:rFonts w:ascii="Wingdings" w:hAnsi="Wingdings" w:hint="default"/>
      </w:rPr>
    </w:lvl>
    <w:lvl w:ilvl="6" w:tplc="D09A2806">
      <w:start w:val="1"/>
      <w:numFmt w:val="bullet"/>
      <w:lvlText w:val=""/>
      <w:lvlJc w:val="left"/>
      <w:pPr>
        <w:ind w:left="5040" w:hanging="360"/>
      </w:pPr>
      <w:rPr>
        <w:rFonts w:ascii="Symbol" w:hAnsi="Symbol" w:hint="default"/>
      </w:rPr>
    </w:lvl>
    <w:lvl w:ilvl="7" w:tplc="F71A63BC">
      <w:start w:val="1"/>
      <w:numFmt w:val="bullet"/>
      <w:lvlText w:val="o"/>
      <w:lvlJc w:val="left"/>
      <w:pPr>
        <w:ind w:left="5760" w:hanging="360"/>
      </w:pPr>
      <w:rPr>
        <w:rFonts w:ascii="Courier New" w:hAnsi="Courier New" w:cs="Courier New" w:hint="default"/>
      </w:rPr>
    </w:lvl>
    <w:lvl w:ilvl="8" w:tplc="A8D23422">
      <w:start w:val="1"/>
      <w:numFmt w:val="bullet"/>
      <w:lvlText w:val=""/>
      <w:lvlJc w:val="left"/>
      <w:pPr>
        <w:ind w:left="6480" w:hanging="360"/>
      </w:pPr>
      <w:rPr>
        <w:rFonts w:ascii="Wingdings" w:hAnsi="Wingdings" w:hint="default"/>
      </w:rPr>
    </w:lvl>
  </w:abstractNum>
  <w:abstractNum w:abstractNumId="23" w15:restartNumberingAfterBreak="0">
    <w:nsid w:val="557813B9"/>
    <w:multiLevelType w:val="hybridMultilevel"/>
    <w:tmpl w:val="2BE2D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6F008E6"/>
    <w:multiLevelType w:val="hybridMultilevel"/>
    <w:tmpl w:val="2B40A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AD619E7"/>
    <w:multiLevelType w:val="hybridMultilevel"/>
    <w:tmpl w:val="6616B5F2"/>
    <w:lvl w:ilvl="0" w:tplc="9B06E270">
      <w:start w:val="1"/>
      <w:numFmt w:val="decimal"/>
      <w:lvlText w:val="%1."/>
      <w:lvlJc w:val="left"/>
      <w:pPr>
        <w:ind w:left="479" w:hanging="360"/>
      </w:pPr>
      <w:rPr>
        <w:rFonts w:hint="default"/>
      </w:rPr>
    </w:lvl>
    <w:lvl w:ilvl="1" w:tplc="04130019" w:tentative="1">
      <w:start w:val="1"/>
      <w:numFmt w:val="lowerLetter"/>
      <w:lvlText w:val="%2."/>
      <w:lvlJc w:val="left"/>
      <w:pPr>
        <w:ind w:left="1199" w:hanging="360"/>
      </w:pPr>
    </w:lvl>
    <w:lvl w:ilvl="2" w:tplc="0413001B" w:tentative="1">
      <w:start w:val="1"/>
      <w:numFmt w:val="lowerRoman"/>
      <w:lvlText w:val="%3."/>
      <w:lvlJc w:val="right"/>
      <w:pPr>
        <w:ind w:left="1919" w:hanging="180"/>
      </w:pPr>
    </w:lvl>
    <w:lvl w:ilvl="3" w:tplc="0413000F" w:tentative="1">
      <w:start w:val="1"/>
      <w:numFmt w:val="decimal"/>
      <w:lvlText w:val="%4."/>
      <w:lvlJc w:val="left"/>
      <w:pPr>
        <w:ind w:left="2639" w:hanging="360"/>
      </w:pPr>
    </w:lvl>
    <w:lvl w:ilvl="4" w:tplc="04130019" w:tentative="1">
      <w:start w:val="1"/>
      <w:numFmt w:val="lowerLetter"/>
      <w:lvlText w:val="%5."/>
      <w:lvlJc w:val="left"/>
      <w:pPr>
        <w:ind w:left="3359" w:hanging="360"/>
      </w:pPr>
    </w:lvl>
    <w:lvl w:ilvl="5" w:tplc="0413001B" w:tentative="1">
      <w:start w:val="1"/>
      <w:numFmt w:val="lowerRoman"/>
      <w:lvlText w:val="%6."/>
      <w:lvlJc w:val="right"/>
      <w:pPr>
        <w:ind w:left="4079" w:hanging="180"/>
      </w:pPr>
    </w:lvl>
    <w:lvl w:ilvl="6" w:tplc="0413000F" w:tentative="1">
      <w:start w:val="1"/>
      <w:numFmt w:val="decimal"/>
      <w:lvlText w:val="%7."/>
      <w:lvlJc w:val="left"/>
      <w:pPr>
        <w:ind w:left="4799" w:hanging="360"/>
      </w:pPr>
    </w:lvl>
    <w:lvl w:ilvl="7" w:tplc="04130019" w:tentative="1">
      <w:start w:val="1"/>
      <w:numFmt w:val="lowerLetter"/>
      <w:lvlText w:val="%8."/>
      <w:lvlJc w:val="left"/>
      <w:pPr>
        <w:ind w:left="5519" w:hanging="360"/>
      </w:pPr>
    </w:lvl>
    <w:lvl w:ilvl="8" w:tplc="0413001B" w:tentative="1">
      <w:start w:val="1"/>
      <w:numFmt w:val="lowerRoman"/>
      <w:lvlText w:val="%9."/>
      <w:lvlJc w:val="right"/>
      <w:pPr>
        <w:ind w:left="6239" w:hanging="180"/>
      </w:pPr>
    </w:lvl>
  </w:abstractNum>
  <w:abstractNum w:abstractNumId="26" w15:restartNumberingAfterBreak="0">
    <w:nsid w:val="5B150CCD"/>
    <w:multiLevelType w:val="hybridMultilevel"/>
    <w:tmpl w:val="836A0CC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4E119A"/>
    <w:multiLevelType w:val="hybridMultilevel"/>
    <w:tmpl w:val="DDEC6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853DDE"/>
    <w:multiLevelType w:val="hybridMultilevel"/>
    <w:tmpl w:val="8362D9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2D254E8"/>
    <w:multiLevelType w:val="hybridMultilevel"/>
    <w:tmpl w:val="5D48F85C"/>
    <w:lvl w:ilvl="0" w:tplc="7DC455E4">
      <w:start w:val="1"/>
      <w:numFmt w:val="decimal"/>
      <w:lvlText w:val="%1."/>
      <w:lvlJc w:val="left"/>
      <w:pPr>
        <w:ind w:left="479" w:hanging="360"/>
      </w:pPr>
      <w:rPr>
        <w:rFonts w:hint="default"/>
      </w:rPr>
    </w:lvl>
    <w:lvl w:ilvl="1" w:tplc="04130019" w:tentative="1">
      <w:start w:val="1"/>
      <w:numFmt w:val="lowerLetter"/>
      <w:lvlText w:val="%2."/>
      <w:lvlJc w:val="left"/>
      <w:pPr>
        <w:ind w:left="1199" w:hanging="360"/>
      </w:pPr>
    </w:lvl>
    <w:lvl w:ilvl="2" w:tplc="0413001B" w:tentative="1">
      <w:start w:val="1"/>
      <w:numFmt w:val="lowerRoman"/>
      <w:lvlText w:val="%3."/>
      <w:lvlJc w:val="right"/>
      <w:pPr>
        <w:ind w:left="1919" w:hanging="180"/>
      </w:pPr>
    </w:lvl>
    <w:lvl w:ilvl="3" w:tplc="0413000F" w:tentative="1">
      <w:start w:val="1"/>
      <w:numFmt w:val="decimal"/>
      <w:lvlText w:val="%4."/>
      <w:lvlJc w:val="left"/>
      <w:pPr>
        <w:ind w:left="2639" w:hanging="360"/>
      </w:pPr>
    </w:lvl>
    <w:lvl w:ilvl="4" w:tplc="04130019" w:tentative="1">
      <w:start w:val="1"/>
      <w:numFmt w:val="lowerLetter"/>
      <w:lvlText w:val="%5."/>
      <w:lvlJc w:val="left"/>
      <w:pPr>
        <w:ind w:left="3359" w:hanging="360"/>
      </w:pPr>
    </w:lvl>
    <w:lvl w:ilvl="5" w:tplc="0413001B" w:tentative="1">
      <w:start w:val="1"/>
      <w:numFmt w:val="lowerRoman"/>
      <w:lvlText w:val="%6."/>
      <w:lvlJc w:val="right"/>
      <w:pPr>
        <w:ind w:left="4079" w:hanging="180"/>
      </w:pPr>
    </w:lvl>
    <w:lvl w:ilvl="6" w:tplc="0413000F" w:tentative="1">
      <w:start w:val="1"/>
      <w:numFmt w:val="decimal"/>
      <w:lvlText w:val="%7."/>
      <w:lvlJc w:val="left"/>
      <w:pPr>
        <w:ind w:left="4799" w:hanging="360"/>
      </w:pPr>
    </w:lvl>
    <w:lvl w:ilvl="7" w:tplc="04130019" w:tentative="1">
      <w:start w:val="1"/>
      <w:numFmt w:val="lowerLetter"/>
      <w:lvlText w:val="%8."/>
      <w:lvlJc w:val="left"/>
      <w:pPr>
        <w:ind w:left="5519" w:hanging="360"/>
      </w:pPr>
    </w:lvl>
    <w:lvl w:ilvl="8" w:tplc="0413001B" w:tentative="1">
      <w:start w:val="1"/>
      <w:numFmt w:val="lowerRoman"/>
      <w:lvlText w:val="%9."/>
      <w:lvlJc w:val="right"/>
      <w:pPr>
        <w:ind w:left="6239" w:hanging="180"/>
      </w:pPr>
    </w:lvl>
  </w:abstractNum>
  <w:abstractNum w:abstractNumId="30" w15:restartNumberingAfterBreak="0">
    <w:nsid w:val="646F3739"/>
    <w:multiLevelType w:val="hybridMultilevel"/>
    <w:tmpl w:val="A84AB56E"/>
    <w:lvl w:ilvl="0" w:tplc="FAC0530C">
      <w:start w:val="1"/>
      <w:numFmt w:val="bullet"/>
      <w:lvlText w:val=""/>
      <w:lvlJc w:val="left"/>
      <w:pPr>
        <w:ind w:left="720" w:hanging="360"/>
      </w:pPr>
      <w:rPr>
        <w:rFonts w:ascii="Symbol" w:hAnsi="Symbol" w:hint="default"/>
      </w:rPr>
    </w:lvl>
    <w:lvl w:ilvl="1" w:tplc="6BBC7194">
      <w:start w:val="1"/>
      <w:numFmt w:val="bullet"/>
      <w:lvlText w:val="o"/>
      <w:lvlJc w:val="left"/>
      <w:pPr>
        <w:ind w:left="1440" w:hanging="360"/>
      </w:pPr>
      <w:rPr>
        <w:rFonts w:ascii="Courier New" w:hAnsi="Courier New" w:cs="Courier New" w:hint="default"/>
      </w:rPr>
    </w:lvl>
    <w:lvl w:ilvl="2" w:tplc="DD161EBC">
      <w:start w:val="1"/>
      <w:numFmt w:val="bullet"/>
      <w:lvlText w:val=""/>
      <w:lvlJc w:val="left"/>
      <w:pPr>
        <w:ind w:left="2160" w:hanging="360"/>
      </w:pPr>
      <w:rPr>
        <w:rFonts w:ascii="Wingdings" w:hAnsi="Wingdings" w:hint="default"/>
      </w:rPr>
    </w:lvl>
    <w:lvl w:ilvl="3" w:tplc="6E4E3310">
      <w:start w:val="1"/>
      <w:numFmt w:val="bullet"/>
      <w:lvlText w:val=""/>
      <w:lvlJc w:val="left"/>
      <w:pPr>
        <w:ind w:left="2880" w:hanging="360"/>
      </w:pPr>
      <w:rPr>
        <w:rFonts w:ascii="Symbol" w:hAnsi="Symbol" w:hint="default"/>
      </w:rPr>
    </w:lvl>
    <w:lvl w:ilvl="4" w:tplc="79F8C3EC">
      <w:start w:val="1"/>
      <w:numFmt w:val="bullet"/>
      <w:lvlText w:val="o"/>
      <w:lvlJc w:val="left"/>
      <w:pPr>
        <w:ind w:left="3600" w:hanging="360"/>
      </w:pPr>
      <w:rPr>
        <w:rFonts w:ascii="Courier New" w:hAnsi="Courier New" w:cs="Courier New" w:hint="default"/>
      </w:rPr>
    </w:lvl>
    <w:lvl w:ilvl="5" w:tplc="BFB06FBE">
      <w:start w:val="1"/>
      <w:numFmt w:val="bullet"/>
      <w:lvlText w:val=""/>
      <w:lvlJc w:val="left"/>
      <w:pPr>
        <w:ind w:left="4320" w:hanging="360"/>
      </w:pPr>
      <w:rPr>
        <w:rFonts w:ascii="Wingdings" w:hAnsi="Wingdings" w:hint="default"/>
      </w:rPr>
    </w:lvl>
    <w:lvl w:ilvl="6" w:tplc="6E18EDF2">
      <w:start w:val="1"/>
      <w:numFmt w:val="bullet"/>
      <w:lvlText w:val=""/>
      <w:lvlJc w:val="left"/>
      <w:pPr>
        <w:ind w:left="5040" w:hanging="360"/>
      </w:pPr>
      <w:rPr>
        <w:rFonts w:ascii="Symbol" w:hAnsi="Symbol" w:hint="default"/>
      </w:rPr>
    </w:lvl>
    <w:lvl w:ilvl="7" w:tplc="1414C1DE">
      <w:start w:val="1"/>
      <w:numFmt w:val="bullet"/>
      <w:lvlText w:val="o"/>
      <w:lvlJc w:val="left"/>
      <w:pPr>
        <w:ind w:left="5760" w:hanging="360"/>
      </w:pPr>
      <w:rPr>
        <w:rFonts w:ascii="Courier New" w:hAnsi="Courier New" w:cs="Courier New" w:hint="default"/>
      </w:rPr>
    </w:lvl>
    <w:lvl w:ilvl="8" w:tplc="0DDCF7D8">
      <w:start w:val="1"/>
      <w:numFmt w:val="bullet"/>
      <w:lvlText w:val=""/>
      <w:lvlJc w:val="left"/>
      <w:pPr>
        <w:ind w:left="6480" w:hanging="360"/>
      </w:pPr>
      <w:rPr>
        <w:rFonts w:ascii="Wingdings" w:hAnsi="Wingdings" w:hint="default"/>
      </w:rPr>
    </w:lvl>
  </w:abstractNum>
  <w:abstractNum w:abstractNumId="31" w15:restartNumberingAfterBreak="0">
    <w:nsid w:val="6B7D7BDA"/>
    <w:multiLevelType w:val="hybridMultilevel"/>
    <w:tmpl w:val="729A0E12"/>
    <w:lvl w:ilvl="0" w:tplc="4F361C2E">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B030118"/>
    <w:multiLevelType w:val="hybridMultilevel"/>
    <w:tmpl w:val="FD02F6EE"/>
    <w:lvl w:ilvl="0" w:tplc="F9CA3F2C">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4075030">
    <w:abstractNumId w:val="11"/>
  </w:num>
  <w:num w:numId="2" w16cid:durableId="1957365828">
    <w:abstractNumId w:val="10"/>
  </w:num>
  <w:num w:numId="3" w16cid:durableId="1855683949">
    <w:abstractNumId w:val="14"/>
  </w:num>
  <w:num w:numId="4" w16cid:durableId="1986547516">
    <w:abstractNumId w:val="0"/>
  </w:num>
  <w:num w:numId="5" w16cid:durableId="639530486">
    <w:abstractNumId w:val="12"/>
  </w:num>
  <w:num w:numId="6" w16cid:durableId="894202160">
    <w:abstractNumId w:val="1"/>
  </w:num>
  <w:num w:numId="7" w16cid:durableId="110907769">
    <w:abstractNumId w:val="3"/>
  </w:num>
  <w:num w:numId="8" w16cid:durableId="646201876">
    <w:abstractNumId w:val="22"/>
  </w:num>
  <w:num w:numId="9" w16cid:durableId="1717580953">
    <w:abstractNumId w:val="30"/>
  </w:num>
  <w:num w:numId="10" w16cid:durableId="907762628">
    <w:abstractNumId w:val="9"/>
  </w:num>
  <w:num w:numId="11" w16cid:durableId="1481114485">
    <w:abstractNumId w:val="13"/>
  </w:num>
  <w:num w:numId="12" w16cid:durableId="1489403041">
    <w:abstractNumId w:val="7"/>
  </w:num>
  <w:num w:numId="13" w16cid:durableId="803960845">
    <w:abstractNumId w:val="25"/>
  </w:num>
  <w:num w:numId="14" w16cid:durableId="2062248928">
    <w:abstractNumId w:val="29"/>
  </w:num>
  <w:num w:numId="15" w16cid:durableId="1414159505">
    <w:abstractNumId w:val="2"/>
  </w:num>
  <w:num w:numId="16" w16cid:durableId="177042501">
    <w:abstractNumId w:val="4"/>
  </w:num>
  <w:num w:numId="17" w16cid:durableId="117721767">
    <w:abstractNumId w:val="15"/>
  </w:num>
  <w:num w:numId="18" w16cid:durableId="1529561722">
    <w:abstractNumId w:val="19"/>
  </w:num>
  <w:num w:numId="19" w16cid:durableId="530269672">
    <w:abstractNumId w:val="23"/>
  </w:num>
  <w:num w:numId="20" w16cid:durableId="622538240">
    <w:abstractNumId w:val="20"/>
  </w:num>
  <w:num w:numId="21" w16cid:durableId="1656032964">
    <w:abstractNumId w:val="18"/>
  </w:num>
  <w:num w:numId="22" w16cid:durableId="1256784297">
    <w:abstractNumId w:val="26"/>
  </w:num>
  <w:num w:numId="23" w16cid:durableId="410349174">
    <w:abstractNumId w:val="31"/>
  </w:num>
  <w:num w:numId="24" w16cid:durableId="870846368">
    <w:abstractNumId w:val="8"/>
  </w:num>
  <w:num w:numId="25" w16cid:durableId="7800404">
    <w:abstractNumId w:val="32"/>
  </w:num>
  <w:num w:numId="26" w16cid:durableId="1498840634">
    <w:abstractNumId w:val="24"/>
  </w:num>
  <w:num w:numId="27" w16cid:durableId="236406062">
    <w:abstractNumId w:val="28"/>
  </w:num>
  <w:num w:numId="28" w16cid:durableId="2037077299">
    <w:abstractNumId w:val="17"/>
  </w:num>
  <w:num w:numId="29" w16cid:durableId="1176531454">
    <w:abstractNumId w:val="5"/>
  </w:num>
  <w:num w:numId="30" w16cid:durableId="1777402446">
    <w:abstractNumId w:val="6"/>
  </w:num>
  <w:num w:numId="31" w16cid:durableId="1226601097">
    <w:abstractNumId w:val="21"/>
  </w:num>
  <w:num w:numId="32" w16cid:durableId="200172825">
    <w:abstractNumId w:val="16"/>
  </w:num>
  <w:num w:numId="33" w16cid:durableId="3357639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003"/>
    <w:rsid w:val="0001403F"/>
    <w:rsid w:val="0001735C"/>
    <w:rsid w:val="00020B6A"/>
    <w:rsid w:val="00024FF9"/>
    <w:rsid w:val="000256C7"/>
    <w:rsid w:val="000324E9"/>
    <w:rsid w:val="000478A7"/>
    <w:rsid w:val="00056279"/>
    <w:rsid w:val="00090C00"/>
    <w:rsid w:val="000A7E48"/>
    <w:rsid w:val="000C57A9"/>
    <w:rsid w:val="000D3B9D"/>
    <w:rsid w:val="000F33B6"/>
    <w:rsid w:val="000F4D42"/>
    <w:rsid w:val="0013300B"/>
    <w:rsid w:val="001352A0"/>
    <w:rsid w:val="0014318A"/>
    <w:rsid w:val="0015603A"/>
    <w:rsid w:val="001710AB"/>
    <w:rsid w:val="00180EEB"/>
    <w:rsid w:val="00194494"/>
    <w:rsid w:val="00197764"/>
    <w:rsid w:val="001A6683"/>
    <w:rsid w:val="001B3826"/>
    <w:rsid w:val="001D7516"/>
    <w:rsid w:val="001E6A24"/>
    <w:rsid w:val="001E6A58"/>
    <w:rsid w:val="001F2E04"/>
    <w:rsid w:val="001F6EC3"/>
    <w:rsid w:val="00211938"/>
    <w:rsid w:val="00212E67"/>
    <w:rsid w:val="00214073"/>
    <w:rsid w:val="002345FF"/>
    <w:rsid w:val="00265034"/>
    <w:rsid w:val="002665B3"/>
    <w:rsid w:val="00274792"/>
    <w:rsid w:val="00280175"/>
    <w:rsid w:val="002830DA"/>
    <w:rsid w:val="002B7541"/>
    <w:rsid w:val="002C1D73"/>
    <w:rsid w:val="002D1668"/>
    <w:rsid w:val="002F2AED"/>
    <w:rsid w:val="00306ADC"/>
    <w:rsid w:val="0032493A"/>
    <w:rsid w:val="00341727"/>
    <w:rsid w:val="0036427A"/>
    <w:rsid w:val="003654D6"/>
    <w:rsid w:val="00365B90"/>
    <w:rsid w:val="00373E4E"/>
    <w:rsid w:val="00381398"/>
    <w:rsid w:val="00390010"/>
    <w:rsid w:val="003B089D"/>
    <w:rsid w:val="003E7003"/>
    <w:rsid w:val="003F2B3B"/>
    <w:rsid w:val="00417A94"/>
    <w:rsid w:val="004203EE"/>
    <w:rsid w:val="0043138A"/>
    <w:rsid w:val="004477B8"/>
    <w:rsid w:val="00447E61"/>
    <w:rsid w:val="00460C7F"/>
    <w:rsid w:val="00465BB4"/>
    <w:rsid w:val="004916E9"/>
    <w:rsid w:val="00491AE8"/>
    <w:rsid w:val="00495163"/>
    <w:rsid w:val="004A0854"/>
    <w:rsid w:val="004C3F86"/>
    <w:rsid w:val="004C77A0"/>
    <w:rsid w:val="004D1243"/>
    <w:rsid w:val="004F04EB"/>
    <w:rsid w:val="004F2D7A"/>
    <w:rsid w:val="00501B46"/>
    <w:rsid w:val="00506A68"/>
    <w:rsid w:val="00516558"/>
    <w:rsid w:val="00520A08"/>
    <w:rsid w:val="00561EE2"/>
    <w:rsid w:val="00563F33"/>
    <w:rsid w:val="00573CF1"/>
    <w:rsid w:val="00575A49"/>
    <w:rsid w:val="00575B14"/>
    <w:rsid w:val="00580DDD"/>
    <w:rsid w:val="00592988"/>
    <w:rsid w:val="0059532D"/>
    <w:rsid w:val="005A01FE"/>
    <w:rsid w:val="005A24E4"/>
    <w:rsid w:val="005A374A"/>
    <w:rsid w:val="005A77AB"/>
    <w:rsid w:val="005C1AC3"/>
    <w:rsid w:val="005C1E1E"/>
    <w:rsid w:val="005C6EBC"/>
    <w:rsid w:val="005F055E"/>
    <w:rsid w:val="00605490"/>
    <w:rsid w:val="00630335"/>
    <w:rsid w:val="00632BAA"/>
    <w:rsid w:val="00656369"/>
    <w:rsid w:val="00670144"/>
    <w:rsid w:val="0067609F"/>
    <w:rsid w:val="00680E2F"/>
    <w:rsid w:val="00683154"/>
    <w:rsid w:val="0069427F"/>
    <w:rsid w:val="006B3649"/>
    <w:rsid w:val="006C5882"/>
    <w:rsid w:val="006C5B73"/>
    <w:rsid w:val="006D333D"/>
    <w:rsid w:val="006D64E4"/>
    <w:rsid w:val="006D64FF"/>
    <w:rsid w:val="006E7878"/>
    <w:rsid w:val="006F527D"/>
    <w:rsid w:val="00715958"/>
    <w:rsid w:val="007468AB"/>
    <w:rsid w:val="00751DD6"/>
    <w:rsid w:val="0075578D"/>
    <w:rsid w:val="00765997"/>
    <w:rsid w:val="00781EF3"/>
    <w:rsid w:val="007915B3"/>
    <w:rsid w:val="007A1B64"/>
    <w:rsid w:val="007B58FB"/>
    <w:rsid w:val="007E044A"/>
    <w:rsid w:val="007E7344"/>
    <w:rsid w:val="008020DE"/>
    <w:rsid w:val="00822588"/>
    <w:rsid w:val="0082749B"/>
    <w:rsid w:val="00830DC0"/>
    <w:rsid w:val="00855C28"/>
    <w:rsid w:val="0086514F"/>
    <w:rsid w:val="00870809"/>
    <w:rsid w:val="00885DD3"/>
    <w:rsid w:val="008975E9"/>
    <w:rsid w:val="008A561D"/>
    <w:rsid w:val="008C3510"/>
    <w:rsid w:val="008C475E"/>
    <w:rsid w:val="008C6E9D"/>
    <w:rsid w:val="008D1697"/>
    <w:rsid w:val="008D2F23"/>
    <w:rsid w:val="008D71D5"/>
    <w:rsid w:val="008E17D3"/>
    <w:rsid w:val="008E46EE"/>
    <w:rsid w:val="00901B1C"/>
    <w:rsid w:val="00905A2D"/>
    <w:rsid w:val="00912A7D"/>
    <w:rsid w:val="00912F4A"/>
    <w:rsid w:val="00913AA3"/>
    <w:rsid w:val="00933256"/>
    <w:rsid w:val="00936238"/>
    <w:rsid w:val="00966304"/>
    <w:rsid w:val="00975FAA"/>
    <w:rsid w:val="00985B07"/>
    <w:rsid w:val="009873CE"/>
    <w:rsid w:val="00997CC6"/>
    <w:rsid w:val="009A48D5"/>
    <w:rsid w:val="009B2DB4"/>
    <w:rsid w:val="009C0ACD"/>
    <w:rsid w:val="009D022A"/>
    <w:rsid w:val="009D0AC2"/>
    <w:rsid w:val="009E2BC0"/>
    <w:rsid w:val="009F1D4E"/>
    <w:rsid w:val="00A41081"/>
    <w:rsid w:val="00A540D3"/>
    <w:rsid w:val="00A57BD1"/>
    <w:rsid w:val="00A615DB"/>
    <w:rsid w:val="00A653C6"/>
    <w:rsid w:val="00A86A8F"/>
    <w:rsid w:val="00A934CF"/>
    <w:rsid w:val="00A9390D"/>
    <w:rsid w:val="00A96F04"/>
    <w:rsid w:val="00AB4F6B"/>
    <w:rsid w:val="00AC0A43"/>
    <w:rsid w:val="00AC5F77"/>
    <w:rsid w:val="00AD55C5"/>
    <w:rsid w:val="00AE04BC"/>
    <w:rsid w:val="00B06701"/>
    <w:rsid w:val="00B06848"/>
    <w:rsid w:val="00B12CDF"/>
    <w:rsid w:val="00B63234"/>
    <w:rsid w:val="00B66A63"/>
    <w:rsid w:val="00B90292"/>
    <w:rsid w:val="00BC1DC3"/>
    <w:rsid w:val="00BE5CD4"/>
    <w:rsid w:val="00BF5C87"/>
    <w:rsid w:val="00C0122C"/>
    <w:rsid w:val="00C10109"/>
    <w:rsid w:val="00C12499"/>
    <w:rsid w:val="00C1394F"/>
    <w:rsid w:val="00C279FC"/>
    <w:rsid w:val="00C46608"/>
    <w:rsid w:val="00C50682"/>
    <w:rsid w:val="00C63766"/>
    <w:rsid w:val="00C64B91"/>
    <w:rsid w:val="00C723B4"/>
    <w:rsid w:val="00C750EA"/>
    <w:rsid w:val="00C76A95"/>
    <w:rsid w:val="00C82352"/>
    <w:rsid w:val="00C91C8A"/>
    <w:rsid w:val="00C97FD1"/>
    <w:rsid w:val="00CB0883"/>
    <w:rsid w:val="00CB3888"/>
    <w:rsid w:val="00CC128F"/>
    <w:rsid w:val="00CF1801"/>
    <w:rsid w:val="00CF4A75"/>
    <w:rsid w:val="00D07289"/>
    <w:rsid w:val="00D15F28"/>
    <w:rsid w:val="00D32352"/>
    <w:rsid w:val="00D5252E"/>
    <w:rsid w:val="00D5323A"/>
    <w:rsid w:val="00D535AF"/>
    <w:rsid w:val="00D544B0"/>
    <w:rsid w:val="00D55762"/>
    <w:rsid w:val="00D71325"/>
    <w:rsid w:val="00D73F76"/>
    <w:rsid w:val="00D8081E"/>
    <w:rsid w:val="00D97652"/>
    <w:rsid w:val="00DA73AF"/>
    <w:rsid w:val="00DB22A8"/>
    <w:rsid w:val="00DC65AF"/>
    <w:rsid w:val="00DD1271"/>
    <w:rsid w:val="00DE1EAC"/>
    <w:rsid w:val="00E0019C"/>
    <w:rsid w:val="00E043BF"/>
    <w:rsid w:val="00E048D0"/>
    <w:rsid w:val="00E21125"/>
    <w:rsid w:val="00E24EC6"/>
    <w:rsid w:val="00E33183"/>
    <w:rsid w:val="00E41A70"/>
    <w:rsid w:val="00E57EFE"/>
    <w:rsid w:val="00E6339E"/>
    <w:rsid w:val="00EB3259"/>
    <w:rsid w:val="00EC175D"/>
    <w:rsid w:val="00EE5450"/>
    <w:rsid w:val="00EF1412"/>
    <w:rsid w:val="00EF57B6"/>
    <w:rsid w:val="00F16CF0"/>
    <w:rsid w:val="00F36E36"/>
    <w:rsid w:val="00F6584C"/>
    <w:rsid w:val="00F669AA"/>
    <w:rsid w:val="00F72140"/>
    <w:rsid w:val="00F74915"/>
    <w:rsid w:val="00F84C81"/>
    <w:rsid w:val="00F965F3"/>
    <w:rsid w:val="00FA2C0C"/>
    <w:rsid w:val="00FC27E5"/>
    <w:rsid w:val="00FD6BA8"/>
    <w:rsid w:val="00FF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805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3E70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E70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E700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E700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3E7003"/>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3E70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E700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E700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E700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7003"/>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3E7003"/>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3E7003"/>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3E7003"/>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3E7003"/>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3E7003"/>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3E7003"/>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3E7003"/>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3E7003"/>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3E7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7003"/>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3E70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7003"/>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3E70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7003"/>
    <w:rPr>
      <w:i/>
      <w:iCs/>
      <w:color w:val="404040" w:themeColor="text1" w:themeTint="BF"/>
      <w:lang w:val="nl-NL"/>
    </w:rPr>
  </w:style>
  <w:style w:type="paragraph" w:styleId="Lijstalinea">
    <w:name w:val="List Paragraph"/>
    <w:basedOn w:val="Standaard"/>
    <w:uiPriority w:val="34"/>
    <w:qFormat/>
    <w:rsid w:val="003E7003"/>
    <w:pPr>
      <w:ind w:left="720"/>
      <w:contextualSpacing/>
    </w:pPr>
  </w:style>
  <w:style w:type="character" w:styleId="Intensievebenadrukking">
    <w:name w:val="Intense Emphasis"/>
    <w:basedOn w:val="Standaardalinea-lettertype"/>
    <w:uiPriority w:val="21"/>
    <w:qFormat/>
    <w:rsid w:val="003E7003"/>
    <w:rPr>
      <w:i/>
      <w:iCs/>
      <w:color w:val="2E74B5" w:themeColor="accent1" w:themeShade="BF"/>
    </w:rPr>
  </w:style>
  <w:style w:type="paragraph" w:styleId="Duidelijkcitaat">
    <w:name w:val="Intense Quote"/>
    <w:basedOn w:val="Standaard"/>
    <w:next w:val="Standaard"/>
    <w:link w:val="DuidelijkcitaatChar"/>
    <w:uiPriority w:val="30"/>
    <w:qFormat/>
    <w:rsid w:val="003E70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E7003"/>
    <w:rPr>
      <w:i/>
      <w:iCs/>
      <w:color w:val="2E74B5" w:themeColor="accent1" w:themeShade="BF"/>
      <w:lang w:val="nl-NL"/>
    </w:rPr>
  </w:style>
  <w:style w:type="character" w:styleId="Intensieveverwijzing">
    <w:name w:val="Intense Reference"/>
    <w:basedOn w:val="Standaardalinea-lettertype"/>
    <w:uiPriority w:val="32"/>
    <w:qFormat/>
    <w:rsid w:val="003E7003"/>
    <w:rPr>
      <w:b/>
      <w:bCs/>
      <w:smallCaps/>
      <w:color w:val="2E74B5" w:themeColor="accent1" w:themeShade="BF"/>
      <w:spacing w:val="5"/>
    </w:rPr>
  </w:style>
  <w:style w:type="character" w:styleId="Voetnootmarkering">
    <w:name w:val="footnote reference"/>
    <w:basedOn w:val="Standaardalinea-lettertype"/>
    <w:uiPriority w:val="99"/>
    <w:semiHidden/>
    <w:unhideWhenUsed/>
    <w:rsid w:val="000478A7"/>
    <w:rPr>
      <w:vertAlign w:val="superscript"/>
    </w:rPr>
  </w:style>
  <w:style w:type="paragraph" w:styleId="Voetnoottekst">
    <w:name w:val="footnote text"/>
    <w:basedOn w:val="Standaard"/>
    <w:link w:val="VoetnoottekstChar"/>
    <w:uiPriority w:val="99"/>
    <w:unhideWhenUsed/>
    <w:rsid w:val="000478A7"/>
    <w:pPr>
      <w:spacing w:after="0" w:line="240" w:lineRule="auto"/>
    </w:pPr>
    <w:rPr>
      <w:rFonts w:eastAsia="Times New Roman" w:cs="Times New Roman"/>
      <w:sz w:val="20"/>
      <w:szCs w:val="20"/>
      <w:lang w:eastAsia="nl-NL"/>
    </w:rPr>
  </w:style>
  <w:style w:type="character" w:customStyle="1" w:styleId="VoetnoottekstChar">
    <w:name w:val="Voetnoottekst Char"/>
    <w:basedOn w:val="Standaardalinea-lettertype"/>
    <w:link w:val="Voetnoottekst"/>
    <w:uiPriority w:val="99"/>
    <w:rsid w:val="000478A7"/>
    <w:rPr>
      <w:rFonts w:eastAsia="Times New Roman" w:cs="Times New Roman"/>
      <w:sz w:val="20"/>
      <w:szCs w:val="20"/>
      <w:lang w:val="nl-NL" w:eastAsia="nl-NL"/>
    </w:rPr>
  </w:style>
  <w:style w:type="paragraph" w:customStyle="1" w:styleId="Afzendgegevens">
    <w:name w:val="Afzendgegevens"/>
    <w:basedOn w:val="Standaard"/>
    <w:rsid w:val="00912A7D"/>
    <w:pPr>
      <w:spacing w:after="0" w:line="180" w:lineRule="atLeast"/>
    </w:pPr>
    <w:rPr>
      <w:rFonts w:eastAsia="Times New Roman" w:cs="Times New Roman"/>
      <w:sz w:val="13"/>
      <w:szCs w:val="20"/>
      <w:lang w:eastAsia="nl-NL"/>
    </w:rPr>
  </w:style>
  <w:style w:type="paragraph" w:styleId="Voettekst">
    <w:name w:val="footer"/>
    <w:basedOn w:val="Standaard"/>
    <w:link w:val="VoettekstChar"/>
    <w:uiPriority w:val="99"/>
    <w:unhideWhenUsed/>
    <w:rsid w:val="00912A7D"/>
    <w:pPr>
      <w:tabs>
        <w:tab w:val="center" w:pos="4536"/>
        <w:tab w:val="right" w:pos="9072"/>
      </w:tabs>
      <w:spacing w:after="0" w:line="240" w:lineRule="auto"/>
    </w:pPr>
    <w:rPr>
      <w:rFonts w:eastAsia="Times New Roman" w:cs="Times New Roman"/>
      <w:szCs w:val="20"/>
      <w:lang w:eastAsia="nl-NL"/>
    </w:rPr>
  </w:style>
  <w:style w:type="character" w:customStyle="1" w:styleId="VoettekstChar">
    <w:name w:val="Voettekst Char"/>
    <w:basedOn w:val="Standaardalinea-lettertype"/>
    <w:link w:val="Voettekst"/>
    <w:uiPriority w:val="99"/>
    <w:rsid w:val="00912A7D"/>
    <w:rPr>
      <w:rFonts w:eastAsia="Times New Roman" w:cs="Times New Roman"/>
      <w:szCs w:val="20"/>
      <w:lang w:val="nl-NL" w:eastAsia="nl-NL"/>
    </w:rPr>
  </w:style>
  <w:style w:type="character" w:styleId="Hyperlink">
    <w:name w:val="Hyperlink"/>
    <w:basedOn w:val="Standaardalinea-lettertype"/>
    <w:uiPriority w:val="99"/>
    <w:unhideWhenUsed/>
    <w:rsid w:val="007E044A"/>
    <w:rPr>
      <w:color w:val="0000FF"/>
      <w:u w:val="single"/>
    </w:rPr>
  </w:style>
  <w:style w:type="table" w:styleId="Tabelraster">
    <w:name w:val="Table Grid"/>
    <w:basedOn w:val="Standaardtabel"/>
    <w:rsid w:val="00575A49"/>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
    <w:name w:val="Grid Table 1 Light"/>
    <w:basedOn w:val="Standaardtabel"/>
    <w:uiPriority w:val="46"/>
    <w:rsid w:val="00BE5CD4"/>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0">
    <w:name w:val="Grid Table 1 Light_0"/>
    <w:basedOn w:val="Standaardtabel"/>
    <w:uiPriority w:val="46"/>
    <w:rsid w:val="00BE5CD4"/>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_1"/>
    <w:basedOn w:val="Standaardtabel"/>
    <w:uiPriority w:val="46"/>
    <w:rsid w:val="00BE5CD4"/>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0">
    <w:name w:val="Table Grid_0"/>
    <w:basedOn w:val="Standaardtabel"/>
    <w:uiPriority w:val="59"/>
    <w:rsid w:val="00BE5CD4"/>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Standaardtabel"/>
    <w:rsid w:val="00BE5CD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55C28"/>
    <w:rPr>
      <w:sz w:val="16"/>
      <w:szCs w:val="16"/>
    </w:rPr>
  </w:style>
  <w:style w:type="paragraph" w:styleId="Tekstopmerking">
    <w:name w:val="annotation text"/>
    <w:basedOn w:val="Standaard"/>
    <w:link w:val="TekstopmerkingChar"/>
    <w:uiPriority w:val="99"/>
    <w:unhideWhenUsed/>
    <w:rsid w:val="00855C28"/>
    <w:pPr>
      <w:spacing w:line="240" w:lineRule="auto"/>
    </w:pPr>
    <w:rPr>
      <w:sz w:val="20"/>
      <w:szCs w:val="20"/>
    </w:rPr>
  </w:style>
  <w:style w:type="character" w:customStyle="1" w:styleId="TekstopmerkingChar">
    <w:name w:val="Tekst opmerking Char"/>
    <w:basedOn w:val="Standaardalinea-lettertype"/>
    <w:link w:val="Tekstopmerking"/>
    <w:uiPriority w:val="99"/>
    <w:rsid w:val="00855C28"/>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855C28"/>
    <w:rPr>
      <w:b/>
      <w:bCs/>
    </w:rPr>
  </w:style>
  <w:style w:type="character" w:customStyle="1" w:styleId="OnderwerpvanopmerkingChar">
    <w:name w:val="Onderwerp van opmerking Char"/>
    <w:basedOn w:val="TekstopmerkingChar"/>
    <w:link w:val="Onderwerpvanopmerking"/>
    <w:uiPriority w:val="99"/>
    <w:semiHidden/>
    <w:rsid w:val="00855C28"/>
    <w:rPr>
      <w:b/>
      <w:bCs/>
      <w:sz w:val="20"/>
      <w:szCs w:val="20"/>
      <w:lang w:val="nl-NL"/>
    </w:rPr>
  </w:style>
  <w:style w:type="table" w:customStyle="1" w:styleId="TableGrid3">
    <w:name w:val="Table Grid_3"/>
    <w:basedOn w:val="Standaardtabel"/>
    <w:uiPriority w:val="39"/>
    <w:rsid w:val="004D124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Standaardtabel"/>
    <w:uiPriority w:val="39"/>
    <w:rsid w:val="004D1243"/>
    <w:pPr>
      <w:autoSpaceDN w:val="0"/>
      <w:spacing w:after="0" w:line="240" w:lineRule="auto"/>
      <w:textAlignment w:val="baseline"/>
    </w:pPr>
    <w:rPr>
      <w:rFonts w:ascii="Times New Roman" w:eastAsia="DejaVu Sans" w:hAnsi="Times New Roman" w:cs="Lohit Hindi"/>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_4"/>
    <w:basedOn w:val="Standaardtabel"/>
    <w:uiPriority w:val="39"/>
    <w:rsid w:val="004D1243"/>
    <w:pPr>
      <w:autoSpaceDN w:val="0"/>
      <w:spacing w:after="0" w:line="240" w:lineRule="auto"/>
      <w:textAlignment w:val="baseline"/>
    </w:pPr>
    <w:rPr>
      <w:rFonts w:ascii="Times New Roman" w:eastAsia="DejaVu Sans" w:hAnsi="Times New Roman" w:cs="Lohit Hindi"/>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_5"/>
    <w:basedOn w:val="Standaardtabel"/>
    <w:uiPriority w:val="39"/>
    <w:rsid w:val="004D1243"/>
    <w:pPr>
      <w:autoSpaceDN w:val="0"/>
      <w:spacing w:after="0" w:line="240" w:lineRule="auto"/>
      <w:textAlignment w:val="baseline"/>
    </w:pPr>
    <w:rPr>
      <w:rFonts w:ascii="Times New Roman" w:eastAsia="DejaVu Sans" w:hAnsi="Times New Roman" w:cs="Lohit Hindi"/>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Standaardtabel"/>
    <w:uiPriority w:val="39"/>
    <w:rsid w:val="00632BAA"/>
    <w:pPr>
      <w:spacing w:after="0" w:line="240" w:lineRule="auto"/>
    </w:pPr>
    <w:rPr>
      <w:rFonts w:asciiTheme="minorHAnsi" w:hAnsiTheme="minorHAnsi"/>
      <w:kern w:val="2"/>
      <w:sz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32BAA"/>
    <w:pPr>
      <w:widowControl w:val="0"/>
      <w:autoSpaceDE w:val="0"/>
      <w:autoSpaceDN w:val="0"/>
      <w:spacing w:after="0" w:line="240" w:lineRule="auto"/>
    </w:pPr>
    <w:rPr>
      <w:rFonts w:asciiTheme="minorHAnsi" w:hAnsiTheme="minorHAnsi"/>
      <w:sz w:val="22"/>
    </w:rPr>
    <w:tblPr>
      <w:tblCellMar>
        <w:top w:w="0" w:type="dxa"/>
        <w:left w:w="0" w:type="dxa"/>
        <w:bottom w:w="0" w:type="dxa"/>
        <w:right w:w="0" w:type="dxa"/>
      </w:tblCellMar>
    </w:tblPr>
  </w:style>
  <w:style w:type="table" w:customStyle="1" w:styleId="TableNormal00">
    <w:name w:val="Table Normal_0_0"/>
    <w:uiPriority w:val="2"/>
    <w:semiHidden/>
    <w:unhideWhenUsed/>
    <w:qFormat/>
    <w:rsid w:val="00632BAA"/>
    <w:pPr>
      <w:widowControl w:val="0"/>
      <w:autoSpaceDE w:val="0"/>
      <w:autoSpaceDN w:val="0"/>
      <w:spacing w:after="0" w:line="240" w:lineRule="auto"/>
    </w:pPr>
    <w:rPr>
      <w:rFonts w:asciiTheme="minorHAnsi" w:hAnsiTheme="minorHAnsi"/>
      <w:sz w:val="22"/>
    </w:rPr>
    <w:tblPr>
      <w:tblInd w:w="0" w:type="dxa"/>
      <w:tblCellMar>
        <w:top w:w="0" w:type="dxa"/>
        <w:left w:w="0" w:type="dxa"/>
        <w:bottom w:w="0" w:type="dxa"/>
        <w:right w:w="0" w:type="dxa"/>
      </w:tblCellMar>
    </w:tblPr>
  </w:style>
  <w:style w:type="table" w:customStyle="1" w:styleId="TableGrid10">
    <w:name w:val="Table Grid_10"/>
    <w:basedOn w:val="Standaardtabel"/>
    <w:uiPriority w:val="39"/>
    <w:rsid w:val="00632BAA"/>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Standaardtabel"/>
    <w:uiPriority w:val="39"/>
    <w:rsid w:val="00EF5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_12"/>
    <w:basedOn w:val="Standaardtabel"/>
    <w:uiPriority w:val="39"/>
    <w:rsid w:val="0063033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_14"/>
    <w:basedOn w:val="Standaardtabel"/>
    <w:uiPriority w:val="39"/>
    <w:rsid w:val="004F2D7A"/>
    <w:pPr>
      <w:autoSpaceDN w:val="0"/>
      <w:spacing w:after="0" w:line="240" w:lineRule="auto"/>
      <w:textAlignment w:val="baseline"/>
    </w:pPr>
    <w:rPr>
      <w:rFonts w:ascii="Times New Roman" w:eastAsia="DejaVu Sans" w:hAnsi="Times New Roman" w:cs="Lohit Hindi"/>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_15"/>
    <w:basedOn w:val="Standaardtabel"/>
    <w:uiPriority w:val="39"/>
    <w:rsid w:val="008D2F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tekst1">
    <w:name w:val="Voetnoottekst1"/>
    <w:basedOn w:val="Standaard"/>
    <w:next w:val="Voetnoottekst"/>
    <w:uiPriority w:val="99"/>
    <w:semiHidden/>
    <w:unhideWhenUsed/>
    <w:rsid w:val="007B58FB"/>
    <w:pPr>
      <w:spacing w:after="0" w:line="240" w:lineRule="auto"/>
    </w:pPr>
    <w:rPr>
      <w:rFonts w:asciiTheme="minorHAnsi" w:hAnsiTheme="minorHAnsi"/>
      <w:sz w:val="20"/>
      <w:szCs w:val="20"/>
    </w:rPr>
  </w:style>
  <w:style w:type="table" w:styleId="Onopgemaaktetabel4">
    <w:name w:val="Plain Table 4"/>
    <w:basedOn w:val="Standaardtabel"/>
    <w:uiPriority w:val="44"/>
    <w:rsid w:val="00341727"/>
    <w:pPr>
      <w:spacing w:after="0" w:line="240" w:lineRule="auto"/>
    </w:pPr>
    <w:rPr>
      <w:rFonts w:asciiTheme="minorHAnsi" w:hAnsiTheme="minorHAnsi"/>
      <w:kern w:val="2"/>
      <w:sz w:val="22"/>
      <w:lang w:val="nl-NL"/>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eenafstand">
    <w:name w:val="No Spacing"/>
    <w:uiPriority w:val="1"/>
    <w:qFormat/>
    <w:rsid w:val="00341727"/>
    <w:pPr>
      <w:spacing w:after="0" w:line="240" w:lineRule="auto"/>
    </w:pPr>
    <w:rPr>
      <w:lang w:val="nl-NL"/>
    </w:rPr>
  </w:style>
  <w:style w:type="table" w:styleId="Onopgemaaktetabel3">
    <w:name w:val="Plain Table 3"/>
    <w:basedOn w:val="Standaardtabel"/>
    <w:uiPriority w:val="99"/>
    <w:rsid w:val="0014318A"/>
    <w:pPr>
      <w:spacing w:after="0" w:line="240" w:lineRule="auto"/>
    </w:pPr>
    <w:rPr>
      <w:rFonts w:asciiTheme="minorHAnsi" w:eastAsiaTheme="minorEastAsia" w:hAnsiTheme="minorHAnsi"/>
      <w:sz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opsomteken">
    <w:name w:val="List Bullet"/>
    <w:basedOn w:val="Standaard"/>
    <w:rsid w:val="00306ADC"/>
    <w:pPr>
      <w:numPr>
        <w:numId w:val="20"/>
      </w:numPr>
      <w:spacing w:after="0" w:line="240" w:lineRule="atLeast"/>
    </w:pPr>
    <w:rPr>
      <w:rFonts w:eastAsia="Times New Roman" w:cs="Times New Roman"/>
      <w:noProof/>
      <w:szCs w:val="24"/>
      <w:lang w:eastAsia="nl-NL"/>
    </w:rPr>
  </w:style>
  <w:style w:type="paragraph" w:styleId="Normaalweb">
    <w:name w:val="Normal (Web)"/>
    <w:basedOn w:val="Standaard"/>
    <w:uiPriority w:val="99"/>
    <w:unhideWhenUsed/>
    <w:rsid w:val="00024FF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2F2AED"/>
    <w:pPr>
      <w:spacing w:after="0" w:line="240" w:lineRule="auto"/>
    </w:pPr>
    <w:rPr>
      <w:lang w:val="nl-NL"/>
    </w:rPr>
  </w:style>
  <w:style w:type="character" w:styleId="Onopgelostemelding">
    <w:name w:val="Unresolved Mention"/>
    <w:basedOn w:val="Standaardalinea-lettertype"/>
    <w:uiPriority w:val="99"/>
    <w:semiHidden/>
    <w:unhideWhenUsed/>
    <w:rsid w:val="00715958"/>
    <w:rPr>
      <w:color w:val="605E5C"/>
      <w:shd w:val="clear" w:color="auto" w:fill="E1DFDD"/>
    </w:rPr>
  </w:style>
  <w:style w:type="character" w:styleId="GevolgdeHyperlink">
    <w:name w:val="FollowedHyperlink"/>
    <w:basedOn w:val="Standaardalinea-lettertype"/>
    <w:uiPriority w:val="99"/>
    <w:semiHidden/>
    <w:unhideWhenUsed/>
    <w:rsid w:val="001D7516"/>
    <w:rPr>
      <w:color w:val="954F72" w:themeColor="followedHyperlink"/>
      <w:u w:val="single"/>
    </w:rPr>
  </w:style>
  <w:style w:type="paragraph" w:styleId="Koptekst">
    <w:name w:val="header"/>
    <w:basedOn w:val="Standaard"/>
    <w:link w:val="KoptekstChar"/>
    <w:uiPriority w:val="99"/>
    <w:unhideWhenUsed/>
    <w:rsid w:val="00680E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0E2F"/>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0550">
      <w:bodyDiv w:val="1"/>
      <w:marLeft w:val="0"/>
      <w:marRight w:val="0"/>
      <w:marTop w:val="0"/>
      <w:marBottom w:val="0"/>
      <w:divBdr>
        <w:top w:val="none" w:sz="0" w:space="0" w:color="auto"/>
        <w:left w:val="none" w:sz="0" w:space="0" w:color="auto"/>
        <w:bottom w:val="none" w:sz="0" w:space="0" w:color="auto"/>
        <w:right w:val="none" w:sz="0" w:space="0" w:color="auto"/>
      </w:divBdr>
    </w:div>
    <w:div w:id="38668894">
      <w:bodyDiv w:val="1"/>
      <w:marLeft w:val="0"/>
      <w:marRight w:val="0"/>
      <w:marTop w:val="0"/>
      <w:marBottom w:val="0"/>
      <w:divBdr>
        <w:top w:val="none" w:sz="0" w:space="0" w:color="auto"/>
        <w:left w:val="none" w:sz="0" w:space="0" w:color="auto"/>
        <w:bottom w:val="none" w:sz="0" w:space="0" w:color="auto"/>
        <w:right w:val="none" w:sz="0" w:space="0" w:color="auto"/>
      </w:divBdr>
    </w:div>
    <w:div w:id="67071757">
      <w:bodyDiv w:val="1"/>
      <w:marLeft w:val="0"/>
      <w:marRight w:val="0"/>
      <w:marTop w:val="0"/>
      <w:marBottom w:val="0"/>
      <w:divBdr>
        <w:top w:val="none" w:sz="0" w:space="0" w:color="auto"/>
        <w:left w:val="none" w:sz="0" w:space="0" w:color="auto"/>
        <w:bottom w:val="none" w:sz="0" w:space="0" w:color="auto"/>
        <w:right w:val="none" w:sz="0" w:space="0" w:color="auto"/>
      </w:divBdr>
    </w:div>
    <w:div w:id="69084514">
      <w:bodyDiv w:val="1"/>
      <w:marLeft w:val="0"/>
      <w:marRight w:val="0"/>
      <w:marTop w:val="0"/>
      <w:marBottom w:val="0"/>
      <w:divBdr>
        <w:top w:val="none" w:sz="0" w:space="0" w:color="auto"/>
        <w:left w:val="none" w:sz="0" w:space="0" w:color="auto"/>
        <w:bottom w:val="none" w:sz="0" w:space="0" w:color="auto"/>
        <w:right w:val="none" w:sz="0" w:space="0" w:color="auto"/>
      </w:divBdr>
    </w:div>
    <w:div w:id="75327652">
      <w:bodyDiv w:val="1"/>
      <w:marLeft w:val="0"/>
      <w:marRight w:val="0"/>
      <w:marTop w:val="0"/>
      <w:marBottom w:val="0"/>
      <w:divBdr>
        <w:top w:val="none" w:sz="0" w:space="0" w:color="auto"/>
        <w:left w:val="none" w:sz="0" w:space="0" w:color="auto"/>
        <w:bottom w:val="none" w:sz="0" w:space="0" w:color="auto"/>
        <w:right w:val="none" w:sz="0" w:space="0" w:color="auto"/>
      </w:divBdr>
    </w:div>
    <w:div w:id="84308474">
      <w:bodyDiv w:val="1"/>
      <w:marLeft w:val="0"/>
      <w:marRight w:val="0"/>
      <w:marTop w:val="0"/>
      <w:marBottom w:val="0"/>
      <w:divBdr>
        <w:top w:val="none" w:sz="0" w:space="0" w:color="auto"/>
        <w:left w:val="none" w:sz="0" w:space="0" w:color="auto"/>
        <w:bottom w:val="none" w:sz="0" w:space="0" w:color="auto"/>
        <w:right w:val="none" w:sz="0" w:space="0" w:color="auto"/>
      </w:divBdr>
    </w:div>
    <w:div w:id="194974632">
      <w:bodyDiv w:val="1"/>
      <w:marLeft w:val="0"/>
      <w:marRight w:val="0"/>
      <w:marTop w:val="0"/>
      <w:marBottom w:val="0"/>
      <w:divBdr>
        <w:top w:val="none" w:sz="0" w:space="0" w:color="auto"/>
        <w:left w:val="none" w:sz="0" w:space="0" w:color="auto"/>
        <w:bottom w:val="none" w:sz="0" w:space="0" w:color="auto"/>
        <w:right w:val="none" w:sz="0" w:space="0" w:color="auto"/>
      </w:divBdr>
    </w:div>
    <w:div w:id="197016335">
      <w:bodyDiv w:val="1"/>
      <w:marLeft w:val="0"/>
      <w:marRight w:val="0"/>
      <w:marTop w:val="0"/>
      <w:marBottom w:val="0"/>
      <w:divBdr>
        <w:top w:val="none" w:sz="0" w:space="0" w:color="auto"/>
        <w:left w:val="none" w:sz="0" w:space="0" w:color="auto"/>
        <w:bottom w:val="none" w:sz="0" w:space="0" w:color="auto"/>
        <w:right w:val="none" w:sz="0" w:space="0" w:color="auto"/>
      </w:divBdr>
    </w:div>
    <w:div w:id="269289547">
      <w:bodyDiv w:val="1"/>
      <w:marLeft w:val="0"/>
      <w:marRight w:val="0"/>
      <w:marTop w:val="0"/>
      <w:marBottom w:val="0"/>
      <w:divBdr>
        <w:top w:val="none" w:sz="0" w:space="0" w:color="auto"/>
        <w:left w:val="none" w:sz="0" w:space="0" w:color="auto"/>
        <w:bottom w:val="none" w:sz="0" w:space="0" w:color="auto"/>
        <w:right w:val="none" w:sz="0" w:space="0" w:color="auto"/>
      </w:divBdr>
    </w:div>
    <w:div w:id="368458875">
      <w:bodyDiv w:val="1"/>
      <w:marLeft w:val="0"/>
      <w:marRight w:val="0"/>
      <w:marTop w:val="0"/>
      <w:marBottom w:val="0"/>
      <w:divBdr>
        <w:top w:val="none" w:sz="0" w:space="0" w:color="auto"/>
        <w:left w:val="none" w:sz="0" w:space="0" w:color="auto"/>
        <w:bottom w:val="none" w:sz="0" w:space="0" w:color="auto"/>
        <w:right w:val="none" w:sz="0" w:space="0" w:color="auto"/>
      </w:divBdr>
    </w:div>
    <w:div w:id="419985390">
      <w:bodyDiv w:val="1"/>
      <w:marLeft w:val="0"/>
      <w:marRight w:val="0"/>
      <w:marTop w:val="0"/>
      <w:marBottom w:val="0"/>
      <w:divBdr>
        <w:top w:val="none" w:sz="0" w:space="0" w:color="auto"/>
        <w:left w:val="none" w:sz="0" w:space="0" w:color="auto"/>
        <w:bottom w:val="none" w:sz="0" w:space="0" w:color="auto"/>
        <w:right w:val="none" w:sz="0" w:space="0" w:color="auto"/>
      </w:divBdr>
    </w:div>
    <w:div w:id="488249115">
      <w:bodyDiv w:val="1"/>
      <w:marLeft w:val="0"/>
      <w:marRight w:val="0"/>
      <w:marTop w:val="0"/>
      <w:marBottom w:val="0"/>
      <w:divBdr>
        <w:top w:val="none" w:sz="0" w:space="0" w:color="auto"/>
        <w:left w:val="none" w:sz="0" w:space="0" w:color="auto"/>
        <w:bottom w:val="none" w:sz="0" w:space="0" w:color="auto"/>
        <w:right w:val="none" w:sz="0" w:space="0" w:color="auto"/>
      </w:divBdr>
    </w:div>
    <w:div w:id="519246351">
      <w:bodyDiv w:val="1"/>
      <w:marLeft w:val="0"/>
      <w:marRight w:val="0"/>
      <w:marTop w:val="0"/>
      <w:marBottom w:val="0"/>
      <w:divBdr>
        <w:top w:val="none" w:sz="0" w:space="0" w:color="auto"/>
        <w:left w:val="none" w:sz="0" w:space="0" w:color="auto"/>
        <w:bottom w:val="none" w:sz="0" w:space="0" w:color="auto"/>
        <w:right w:val="none" w:sz="0" w:space="0" w:color="auto"/>
      </w:divBdr>
    </w:div>
    <w:div w:id="550263991">
      <w:bodyDiv w:val="1"/>
      <w:marLeft w:val="0"/>
      <w:marRight w:val="0"/>
      <w:marTop w:val="0"/>
      <w:marBottom w:val="0"/>
      <w:divBdr>
        <w:top w:val="none" w:sz="0" w:space="0" w:color="auto"/>
        <w:left w:val="none" w:sz="0" w:space="0" w:color="auto"/>
        <w:bottom w:val="none" w:sz="0" w:space="0" w:color="auto"/>
        <w:right w:val="none" w:sz="0" w:space="0" w:color="auto"/>
      </w:divBdr>
    </w:div>
    <w:div w:id="561840150">
      <w:bodyDiv w:val="1"/>
      <w:marLeft w:val="0"/>
      <w:marRight w:val="0"/>
      <w:marTop w:val="0"/>
      <w:marBottom w:val="0"/>
      <w:divBdr>
        <w:top w:val="none" w:sz="0" w:space="0" w:color="auto"/>
        <w:left w:val="none" w:sz="0" w:space="0" w:color="auto"/>
        <w:bottom w:val="none" w:sz="0" w:space="0" w:color="auto"/>
        <w:right w:val="none" w:sz="0" w:space="0" w:color="auto"/>
      </w:divBdr>
    </w:div>
    <w:div w:id="564029714">
      <w:bodyDiv w:val="1"/>
      <w:marLeft w:val="0"/>
      <w:marRight w:val="0"/>
      <w:marTop w:val="0"/>
      <w:marBottom w:val="0"/>
      <w:divBdr>
        <w:top w:val="none" w:sz="0" w:space="0" w:color="auto"/>
        <w:left w:val="none" w:sz="0" w:space="0" w:color="auto"/>
        <w:bottom w:val="none" w:sz="0" w:space="0" w:color="auto"/>
        <w:right w:val="none" w:sz="0" w:space="0" w:color="auto"/>
      </w:divBdr>
    </w:div>
    <w:div w:id="613245770">
      <w:bodyDiv w:val="1"/>
      <w:marLeft w:val="0"/>
      <w:marRight w:val="0"/>
      <w:marTop w:val="0"/>
      <w:marBottom w:val="0"/>
      <w:divBdr>
        <w:top w:val="none" w:sz="0" w:space="0" w:color="auto"/>
        <w:left w:val="none" w:sz="0" w:space="0" w:color="auto"/>
        <w:bottom w:val="none" w:sz="0" w:space="0" w:color="auto"/>
        <w:right w:val="none" w:sz="0" w:space="0" w:color="auto"/>
      </w:divBdr>
    </w:div>
    <w:div w:id="646668267">
      <w:bodyDiv w:val="1"/>
      <w:marLeft w:val="0"/>
      <w:marRight w:val="0"/>
      <w:marTop w:val="0"/>
      <w:marBottom w:val="0"/>
      <w:divBdr>
        <w:top w:val="none" w:sz="0" w:space="0" w:color="auto"/>
        <w:left w:val="none" w:sz="0" w:space="0" w:color="auto"/>
        <w:bottom w:val="none" w:sz="0" w:space="0" w:color="auto"/>
        <w:right w:val="none" w:sz="0" w:space="0" w:color="auto"/>
      </w:divBdr>
    </w:div>
    <w:div w:id="696003862">
      <w:bodyDiv w:val="1"/>
      <w:marLeft w:val="0"/>
      <w:marRight w:val="0"/>
      <w:marTop w:val="0"/>
      <w:marBottom w:val="0"/>
      <w:divBdr>
        <w:top w:val="none" w:sz="0" w:space="0" w:color="auto"/>
        <w:left w:val="none" w:sz="0" w:space="0" w:color="auto"/>
        <w:bottom w:val="none" w:sz="0" w:space="0" w:color="auto"/>
        <w:right w:val="none" w:sz="0" w:space="0" w:color="auto"/>
      </w:divBdr>
    </w:div>
    <w:div w:id="820925770">
      <w:bodyDiv w:val="1"/>
      <w:marLeft w:val="0"/>
      <w:marRight w:val="0"/>
      <w:marTop w:val="0"/>
      <w:marBottom w:val="0"/>
      <w:divBdr>
        <w:top w:val="none" w:sz="0" w:space="0" w:color="auto"/>
        <w:left w:val="none" w:sz="0" w:space="0" w:color="auto"/>
        <w:bottom w:val="none" w:sz="0" w:space="0" w:color="auto"/>
        <w:right w:val="none" w:sz="0" w:space="0" w:color="auto"/>
      </w:divBdr>
    </w:div>
    <w:div w:id="836848444">
      <w:bodyDiv w:val="1"/>
      <w:marLeft w:val="0"/>
      <w:marRight w:val="0"/>
      <w:marTop w:val="0"/>
      <w:marBottom w:val="0"/>
      <w:divBdr>
        <w:top w:val="none" w:sz="0" w:space="0" w:color="auto"/>
        <w:left w:val="none" w:sz="0" w:space="0" w:color="auto"/>
        <w:bottom w:val="none" w:sz="0" w:space="0" w:color="auto"/>
        <w:right w:val="none" w:sz="0" w:space="0" w:color="auto"/>
      </w:divBdr>
    </w:div>
    <w:div w:id="847335159">
      <w:bodyDiv w:val="1"/>
      <w:marLeft w:val="0"/>
      <w:marRight w:val="0"/>
      <w:marTop w:val="0"/>
      <w:marBottom w:val="0"/>
      <w:divBdr>
        <w:top w:val="none" w:sz="0" w:space="0" w:color="auto"/>
        <w:left w:val="none" w:sz="0" w:space="0" w:color="auto"/>
        <w:bottom w:val="none" w:sz="0" w:space="0" w:color="auto"/>
        <w:right w:val="none" w:sz="0" w:space="0" w:color="auto"/>
      </w:divBdr>
    </w:div>
    <w:div w:id="854423383">
      <w:bodyDiv w:val="1"/>
      <w:marLeft w:val="0"/>
      <w:marRight w:val="0"/>
      <w:marTop w:val="0"/>
      <w:marBottom w:val="0"/>
      <w:divBdr>
        <w:top w:val="none" w:sz="0" w:space="0" w:color="auto"/>
        <w:left w:val="none" w:sz="0" w:space="0" w:color="auto"/>
        <w:bottom w:val="none" w:sz="0" w:space="0" w:color="auto"/>
        <w:right w:val="none" w:sz="0" w:space="0" w:color="auto"/>
      </w:divBdr>
    </w:div>
    <w:div w:id="893976981">
      <w:bodyDiv w:val="1"/>
      <w:marLeft w:val="0"/>
      <w:marRight w:val="0"/>
      <w:marTop w:val="0"/>
      <w:marBottom w:val="0"/>
      <w:divBdr>
        <w:top w:val="none" w:sz="0" w:space="0" w:color="auto"/>
        <w:left w:val="none" w:sz="0" w:space="0" w:color="auto"/>
        <w:bottom w:val="none" w:sz="0" w:space="0" w:color="auto"/>
        <w:right w:val="none" w:sz="0" w:space="0" w:color="auto"/>
      </w:divBdr>
    </w:div>
    <w:div w:id="939725988">
      <w:bodyDiv w:val="1"/>
      <w:marLeft w:val="0"/>
      <w:marRight w:val="0"/>
      <w:marTop w:val="0"/>
      <w:marBottom w:val="0"/>
      <w:divBdr>
        <w:top w:val="none" w:sz="0" w:space="0" w:color="auto"/>
        <w:left w:val="none" w:sz="0" w:space="0" w:color="auto"/>
        <w:bottom w:val="none" w:sz="0" w:space="0" w:color="auto"/>
        <w:right w:val="none" w:sz="0" w:space="0" w:color="auto"/>
      </w:divBdr>
    </w:div>
    <w:div w:id="943810022">
      <w:bodyDiv w:val="1"/>
      <w:marLeft w:val="0"/>
      <w:marRight w:val="0"/>
      <w:marTop w:val="0"/>
      <w:marBottom w:val="0"/>
      <w:divBdr>
        <w:top w:val="none" w:sz="0" w:space="0" w:color="auto"/>
        <w:left w:val="none" w:sz="0" w:space="0" w:color="auto"/>
        <w:bottom w:val="none" w:sz="0" w:space="0" w:color="auto"/>
        <w:right w:val="none" w:sz="0" w:space="0" w:color="auto"/>
      </w:divBdr>
    </w:div>
    <w:div w:id="957879768">
      <w:bodyDiv w:val="1"/>
      <w:marLeft w:val="0"/>
      <w:marRight w:val="0"/>
      <w:marTop w:val="0"/>
      <w:marBottom w:val="0"/>
      <w:divBdr>
        <w:top w:val="none" w:sz="0" w:space="0" w:color="auto"/>
        <w:left w:val="none" w:sz="0" w:space="0" w:color="auto"/>
        <w:bottom w:val="none" w:sz="0" w:space="0" w:color="auto"/>
        <w:right w:val="none" w:sz="0" w:space="0" w:color="auto"/>
      </w:divBdr>
    </w:div>
    <w:div w:id="975330775">
      <w:bodyDiv w:val="1"/>
      <w:marLeft w:val="0"/>
      <w:marRight w:val="0"/>
      <w:marTop w:val="0"/>
      <w:marBottom w:val="0"/>
      <w:divBdr>
        <w:top w:val="none" w:sz="0" w:space="0" w:color="auto"/>
        <w:left w:val="none" w:sz="0" w:space="0" w:color="auto"/>
        <w:bottom w:val="none" w:sz="0" w:space="0" w:color="auto"/>
        <w:right w:val="none" w:sz="0" w:space="0" w:color="auto"/>
      </w:divBdr>
    </w:div>
    <w:div w:id="1144004144">
      <w:bodyDiv w:val="1"/>
      <w:marLeft w:val="0"/>
      <w:marRight w:val="0"/>
      <w:marTop w:val="0"/>
      <w:marBottom w:val="0"/>
      <w:divBdr>
        <w:top w:val="none" w:sz="0" w:space="0" w:color="auto"/>
        <w:left w:val="none" w:sz="0" w:space="0" w:color="auto"/>
        <w:bottom w:val="none" w:sz="0" w:space="0" w:color="auto"/>
        <w:right w:val="none" w:sz="0" w:space="0" w:color="auto"/>
      </w:divBdr>
    </w:div>
    <w:div w:id="1150243422">
      <w:bodyDiv w:val="1"/>
      <w:marLeft w:val="0"/>
      <w:marRight w:val="0"/>
      <w:marTop w:val="0"/>
      <w:marBottom w:val="0"/>
      <w:divBdr>
        <w:top w:val="none" w:sz="0" w:space="0" w:color="auto"/>
        <w:left w:val="none" w:sz="0" w:space="0" w:color="auto"/>
        <w:bottom w:val="none" w:sz="0" w:space="0" w:color="auto"/>
        <w:right w:val="none" w:sz="0" w:space="0" w:color="auto"/>
      </w:divBdr>
    </w:div>
    <w:div w:id="1260020793">
      <w:bodyDiv w:val="1"/>
      <w:marLeft w:val="0"/>
      <w:marRight w:val="0"/>
      <w:marTop w:val="0"/>
      <w:marBottom w:val="0"/>
      <w:divBdr>
        <w:top w:val="none" w:sz="0" w:space="0" w:color="auto"/>
        <w:left w:val="none" w:sz="0" w:space="0" w:color="auto"/>
        <w:bottom w:val="none" w:sz="0" w:space="0" w:color="auto"/>
        <w:right w:val="none" w:sz="0" w:space="0" w:color="auto"/>
      </w:divBdr>
    </w:div>
    <w:div w:id="1325932960">
      <w:bodyDiv w:val="1"/>
      <w:marLeft w:val="0"/>
      <w:marRight w:val="0"/>
      <w:marTop w:val="0"/>
      <w:marBottom w:val="0"/>
      <w:divBdr>
        <w:top w:val="none" w:sz="0" w:space="0" w:color="auto"/>
        <w:left w:val="none" w:sz="0" w:space="0" w:color="auto"/>
        <w:bottom w:val="none" w:sz="0" w:space="0" w:color="auto"/>
        <w:right w:val="none" w:sz="0" w:space="0" w:color="auto"/>
      </w:divBdr>
    </w:div>
    <w:div w:id="1339892374">
      <w:bodyDiv w:val="1"/>
      <w:marLeft w:val="0"/>
      <w:marRight w:val="0"/>
      <w:marTop w:val="0"/>
      <w:marBottom w:val="0"/>
      <w:divBdr>
        <w:top w:val="none" w:sz="0" w:space="0" w:color="auto"/>
        <w:left w:val="none" w:sz="0" w:space="0" w:color="auto"/>
        <w:bottom w:val="none" w:sz="0" w:space="0" w:color="auto"/>
        <w:right w:val="none" w:sz="0" w:space="0" w:color="auto"/>
      </w:divBdr>
    </w:div>
    <w:div w:id="1376390760">
      <w:bodyDiv w:val="1"/>
      <w:marLeft w:val="0"/>
      <w:marRight w:val="0"/>
      <w:marTop w:val="0"/>
      <w:marBottom w:val="0"/>
      <w:divBdr>
        <w:top w:val="none" w:sz="0" w:space="0" w:color="auto"/>
        <w:left w:val="none" w:sz="0" w:space="0" w:color="auto"/>
        <w:bottom w:val="none" w:sz="0" w:space="0" w:color="auto"/>
        <w:right w:val="none" w:sz="0" w:space="0" w:color="auto"/>
      </w:divBdr>
    </w:div>
    <w:div w:id="1443770384">
      <w:bodyDiv w:val="1"/>
      <w:marLeft w:val="0"/>
      <w:marRight w:val="0"/>
      <w:marTop w:val="0"/>
      <w:marBottom w:val="0"/>
      <w:divBdr>
        <w:top w:val="none" w:sz="0" w:space="0" w:color="auto"/>
        <w:left w:val="none" w:sz="0" w:space="0" w:color="auto"/>
        <w:bottom w:val="none" w:sz="0" w:space="0" w:color="auto"/>
        <w:right w:val="none" w:sz="0" w:space="0" w:color="auto"/>
      </w:divBdr>
    </w:div>
    <w:div w:id="1465081539">
      <w:bodyDiv w:val="1"/>
      <w:marLeft w:val="0"/>
      <w:marRight w:val="0"/>
      <w:marTop w:val="0"/>
      <w:marBottom w:val="0"/>
      <w:divBdr>
        <w:top w:val="none" w:sz="0" w:space="0" w:color="auto"/>
        <w:left w:val="none" w:sz="0" w:space="0" w:color="auto"/>
        <w:bottom w:val="none" w:sz="0" w:space="0" w:color="auto"/>
        <w:right w:val="none" w:sz="0" w:space="0" w:color="auto"/>
      </w:divBdr>
    </w:div>
    <w:div w:id="1533035729">
      <w:bodyDiv w:val="1"/>
      <w:marLeft w:val="0"/>
      <w:marRight w:val="0"/>
      <w:marTop w:val="0"/>
      <w:marBottom w:val="0"/>
      <w:divBdr>
        <w:top w:val="none" w:sz="0" w:space="0" w:color="auto"/>
        <w:left w:val="none" w:sz="0" w:space="0" w:color="auto"/>
        <w:bottom w:val="none" w:sz="0" w:space="0" w:color="auto"/>
        <w:right w:val="none" w:sz="0" w:space="0" w:color="auto"/>
      </w:divBdr>
    </w:div>
    <w:div w:id="1621716811">
      <w:bodyDiv w:val="1"/>
      <w:marLeft w:val="0"/>
      <w:marRight w:val="0"/>
      <w:marTop w:val="0"/>
      <w:marBottom w:val="0"/>
      <w:divBdr>
        <w:top w:val="none" w:sz="0" w:space="0" w:color="auto"/>
        <w:left w:val="none" w:sz="0" w:space="0" w:color="auto"/>
        <w:bottom w:val="none" w:sz="0" w:space="0" w:color="auto"/>
        <w:right w:val="none" w:sz="0" w:space="0" w:color="auto"/>
      </w:divBdr>
    </w:div>
    <w:div w:id="1705473428">
      <w:bodyDiv w:val="1"/>
      <w:marLeft w:val="0"/>
      <w:marRight w:val="0"/>
      <w:marTop w:val="0"/>
      <w:marBottom w:val="0"/>
      <w:divBdr>
        <w:top w:val="none" w:sz="0" w:space="0" w:color="auto"/>
        <w:left w:val="none" w:sz="0" w:space="0" w:color="auto"/>
        <w:bottom w:val="none" w:sz="0" w:space="0" w:color="auto"/>
        <w:right w:val="none" w:sz="0" w:space="0" w:color="auto"/>
      </w:divBdr>
    </w:div>
    <w:div w:id="1758095812">
      <w:bodyDiv w:val="1"/>
      <w:marLeft w:val="0"/>
      <w:marRight w:val="0"/>
      <w:marTop w:val="0"/>
      <w:marBottom w:val="0"/>
      <w:divBdr>
        <w:top w:val="none" w:sz="0" w:space="0" w:color="auto"/>
        <w:left w:val="none" w:sz="0" w:space="0" w:color="auto"/>
        <w:bottom w:val="none" w:sz="0" w:space="0" w:color="auto"/>
        <w:right w:val="none" w:sz="0" w:space="0" w:color="auto"/>
      </w:divBdr>
    </w:div>
    <w:div w:id="1778911523">
      <w:bodyDiv w:val="1"/>
      <w:marLeft w:val="0"/>
      <w:marRight w:val="0"/>
      <w:marTop w:val="0"/>
      <w:marBottom w:val="0"/>
      <w:divBdr>
        <w:top w:val="none" w:sz="0" w:space="0" w:color="auto"/>
        <w:left w:val="none" w:sz="0" w:space="0" w:color="auto"/>
        <w:bottom w:val="none" w:sz="0" w:space="0" w:color="auto"/>
        <w:right w:val="none" w:sz="0" w:space="0" w:color="auto"/>
      </w:divBdr>
    </w:div>
    <w:div w:id="1781799367">
      <w:bodyDiv w:val="1"/>
      <w:marLeft w:val="0"/>
      <w:marRight w:val="0"/>
      <w:marTop w:val="0"/>
      <w:marBottom w:val="0"/>
      <w:divBdr>
        <w:top w:val="none" w:sz="0" w:space="0" w:color="auto"/>
        <w:left w:val="none" w:sz="0" w:space="0" w:color="auto"/>
        <w:bottom w:val="none" w:sz="0" w:space="0" w:color="auto"/>
        <w:right w:val="none" w:sz="0" w:space="0" w:color="auto"/>
      </w:divBdr>
    </w:div>
    <w:div w:id="1790587664">
      <w:bodyDiv w:val="1"/>
      <w:marLeft w:val="0"/>
      <w:marRight w:val="0"/>
      <w:marTop w:val="0"/>
      <w:marBottom w:val="0"/>
      <w:divBdr>
        <w:top w:val="none" w:sz="0" w:space="0" w:color="auto"/>
        <w:left w:val="none" w:sz="0" w:space="0" w:color="auto"/>
        <w:bottom w:val="none" w:sz="0" w:space="0" w:color="auto"/>
        <w:right w:val="none" w:sz="0" w:space="0" w:color="auto"/>
      </w:divBdr>
    </w:div>
    <w:div w:id="1800873086">
      <w:bodyDiv w:val="1"/>
      <w:marLeft w:val="0"/>
      <w:marRight w:val="0"/>
      <w:marTop w:val="0"/>
      <w:marBottom w:val="0"/>
      <w:divBdr>
        <w:top w:val="none" w:sz="0" w:space="0" w:color="auto"/>
        <w:left w:val="none" w:sz="0" w:space="0" w:color="auto"/>
        <w:bottom w:val="none" w:sz="0" w:space="0" w:color="auto"/>
        <w:right w:val="none" w:sz="0" w:space="0" w:color="auto"/>
      </w:divBdr>
    </w:div>
    <w:div w:id="1851793056">
      <w:bodyDiv w:val="1"/>
      <w:marLeft w:val="0"/>
      <w:marRight w:val="0"/>
      <w:marTop w:val="0"/>
      <w:marBottom w:val="0"/>
      <w:divBdr>
        <w:top w:val="none" w:sz="0" w:space="0" w:color="auto"/>
        <w:left w:val="none" w:sz="0" w:space="0" w:color="auto"/>
        <w:bottom w:val="none" w:sz="0" w:space="0" w:color="auto"/>
        <w:right w:val="none" w:sz="0" w:space="0" w:color="auto"/>
      </w:divBdr>
    </w:div>
    <w:div w:id="1852143753">
      <w:bodyDiv w:val="1"/>
      <w:marLeft w:val="0"/>
      <w:marRight w:val="0"/>
      <w:marTop w:val="0"/>
      <w:marBottom w:val="0"/>
      <w:divBdr>
        <w:top w:val="none" w:sz="0" w:space="0" w:color="auto"/>
        <w:left w:val="none" w:sz="0" w:space="0" w:color="auto"/>
        <w:bottom w:val="none" w:sz="0" w:space="0" w:color="auto"/>
        <w:right w:val="none" w:sz="0" w:space="0" w:color="auto"/>
      </w:divBdr>
    </w:div>
    <w:div w:id="1852261064">
      <w:bodyDiv w:val="1"/>
      <w:marLeft w:val="0"/>
      <w:marRight w:val="0"/>
      <w:marTop w:val="0"/>
      <w:marBottom w:val="0"/>
      <w:divBdr>
        <w:top w:val="none" w:sz="0" w:space="0" w:color="auto"/>
        <w:left w:val="none" w:sz="0" w:space="0" w:color="auto"/>
        <w:bottom w:val="none" w:sz="0" w:space="0" w:color="auto"/>
        <w:right w:val="none" w:sz="0" w:space="0" w:color="auto"/>
      </w:divBdr>
    </w:div>
    <w:div w:id="1875077498">
      <w:bodyDiv w:val="1"/>
      <w:marLeft w:val="0"/>
      <w:marRight w:val="0"/>
      <w:marTop w:val="0"/>
      <w:marBottom w:val="0"/>
      <w:divBdr>
        <w:top w:val="none" w:sz="0" w:space="0" w:color="auto"/>
        <w:left w:val="none" w:sz="0" w:space="0" w:color="auto"/>
        <w:bottom w:val="none" w:sz="0" w:space="0" w:color="auto"/>
        <w:right w:val="none" w:sz="0" w:space="0" w:color="auto"/>
      </w:divBdr>
    </w:div>
    <w:div w:id="1921409159">
      <w:bodyDiv w:val="1"/>
      <w:marLeft w:val="0"/>
      <w:marRight w:val="0"/>
      <w:marTop w:val="0"/>
      <w:marBottom w:val="0"/>
      <w:divBdr>
        <w:top w:val="none" w:sz="0" w:space="0" w:color="auto"/>
        <w:left w:val="none" w:sz="0" w:space="0" w:color="auto"/>
        <w:bottom w:val="none" w:sz="0" w:space="0" w:color="auto"/>
        <w:right w:val="none" w:sz="0" w:space="0" w:color="auto"/>
      </w:divBdr>
    </w:div>
    <w:div w:id="1962223200">
      <w:bodyDiv w:val="1"/>
      <w:marLeft w:val="0"/>
      <w:marRight w:val="0"/>
      <w:marTop w:val="0"/>
      <w:marBottom w:val="0"/>
      <w:divBdr>
        <w:top w:val="none" w:sz="0" w:space="0" w:color="auto"/>
        <w:left w:val="none" w:sz="0" w:space="0" w:color="auto"/>
        <w:bottom w:val="none" w:sz="0" w:space="0" w:color="auto"/>
        <w:right w:val="none" w:sz="0" w:space="0" w:color="auto"/>
      </w:divBdr>
    </w:div>
    <w:div w:id="1997417308">
      <w:bodyDiv w:val="1"/>
      <w:marLeft w:val="0"/>
      <w:marRight w:val="0"/>
      <w:marTop w:val="0"/>
      <w:marBottom w:val="0"/>
      <w:divBdr>
        <w:top w:val="none" w:sz="0" w:space="0" w:color="auto"/>
        <w:left w:val="none" w:sz="0" w:space="0" w:color="auto"/>
        <w:bottom w:val="none" w:sz="0" w:space="0" w:color="auto"/>
        <w:right w:val="none" w:sz="0" w:space="0" w:color="auto"/>
      </w:divBdr>
    </w:div>
    <w:div w:id="2010792693">
      <w:bodyDiv w:val="1"/>
      <w:marLeft w:val="0"/>
      <w:marRight w:val="0"/>
      <w:marTop w:val="0"/>
      <w:marBottom w:val="0"/>
      <w:divBdr>
        <w:top w:val="none" w:sz="0" w:space="0" w:color="auto"/>
        <w:left w:val="none" w:sz="0" w:space="0" w:color="auto"/>
        <w:bottom w:val="none" w:sz="0" w:space="0" w:color="auto"/>
        <w:right w:val="none" w:sz="0" w:space="0" w:color="auto"/>
      </w:divBdr>
    </w:div>
    <w:div w:id="2043940818">
      <w:bodyDiv w:val="1"/>
      <w:marLeft w:val="0"/>
      <w:marRight w:val="0"/>
      <w:marTop w:val="0"/>
      <w:marBottom w:val="0"/>
      <w:divBdr>
        <w:top w:val="none" w:sz="0" w:space="0" w:color="auto"/>
        <w:left w:val="none" w:sz="0" w:space="0" w:color="auto"/>
        <w:bottom w:val="none" w:sz="0" w:space="0" w:color="auto"/>
        <w:right w:val="none" w:sz="0" w:space="0" w:color="auto"/>
      </w:divBdr>
    </w:div>
    <w:div w:id="2114394663">
      <w:bodyDiv w:val="1"/>
      <w:marLeft w:val="0"/>
      <w:marRight w:val="0"/>
      <w:marTop w:val="0"/>
      <w:marBottom w:val="0"/>
      <w:divBdr>
        <w:top w:val="none" w:sz="0" w:space="0" w:color="auto"/>
        <w:left w:val="none" w:sz="0" w:space="0" w:color="auto"/>
        <w:bottom w:val="none" w:sz="0" w:space="0" w:color="auto"/>
        <w:right w:val="none" w:sz="0" w:space="0" w:color="auto"/>
      </w:divBdr>
    </w:div>
    <w:div w:id="2129812134">
      <w:bodyDiv w:val="1"/>
      <w:marLeft w:val="0"/>
      <w:marRight w:val="0"/>
      <w:marTop w:val="0"/>
      <w:marBottom w:val="0"/>
      <w:divBdr>
        <w:top w:val="none" w:sz="0" w:space="0" w:color="auto"/>
        <w:left w:val="none" w:sz="0" w:space="0" w:color="auto"/>
        <w:bottom w:val="none" w:sz="0" w:space="0" w:color="auto"/>
        <w:right w:val="none" w:sz="0" w:space="0" w:color="auto"/>
      </w:divBdr>
    </w:div>
    <w:div w:id="213552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5.emf" Id="rId13" /><Relationship Type="http://schemas.openxmlformats.org/officeDocument/2006/relationships/image" Target="media/image6.emf" Id="rId18" /><Relationship Type="http://schemas.openxmlformats.org/officeDocument/2006/relationships/hyperlink" Target="http://www.greendealduurzamezorg.nl" TargetMode="External" Id="rId26" /><Relationship Type="http://schemas.openxmlformats.org/officeDocument/2006/relationships/hyperlink" Target="https://www.vzinfo.nl/roken/volwassenen" TargetMode="External" Id="rId39" /><Relationship Type="http://schemas.openxmlformats.org/officeDocument/2006/relationships/hyperlink" Target="https://www.vzinfo.nl/acute-zorg/regionaal/seh" TargetMode="External" Id="rId21" /><Relationship Type="http://schemas.openxmlformats.org/officeDocument/2006/relationships/chart" Target="charts/chart1.xml" Id="rId34" /><Relationship Type="http://schemas.openxmlformats.org/officeDocument/2006/relationships/image" Target="media/image7.png" Id="rId42" /><Relationship Type="http://schemas.openxmlformats.org/officeDocument/2006/relationships/footer" Target="footer2.xml" Id="rId47"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puc.overheid.nl/nza/" TargetMode="External" Id="rId16" /><Relationship Type="http://schemas.openxmlformats.org/officeDocument/2006/relationships/hyperlink" Target="https://www.monitorlangdurigezorg.nl/publicaties/maatwerk-publicaties/2025/09/22/wlz-gebruik-naar-leveringsvorm-in-en-uitstroom-per-week-2020-wk-2-2025-wk-35" TargetMode="External" Id="rId29" /><Relationship Type="http://schemas.openxmlformats.org/officeDocument/2006/relationships/image" Target="media/image4.png" Id="rId11" /><Relationship Type="http://schemas.openxmlformats.org/officeDocument/2006/relationships/hyperlink" Target="https://www.staatvenz.nl/kerncijfers/overgewicht-jongeren" TargetMode="External" Id="rId24" /><Relationship Type="http://schemas.openxmlformats.org/officeDocument/2006/relationships/hyperlink" Target="https://www.cbs.nl/nl-nl/nieuws/2024/45/prognose-levensverwachting-65-jarigen-20-96-jaar-in-2030" TargetMode="External" Id="rId32" /><Relationship Type="http://schemas.openxmlformats.org/officeDocument/2006/relationships/hyperlink" Target="https://opendata.cbs.nl/" TargetMode="External" Id="rId37" /><Relationship Type="http://schemas.openxmlformats.org/officeDocument/2006/relationships/hyperlink" Target="https://www.vzinfo.nl/longkanker" TargetMode="External" Id="rId40" /><Relationship Type="http://schemas.openxmlformats.org/officeDocument/2006/relationships/image" Target="media/image10.emf" Id="rId45" /><Relationship Type="http://schemas.openxmlformats.org/officeDocument/2006/relationships/webSettings" Target="webSettings.xml" Id="rId5" /><Relationship Type="http://schemas.openxmlformats.org/officeDocument/2006/relationships/hyperlink" Target="http://www.staatvenz.nl" TargetMode="External" Id="rId15" /><Relationship Type="http://schemas.openxmlformats.org/officeDocument/2006/relationships/hyperlink" Target="http://www.werkeninhetwater.nl" TargetMode="External" Id="rId23" /><Relationship Type="http://schemas.openxmlformats.org/officeDocument/2006/relationships/hyperlink" Target="https://www.rijksoverheid.nl/documenten/rapporten/2024/12/19/rapport-vws-landelijk-leeftijdsgrens" TargetMode="External" Id="rId28" /><Relationship Type="http://schemas.openxmlformats.org/officeDocument/2006/relationships/hyperlink" Target="https://www.zorgcijfersdatabank.nl/toelichting/wachtlijstinformatie/wachtlijsten-landelijk-niveau" TargetMode="External" Id="rId36" /><Relationship Type="http://schemas.openxmlformats.org/officeDocument/2006/relationships/theme" Target="theme/theme1.xml" Id="rId49" /><Relationship Type="http://schemas.openxmlformats.org/officeDocument/2006/relationships/image" Target="media/image3.emf" Id="rId10" /><Relationship Type="http://schemas.openxmlformats.org/officeDocument/2006/relationships/hyperlink" Target="https://opendata.cbs.nl/" TargetMode="External" Id="rId19" /><Relationship Type="http://schemas.openxmlformats.org/officeDocument/2006/relationships/hyperlink" Target="https://www.zorgcijfersdatabank.nl/toelichting/verblijfsduur-wlz" TargetMode="External" Id="rId31" /><Relationship Type="http://schemas.openxmlformats.org/officeDocument/2006/relationships/image" Target="media/image9.emf" Id="rId44" /><Relationship Type="http://schemas.openxmlformats.org/officeDocument/2006/relationships/settings" Target="settings.xml" Id="rId4" /><Relationship Type="http://schemas.openxmlformats.org/officeDocument/2006/relationships/image" Target="media/image2.emf" Id="rId9" /><Relationship Type="http://schemas.openxmlformats.org/officeDocument/2006/relationships/hyperlink" Target="https://opendata.cbs.nl/statline/" TargetMode="External" Id="rId14" /><Relationship Type="http://schemas.openxmlformats.org/officeDocument/2006/relationships/hyperlink" Target="https://www.vzinfo.nl/acute-zorg-regionaal/acute-verloskunde" TargetMode="External" Id="rId22" /><Relationship Type="http://schemas.openxmlformats.org/officeDocument/2006/relationships/hyperlink" Target="http://www.vergroendezorg.nl" TargetMode="External" Id="rId27" /><Relationship Type="http://schemas.openxmlformats.org/officeDocument/2006/relationships/hyperlink" Target="https://www.monitorlangdurigezorg.nl/publicaties/maatwerk-publicaties/2024/02/21/aantal-wlz-opnamedagen-van-personen-die-in-2022-overleden-zijn" TargetMode="External" Id="rId30" /><Relationship Type="http://schemas.openxmlformats.org/officeDocument/2006/relationships/hyperlink" Target="https://palliaweb.nl/onderzoek/kerncijfers-palliatieve-zorg/kerncijfers-behoefte-aan-palliatieve-zorg" TargetMode="External" Id="rId35" /><Relationship Type="http://schemas.openxmlformats.org/officeDocument/2006/relationships/image" Target="media/image8.emf" Id="rId43" /><Relationship Type="http://schemas.openxmlformats.org/officeDocument/2006/relationships/fontTable" Target="fontTable.xml" Id="rId48" /><Relationship Type="http://schemas.openxmlformats.org/officeDocument/2006/relationships/image" Target="media/image1.emf" Id="rId8" /><Relationship Type="http://schemas.openxmlformats.org/officeDocument/2006/relationships/styles" Target="styles.xml" Id="rId3" /><Relationship Type="http://schemas.openxmlformats.org/officeDocument/2006/relationships/image" Target="cid:image001.png@01DC4371.016390A0" TargetMode="External" Id="rId12" /><Relationship Type="http://schemas.openxmlformats.org/officeDocument/2006/relationships/hyperlink" Target="https://www.zorgcijfersdatabank.nl/toelichting/wachtlijstinformatie/wachtlijsten-landelijk-niveau" TargetMode="External" Id="rId17" /><Relationship Type="http://schemas.openxmlformats.org/officeDocument/2006/relationships/hyperlink" Target="https://www.staatvenz.nl/kerncijfers/overgewicht-volwassenen" TargetMode="External" Id="rId25" /><Relationship Type="http://schemas.openxmlformats.org/officeDocument/2006/relationships/hyperlink" Target="https://www.zorgcijfersdatabank.nl/toelichting/verblijfsduur-wlz" TargetMode="External" Id="rId33" /><Relationship Type="http://schemas.openxmlformats.org/officeDocument/2006/relationships/hyperlink" Target="https://opendata.cbs.nl/" TargetMode="External" Id="rId38" /><Relationship Type="http://schemas.openxmlformats.org/officeDocument/2006/relationships/footer" Target="footer1.xml" Id="rId46" /><Relationship Type="http://schemas.openxmlformats.org/officeDocument/2006/relationships/hyperlink" Target="https://opendata.cbs.nl/" TargetMode="External" Id="rId20" /><Relationship Type="http://schemas.openxmlformats.org/officeDocument/2006/relationships/hyperlink" Target="https://www.vzinfo.nl/hart-en-vaatziekten" TargetMode="External" Id="rId41" /><Relationship Type="http://schemas.openxmlformats.org/officeDocument/2006/relationships/footnotes" Target="footnotes.xml" Id="rId6" /></Relationships>
</file>

<file path=word/_rels/footnotes.xml.rels><?xml version="1.0" encoding="UTF-8" standalone="yes"?>
<Relationships xmlns="http://schemas.openxmlformats.org/package/2006/relationships"><Relationship Id="rId26" Type="http://schemas.openxmlformats.org/officeDocument/2006/relationships/hyperlink" Target="https://www.staatvenz.nl/kerncijfers/rijksvaccinatieprogramma-rvp-deelname-zuigelingen" TargetMode="External"/><Relationship Id="rId21" Type="http://schemas.openxmlformats.org/officeDocument/2006/relationships/hyperlink" Target="https://bmcpublichealth.biomedcentral.com/articles/10.1186/s12889-021-12449-2" TargetMode="External"/><Relationship Id="rId42" Type="http://schemas.openxmlformats.org/officeDocument/2006/relationships/hyperlink" Target="https://opendata.cbs.nl/statline/" TargetMode="External"/><Relationship Id="rId47" Type="http://schemas.openxmlformats.org/officeDocument/2006/relationships/hyperlink" Target="https://aic4nl.nl/deelnemers/" TargetMode="External"/><Relationship Id="rId63" Type="http://schemas.openxmlformats.org/officeDocument/2006/relationships/hyperlink" Target="https://www.zonmw.nl/nl/programma/kennisprogramma-pandemische-paraatheid" TargetMode="External"/><Relationship Id="rId68" Type="http://schemas.openxmlformats.org/officeDocument/2006/relationships/hyperlink" Target="https://www.zonmw.nl/nl/programma/covid-19-programma" TargetMode="External"/><Relationship Id="rId16" Type="http://schemas.openxmlformats.org/officeDocument/2006/relationships/hyperlink" Target="https://www.zorginstituutnederland.nl/documenten/2024/10/23/rapport-kostenanalyse-mondzorg-volwassenen" TargetMode="External"/><Relationship Id="rId11" Type="http://schemas.openxmlformats.org/officeDocument/2006/relationships/hyperlink" Target="https://www.rijksoverheid.nl/documenten/rapporten/2020/07/01/zorgkeuzes-in-kaart" TargetMode="External"/><Relationship Id="rId32" Type="http://schemas.openxmlformats.org/officeDocument/2006/relationships/hyperlink" Target="https://m-pohl.net/Aims" TargetMode="External"/><Relationship Id="rId37" Type="http://schemas.openxmlformats.org/officeDocument/2006/relationships/hyperlink" Target="https://opendata.cbs.nl/statline/" TargetMode="External"/><Relationship Id="rId53" Type="http://schemas.openxmlformats.org/officeDocument/2006/relationships/hyperlink" Target="https://media.alzheimer-nederland.nl/s3fs-public/media/2025-03/documents/Rapport%20Dementiemonitor%20Bonaire%202025.pdf" TargetMode="External"/><Relationship Id="rId58" Type="http://schemas.openxmlformats.org/officeDocument/2006/relationships/hyperlink" Target="https://www.vzinfo.nl/hart-en-vaatziekten" TargetMode="External"/><Relationship Id="rId74" Type="http://schemas.openxmlformats.org/officeDocument/2006/relationships/hyperlink" Target="https://lcg.nl/lijst-kritieke-geneesmiddelen/" TargetMode="External"/><Relationship Id="rId79" Type="http://schemas.openxmlformats.org/officeDocument/2006/relationships/hyperlink" Target="https://www.rijksfinancien.nl/sites/default/files/kamerstuk_pdf/kst-36725-XVI-2_0.pdf" TargetMode="External"/><Relationship Id="rId5" Type="http://schemas.openxmlformats.org/officeDocument/2006/relationships/hyperlink" Target="https://www.staatvenz.nl/kerncijfers/wachttijd-diagnostiek-medisch-specialistische-zorg-overschrijding-treeknorm-en-gemiddelde-wachttijd" TargetMode="External"/><Relationship Id="rId61" Type="http://schemas.openxmlformats.org/officeDocument/2006/relationships/hyperlink" Target="https://projecten.zonmw.nl/nl/project/turn-covid-nederlandse-cohort-studie-ter-evaluatie-van-het-gebruik-van-neutraliserende" TargetMode="External"/><Relationship Id="rId82" Type="http://schemas.openxmlformats.org/officeDocument/2006/relationships/hyperlink" Target="https://www.monitorlangdurigezorg.nl/publicaties/maatwerk-publicaties/2025/09/26/financiele-kengetallen-zorginstellingen" TargetMode="External"/><Relationship Id="rId19" Type="http://schemas.openxmlformats.org/officeDocument/2006/relationships/hyperlink" Target="https://projecten.zonmw.nl/nl/project/reclaim-minocycline-vs-placebo-reclaim-mp" TargetMode="External"/><Relationship Id="rId14" Type="http://schemas.openxmlformats.org/officeDocument/2006/relationships/hyperlink" Target="https://puc.overheid.nl/nza/doc/PUC_798729_22/" TargetMode="External"/><Relationship Id="rId22" Type="http://schemas.openxmlformats.org/officeDocument/2006/relationships/hyperlink" Target="https://www.vzinfo.nl/overgewicht/volwassenen" TargetMode="External"/><Relationship Id="rId27" Type="http://schemas.openxmlformats.org/officeDocument/2006/relationships/hyperlink" Target="https://pubmed.ncbi.nlm.nih.gov/23445541/" TargetMode="External"/><Relationship Id="rId30" Type="http://schemas.openxmlformats.org/officeDocument/2006/relationships/hyperlink" Target="https://pubmed.ncbi.nlm.nih.gov/23445541/" TargetMode="External"/><Relationship Id="rId35" Type="http://schemas.openxmlformats.org/officeDocument/2006/relationships/hyperlink" Target="https://www.volksgezondheidtoekomstverkenning.nl/vtv-2024/hoofdrapport" TargetMode="External"/><Relationship Id="rId43" Type="http://schemas.openxmlformats.org/officeDocument/2006/relationships/hyperlink" Target="https://www.rijksoverheid.nl/documenten/kamerstukken/2024/10/21/aanbiedingsbrief-nota-van-wijziging-op-ontwerpbegroting-van-het-ministerie-van-volksgezondheid-welzijn-en-sport-voor-het-jaar-2025" TargetMode="External"/><Relationship Id="rId48" Type="http://schemas.openxmlformats.org/officeDocument/2006/relationships/hyperlink" Target="https://bonairegov.com/nieuwsoverzicht/artikel/diensten-en-organisaties-ouderenzorg-bundelen-krachten-om-samen-kwaliteit-leven-ouderen-te-verhogen" TargetMode="External"/><Relationship Id="rId56" Type="http://schemas.openxmlformats.org/officeDocument/2006/relationships/hyperlink" Target="https://www.vzinfo.nl/roken/volwassenen" TargetMode="External"/><Relationship Id="rId64" Type="http://schemas.openxmlformats.org/officeDocument/2006/relationships/hyperlink" Target="https://projecten.zonmw.nl/nl/project/inrichting-van-een-organisatie-en-infrastructuur-voor-onderzoeksgroep-overstijgende" TargetMode="External"/><Relationship Id="rId69" Type="http://schemas.openxmlformats.org/officeDocument/2006/relationships/hyperlink" Target="https://projecten.zonmw.nl/nl/project/switching-covid-19-vaccines-solution-problems-multicentre-randomised-single-blind" TargetMode="External"/><Relationship Id="rId77" Type="http://schemas.openxmlformats.org/officeDocument/2006/relationships/hyperlink" Target="https://www.zorginstituutnederland.nl/documenten/2025/09/24/consultatiedocument-advies-over-vergoeden-van-geneesmiddelen-bij-allergie" TargetMode="External"/><Relationship Id="rId8" Type="http://schemas.openxmlformats.org/officeDocument/2006/relationships/hyperlink" Target="https://www.nivel.nl/nl/publicatie/burgers-over-inschrijving-bij-een-nieuwe-huisartsenpraktijk" TargetMode="External"/><Relationship Id="rId51" Type="http://schemas.openxmlformats.org/officeDocument/2006/relationships/hyperlink" Target="https://www.zonmw.nl/nl/nieuws/kwaliteit-van-leven-voor-mensen-met-dementie-op-de-cariben-verbeteren" TargetMode="External"/><Relationship Id="rId72" Type="http://schemas.openxmlformats.org/officeDocument/2006/relationships/hyperlink" Target="https://www.zonmw.nl/nl/programma/kennisprogramma-pandemische-paraatheid" TargetMode="External"/><Relationship Id="rId80" Type="http://schemas.openxmlformats.org/officeDocument/2006/relationships/hyperlink" Target="https://www.monitorlangdurigezorg.nl/publicaties/maatwerk-publicaties/2025/09/26/financiele-kengetallen-zorginstellingen" TargetMode="External"/><Relationship Id="rId3" Type="http://schemas.openxmlformats.org/officeDocument/2006/relationships/hyperlink" Target="https://opendata.cbs.nl/statline/" TargetMode="External"/><Relationship Id="rId12" Type="http://schemas.openxmlformats.org/officeDocument/2006/relationships/hyperlink" Target="https://www.cpb.nl/publicatie/keuzes-kaart-2027-2030" TargetMode="External"/><Relationship Id="rId17" Type="http://schemas.openxmlformats.org/officeDocument/2006/relationships/hyperlink" Target="https://www.zorginstituutnederland.nl/documenten/2024/10/23/rapport-kostenanalyse-mondzorg-volwassenen" TargetMode="External"/><Relationship Id="rId25" Type="http://schemas.openxmlformats.org/officeDocument/2006/relationships/hyperlink" Target="https://www.staatvenz.nl/kerncijfers/roken-jongeren" TargetMode="External"/><Relationship Id="rId33" Type="http://schemas.openxmlformats.org/officeDocument/2006/relationships/hyperlink" Target="https://hartslagnu.nl/wp-content/uploads/2024/11/Jaarverslag-2023_DEF.pdf" TargetMode="External"/><Relationship Id="rId38" Type="http://schemas.openxmlformats.org/officeDocument/2006/relationships/hyperlink" Target="https://opendata.cbs.nl/statline/" TargetMode="External"/><Relationship Id="rId46" Type="http://schemas.openxmlformats.org/officeDocument/2006/relationships/hyperlink" Target="https://www.rijksoverheid.nl/documenten/kamerstukken/2025/09/16/kamerbrief-over-definitieve-kaderbrief-wlz-2026-en-het-indicatieve-wlz-kader-voor-de-jaren-2027-2030" TargetMode="External"/><Relationship Id="rId59" Type="http://schemas.openxmlformats.org/officeDocument/2006/relationships/hyperlink" Target="https://www.zonmw.nl/nl/programma/covid-19-programma" TargetMode="External"/><Relationship Id="rId67" Type="http://schemas.openxmlformats.org/officeDocument/2006/relationships/hyperlink" Target="https://www.zonmw.nl/nl/programma/post-covid-onderzoeksprogramma-kennisinfrastructuur-en-expertisenetwerk" TargetMode="External"/><Relationship Id="rId20" Type="http://schemas.openxmlformats.org/officeDocument/2006/relationships/hyperlink" Target="https://www.rivm.nl/bibliotheek/rapporten/270751015.pdf" TargetMode="External"/><Relationship Id="rId41" Type="http://schemas.openxmlformats.org/officeDocument/2006/relationships/hyperlink" Target="https://open.overheid.nl/documenten/b4028ad7-aa52-45c1-9cc2-a083b5892db5/file" TargetMode="External"/><Relationship Id="rId54" Type="http://schemas.openxmlformats.org/officeDocument/2006/relationships/hyperlink" Target="https://lcg.nl/lijst-kritieke-geneesmiddelen/" TargetMode="External"/><Relationship Id="rId62" Type="http://schemas.openxmlformats.org/officeDocument/2006/relationships/hyperlink" Target="https://www.zonmw.nl/nl/onderzoek-naar-optimale-medisch-specialistische-zorg-bij-covid-19" TargetMode="External"/><Relationship Id="rId70" Type="http://schemas.openxmlformats.org/officeDocument/2006/relationships/hyperlink" Target="https://projecten.zonmw.nl/nl/project/turn-covid-nederlandse-cohort-studie-ter-evaluatie-van-het-gebruik-van-neutraliserende" TargetMode="External"/><Relationship Id="rId75" Type="http://schemas.openxmlformats.org/officeDocument/2006/relationships/hyperlink" Target="https://www.rijksoverheid.nl/documenten/rapporten/2025/07/01/uitvoeringsadvies-integrale-prestaties-verpleging-en-verzorging-wijkverpleging" TargetMode="External"/><Relationship Id="rId83" Type="http://schemas.openxmlformats.org/officeDocument/2006/relationships/hyperlink" Target="https://www.rekenkamer.nl/publicaties/rapporten/2025/04/02/focus-op-huisartsentekort" TargetMode="External"/><Relationship Id="rId1" Type="http://schemas.openxmlformats.org/officeDocument/2006/relationships/hyperlink" Target="https://dica.nl/registratie/obesitas-dato/" TargetMode="External"/><Relationship Id="rId6" Type="http://schemas.openxmlformats.org/officeDocument/2006/relationships/hyperlink" Target="https://www.staatvenz.nl/wachttijd-poliklinisch-consult-medisch-specialistische-zorg-overschrijding-treeknorm-en-gemiddelde" TargetMode="External"/><Relationship Id="rId15" Type="http://schemas.openxmlformats.org/officeDocument/2006/relationships/hyperlink" Target="https://www.rijksoverheid.nl/documenten/kamerstukken/2023/04/12/kamerbrief-over-overstapseizoen-2022-2023" TargetMode="External"/><Relationship Id="rId23" Type="http://schemas.openxmlformats.org/officeDocument/2006/relationships/hyperlink" Target="https://dica.nl/registratie/obesitas-dato/" TargetMode="External"/><Relationship Id="rId28" Type="http://schemas.openxmlformats.org/officeDocument/2006/relationships/hyperlink" Target="https://m-pohl.net/Aims" TargetMode="External"/><Relationship Id="rId36" Type="http://schemas.openxmlformats.org/officeDocument/2006/relationships/hyperlink" Target="https://opendata.cbs.nl/statline/" TargetMode="External"/><Relationship Id="rId49" Type="http://schemas.openxmlformats.org/officeDocument/2006/relationships/hyperlink" Target="https://ris.konsehoinsular.org/Agenda/Document/f9d57644-d2a0-44dc-ac8e-e57e11867ef0?documentId=f529ddce-f13a-4869-91e0-8963c250e49b&amp;agendaItemId=e360b6a1-3d23-4a3f-9ffd-abbf13504ef0" TargetMode="External"/><Relationship Id="rId57" Type="http://schemas.openxmlformats.org/officeDocument/2006/relationships/hyperlink" Target="https://www.vzinfo.nl/longkanker" TargetMode="External"/><Relationship Id="rId10" Type="http://schemas.openxmlformats.org/officeDocument/2006/relationships/hyperlink" Target="https://www.cbs.nl/nl-nl/longread/rapportages/2025/jeugdhulp-2024/1-jongeren-met-jeugdhulp" TargetMode="External"/><Relationship Id="rId31" Type="http://schemas.openxmlformats.org/officeDocument/2006/relationships/hyperlink" Target="https://pubmed.ncbi.nlm.nih.gov/25843827/" TargetMode="External"/><Relationship Id="rId44" Type="http://schemas.openxmlformats.org/officeDocument/2006/relationships/hyperlink" Target="https://www.zonmw.nl/nl/programma/vrouwspecifieke-gezondheid" TargetMode="External"/><Relationship Id="rId52" Type="http://schemas.openxmlformats.org/officeDocument/2006/relationships/hyperlink" Target="https://www.alzint.org/u/Beleidsplan-Dementie-Bonaire-2019-09-Webversion-Losse-paginas.pdf" TargetMode="External"/><Relationship Id="rId60" Type="http://schemas.openxmlformats.org/officeDocument/2006/relationships/hyperlink" Target="https://projecten.zonmw.nl/nl/project/switching-covid-19-vaccines-solution-problems-multicentre-randomised-single-blind" TargetMode="External"/><Relationship Id="rId65" Type="http://schemas.openxmlformats.org/officeDocument/2006/relationships/hyperlink" Target="https://www.zonmw.nl/nl/nieuws/consortia-ncoh-en-beprepared-ontvangen-aanvullende-financiering" TargetMode="External"/><Relationship Id="rId73" Type="http://schemas.openxmlformats.org/officeDocument/2006/relationships/hyperlink" Target="https://www.zonmw.nl/nl/nieuws/consortia-ncoh-en-beprepared-ontvangen-aanvullende-financiering" TargetMode="External"/><Relationship Id="rId78" Type="http://schemas.openxmlformats.org/officeDocument/2006/relationships/hyperlink" Target="https://www.rijksoverheid.nl/documenten/kamerstukken/2024/12/16/kamerbrief-over-nivel-kennisvraag-kenmerken-van-mensen-die-afzien-van-zorg-om-financiele-redenen" TargetMode="External"/><Relationship Id="rId81" Type="http://schemas.openxmlformats.org/officeDocument/2006/relationships/hyperlink" Target="https://www.rijksoverheid.nl/documenten/publicaties/2022/01/10/budgettaire-bijlage-coalitieakkoord-2021-2025" TargetMode="External"/><Relationship Id="rId4" Type="http://schemas.openxmlformats.org/officeDocument/2006/relationships/hyperlink" Target="https://www.staatvenz.nl/kerncijfers/wachttijd-behandeling-medisch-specialistische-zorg-overschrijding-treeknorm-en-gemiddelde-wachttijd" TargetMode="External"/><Relationship Id="rId9" Type="http://schemas.openxmlformats.org/officeDocument/2006/relationships/hyperlink" Target="https://www.jeugdautoriteit.nl/documenten/2025/07/14/monitor-jeugdzorgplus-peildatum-31-maart-2025" TargetMode="External"/><Relationship Id="rId13" Type="http://schemas.openxmlformats.org/officeDocument/2006/relationships/hyperlink" Target="https://www.cbs.nl/nl-nl/maatwerk/2025/40/azw-uitkomsten-werknemersenquete-2e-kwartaal-2025" TargetMode="External"/><Relationship Id="rId18" Type="http://schemas.openxmlformats.org/officeDocument/2006/relationships/hyperlink" Target="https://www.zonmw.nl/nl/programma/post-covid-onderzoeksprogramma-kennisinfrastructuur-en-expertisenetwerk" TargetMode="External"/><Relationship Id="rId39" Type="http://schemas.openxmlformats.org/officeDocument/2006/relationships/hyperlink" Target="https://www.volksgezondheidtoekomstverkenning.nl/vtv-2024/hoofdrapport" TargetMode="External"/><Relationship Id="rId34" Type="http://schemas.openxmlformats.org/officeDocument/2006/relationships/hyperlink" Target="https://www.zorginstituutnederland.nl/documenten/2024/10/23/rapport-kostenanalyse-mondzorg-volwassenen" TargetMode="External"/><Relationship Id="rId50" Type="http://schemas.openxmlformats.org/officeDocument/2006/relationships/hyperlink" Target="https://www.rijksdienstcn.com/actueel/nieuws/2024/december/06/wijziging-aansprakenpakket-zorgverzekering-caribisch-nederland-per-1-januari-2025" TargetMode="External"/><Relationship Id="rId55" Type="http://schemas.openxmlformats.org/officeDocument/2006/relationships/hyperlink" Target="https://lcg.nl/lijst-kritieke-geneesmiddelen/" TargetMode="External"/><Relationship Id="rId76" Type="http://schemas.openxmlformats.org/officeDocument/2006/relationships/hyperlink" Target="https://www.rijksoverheid.nl/documenten/rapporten/2025/07/01/uitvoeringsadvies-integrale-prestaties-verpleging-en-verzorging-wijkverpleging" TargetMode="External"/><Relationship Id="rId7" Type="http://schemas.openxmlformats.org/officeDocument/2006/relationships/hyperlink" Target="https://www.rekenkamer.nl/publicaties/rapporten/2025/04/02/focus-op-huisartsentekort" TargetMode="External"/><Relationship Id="rId71" Type="http://schemas.openxmlformats.org/officeDocument/2006/relationships/hyperlink" Target="https://www.zonmw.nl/nl/onderzoek-naar-optimale-medisch-specialistische-zorg-bij-covid-19" TargetMode="External"/><Relationship Id="rId2" Type="http://schemas.openxmlformats.org/officeDocument/2006/relationships/hyperlink" Target="https://opendata.cbs.nl/statline/" TargetMode="External"/><Relationship Id="rId29" Type="http://schemas.openxmlformats.org/officeDocument/2006/relationships/hyperlink" Target="https://www.nivel.nl/sites/default/files/bestanden/1004587.pdf" TargetMode="External"/><Relationship Id="rId24" Type="http://schemas.openxmlformats.org/officeDocument/2006/relationships/hyperlink" Target="https://www.staatvenz.nl/kerncijfers/roken" TargetMode="External"/><Relationship Id="rId40" Type="http://schemas.openxmlformats.org/officeDocument/2006/relationships/hyperlink" Target="https://open.overheid.nl/documenten/9475cbe6-2df0-4464-8e73-59b09945fe2f/file" TargetMode="External"/><Relationship Id="rId45" Type="http://schemas.openxmlformats.org/officeDocument/2006/relationships/hyperlink" Target="file:///H:\Downloads\Registratierapportage-VPTZ-AHzN-2024-aug-2025%20(1).pdf" TargetMode="External"/><Relationship Id="rId66" Type="http://schemas.openxmlformats.org/officeDocument/2006/relationships/hyperlink" Target="https://cordis.europa.eu/project/id/101226682"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frd.shsdir.nl\orgData\VWS\DLZ\Teams\Team%20Gehandicaptenzorg\Beleid\Toekomstagenda\1.%20Complexe%20Zorg\0.%20Parlementair\2025\202510%20begroting\Kopie%20van%20Ontwikkeling%20aantal%20zzp-cli&#235;nten%20met%20een%20beperking%20en%20gedragspoblematiek%20(2015-2025).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sz="1400" b="0" i="0" u="none" strike="noStrike" kern="1200" spc="0" baseline="0">
                <a:solidFill>
                  <a:sysClr val="windowText" lastClr="000000">
                    <a:lumMod val="65000"/>
                    <a:lumOff val="35000"/>
                  </a:sysClr>
                </a:solidFill>
                <a:latin typeface="+mn-lt"/>
                <a:ea typeface="+mn-ea"/>
                <a:cs typeface="+mn-cs"/>
              </a:defRPr>
            </a:pPr>
            <a:r>
              <a:rPr lang="en-US" sz="1400" b="0" i="0" u="none" strike="noStrike" kern="1200" spc="0" baseline="0">
                <a:solidFill>
                  <a:sysClr val="windowText" lastClr="000000">
                    <a:lumMod val="65000"/>
                    <a:lumOff val="35000"/>
                  </a:sysClr>
                </a:solidFill>
              </a:rPr>
              <a:t>Ontwikkeling aantal mensen met VG6 en VG7 (2015-2025)</a:t>
            </a:r>
          </a:p>
        </c:rich>
      </c:tx>
      <c:overlay val="0"/>
      <c:spPr>
        <a:noFill/>
        <a:ln>
          <a:noFill/>
        </a:ln>
        <a:effectLst/>
      </c:spPr>
    </c:title>
    <c:autoTitleDeleted val="0"/>
    <c:plotArea>
      <c:layout/>
      <c:lineChart>
        <c:grouping val="standard"/>
        <c:varyColors val="0"/>
        <c:ser>
          <c:idx val="0"/>
          <c:order val="0"/>
          <c:tx>
            <c:strRef>
              <c:f>Blad1!$B$17</c:f>
              <c:strCache>
                <c:ptCount val="1"/>
                <c:pt idx="0">
                  <c:v>Totaal</c:v>
                </c:pt>
              </c:strCache>
            </c:strRef>
          </c:tx>
          <c:spPr>
            <a:ln w="44450" cap="rnd">
              <a:solidFill>
                <a:schemeClr val="accent1"/>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37C5-47A3-A0C6-CFF861085001}"/>
                </c:ext>
              </c:extLst>
            </c:dLbl>
            <c:dLbl>
              <c:idx val="3"/>
              <c:delete val="1"/>
              <c:extLst>
                <c:ext xmlns:c15="http://schemas.microsoft.com/office/drawing/2012/chart" uri="{CE6537A1-D6FC-4f65-9D91-7224C49458BB}"/>
                <c:ext xmlns:c16="http://schemas.microsoft.com/office/drawing/2014/chart" uri="{C3380CC4-5D6E-409C-BE32-E72D297353CC}">
                  <c16:uniqueId val="{00000001-37C5-47A3-A0C6-CFF861085001}"/>
                </c:ext>
              </c:extLst>
            </c:dLbl>
            <c:dLbl>
              <c:idx val="5"/>
              <c:delete val="1"/>
              <c:extLst>
                <c:ext xmlns:c15="http://schemas.microsoft.com/office/drawing/2012/chart" uri="{CE6537A1-D6FC-4f65-9D91-7224C49458BB}"/>
                <c:ext xmlns:c16="http://schemas.microsoft.com/office/drawing/2014/chart" uri="{C3380CC4-5D6E-409C-BE32-E72D297353CC}">
                  <c16:uniqueId val="{00000002-37C5-47A3-A0C6-CFF861085001}"/>
                </c:ext>
              </c:extLst>
            </c:dLbl>
            <c:dLbl>
              <c:idx val="7"/>
              <c:delete val="1"/>
              <c:extLst>
                <c:ext xmlns:c15="http://schemas.microsoft.com/office/drawing/2012/chart" uri="{CE6537A1-D6FC-4f65-9D91-7224C49458BB}"/>
                <c:ext xmlns:c16="http://schemas.microsoft.com/office/drawing/2014/chart" uri="{C3380CC4-5D6E-409C-BE32-E72D297353CC}">
                  <c16:uniqueId val="{00000003-37C5-47A3-A0C6-CFF861085001}"/>
                </c:ext>
              </c:extLst>
            </c:dLbl>
            <c:dLbl>
              <c:idx val="9"/>
              <c:delete val="1"/>
              <c:extLst>
                <c:ext xmlns:c15="http://schemas.microsoft.com/office/drawing/2012/chart" uri="{CE6537A1-D6FC-4f65-9D91-7224C49458BB}"/>
                <c:ext xmlns:c16="http://schemas.microsoft.com/office/drawing/2014/chart" uri="{C3380CC4-5D6E-409C-BE32-E72D297353CC}">
                  <c16:uniqueId val="{00000004-37C5-47A3-A0C6-CFF861085001}"/>
                </c:ext>
              </c:extLst>
            </c:dLbl>
            <c:spPr>
              <a:solidFill>
                <a:schemeClr val="accent2">
                  <a:lumMod val="60000"/>
                  <a:lumOff val="40000"/>
                </a:schemeClr>
              </a:solidFill>
              <a:ln>
                <a:noFill/>
              </a:ln>
              <a:effectLst/>
            </c:spPr>
            <c:txPr>
              <a:bodyPr rot="0" spcFirstLastPara="1" vertOverflow="ellipsis" vert="horz" wrap="square" lIns="108000" tIns="72000" rIns="1080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tx1">
                          <a:lumMod val="35000"/>
                          <a:lumOff val="65000"/>
                        </a:schemeClr>
                      </a:solidFill>
                      <a:round/>
                    </a:ln>
                    <a:effectLst/>
                  </c:spPr>
                </c15:leaderLines>
              </c:ext>
            </c:extLst>
          </c:dLbls>
          <c:cat>
            <c:numRef>
              <c:f>Blad1!$C$16:$M$16</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Blad1!$C$17:$M$17</c:f>
              <c:numCache>
                <c:formatCode>_ * #,##0_ ;_ * \-#,##0_ ;_ * "-"??_ ;_ @_ </c:formatCode>
                <c:ptCount val="11"/>
                <c:pt idx="0">
                  <c:v>36240</c:v>
                </c:pt>
                <c:pt idx="1">
                  <c:v>37565</c:v>
                </c:pt>
                <c:pt idx="2">
                  <c:v>40370</c:v>
                </c:pt>
                <c:pt idx="3">
                  <c:v>41645</c:v>
                </c:pt>
                <c:pt idx="4">
                  <c:v>42900</c:v>
                </c:pt>
                <c:pt idx="5">
                  <c:v>44215</c:v>
                </c:pt>
                <c:pt idx="6">
                  <c:v>45605</c:v>
                </c:pt>
                <c:pt idx="7">
                  <c:v>46970</c:v>
                </c:pt>
                <c:pt idx="8">
                  <c:v>48135</c:v>
                </c:pt>
                <c:pt idx="9">
                  <c:v>49605</c:v>
                </c:pt>
                <c:pt idx="10">
                  <c:v>51235</c:v>
                </c:pt>
              </c:numCache>
            </c:numRef>
          </c:val>
          <c:smooth val="0"/>
          <c:extLst>
            <c:ext xmlns:c16="http://schemas.microsoft.com/office/drawing/2014/chart" uri="{C3380CC4-5D6E-409C-BE32-E72D297353CC}">
              <c16:uniqueId val="{00000005-37C5-47A3-A0C6-CFF861085001}"/>
            </c:ext>
          </c:extLst>
        </c:ser>
        <c:dLbls>
          <c:dLblPos val="t"/>
          <c:showLegendKey val="0"/>
          <c:showVal val="1"/>
          <c:showCatName val="0"/>
          <c:showSerName val="0"/>
          <c:showPercent val="0"/>
          <c:showBubbleSize val="0"/>
        </c:dLbls>
        <c:smooth val="0"/>
        <c:axId val="385461168"/>
        <c:axId val="385446768"/>
      </c:lineChart>
      <c:catAx>
        <c:axId val="38546116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nl-NL"/>
          </a:p>
        </c:txPr>
        <c:crossAx val="385446768"/>
        <c:crosses val="autoZero"/>
        <c:auto val="1"/>
        <c:lblAlgn val="ctr"/>
        <c:lblOffset val="100"/>
        <c:noMultiLvlLbl val="0"/>
      </c:catAx>
      <c:valAx>
        <c:axId val="385446768"/>
        <c:scaling>
          <c:orientation val="minMax"/>
          <c:min val="20000"/>
        </c:scaling>
        <c:delete val="0"/>
        <c:axPos val="l"/>
        <c:majorGridlines>
          <c:spPr>
            <a:ln w="9525">
              <a:solidFill>
                <a:schemeClr val="tx1">
                  <a:lumMod val="15000"/>
                  <a:lumOff val="85000"/>
                </a:schemeClr>
              </a:solidFill>
              <a:round/>
            </a:ln>
            <a:effectLst/>
          </c:spPr>
        </c:majorGridlines>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nl-NL"/>
          </a:p>
        </c:txPr>
        <c:crossAx val="385461168"/>
        <c:crosses val="autoZero"/>
        <c:crossBetween val="between"/>
        <c:majorUnit val="10000"/>
      </c:valAx>
      <c:spPr>
        <a:noFill/>
        <a:ln>
          <a:noFill/>
        </a:ln>
        <a:effectLst/>
      </c:spPr>
    </c:plotArea>
    <c:plotVisOnly val="1"/>
    <c:dispBlanksAs val="gap"/>
    <c:showDLblsOverMax val="0"/>
  </c:chart>
  <c:spPr>
    <a:solidFill>
      <a:schemeClr val="bg1">
        <a:lumMod val="95000"/>
      </a:schemeClr>
    </a:solidFill>
    <a:ln w="9525">
      <a:solidFill>
        <a:schemeClr val="tx1">
          <a:lumMod val="15000"/>
          <a:lumOff val="85000"/>
        </a:schemeClr>
      </a:solidFill>
      <a:round/>
    </a:ln>
    <a:effectLst/>
  </c:spPr>
  <c:txPr>
    <a:bodyPr/>
    <a:lstStyle/>
    <a:p>
      <a:pPr>
        <a:defRPr/>
      </a:pPr>
      <a:endParaRPr lang="nl-NL"/>
    </a:p>
  </c:txPr>
  <c:externalData r:id="rId2">
    <c:autoUpdate val="0"/>
  </c:externalData>
</c:chartSpac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ap:Properties xmlns:vt="http://schemas.openxmlformats.org/officeDocument/2006/docPropsVTypes" xmlns:ap="http://schemas.openxmlformats.org/officeDocument/2006/extended-properties">
  <ap:Pages>1</ap:Pages>
  <ap:Words>88113</ap:Words>
  <ap:Characters>484622</ap:Characters>
  <ap:DocSecurity>0</ap:DocSecurity>
  <ap:Lines>4038</ap:Lines>
  <ap:Paragraphs>1143</ap:Paragraphs>
  <ap:ScaleCrop>false</ap:ScaleCrop>
  <ap:LinksUpToDate>false</ap:LinksUpToDate>
  <ap:CharactersWithSpaces>571592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2025-11-12T13:20:00.0000000Z</dcterms:created>
  <dcterms:modified xsi:type="dcterms:W3CDTF">2025-11-12T13:20:00.0000000Z</dcterms:modified>
  <version/>
  <category/>
</coreProperties>
</file>