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6BF3" w:rsidR="00F413DA" w:rsidP="00D45522" w:rsidRDefault="00B319C9" w14:paraId="503434AE" w14:textId="780CCA98">
      <w:pPr>
        <w:rPr>
          <w:rFonts w:ascii="Verdana" w:hAnsi="Verdana" w:eastAsia="Times New Roman"/>
          <w:sz w:val="18"/>
          <w:szCs w:val="18"/>
          <w:lang w:val="nl-NL"/>
        </w:rPr>
      </w:pPr>
      <w:r w:rsidRPr="008A6BF3">
        <w:rPr>
          <w:rFonts w:ascii="Verdana" w:hAnsi="Verdana" w:eastAsia="Times New Roman"/>
          <w:b/>
          <w:bCs/>
          <w:sz w:val="18"/>
          <w:szCs w:val="18"/>
          <w:lang w:val="nl-NL"/>
        </w:rPr>
        <w:t xml:space="preserve">Overzicht </w:t>
      </w:r>
      <w:r w:rsidRPr="008A6BF3" w:rsidR="00D45522">
        <w:rPr>
          <w:rFonts w:ascii="Verdana" w:hAnsi="Verdana" w:eastAsia="Times New Roman"/>
          <w:b/>
          <w:bCs/>
          <w:sz w:val="18"/>
          <w:szCs w:val="18"/>
          <w:lang w:val="nl-NL"/>
        </w:rPr>
        <w:t>Feitelijke Vragen Begroting AenM 2026</w:t>
      </w:r>
    </w:p>
    <w:p w:rsidRPr="008A6BF3" w:rsidR="00FD495B" w:rsidP="00FD495B" w:rsidRDefault="00B319C9" w14:paraId="39C7F3C1" w14:textId="77777777">
      <w:pPr>
        <w:rPr>
          <w:rFonts w:ascii="Verdana" w:hAnsi="Verdana" w:eastAsia="Times New Roman"/>
          <w:sz w:val="18"/>
          <w:szCs w:val="18"/>
          <w:lang w:val="nl-NL"/>
        </w:rPr>
      </w:pP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w:t>
      </w:r>
      <w:r w:rsidRPr="008A6BF3">
        <w:rPr>
          <w:rFonts w:ascii="Verdana" w:hAnsi="Verdana" w:eastAsia="Times New Roman"/>
          <w:sz w:val="18"/>
          <w:szCs w:val="18"/>
          <w:lang w:val="nl-NL"/>
        </w:rPr>
        <w:br/>
        <w:t>Hoe verklaart u de kostendaling waarbij vanaf 2029 miljarden worden bespaard op de asielketen ten opzichte van de asielinstroom die volgens de prognoses niet daalt?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De inzet van het kabinet is gericht op het verlagen van de asielinstroom. Daartoe zijn de Asielnoodmaatregelenwet en het Tweestatusstelsel ingediend. Het kabinet verwacht dat deze maatregelen in combinatie met het Migratiepact op termijn zullen leiden tot een lagere instroom,  minder opvangbehoefte en daarmee een kostendaling binnen de asielketen.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 xml:space="preserve">De asielinstroom wordt jaarlijks geprognosticeerd met de Meerjaren Productie Prognose (MPP). In de huidige prognoses is het effect van de </w:t>
      </w:r>
      <w:proofErr w:type="spellStart"/>
      <w:r w:rsidRPr="008A6BF3">
        <w:rPr>
          <w:rFonts w:ascii="Verdana" w:hAnsi="Verdana" w:eastAsia="Times New Roman"/>
          <w:sz w:val="18"/>
          <w:szCs w:val="18"/>
          <w:lang w:val="nl-NL"/>
        </w:rPr>
        <w:t>instroomverlagende</w:t>
      </w:r>
      <w:proofErr w:type="spellEnd"/>
      <w:r w:rsidRPr="008A6BF3">
        <w:rPr>
          <w:rFonts w:ascii="Verdana" w:hAnsi="Verdana" w:eastAsia="Times New Roman"/>
          <w:sz w:val="18"/>
          <w:szCs w:val="18"/>
          <w:lang w:val="nl-NL"/>
        </w:rPr>
        <w:t xml:space="preserve"> maatregelen nog niet meegenomen. Daarom heeft het kabinet bij Voorjaarsnota 2025 de benodigde middelen voor de asielketen - met uitzondering van de structurele verwerking IND - bijgesteld op basis van de MPP tot en met 2026.</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Bij voorjaarsnota 2026 zal opnieuw worden bezien hoe de asielinstroom zich verhoudt tot de prognoses en welke middelen daarvoor nodig zijn.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w:t>
      </w:r>
      <w:r w:rsidRPr="008A6BF3">
        <w:rPr>
          <w:rFonts w:ascii="Verdana" w:hAnsi="Verdana" w:eastAsia="Times New Roman"/>
          <w:sz w:val="18"/>
          <w:szCs w:val="18"/>
          <w:lang w:val="nl-NL"/>
        </w:rPr>
        <w:br/>
        <w:t>Kunt u alle maatregelen binnen de asielprocedure opnoemen die ervoor moeten zorgen dat het Nederlandse inwilligingspercentage zal dalen?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Het kabinet stuurt niet op het inwilligingspercentage als zodanig binnen de asielprocedure. Wel stuurt het kabinet erop dat de asielprocedure en asielbeoordeling in Nederland niet onnodig aantrekkelijker is dan in andere EU-landen. Met het oog daarop heeft in 2024 een aanpassing plaatsgevonden in de geloofwaardigheidsbeoordeling van het asielrelaas en de weging van de geloofwaardig geachte feiten en omstandigheden. Ook geldt er zoals uw Kamer bekend is een nieuwe inrichting van het asiellandenbeleid. In de wetsvoorstellen Asielnoodmaatregelenwet en Invoering tweestatusstelsel worden meerdere aanpassingen doorgevoerd waarmee Nederland verder teruggaat naar de EU-minimumstandaarden, in het bijzonder waar het nareis betreft en de afschaffing van de asielvergunning voor onbepaalde tijd. Ditzelfde uitgangspunt is leidend bij de invoering van het EU Asiel- en migratiepact.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(3):</w:t>
      </w:r>
      <w:r w:rsidRPr="008A6BF3">
        <w:rPr>
          <w:rFonts w:ascii="Verdana" w:hAnsi="Verdana" w:eastAsia="Times New Roman"/>
          <w:sz w:val="18"/>
          <w:szCs w:val="18"/>
          <w:lang w:val="nl-NL"/>
        </w:rPr>
        <w:br/>
        <w:t>Kunt u een opsomming geven van alle wetsvoorstellen en maatregelen die op de plank liggen om op te treden tegen overlastgevende en criminele asielzoekers?</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Het Rijk en de gemeenten hebben hun krachten gebundeld in een overkoepelende aanpak die zowel landelijke als lokale maatregelen omvat, met als doel overlastgevend en crimineel gedrag door asielzoekers te verminderen en aan te pakken. De landelijke maatregelen zijn te onderscheiden in vier pijlers: snel beslissen in de asielprocedure, maatwerk bieden in de opvang, lik-op</w:t>
      </w:r>
      <w:r w:rsidRPr="008A6BF3" w:rsidR="000E7FBD">
        <w:rPr>
          <w:rFonts w:ascii="Verdana" w:hAnsi="Verdana" w:eastAsia="Times New Roman"/>
          <w:sz w:val="18"/>
          <w:szCs w:val="18"/>
          <w:lang w:val="nl-NL"/>
        </w:rPr>
        <w:t>-</w:t>
      </w:r>
      <w:r w:rsidRPr="008A6BF3">
        <w:rPr>
          <w:rFonts w:ascii="Verdana" w:hAnsi="Verdana" w:eastAsia="Times New Roman"/>
          <w:sz w:val="18"/>
          <w:szCs w:val="18"/>
          <w:lang w:val="nl-NL"/>
        </w:rPr>
        <w:t xml:space="preserve">stuk beleid toepassen in de openbare ruimte en inzetten op terugkeer. Tegelijkertijd blijft het van belang om de instroom te verminderen en het asielsysteem te ontlasten. Zie voor de voortgang van deze maatregelen de brief van 5 september 2025 (Kamerstukken 19 637, nr. 3469). </w:t>
      </w:r>
      <w:r w:rsidRPr="008A6BF3" w:rsidR="00FD495B">
        <w:rPr>
          <w:rFonts w:ascii="Verdana" w:hAnsi="Verdana" w:eastAsia="Times New Roman"/>
          <w:sz w:val="18"/>
          <w:szCs w:val="18"/>
          <w:lang w:val="nl-NL"/>
        </w:rPr>
        <w:t xml:space="preserve">Daarnaast zet het kabinet nu in op de asielnoodmaatregelenwet, met als onderdeel daarvan het verruimen van de mogelijkheden tot ongewenst verklaring. </w:t>
      </w:r>
      <w:r w:rsidRPr="008A6BF3">
        <w:rPr>
          <w:rFonts w:ascii="Verdana" w:hAnsi="Verdana" w:eastAsia="Times New Roman"/>
          <w:sz w:val="18"/>
          <w:szCs w:val="18"/>
          <w:lang w:val="nl-NL"/>
        </w:rPr>
        <w:t>Daarnaast zal het EU Asiel- en migratiepact naar verwachting voor een beter beheer van migratie gaan zorgen. Kern van het pact is het versterken van de Europese buitengrenzen door het invoeren van een screening van vreemdelingen en een versnelde grensprocedure voor asielzoekers die afkomstig zijn uit landen met weinig perspectief op verblijf, zodat de vreemdeling die geen recht heeft op bescherming het grondgebied snel kan verlaten om terug te keren naar land van herkomst. Op die manier draagt het Europese Asiel- en Migratiepact ook bij aan het voorkomen van overlast en criminaliteit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lastRenderedPageBreak/>
        <w:t>Vraag (4):</w:t>
      </w:r>
      <w:r w:rsidRPr="008A6BF3">
        <w:rPr>
          <w:rFonts w:ascii="Verdana" w:hAnsi="Verdana" w:eastAsia="Times New Roman"/>
          <w:sz w:val="18"/>
          <w:szCs w:val="18"/>
          <w:lang w:val="nl-NL"/>
        </w:rPr>
        <w:br/>
        <w:t>Kunt u een prognose geven van het aantal locaties van het Centraal Orgaan opvang Asielzoekers (COA) in 2026 t/m 2029?</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Er zijn op dit moment 315 COA-locaties waarin ca. 78.000 personen worden opgevangen</w:t>
      </w:r>
      <w:r w:rsidRPr="008A6BF3" w:rsidR="00FD495B">
        <w:rPr>
          <w:rFonts w:ascii="Verdana" w:hAnsi="Verdana" w:eastAsia="Times New Roman"/>
          <w:sz w:val="18"/>
          <w:szCs w:val="18"/>
          <w:lang w:val="nl-NL"/>
        </w:rPr>
        <w:t xml:space="preserve">, </w:t>
      </w:r>
      <w:r w:rsidRPr="00386CA8" w:rsidR="00FD495B">
        <w:rPr>
          <w:rFonts w:ascii="Verdana" w:hAnsi="Verdana" w:eastAsia="Times New Roman"/>
          <w:sz w:val="18"/>
          <w:szCs w:val="18"/>
          <w:lang w:val="nl-NL"/>
        </w:rPr>
        <w:t xml:space="preserve">waarvan ca. 18.000 statushouders </w:t>
      </w:r>
      <w:r w:rsidRPr="008A6BF3">
        <w:rPr>
          <w:rFonts w:ascii="Verdana" w:hAnsi="Verdana" w:eastAsia="Times New Roman"/>
          <w:sz w:val="18"/>
          <w:szCs w:val="18"/>
          <w:lang w:val="nl-NL"/>
        </w:rPr>
        <w:t>(peildatum 20 oktober 2025- COA - Capaciteit en bezetting | www.coa.nl). In de eerste maanden van 2025 is de eerste asielinstroom lager dan in voorgaande prognoses (2024-II) is voorzien. In de meest recente MPP zijn de prognoses voor 2025 en 2026 naar beneden bijgesteld ten opzichte van die laatste prognose.</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Het kabinet zet in op het beperken van de instroom als ook het stimuleren van de uitstroom van statushouders uit de opvang. De prognoses uit de MPP 2025 zijn gebaseerd op de op dit moment beschikbare informatie en onderliggende kaders. Op het moment van het opstellen van de MPP 2025 werkt de keten aan de voorbereiding van de implementatie van nieuwe wetgeving (EU Asielen migratiepact, de Asielnoodmaatregelenwet, de wet Tweestatusstelsel en wet Terugkeer en vreemdelingenbewaring). Keteneffecten hiervan zijn in deze MPP nog niet meegenomen, maar zullen mogelijk wel effect hebben binnen het tijdsbestek waar de MPP betrekking op heeft. Om die reden is ondanks het verwachte lager aantal eerste asielaanvragen de verwachting dat de COA</w:t>
      </w:r>
      <w:r w:rsidRPr="008A6BF3" w:rsidR="000E7FBD">
        <w:rPr>
          <w:rFonts w:ascii="Verdana" w:hAnsi="Verdana" w:eastAsia="Times New Roman"/>
          <w:sz w:val="18"/>
          <w:szCs w:val="18"/>
          <w:lang w:val="nl-NL"/>
        </w:rPr>
        <w:t>-</w:t>
      </w:r>
      <w:r w:rsidRPr="008A6BF3">
        <w:rPr>
          <w:rFonts w:ascii="Verdana" w:hAnsi="Verdana" w:eastAsia="Times New Roman"/>
          <w:sz w:val="18"/>
          <w:szCs w:val="18"/>
          <w:lang w:val="nl-NL"/>
        </w:rPr>
        <w:t>bezetting de komende jaren verder toeneemt. Vanwege de hoge mate van onzekerheid in de MPP is ervoor gekozen om de COA capaciteitsbehoefte enkel voor 2026 vast te stellen en voor 2027 de volgende MPP af te wachten. De totale capaciteitsbehoefte stijgt naar 88.000 opvangplekken op 1 januari 2027. Hoe dit zich vertaalt naar het aantal locaties dat het COA tussen 2026 en 2029 nodig heeft, is niet op voorhand te zeggen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(5):</w:t>
      </w:r>
      <w:r w:rsidRPr="008A6BF3">
        <w:rPr>
          <w:rFonts w:ascii="Verdana" w:hAnsi="Verdana" w:eastAsia="Times New Roman"/>
          <w:sz w:val="18"/>
          <w:szCs w:val="18"/>
          <w:lang w:val="nl-NL"/>
        </w:rPr>
        <w:br/>
        <w:t>Kunt u een overzicht geven van alle COA-locaties op dit moment?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Via de website van het COA is de gevraagde informatie te vinden (https://www.coa.nl/nl/locatiezoeker). Deze informatie wordt wekelijks geactualiseerd. Gezien de snelheid waarmee de gevraagde informatie kan wijzigen is het raadzaam de gepubliceerde informatie aan te houden.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(6):</w:t>
      </w:r>
      <w:r w:rsidRPr="008A6BF3">
        <w:rPr>
          <w:rFonts w:ascii="Verdana" w:hAnsi="Verdana" w:eastAsia="Times New Roman"/>
          <w:sz w:val="18"/>
          <w:szCs w:val="18"/>
          <w:lang w:val="nl-NL"/>
        </w:rPr>
        <w:br/>
        <w:t>Kunt u een overzicht geven van hoeveel mensen er per COA-locatie gehuisvest worden, of dit mannen, vrouwen en/of kinderen zijn en wat daarvan de afkomst is?</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Via de website van het COA is alle gevraagde informatie te vinden. Zowel het aantal COA-locaties (https://www.coa.nl/nl/locatiezoeker) alsook statistieken over de samenstelling van COA</w:t>
      </w:r>
      <w:r w:rsidRPr="008A6BF3" w:rsidR="000E7FBD">
        <w:rPr>
          <w:rFonts w:ascii="Verdana" w:hAnsi="Verdana" w:eastAsia="Times New Roman"/>
          <w:sz w:val="18"/>
          <w:szCs w:val="18"/>
          <w:lang w:val="nl-NL"/>
        </w:rPr>
        <w:t>-</w:t>
      </w:r>
      <w:r w:rsidRPr="008A6BF3">
        <w:rPr>
          <w:rFonts w:ascii="Verdana" w:hAnsi="Verdana" w:eastAsia="Times New Roman"/>
          <w:sz w:val="18"/>
          <w:szCs w:val="18"/>
          <w:lang w:val="nl-NL"/>
        </w:rPr>
        <w:t>bewoners (https://www.coa.nl/nl/lijst/personen-de-opvang-van-het-coa). Deze informatie wordt wekelijks geactualiseerd. Gezien de snelheid waarmee de gevraagde informatie kan wijzigen is het raadzaam de gepubliceerde informatie aan te houden.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(7):</w:t>
      </w:r>
      <w:r w:rsidRPr="008A6BF3">
        <w:rPr>
          <w:rFonts w:ascii="Verdana" w:hAnsi="Verdana" w:eastAsia="Times New Roman"/>
          <w:sz w:val="18"/>
          <w:szCs w:val="18"/>
          <w:lang w:val="nl-NL"/>
        </w:rPr>
        <w:br/>
        <w:t xml:space="preserve">Wat is uw verwachting voor het aantal </w:t>
      </w:r>
      <w:proofErr w:type="spellStart"/>
      <w:r w:rsidRPr="008A6BF3">
        <w:rPr>
          <w:rFonts w:ascii="Verdana" w:hAnsi="Verdana" w:eastAsia="Times New Roman"/>
          <w:sz w:val="18"/>
          <w:szCs w:val="18"/>
          <w:lang w:val="nl-NL"/>
        </w:rPr>
        <w:t>terugkeerders</w:t>
      </w:r>
      <w:proofErr w:type="spellEnd"/>
      <w:r w:rsidRPr="008A6BF3">
        <w:rPr>
          <w:rFonts w:ascii="Verdana" w:hAnsi="Verdana" w:eastAsia="Times New Roman"/>
          <w:sz w:val="18"/>
          <w:szCs w:val="18"/>
          <w:lang w:val="nl-NL"/>
        </w:rPr>
        <w:t xml:space="preserve"> naar Syrië in 2026?</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Tot 1 oktober zijn in 2025 720 personen vrijwillig met ondersteuning van de Dienst Terugkeer en Vertrek (DTenV) teruggekeerd naar Syrië. De bereidheid van Syriërs om vrijwillig terug te keren wordt beïnvloed door verschillende factoren, waaronder de veiligheidssituatie en de humanitaire omstandigheden in Syrië. Gedwongen terugkeer naar Syrië vindt momenteel niet plaats. De cijfers over terugkeer worden maandelijks gepubliceerd op de website van de DTenV.</w:t>
      </w:r>
      <w:r w:rsidRPr="008A6BF3">
        <w:rPr>
          <w:rFonts w:ascii="Verdana" w:hAnsi="Verdana" w:eastAsia="Times New Roman"/>
          <w:sz w:val="18"/>
          <w:szCs w:val="18"/>
          <w:lang w:val="nl-NL"/>
        </w:rPr>
        <w:br/>
      </w:r>
      <w:r w:rsidRPr="008A6BF3">
        <w:rPr>
          <w:rFonts w:ascii="Verdana" w:hAnsi="Verdana" w:eastAsia="Times New Roman"/>
          <w:sz w:val="18"/>
          <w:szCs w:val="18"/>
          <w:lang w:val="nl-NL"/>
        </w:rPr>
        <w:br/>
        <w:t xml:space="preserve">De verwachte terugkeer in 2026 hangt samen met het landenbeleid, bijkomende beslissingen op asielaanvragen en ontwikkelingen in de samenwerking met de Syrische autoriteiten. Die </w:t>
      </w:r>
      <w:r w:rsidRPr="008A6BF3">
        <w:rPr>
          <w:rFonts w:ascii="Verdana" w:hAnsi="Verdana" w:eastAsia="Times New Roman"/>
          <w:sz w:val="18"/>
          <w:szCs w:val="18"/>
          <w:lang w:val="nl-NL"/>
        </w:rPr>
        <w:lastRenderedPageBreak/>
        <w:t>optelsom aan factoren maakt het op dit moment niet goed mogelijk een verwachting uit te spreken over het totaal aantal personen dat in 2026 terugkeert naar Syrië.</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(8):</w:t>
      </w:r>
      <w:r w:rsidRPr="008A6BF3">
        <w:rPr>
          <w:rFonts w:ascii="Verdana" w:hAnsi="Verdana" w:eastAsia="Times New Roman"/>
          <w:sz w:val="18"/>
          <w:szCs w:val="18"/>
          <w:lang w:val="nl-NL"/>
        </w:rPr>
        <w:br/>
        <w:t>Op welke manier spant u zich in om Syriërs vrijwillig terug te laten keren?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Reeds na de val van het regime van Assad meldden zich Syriërs bij de Dienst Terugkeer en Vertrek (DTenV) voor ondersteuning bij terugkeer. Met de hulp van de DTenV zijn tussen de val van Assad en 1 oktober 720 personen teruggekeerd naar Syrië. Naast het bieden van praktische hulp door het boeken en financieren van vluchten en ondersteuning bij het verkrijgen van vervangende reisdocumenten, biedt de DTenV ook herintegratieondersteuning. Recentelijk, op 16 september jl., heeft de DTenV een charter georganiseerd waarmee ruim 80 personen zijn teruggekeerd. Samen met Buitenlandse Zaken zet ik, met het oog op gedwongen vertrek, in op het versterken van de diplomatieke betrekkingen met de Syrische autoriteiten en het ondersteunen bij de capaciteitsopbouw van de migratieketen in Syrië. Ook is er aandacht voor het verbeteren van de situatie in Syrië om duurzame terugkeer te bevorderen. Daarnaast ben ik bezig met een pakket aan maatregelen om de terugkeer naar Syrië te stimuleren</w:t>
      </w:r>
      <w:r w:rsidRPr="008A6BF3" w:rsidR="00376DAE">
        <w:rPr>
          <w:rFonts w:ascii="Verdana" w:hAnsi="Verdana" w:eastAsia="Times New Roman"/>
          <w:sz w:val="18"/>
          <w:szCs w:val="18"/>
          <w:lang w:val="nl-NL"/>
        </w:rPr>
        <w:t>, waaronder een verhoging van de herintegratieondersteuning naar € 5.000.</w:t>
      </w:r>
      <w:r w:rsidRPr="008A6BF3">
        <w:rPr>
          <w:rFonts w:ascii="Verdana" w:hAnsi="Verdana" w:eastAsia="Times New Roman"/>
          <w:sz w:val="18"/>
          <w:szCs w:val="18"/>
          <w:lang w:val="nl-NL"/>
        </w:rPr>
        <w:t xml:space="preserve"> In mijn brief van 21 oktober jl. heb ik uw Kamer hierover geïnformeerd. </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(9):</w:t>
      </w:r>
      <w:r w:rsidRPr="008A6BF3">
        <w:rPr>
          <w:rFonts w:ascii="Verdana" w:hAnsi="Verdana" w:eastAsia="Times New Roman"/>
          <w:sz w:val="18"/>
          <w:szCs w:val="18"/>
          <w:lang w:val="nl-NL"/>
        </w:rPr>
        <w:br/>
        <w:t>Hoeveel asielzoekers/statushouders zijn er in 2025 uitgezet nadat zij veroordeeld zijn voor een strafbaar feit?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Asielzoekers of statushouders kunnen pas uitgezet worden nadat de asielaanvraag is afgewezen of de verblijfsvergunning is ingetrokken en er geen rechtmatig verblijf meer is.</w:t>
      </w:r>
      <w:r w:rsidRPr="008A6BF3">
        <w:rPr>
          <w:rFonts w:ascii="Verdana" w:hAnsi="Verdana" w:eastAsia="Times New Roman"/>
          <w:sz w:val="18"/>
          <w:szCs w:val="18"/>
          <w:lang w:val="nl-NL"/>
        </w:rPr>
        <w:br/>
      </w:r>
      <w:r w:rsidRPr="008A6BF3">
        <w:rPr>
          <w:rFonts w:ascii="Verdana" w:hAnsi="Verdana" w:eastAsia="Times New Roman"/>
          <w:sz w:val="18"/>
          <w:szCs w:val="18"/>
          <w:lang w:val="nl-NL"/>
        </w:rPr>
        <w:br/>
        <w:t>Vreemdelingen die zich niet rechtmatig in Nederland bevinden en in aanraking komen met het strafrecht worden door de strafrechtketen overgedragen aan DTenV conform de afspraken in de ketenprocesbeschrijving Vreemdelingen in de Strafrechtketen (VRIS).1 DTenV registreert niet of vreemdelingen een asielprocedure hebben doorlopen of eerder een verblijfsvergunning hebben gehad.</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Het uitgangspunt is vanzelfsprekend dat in al deze zaken wordt gewerkt aan terugkeer. Waar mogelijk vertrekken zij aansluitend op hun straf uit Nederland. Uit de caseload van DTenV zijn in 2025 tot en met september 650 vreemdelingen in de strafrechtketen (VRIS-ers) aantoonbaar vertrokken, waarvan 600 gedwongen en 50 zelfstandig. 180 VRIS-ers zijn met onbekende bestemming vertrokken.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DTenV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(10):</w:t>
      </w:r>
      <w:r w:rsidRPr="008A6BF3">
        <w:rPr>
          <w:rFonts w:ascii="Verdana" w:hAnsi="Verdana" w:eastAsia="Times New Roman"/>
          <w:sz w:val="18"/>
          <w:szCs w:val="18"/>
          <w:lang w:val="nl-NL"/>
        </w:rPr>
        <w:br/>
        <w:t>Hoeveel asielzoekers/statushouders zijn er in 2025 uitgezet nadat zij terugkeerden (voor bijvoorbeeld een vakantie) naar het land van herkomst?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r>
      <w:r w:rsidRPr="008A6BF3" w:rsidR="00FD495B">
        <w:rPr>
          <w:rFonts w:ascii="Verdana" w:hAnsi="Verdana" w:eastAsia="Times New Roman"/>
          <w:sz w:val="18"/>
          <w:szCs w:val="18"/>
          <w:lang w:val="nl-NL"/>
        </w:rPr>
        <w:t>In 2025 tot en met september is van ca. 10 vreemdelingen de asielvergunning ingetrokken omdat zij tijdelijk zijn teruggegaan naar het land van herkomst. Inmiddels hebben ca. 5 personen Nederland verlaten. In alle gevallen betrof dit zelfstandig vertrek.</w:t>
      </w:r>
    </w:p>
    <w:p w:rsidRPr="008A6BF3" w:rsidR="00FD495B" w:rsidP="00FD495B" w:rsidRDefault="00FD495B" w14:paraId="46DF05E9" w14:textId="77777777">
      <w:pPr>
        <w:rPr>
          <w:rFonts w:ascii="Verdana" w:hAnsi="Verdana" w:eastAsia="Times New Roman"/>
          <w:sz w:val="18"/>
          <w:szCs w:val="18"/>
          <w:lang w:val="nl-NL"/>
        </w:rPr>
      </w:pPr>
    </w:p>
    <w:p w:rsidRPr="008A6BF3" w:rsidR="00FD495B" w:rsidP="00FD495B" w:rsidRDefault="00FD495B" w14:paraId="46B25EA5" w14:textId="61EFFB94">
      <w:pPr>
        <w:rPr>
          <w:rFonts w:ascii="Verdana" w:hAnsi="Verdana" w:eastAsia="Times New Roman"/>
          <w:sz w:val="18"/>
          <w:szCs w:val="18"/>
          <w:lang w:val="nl-NL"/>
        </w:rPr>
      </w:pPr>
      <w:r w:rsidRPr="008A6BF3">
        <w:rPr>
          <w:rFonts w:ascii="Verdana" w:hAnsi="Verdana" w:eastAsia="Times New Roman"/>
          <w:sz w:val="18"/>
          <w:szCs w:val="18"/>
          <w:lang w:val="nl-NL"/>
        </w:rPr>
        <w:t xml:space="preserve">Er zijn geen cijfermatige gegevens beschikbaar over het aantal vreemdelingen dat nog tijdens de asielprocedure tijdelijk is teruggegaan naar het land van herkomst en om die reden Nederland al dan niet gedwongen heeft moeten verlaten. Tijdelijk verblijf in het land van herkomst gedurende de asielprocedure kan wel een weigeringsgrond voor asiel zijn, maar dit dient ingevolge jurisprudentie onderbouwd te worden en meegewogen worden in de bredere beoordeling binnen de asielprocedure. </w:t>
      </w:r>
    </w:p>
    <w:p w:rsidRPr="008A6BF3" w:rsidR="00F413DA" w:rsidRDefault="00B319C9" w14:paraId="7DD5E02F" w14:textId="4417D916">
      <w:pPr>
        <w:rPr>
          <w:rFonts w:ascii="Verdana" w:hAnsi="Verdana" w:eastAsia="Times New Roman"/>
          <w:sz w:val="18"/>
          <w:szCs w:val="18"/>
          <w:lang w:val="nl-NL"/>
        </w:rPr>
      </w:pPr>
      <w:r w:rsidRPr="008A6BF3">
        <w:rPr>
          <w:rFonts w:ascii="Verdana" w:hAnsi="Verdana" w:eastAsia="Times New Roman"/>
          <w:sz w:val="18"/>
          <w:szCs w:val="18"/>
          <w:lang w:val="nl-NL"/>
        </w:rPr>
        <w:lastRenderedPageBreak/>
        <w:br/>
      </w:r>
      <w:r w:rsidRPr="008A6BF3">
        <w:rPr>
          <w:rFonts w:ascii="Verdana" w:hAnsi="Verdana" w:eastAsia="Times New Roman"/>
          <w:b/>
          <w:bCs/>
          <w:sz w:val="18"/>
          <w:szCs w:val="18"/>
          <w:lang w:val="nl-NL"/>
        </w:rPr>
        <w:t>Vraag (11):</w:t>
      </w:r>
      <w:r w:rsidRPr="008A6BF3">
        <w:rPr>
          <w:rFonts w:ascii="Verdana" w:hAnsi="Verdana" w:eastAsia="Times New Roman"/>
          <w:sz w:val="18"/>
          <w:szCs w:val="18"/>
          <w:lang w:val="nl-NL"/>
        </w:rPr>
        <w:br/>
        <w:t>Hoeveel opvangplekken beheert het COA per 1 januari 2025 en per 1 juli 2025, uitgesplitst naar reguliere plekken, noodopvang en amv-plekken?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Het COA beheert per 1 januari 2025 69.630 plekken uitgesplitst naar:</w:t>
      </w:r>
      <w:r w:rsidRPr="008A6BF3">
        <w:rPr>
          <w:rFonts w:ascii="Verdana" w:hAnsi="Verdana" w:eastAsia="Times New Roman"/>
          <w:sz w:val="18"/>
          <w:szCs w:val="18"/>
          <w:lang w:val="nl-NL"/>
        </w:rPr>
        <w:br/>
        <w:t>Reguliere plekken 35.140</w:t>
      </w:r>
      <w:r w:rsidRPr="008A6BF3">
        <w:rPr>
          <w:rFonts w:ascii="Verdana" w:hAnsi="Verdana" w:eastAsia="Times New Roman"/>
          <w:sz w:val="18"/>
          <w:szCs w:val="18"/>
          <w:lang w:val="nl-NL"/>
        </w:rPr>
        <w:br/>
        <w:t>Noodopvang 29.790</w:t>
      </w:r>
      <w:r w:rsidRPr="008A6BF3">
        <w:rPr>
          <w:rFonts w:ascii="Verdana" w:hAnsi="Verdana" w:eastAsia="Times New Roman"/>
          <w:sz w:val="18"/>
          <w:szCs w:val="18"/>
          <w:lang w:val="nl-NL"/>
        </w:rPr>
        <w:br/>
        <w:t>Reguliere amv plekken 2.160</w:t>
      </w:r>
      <w:r w:rsidRPr="008A6BF3">
        <w:rPr>
          <w:rFonts w:ascii="Verdana" w:hAnsi="Verdana" w:eastAsia="Times New Roman"/>
          <w:sz w:val="18"/>
          <w:szCs w:val="18"/>
          <w:lang w:val="nl-NL"/>
        </w:rPr>
        <w:br/>
        <w:t>Noodopvang amv plekken 2.540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Het COA beheert per 1 juli 2025 72.390 plekken uitgesplitst naar:</w:t>
      </w:r>
      <w:r w:rsidRPr="008A6BF3">
        <w:rPr>
          <w:rFonts w:ascii="Verdana" w:hAnsi="Verdana" w:eastAsia="Times New Roman"/>
          <w:sz w:val="18"/>
          <w:szCs w:val="18"/>
          <w:lang w:val="nl-NL"/>
        </w:rPr>
        <w:br/>
        <w:t>Reguliere plekken 38.020</w:t>
      </w:r>
      <w:r w:rsidRPr="008A6BF3">
        <w:rPr>
          <w:rFonts w:ascii="Verdana" w:hAnsi="Verdana" w:eastAsia="Times New Roman"/>
          <w:sz w:val="18"/>
          <w:szCs w:val="18"/>
          <w:lang w:val="nl-NL"/>
        </w:rPr>
        <w:br/>
        <w:t>Noodopvang 29.700</w:t>
      </w:r>
      <w:r w:rsidRPr="008A6BF3">
        <w:rPr>
          <w:rFonts w:ascii="Verdana" w:hAnsi="Verdana" w:eastAsia="Times New Roman"/>
          <w:sz w:val="18"/>
          <w:szCs w:val="18"/>
          <w:lang w:val="nl-NL"/>
        </w:rPr>
        <w:br/>
        <w:t>Reguliere amv plekken 2.400</w:t>
      </w:r>
      <w:r w:rsidRPr="008A6BF3">
        <w:rPr>
          <w:rFonts w:ascii="Verdana" w:hAnsi="Verdana" w:eastAsia="Times New Roman"/>
          <w:sz w:val="18"/>
          <w:szCs w:val="18"/>
          <w:lang w:val="nl-NL"/>
        </w:rPr>
        <w:br/>
        <w:t>Noodopvang amv plekken 2.270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COA, afgerond op tientallen (peildatum: 14 oktober 2025)</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(12):</w:t>
      </w:r>
      <w:r w:rsidRPr="008A6BF3">
        <w:rPr>
          <w:rFonts w:ascii="Verdana" w:hAnsi="Verdana" w:eastAsia="Times New Roman"/>
          <w:sz w:val="18"/>
          <w:szCs w:val="18"/>
          <w:lang w:val="nl-NL"/>
        </w:rPr>
        <w:br/>
        <w:t>Hoeveel middelen zijn er in 2025 geoormerkt voor de opvang en begeleiding van kinderen in de asielopvang en hoe wordt dit besteed in reguliere opvanglocaties versus noodopvang?</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Het COA en Stichting Nidos delen de verantwoordelijkheid voor de opvang en begeleiding van kinderen en alleenstaande minderjarige vreemdelingen (amv) in de asielopvang.</w:t>
      </w:r>
      <w:r w:rsidRPr="008A6BF3">
        <w:rPr>
          <w:rFonts w:ascii="Verdana" w:hAnsi="Verdana" w:eastAsia="Times New Roman"/>
          <w:sz w:val="18"/>
          <w:szCs w:val="18"/>
          <w:lang w:val="nl-NL"/>
        </w:rPr>
        <w:br/>
      </w:r>
      <w:r w:rsidRPr="008A6BF3">
        <w:rPr>
          <w:rFonts w:ascii="Verdana" w:hAnsi="Verdana" w:eastAsia="Times New Roman"/>
          <w:sz w:val="18"/>
          <w:szCs w:val="18"/>
          <w:lang w:val="nl-NL"/>
        </w:rPr>
        <w:br/>
        <w:t>Kinderen in gezinnen en amv ouder dan 15 jaar verblijven bij het COA. Indien amv een verblijfsvergunning krijgen dan stromen zij in principe door naar kleinschalige opvang van Nidos. Is de asielaanvraag afgewezen of de procedure verlengd, dan verhuizen de minderjarige asielzoekers naar een kleine woonvoorziening van het COA voor 14 tot 18 jongeren.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Er wordt voor het COA geen afzonderlijke oormerking gehanteerd voor de opvang en begeleiding van kinderen. Binnen het kader van het COA wordt voorzien in de kosten voor de begeleiding en opvang van kinderen.</w:t>
      </w:r>
      <w:r w:rsidRPr="008A6BF3">
        <w:rPr>
          <w:rFonts w:ascii="Verdana" w:hAnsi="Verdana" w:eastAsia="Times New Roman"/>
          <w:sz w:val="18"/>
          <w:szCs w:val="18"/>
          <w:lang w:val="nl-NL"/>
        </w:rPr>
        <w:br/>
        <w:t>Voor stichting Nidos is op de Rijksbegroting een bedrag beschikbaar van € 431,6mln. Nidos heeft voor 2025 een begroting ingediend waarbij € 113,8mln wordt besteed aan begeleidingskosten en € 313,2mln zal worden besteed aan de opvang. De werkelijke besteding van deze middelen kan echter afwijken door bijvoorbeeld een hogere of lagere asielinstroom.</w:t>
      </w:r>
      <w:r w:rsidRPr="008A6BF3">
        <w:rPr>
          <w:rFonts w:ascii="Verdana" w:hAnsi="Verdana" w:eastAsia="Times New Roman"/>
          <w:sz w:val="18"/>
          <w:szCs w:val="18"/>
          <w:lang w:val="nl-NL"/>
        </w:rPr>
        <w:br/>
        <w:t> </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(13):</w:t>
      </w:r>
      <w:r w:rsidRPr="008A6BF3">
        <w:rPr>
          <w:rFonts w:ascii="Verdana" w:hAnsi="Verdana" w:eastAsia="Times New Roman"/>
          <w:sz w:val="18"/>
          <w:szCs w:val="18"/>
          <w:lang w:val="nl-NL"/>
        </w:rPr>
        <w:br/>
        <w:t>Hoeveel dwangsommen voor de Immigratie- en Naturalisatiedienst (IND) worden er in 2025 uitgekeerd?</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De IND heeft t/m september 2025 ongeveer € 48,1 miljoen aan dwangsommen uitgekeerd. Hoeveel de IND in de laatste drie maanden van 2025 nog aan dwangsommen zal uitkeren, is mede afhankelijk van het aantal dwangsomzaken dat door de rechtbank afgehandeld worden. Dat is op voorhand niet met zekerheid te zeggen.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(14):</w:t>
      </w:r>
      <w:r w:rsidRPr="008A6BF3">
        <w:rPr>
          <w:rFonts w:ascii="Verdana" w:hAnsi="Verdana" w:eastAsia="Times New Roman"/>
          <w:sz w:val="18"/>
          <w:szCs w:val="18"/>
          <w:lang w:val="nl-NL"/>
        </w:rPr>
        <w:br/>
        <w:t>Hoeveel asielvergunningen worden er in 2025 ingetrokken wegens reizen naar het land van herkomst, uitgesplitst per nationaliteit?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 xml:space="preserve">In 2025 zijn ca 10 asielvergunningen voor bepaald tijd ingetrokken omdat men is gereisd naar </w:t>
      </w:r>
      <w:r w:rsidRPr="008A6BF3">
        <w:rPr>
          <w:rFonts w:ascii="Verdana" w:hAnsi="Verdana" w:eastAsia="Times New Roman"/>
          <w:sz w:val="18"/>
          <w:szCs w:val="18"/>
          <w:lang w:val="nl-NL"/>
        </w:rPr>
        <w:lastRenderedPageBreak/>
        <w:t>het land van herkomst. Dit betreft ca 5 vreemdelingen met de Syrische nationaliteit en daarnaast vreemdelingen met de Indonesische, Iraakse, Iraanse en Jemenitische nationaliteit.</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afgerond op vijftallen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(15):</w:t>
      </w:r>
      <w:r w:rsidRPr="008A6BF3">
        <w:rPr>
          <w:rFonts w:ascii="Verdana" w:hAnsi="Verdana" w:eastAsia="Times New Roman"/>
          <w:sz w:val="18"/>
          <w:szCs w:val="18"/>
          <w:lang w:val="nl-NL"/>
        </w:rPr>
        <w:br/>
        <w:t>Hoeveel aanvragen voor de Europese Blauwe Kaart en de nationale kennismigrantenregeling worden in 2025 ingewilligd?</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Tot 1 oktober 2025 zijn er 460 verblijfsvergunningen verleend op grond van de Europese blauwe kaart (Richtlijn (EU) 2021/1883) en 11.050 verblijfsvergunningen verleend op grond van de nationale kennismigrantenregeling.</w:t>
      </w:r>
      <w:r w:rsidRPr="008A6BF3">
        <w:rPr>
          <w:rFonts w:ascii="Verdana" w:hAnsi="Verdana" w:eastAsia="Times New Roman"/>
          <w:sz w:val="18"/>
          <w:szCs w:val="18"/>
          <w:lang w:val="nl-NL"/>
        </w:rPr>
        <w:br/>
      </w:r>
      <w:r w:rsidRPr="008A6BF3">
        <w:rPr>
          <w:rFonts w:ascii="Verdana" w:hAnsi="Verdana" w:eastAsia="Times New Roman"/>
          <w:sz w:val="18"/>
          <w:szCs w:val="18"/>
          <w:lang w:val="nl-NL"/>
        </w:rPr>
        <w:br/>
        <w:t>In 2024 zijn dit respectievelijk 450 en 16.670 verblijfsvergunningen geweest.</w:t>
      </w:r>
      <w:r w:rsidRPr="008A6BF3">
        <w:rPr>
          <w:rFonts w:ascii="Verdana" w:hAnsi="Verdana" w:eastAsia="Times New Roman"/>
          <w:sz w:val="18"/>
          <w:szCs w:val="18"/>
          <w:lang w:val="nl-NL"/>
        </w:rPr>
        <w:br/>
      </w:r>
      <w:r w:rsidRPr="008A6BF3">
        <w:rPr>
          <w:rFonts w:ascii="Verdana" w:hAnsi="Verdana" w:eastAsia="Times New Roman"/>
          <w:sz w:val="18"/>
          <w:szCs w:val="18"/>
          <w:lang w:val="nl-NL"/>
        </w:rPr>
        <w:br/>
        <w:t>Deze cijfers zijn het totaal aantal ingewilligde verblijfsaanvragen, inclusief de ingewilligde aanvragen wijziging beperking naar deze verblijfsdoelen.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(16):</w:t>
      </w:r>
      <w:r w:rsidRPr="008A6BF3">
        <w:rPr>
          <w:rFonts w:ascii="Verdana" w:hAnsi="Verdana" w:eastAsia="Times New Roman"/>
          <w:sz w:val="18"/>
          <w:szCs w:val="18"/>
          <w:lang w:val="nl-NL"/>
        </w:rPr>
        <w:br/>
        <w:t>Hoeveel aanvragen voor verblijfsvergunningen op grond van het Turks Associatieverdrag zijn er in 2024 binnengekomen? Hoeveel aanvragen zijn er voor dit type verblijfsvergunning tot 1 september 2025 binnengekomen?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De IND kan systeemtechnisch niet afdoende betrouwbaar verbijzonderen bij hoeveel individuele verblijfsaanvragen verblijfsrecht aan het Turks Associatierecht is ontleend of kon worden ontleend. Er bestaat namelijk geen verblijfsdocument waarop specifiek staat weergegeven dat verblijfsrecht aan het Turks Associatierecht wordt ontleend. Toetsing aan het Turks Associatierecht vindt, indien daartoe in een individuele zaak aanleiding bestaat, ambtshalve plaats als onderdeel van de inhoudelijke beoordeling van een verblijfsaanvraag voor een van de verblijfsdoelen die de regelgeving kent.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(17):</w:t>
      </w:r>
      <w:r w:rsidRPr="008A6BF3">
        <w:rPr>
          <w:rFonts w:ascii="Verdana" w:hAnsi="Verdana" w:eastAsia="Times New Roman"/>
          <w:sz w:val="18"/>
          <w:szCs w:val="18"/>
          <w:lang w:val="nl-NL"/>
        </w:rPr>
        <w:br/>
        <w:t>Hoeveel aanvragen voor verblijfsvergunningen op grond van de Europa-route zijn er in 2024 binnengekomen? Hoeveel aanvragen zijn er voor dit type verblijfsvergunning tot 1 september 2025 binnengekomen?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In 2024 zijn er 570 aanvragen voor een verblijfsvergunning op grond van de Europa-route ontvangen. Tot 1 september 2025 zijn er 410 aanvragen voor dit type verblijfsvergunning ontvangen.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(18):</w:t>
      </w:r>
      <w:r w:rsidRPr="008A6BF3">
        <w:rPr>
          <w:rFonts w:ascii="Verdana" w:hAnsi="Verdana" w:eastAsia="Times New Roman"/>
          <w:sz w:val="18"/>
          <w:szCs w:val="18"/>
          <w:lang w:val="nl-NL"/>
        </w:rPr>
        <w:br/>
        <w:t>Hoeveel verblijfsvergunningen 'asiel voor bepaalde tijd' zijn in 2024 ingetrokken?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In 2024 zijn in totaal 110 asielvergunningen voor bepaalde tijd ingetrokken.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(19):</w:t>
      </w:r>
      <w:r w:rsidRPr="008A6BF3">
        <w:rPr>
          <w:rFonts w:ascii="Verdana" w:hAnsi="Verdana" w:eastAsia="Times New Roman"/>
          <w:sz w:val="18"/>
          <w:szCs w:val="18"/>
          <w:lang w:val="nl-NL"/>
        </w:rPr>
        <w:br/>
        <w:t>Hoeveel asielzoekers zijn tegen de intrekking van hun verblijfsvergunning in 2024 in beroep gegaan?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lastRenderedPageBreak/>
        <w:t>Antwoord:</w:t>
      </w:r>
      <w:r w:rsidRPr="008A6BF3">
        <w:rPr>
          <w:rFonts w:ascii="Verdana" w:hAnsi="Verdana" w:eastAsia="Times New Roman"/>
          <w:sz w:val="18"/>
          <w:szCs w:val="18"/>
          <w:lang w:val="nl-NL"/>
        </w:rPr>
        <w:br/>
        <w:t>Het aantal asielzoekers dat in beroep is gegaan tegen de intrekking van de verblijfsvergunning kan niet worden ontleend aan de informatiesystemen van de Rechtspraak omdat deze informatie niet op gestructureerde wijze wordt geregistreerd.</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(20):</w:t>
      </w:r>
      <w:r w:rsidRPr="008A6BF3">
        <w:rPr>
          <w:rFonts w:ascii="Verdana" w:hAnsi="Verdana" w:eastAsia="Times New Roman"/>
          <w:sz w:val="18"/>
          <w:szCs w:val="18"/>
          <w:lang w:val="nl-NL"/>
        </w:rPr>
        <w:br/>
        <w:t>Hoeveel verblijfsvergunning regulier zijn in 2024 ingetrokken?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In 2024 zijn in totaal 15.220 reguliere verblijfsvergunningen ingetrokken.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De IND kan een reguliere verblijfsvergunning om diverse redenen intrekken.1 Dit kan onder andere zijn omdat iemand een beroep op de bijstand doet, iemand niet langer voldoet aan de voorwaarden van een verblijfsvergunning of als iemand Nederland verlaat voordat de verblijfsvergunning is verlopen.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Vanwege technische redenen is het niet mogelijk cijfers te genereren op basis van welke gronden de verblijfsvergunningen regulier zijn ingetrokken.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(21):</w:t>
      </w:r>
      <w:r w:rsidRPr="008A6BF3">
        <w:rPr>
          <w:rFonts w:ascii="Verdana" w:hAnsi="Verdana" w:eastAsia="Times New Roman"/>
          <w:sz w:val="18"/>
          <w:szCs w:val="18"/>
          <w:lang w:val="nl-NL"/>
        </w:rPr>
        <w:br/>
        <w:t>Hoe groot is de voorraad intrekkingszaken op 1 september 2025?</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De totale voorraad van zaken waarin een intrekkingsprocedure openstond op 1 september 2025 was 20.120.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Hierbij is een splitsing gemaakt tussen reguliere vergunningen (16.490), intrekking EU (2.580), asielvergunningen (740), intrekking vergunning EU langdurig ingezetene (180) of intrekking of annulering machtiging voor voorlopig verblijf (140).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Het overgrote deel van de voorraad bestaat uit de reguliere procedures. Een reguliere verblijfsvergunning kan om diverse redenen worden ingetrokken.1 Het betreft een gebruikelijke voorraad die afhankelijk is van het aantal personen die bijvoorbeeld de studie in Nederland hebben afgerond, het aantal personen die een beroep op de bijstand doen of het aantal personen die niet langer voldoen aan de voorwaarden van een verblijfsvergunning.</w:t>
      </w:r>
      <w:r w:rsidRPr="008A6BF3">
        <w:rPr>
          <w:rFonts w:ascii="Verdana" w:hAnsi="Verdana" w:eastAsia="Times New Roman"/>
          <w:sz w:val="18"/>
          <w:szCs w:val="18"/>
          <w:lang w:val="nl-NL"/>
        </w:rPr>
        <w:br/>
      </w:r>
      <w:r w:rsidRPr="008A6BF3">
        <w:rPr>
          <w:rFonts w:ascii="Verdana" w:hAnsi="Verdana" w:eastAsia="Times New Roman"/>
          <w:sz w:val="18"/>
          <w:szCs w:val="18"/>
          <w:lang w:val="nl-NL"/>
        </w:rPr>
        <w:br/>
        <w:t>Hieronder vallen ook de zogenoemde administratieve intrekkingsprocedures. Dat zijn bijvoorbeeld procedures van vreemdelingen die naar het buitenland zijn vertrokken en zijn uitgeschreven uit de Basisregistratie Personen (BRP).</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 Door de afrondingen kan een ogenschijnlijk verschil ontstaan tussen de eindtotalen en de optelsommen van de verschillende deelcijfers.</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(22):</w:t>
      </w:r>
      <w:r w:rsidRPr="008A6BF3">
        <w:rPr>
          <w:rFonts w:ascii="Verdana" w:hAnsi="Verdana" w:eastAsia="Times New Roman"/>
          <w:sz w:val="18"/>
          <w:szCs w:val="18"/>
          <w:lang w:val="nl-NL"/>
        </w:rPr>
        <w:br/>
        <w:t>Hoeveel vreemdelingen zijn in 2024 in bezwaar gegaan tegen de intrekking van hun reguliere verblijfsvergunning?</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In 2024 zijn 1.000 vreemdelingen in bezwaar gegaan tegen de intrekking van hun reguliere verblijfsvergunning. Het aantal vreemdelingen dat in bezwaar is gegaan staat niet per definitie gelijk aan het aantal bezwaarzaken. Een vreemdeling kan meerdere bezwaarzaken hebben lopen en/of een bezwaarzaak kan meerdere vreemdelingen raken.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(23):</w:t>
      </w:r>
      <w:r w:rsidRPr="008A6BF3">
        <w:rPr>
          <w:rFonts w:ascii="Verdana" w:hAnsi="Verdana" w:eastAsia="Times New Roman"/>
          <w:sz w:val="18"/>
          <w:szCs w:val="18"/>
          <w:lang w:val="nl-NL"/>
        </w:rPr>
        <w:br/>
        <w:t xml:space="preserve">Hoe groot was de voorraad intrekkingszaken van aanvragen op grond van het Turks </w:t>
      </w:r>
      <w:r w:rsidRPr="008A6BF3">
        <w:rPr>
          <w:rFonts w:ascii="Verdana" w:hAnsi="Verdana" w:eastAsia="Times New Roman"/>
          <w:sz w:val="18"/>
          <w:szCs w:val="18"/>
          <w:lang w:val="nl-NL"/>
        </w:rPr>
        <w:lastRenderedPageBreak/>
        <w:t>Associatieverdrag op 1 september 2025? Hou verhoudt zich dit tot 1 januari 2025 en 1 januari 2024?</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De IND kan systeemtechnisch niet afdoende betrouwbaar verbijzonderen bij hoeveel individuele verblijfsaanvragen verblijfsrecht aan het Turks Associatierecht is ontleend of kon worden ontleend. Om die reden kan ook niet worden achterhaald hoe groot de voorraad intrekkingsprocedures van verblijfsvergunningen op grond van het Turks associatierecht. Er bestaat namelijk geen verblijfsdocument waarop specifiek staat weergegeven dat verblijfsrecht aan het Turks associatierecht wordt ontleend. Toetsing aan het Turks associatierecht vindt, indien daartoe in een individuele zaak aanleiding bestaat, ambtshalve plaats als onderdeel van de inhoudelijke beoordeling van een verblijfsaanvraag voor een van de verblijfsdoelen die de regelgeving kent.</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(24):</w:t>
      </w:r>
      <w:r w:rsidRPr="008A6BF3">
        <w:rPr>
          <w:rFonts w:ascii="Verdana" w:hAnsi="Verdana" w:eastAsia="Times New Roman"/>
          <w:sz w:val="18"/>
          <w:szCs w:val="18"/>
          <w:lang w:val="nl-NL"/>
        </w:rPr>
        <w:br/>
        <w:t xml:space="preserve">Hoe groot was de voorraad intrekkingszaken van aanvragen op grond van de </w:t>
      </w:r>
      <w:proofErr w:type="spellStart"/>
      <w:r w:rsidRPr="008A6BF3">
        <w:rPr>
          <w:rFonts w:ascii="Verdana" w:hAnsi="Verdana" w:eastAsia="Times New Roman"/>
          <w:sz w:val="18"/>
          <w:szCs w:val="18"/>
          <w:lang w:val="nl-NL"/>
        </w:rPr>
        <w:t>Chavez</w:t>
      </w:r>
      <w:proofErr w:type="spellEnd"/>
      <w:r w:rsidRPr="008A6BF3">
        <w:rPr>
          <w:rFonts w:ascii="Verdana" w:hAnsi="Verdana" w:eastAsia="Times New Roman"/>
          <w:sz w:val="18"/>
          <w:szCs w:val="18"/>
          <w:lang w:val="nl-NL"/>
        </w:rPr>
        <w:t>-uitspraak op 1 september 2025? Hoe verhoudt zich dit tot 1 januari 2025 en 1 januari 2024?</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 xml:space="preserve">De voorraad intrekkingsprocedures van aanvragen op grond van de </w:t>
      </w:r>
      <w:proofErr w:type="spellStart"/>
      <w:r w:rsidRPr="008A6BF3">
        <w:rPr>
          <w:rFonts w:ascii="Verdana" w:hAnsi="Verdana" w:eastAsia="Times New Roman"/>
          <w:sz w:val="18"/>
          <w:szCs w:val="18"/>
          <w:lang w:val="nl-NL"/>
        </w:rPr>
        <w:t>Chavez</w:t>
      </w:r>
      <w:proofErr w:type="spellEnd"/>
      <w:r w:rsidRPr="008A6BF3">
        <w:rPr>
          <w:rFonts w:ascii="Verdana" w:hAnsi="Verdana" w:eastAsia="Times New Roman"/>
          <w:sz w:val="18"/>
          <w:szCs w:val="18"/>
          <w:lang w:val="nl-NL"/>
        </w:rPr>
        <w:t>-uitspraak op 1 september 2025 betreft 300.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 xml:space="preserve">De voorraad intrekkingsprocedures van aanvragen op grond van de </w:t>
      </w:r>
      <w:proofErr w:type="spellStart"/>
      <w:r w:rsidRPr="008A6BF3">
        <w:rPr>
          <w:rFonts w:ascii="Verdana" w:hAnsi="Verdana" w:eastAsia="Times New Roman"/>
          <w:sz w:val="18"/>
          <w:szCs w:val="18"/>
          <w:lang w:val="nl-NL"/>
        </w:rPr>
        <w:t>Chavez</w:t>
      </w:r>
      <w:proofErr w:type="spellEnd"/>
      <w:r w:rsidRPr="008A6BF3">
        <w:rPr>
          <w:rFonts w:ascii="Verdana" w:hAnsi="Verdana" w:eastAsia="Times New Roman"/>
          <w:sz w:val="18"/>
          <w:szCs w:val="18"/>
          <w:lang w:val="nl-NL"/>
        </w:rPr>
        <w:t>-uitspraak op 1 januari 2025 betreft 310.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 xml:space="preserve">De voorraad intrekkingsprocedures van aanvragen op grond van de </w:t>
      </w:r>
      <w:proofErr w:type="spellStart"/>
      <w:r w:rsidRPr="008A6BF3">
        <w:rPr>
          <w:rFonts w:ascii="Verdana" w:hAnsi="Verdana" w:eastAsia="Times New Roman"/>
          <w:sz w:val="18"/>
          <w:szCs w:val="18"/>
          <w:lang w:val="nl-NL"/>
        </w:rPr>
        <w:t>Chavez</w:t>
      </w:r>
      <w:proofErr w:type="spellEnd"/>
      <w:r w:rsidRPr="008A6BF3">
        <w:rPr>
          <w:rFonts w:ascii="Verdana" w:hAnsi="Verdana" w:eastAsia="Times New Roman"/>
          <w:sz w:val="18"/>
          <w:szCs w:val="18"/>
          <w:lang w:val="nl-NL"/>
        </w:rPr>
        <w:t>-uitspraak op 1 januari 2024 betreft 230.</w:t>
      </w:r>
      <w:r w:rsidRPr="008A6BF3">
        <w:rPr>
          <w:rFonts w:ascii="Verdana" w:hAnsi="Verdana" w:eastAsia="Times New Roman"/>
          <w:sz w:val="18"/>
          <w:szCs w:val="18"/>
          <w:lang w:val="nl-NL"/>
        </w:rPr>
        <w:br/>
      </w:r>
      <w:r w:rsidRPr="008A6BF3">
        <w:rPr>
          <w:rFonts w:ascii="Verdana" w:hAnsi="Verdana" w:eastAsia="Times New Roman"/>
          <w:sz w:val="18"/>
          <w:szCs w:val="18"/>
          <w:lang w:val="nl-NL"/>
        </w:rPr>
        <w:br/>
        <w:t>Bron: IND, cijfers afgerond op tientallen.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Vraag (25):</w:t>
      </w:r>
      <w:r w:rsidRPr="008A6BF3">
        <w:rPr>
          <w:rFonts w:ascii="Verdana" w:hAnsi="Verdana" w:eastAsia="Times New Roman"/>
          <w:sz w:val="18"/>
          <w:szCs w:val="18"/>
          <w:lang w:val="nl-NL"/>
        </w:rPr>
        <w:br/>
        <w:t>Wat is de gemiddelde doorlooptijd tussen de afwijzing of intrekking van een verblijfsvergunning asiel en het daadwerkelijke vertrek van de asielzoekers uit Nederland bij gedwongen vertrek?</w:t>
      </w:r>
      <w:r w:rsidRPr="008A6BF3">
        <w:rPr>
          <w:rFonts w:ascii="Verdana" w:hAnsi="Verdana" w:eastAsia="Times New Roman"/>
          <w:sz w:val="18"/>
          <w:szCs w:val="18"/>
          <w:lang w:val="nl-NL"/>
        </w:rPr>
        <w:br/>
      </w:r>
      <w:r w:rsidRPr="008A6BF3">
        <w:rPr>
          <w:rFonts w:ascii="Verdana" w:hAnsi="Verdana" w:eastAsia="Times New Roman"/>
          <w:sz w:val="18"/>
          <w:szCs w:val="18"/>
          <w:lang w:val="nl-NL"/>
        </w:rPr>
        <w:br/>
      </w:r>
      <w:r w:rsidRPr="008A6BF3">
        <w:rPr>
          <w:rFonts w:ascii="Verdana" w:hAnsi="Verdana" w:eastAsia="Times New Roman"/>
          <w:b/>
          <w:bCs/>
          <w:sz w:val="18"/>
          <w:szCs w:val="18"/>
          <w:lang w:val="nl-NL"/>
        </w:rPr>
        <w:t>Antwoord:</w:t>
      </w:r>
      <w:r w:rsidRPr="008A6BF3">
        <w:rPr>
          <w:rFonts w:ascii="Verdana" w:hAnsi="Verdana" w:eastAsia="Times New Roman"/>
          <w:sz w:val="18"/>
          <w:szCs w:val="18"/>
          <w:lang w:val="nl-NL"/>
        </w:rPr>
        <w:br/>
        <w:t>Voor de ca 2.100 vreemdelingen die in 2025 (tot oktober) gedwongen vertrokken was de gemiddelde doorlooptijd van de vertrekprocedure 118 dagen. In zowel 2023 als 2024 was dit 102 dagen en ging het om respectievelijk ca 2.370 en ca 2.760 vreemdelingen.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DTenV krijgt vreemdelingen in de regel overgedragen vóórdat de beroepsprocedure doorlopen is. Die beroepsprocedure mag normaliter in Nederland afgewacht worden. De gegevens zien op álle bij DTenV bekende vreemdelingen. Er kan namelijk geen onderscheid worden gemaakt tussen vreemdelingen met of zonder asielprocedure/-verleden.</w:t>
      </w:r>
      <w:r w:rsidRPr="008A6BF3">
        <w:rPr>
          <w:rFonts w:ascii="Verdana" w:hAnsi="Verdana" w:eastAsia="Times New Roman"/>
          <w:sz w:val="18"/>
          <w:szCs w:val="18"/>
          <w:lang w:val="nl-NL"/>
        </w:rPr>
        <w:br/>
      </w:r>
      <w:r w:rsidRPr="008A6BF3">
        <w:rPr>
          <w:rFonts w:ascii="Verdana" w:hAnsi="Verdana" w:eastAsia="Times New Roman"/>
          <w:sz w:val="18"/>
          <w:szCs w:val="18"/>
          <w:lang w:val="nl-NL"/>
        </w:rPr>
        <w:br/>
        <w:t>Voor de beantwoording van deze vraag is door middel van een analyse met behulp van DTenV</w:t>
      </w:r>
      <w:r w:rsidRPr="008A6BF3" w:rsidR="000E7FBD">
        <w:rPr>
          <w:rFonts w:ascii="Verdana" w:hAnsi="Verdana" w:eastAsia="Times New Roman"/>
          <w:sz w:val="18"/>
          <w:szCs w:val="18"/>
          <w:lang w:val="nl-NL"/>
        </w:rPr>
        <w:t>-</w:t>
      </w:r>
      <w:r w:rsidRPr="008A6BF3">
        <w:rPr>
          <w:rFonts w:ascii="Verdana" w:hAnsi="Verdana" w:eastAsia="Times New Roman"/>
          <w:sz w:val="18"/>
          <w:szCs w:val="18"/>
          <w:lang w:val="nl-NL"/>
        </w:rPr>
        <w:t>gegevens gekeken naar de gemiddelde doorlooptijd van vertrekprocedures die zijn geëindigd met gedwongen vertrek. Het moment van gedwongen vertrek is daarbij gekoppeld aan wanneer de vreemdeling (voor het laatst) instroomde bij DTenV.</w:t>
      </w:r>
    </w:p>
    <w:p w:rsidRPr="000E7FBD" w:rsidR="00F413DA" w:rsidRDefault="00B319C9" w14:paraId="11065746" w14:textId="77777777">
      <w:pPr>
        <w:pStyle w:val="Voettekst"/>
        <w:divId w:val="1994017363"/>
        <w:rPr>
          <w:lang w:val="nl-NL"/>
        </w:rPr>
      </w:pPr>
      <w:r w:rsidRPr="008A6BF3">
        <w:rPr>
          <w:lang w:val="nl-NL"/>
        </w:rPr>
        <w:tab/>
      </w:r>
      <w:r w:rsidRPr="008A6BF3">
        <w:rPr>
          <w:lang w:val="nl-NL"/>
        </w:rPr>
        <w:tab/>
      </w:r>
      <w:r w:rsidRPr="008A6BF3">
        <w:rPr>
          <w:lang w:val="nl-NL"/>
        </w:rPr>
        <w:fldChar w:fldCharType="begin"/>
      </w:r>
      <w:r w:rsidRPr="008A6BF3">
        <w:rPr>
          <w:lang w:val="nl-NL"/>
        </w:rPr>
        <w:instrText xml:space="preserve"> PAGE </w:instrText>
      </w:r>
      <w:r w:rsidRPr="008A6BF3">
        <w:rPr>
          <w:lang w:val="nl-NL"/>
        </w:rPr>
        <w:fldChar w:fldCharType="separate"/>
      </w:r>
      <w:r w:rsidRPr="008A6BF3">
        <w:rPr>
          <w:lang w:val="nl-NL"/>
        </w:rPr>
        <w:fldChar w:fldCharType="end"/>
      </w:r>
      <w:r w:rsidRPr="000E7FBD">
        <w:rPr>
          <w:lang w:val="nl-NL"/>
        </w:rPr>
        <w:t xml:space="preserve"> </w:t>
      </w:r>
    </w:p>
    <w:sectPr w:rsidRPr="000E7FBD" w:rsidR="00F413DA">
      <w:footerReference w:type="default" r:id="rId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9EC4" w14:textId="77777777" w:rsidR="003903AC" w:rsidRDefault="003903AC">
      <w:r>
        <w:separator/>
      </w:r>
    </w:p>
  </w:endnote>
  <w:endnote w:type="continuationSeparator" w:id="0">
    <w:p w14:paraId="517DD421" w14:textId="77777777" w:rsidR="003903AC" w:rsidRDefault="0039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2514" w14:textId="77777777" w:rsidR="00F413DA" w:rsidRDefault="00B319C9">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5559" w14:textId="77777777" w:rsidR="003903AC" w:rsidRDefault="003903AC">
      <w:r>
        <w:separator/>
      </w:r>
    </w:p>
  </w:footnote>
  <w:footnote w:type="continuationSeparator" w:id="0">
    <w:p w14:paraId="5D4BF6FC" w14:textId="77777777" w:rsidR="003903AC" w:rsidRDefault="0039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C9"/>
    <w:rsid w:val="000E7FBD"/>
    <w:rsid w:val="00196E4A"/>
    <w:rsid w:val="00376DAE"/>
    <w:rsid w:val="00383801"/>
    <w:rsid w:val="00386CA8"/>
    <w:rsid w:val="003903AC"/>
    <w:rsid w:val="004C33DE"/>
    <w:rsid w:val="005201BF"/>
    <w:rsid w:val="00682945"/>
    <w:rsid w:val="007F1387"/>
    <w:rsid w:val="008A6BF3"/>
    <w:rsid w:val="00B319C9"/>
    <w:rsid w:val="00BB0EF3"/>
    <w:rsid w:val="00BB1A86"/>
    <w:rsid w:val="00D45522"/>
    <w:rsid w:val="00D63763"/>
    <w:rsid w:val="00D757E7"/>
    <w:rsid w:val="00E26B3D"/>
    <w:rsid w:val="00F35EEA"/>
    <w:rsid w:val="00F413DA"/>
    <w:rsid w:val="00FD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89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1736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2982</ap:Words>
  <ap:Characters>17927</ap:Characters>
  <ap:DocSecurity>0</ap:DocSecurity>
  <ap:Lines>149</ap:Lines>
  <ap:Paragraphs>41</ap:Paragraphs>
  <ap:ScaleCrop>false</ap:ScaleCrop>
  <ap:LinksUpToDate>false</ap:LinksUpToDate>
  <ap:CharactersWithSpaces>20868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2025-11-12T14:47:00.0000000Z</dcterms:created>
  <dcterms:modified xsi:type="dcterms:W3CDTF">2025-11-12T14:47:00.0000000Z</dcterms:modified>
  <version/>
  <category/>
</coreProperties>
</file>