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EE0" w:rsidRDefault="00426B5D" w14:paraId="23079546" w14:textId="77777777">
      <w:pPr>
        <w:pStyle w:val="StandaardAanhef"/>
      </w:pPr>
      <w:r>
        <w:t>Geachte voorzitter,</w:t>
      </w:r>
    </w:p>
    <w:p w:rsidR="00D96D9C" w:rsidRDefault="00D96D9C" w14:paraId="74F672B9" w14:textId="77777777">
      <w:r>
        <w:t>Uw Kamer heeft in de motie-</w:t>
      </w:r>
      <w:proofErr w:type="spellStart"/>
      <w:r>
        <w:t>Stultiens</w:t>
      </w:r>
      <w:proofErr w:type="spellEnd"/>
      <w:r>
        <w:t xml:space="preserve"> verzocht opties in kaart te brengen over het vergroten van de transparantie van de belastingafdracht van multinationals.</w:t>
      </w:r>
      <w:r>
        <w:rPr>
          <w:rStyle w:val="Voetnootmarkering"/>
        </w:rPr>
        <w:footnoteReference w:id="1"/>
      </w:r>
      <w:r>
        <w:t xml:space="preserve"> Met deze Kamerbrief voldoe ik aan het verzoek in deze motie</w:t>
      </w:r>
      <w:r w:rsidR="005137BF">
        <w:t>, mede namens de staatssecretaris van Justitie en Veiligheid</w:t>
      </w:r>
      <w:r>
        <w:t>.</w:t>
      </w:r>
      <w:r w:rsidR="00FB4763">
        <w:t xml:space="preserve"> In </w:t>
      </w:r>
      <w:r w:rsidR="007602A8">
        <w:t xml:space="preserve">deze brief ga ik eerst in op </w:t>
      </w:r>
      <w:r w:rsidR="004E4C03">
        <w:t>openheid</w:t>
      </w:r>
      <w:r w:rsidR="00B9406B">
        <w:t xml:space="preserve"> </w:t>
      </w:r>
      <w:r w:rsidR="007602A8">
        <w:t>door</w:t>
      </w:r>
      <w:r w:rsidR="00B9406B">
        <w:t xml:space="preserve"> bedrijven zelf, </w:t>
      </w:r>
      <w:r w:rsidR="004E4C03">
        <w:t>en vervolgens op openbaarmaking van gegevens door de overheid</w:t>
      </w:r>
      <w:r w:rsidR="00B9406B">
        <w:t xml:space="preserve">. </w:t>
      </w:r>
    </w:p>
    <w:p w:rsidR="00FB4763" w:rsidRDefault="00FB4763" w14:paraId="2D9C0A4F" w14:textId="77777777"/>
    <w:p w:rsidR="00FB4763" w:rsidRDefault="007602A8" w14:paraId="56445024" w14:textId="77777777">
      <w:pPr>
        <w:rPr>
          <w:b/>
          <w:bCs/>
        </w:rPr>
      </w:pPr>
      <w:r w:rsidRPr="007602A8">
        <w:rPr>
          <w:b/>
          <w:bCs/>
        </w:rPr>
        <w:t>1.</w:t>
      </w:r>
      <w:r w:rsidR="00D26438">
        <w:rPr>
          <w:b/>
          <w:bCs/>
        </w:rPr>
        <w:tab/>
      </w:r>
      <w:r w:rsidRPr="007602A8" w:rsidR="00FB4763">
        <w:rPr>
          <w:b/>
          <w:bCs/>
        </w:rPr>
        <w:t>Transparantie door bedrijven zelf</w:t>
      </w:r>
    </w:p>
    <w:p w:rsidR="00003A90" w:rsidRDefault="00003A90" w14:paraId="15C34DF2" w14:textId="77777777">
      <w:pPr>
        <w:rPr>
          <w:b/>
          <w:bCs/>
        </w:rPr>
      </w:pPr>
    </w:p>
    <w:p w:rsidRPr="003F2BAB" w:rsidR="003F2BAB" w:rsidP="003F2BAB" w:rsidRDefault="003F2BAB" w14:paraId="009200BA" w14:textId="77777777">
      <w:r w:rsidRPr="003F2BAB">
        <w:t xml:space="preserve">Het kabinet vindt het belangrijk dat multinationals transparant zijn over hun belastingafdracht en de manier waarop ze met belastingverplichtingen omgaan. Openheid hierover draagt bij aan een beter maatschappelijk debat over belastingen. De afgelopen jaren zijn er op dit gebied veel stappen gezet. Zo is het kabinet blij dat grote Nederlandse internationale concerns de Tax </w:t>
      </w:r>
      <w:proofErr w:type="spellStart"/>
      <w:r w:rsidRPr="003F2BAB">
        <w:t>Governance</w:t>
      </w:r>
      <w:proofErr w:type="spellEnd"/>
      <w:r w:rsidRPr="003F2BAB">
        <w:t xml:space="preserve"> Code hebben omarmd. De Tax </w:t>
      </w:r>
      <w:proofErr w:type="spellStart"/>
      <w:r w:rsidRPr="003F2BAB">
        <w:t>Governance</w:t>
      </w:r>
      <w:proofErr w:type="spellEnd"/>
      <w:r w:rsidRPr="003F2BAB">
        <w:t xml:space="preserve"> Code is een fiscale gedragscode </w:t>
      </w:r>
      <w:r w:rsidR="00DE2BD3">
        <w:t xml:space="preserve">die is </w:t>
      </w:r>
      <w:r w:rsidRPr="003F2BAB">
        <w:t>opgesteld door VNO-NCW.</w:t>
      </w:r>
      <w:r w:rsidRPr="003F2BAB">
        <w:rPr>
          <w:vertAlign w:val="superscript"/>
        </w:rPr>
        <w:footnoteReference w:id="2"/>
      </w:r>
      <w:r w:rsidRPr="003F2BAB">
        <w:t xml:space="preserve"> In deze Code speelt transparantie over belastingen een grote rol. Met deze code laat het bedrijfsleven zien haar maatschappelijke verantwoordelijkheid rondom de belastingen serieus te nemen. Het kabinet verwacht ook van staatsdeelnemingen</w:t>
      </w:r>
      <w:r w:rsidR="00303C31">
        <w:t>, die tot de doelgroep van de Code behoren,</w:t>
      </w:r>
      <w:r w:rsidRPr="003F2BAB">
        <w:t xml:space="preserve"> dat ze de principes uit de Code naleven en de Code onderschrijven.</w:t>
      </w:r>
    </w:p>
    <w:p w:rsidRPr="003F2BAB" w:rsidR="003F2BAB" w:rsidP="003F2BAB" w:rsidRDefault="003F2BAB" w14:paraId="7C32A1CE" w14:textId="77777777"/>
    <w:p w:rsidRPr="003F2BAB" w:rsidR="003F2BAB" w:rsidP="003F2BAB" w:rsidRDefault="003F2BAB" w14:paraId="3D764B8E" w14:textId="77777777">
      <w:r w:rsidRPr="003F2BAB">
        <w:t>Daarnaast zijn multinationals in de EU met een totale geconsolideerde omzet van minstens €750 miljoen verplicht om jaarlijks in het handelsregister een verslag inzake de winstbelasting openbaar te maken dat betrekking heeft op de landen waar de multinational actief is (de zogenaamde openbare country-</w:t>
      </w:r>
      <w:proofErr w:type="spellStart"/>
      <w:r w:rsidRPr="003F2BAB">
        <w:t>by</w:t>
      </w:r>
      <w:proofErr w:type="spellEnd"/>
      <w:r w:rsidRPr="003F2BAB">
        <w:t xml:space="preserve">-country </w:t>
      </w:r>
      <w:proofErr w:type="spellStart"/>
      <w:r w:rsidRPr="003F2BAB">
        <w:t>reporting</w:t>
      </w:r>
      <w:proofErr w:type="spellEnd"/>
      <w:r w:rsidRPr="003F2BAB">
        <w:t xml:space="preserve">, </w:t>
      </w:r>
      <w:proofErr w:type="spellStart"/>
      <w:r w:rsidRPr="003F2BAB">
        <w:t>CbCR</w:t>
      </w:r>
      <w:proofErr w:type="spellEnd"/>
      <w:r w:rsidRPr="003F2BAB">
        <w:t xml:space="preserve">). Aanleiding voor de Europese Commissie voor die richtlijn was de bestrijding van belastingontwijking. </w:t>
      </w:r>
      <w:r w:rsidR="00DE2BD3">
        <w:t>D</w:t>
      </w:r>
      <w:r w:rsidRPr="003F2BAB">
        <w:t xml:space="preserve">e Commissie </w:t>
      </w:r>
      <w:r w:rsidR="00DE2BD3">
        <w:t xml:space="preserve">was </w:t>
      </w:r>
      <w:r w:rsidRPr="003F2BAB">
        <w:t>van mening dat transparantie over belastingbetalingen kan leiden tot een beter onderbouwd publiek debat over de belastingmoraal van bepaalde ondernemingen</w:t>
      </w:r>
      <w:r w:rsidR="00DE2BD3">
        <w:t>.</w:t>
      </w:r>
      <w:r w:rsidR="00911A50">
        <w:t xml:space="preserve"> </w:t>
      </w:r>
      <w:r w:rsidR="00DE2BD3">
        <w:t>Dat kan</w:t>
      </w:r>
      <w:r w:rsidRPr="003F2BAB">
        <w:t xml:space="preserve"> druk leggen op die ondernemingen om zich te verbeteren en fiscaal verantwoord te ondernemen. </w:t>
      </w:r>
    </w:p>
    <w:p w:rsidRPr="003F2BAB" w:rsidR="003F2BAB" w:rsidP="003F2BAB" w:rsidRDefault="003F2BAB" w14:paraId="7E3D655E" w14:textId="77777777"/>
    <w:p w:rsidRPr="003F2BAB" w:rsidR="003F2BAB" w:rsidP="003F2BAB" w:rsidRDefault="003F2BAB" w14:paraId="1466BEBD" w14:textId="77777777">
      <w:r w:rsidRPr="003F2BAB">
        <w:t>In het verslag moet gerapporteerd worden hoeveel de winst of het verlies vóór winstbelasting, de toerekenbare winstbelasting, de betaalde winstbelasting en de gecumuleerde winst bedragen. Die informatie moet worden uitgesplitst per lidstaat in de EU en EER en per rechtsgebied dat is aangewezen in de EU als coöperatief of niet-coöperatief.</w:t>
      </w:r>
      <w:r w:rsidRPr="003F2BAB">
        <w:rPr>
          <w:vertAlign w:val="superscript"/>
        </w:rPr>
        <w:footnoteReference w:id="3"/>
      </w:r>
      <w:r w:rsidRPr="003F2BAB">
        <w:t xml:space="preserve"> Over de andere relevante landen mag de informatie </w:t>
      </w:r>
      <w:r w:rsidR="00DE2BD3">
        <w:t>samengevoegd</w:t>
      </w:r>
      <w:r w:rsidRPr="003F2BAB" w:rsidR="00DE2BD3">
        <w:t xml:space="preserve"> </w:t>
      </w:r>
      <w:r w:rsidRPr="003F2BAB">
        <w:t xml:space="preserve">worden. Ook grote dochtermaatschappijen in de EU-lidstaten, waarvan de uiteindelijke moedermaatschappij buiten de EU is gevestigd, zijn verplicht openbaar te maken hoeveel winstbelasting het hele concern in elke EU-lidstaat en in de landen daarbuiten </w:t>
      </w:r>
      <w:r w:rsidR="00DE2BD3">
        <w:t>betaalt</w:t>
      </w:r>
      <w:r w:rsidRPr="003F2BAB">
        <w:t>.</w:t>
      </w:r>
    </w:p>
    <w:p w:rsidRPr="003F2BAB" w:rsidR="003F2BAB" w:rsidP="003F2BAB" w:rsidRDefault="003F2BAB" w14:paraId="44B0083D" w14:textId="77777777"/>
    <w:p w:rsidR="00FB4763" w:rsidRDefault="003F2BAB" w14:paraId="3038F31D" w14:textId="77777777">
      <w:r w:rsidRPr="003F2BAB">
        <w:t xml:space="preserve">Deze rapporteringsverplichting geldt met ingang van het boekjaar dat begint op of na 22 juni 2024. Voor de meeste bedrijven geldt dat het boekjaar gelijk is aan het kalenderjaar, waarmee het eerste rapportagejaar voor de meeste bedrijven het boekjaar 2025 </w:t>
      </w:r>
      <w:r w:rsidR="00DE2BD3">
        <w:t>is</w:t>
      </w:r>
      <w:r w:rsidRPr="003F2BAB">
        <w:t xml:space="preserve">. De rapportages over dat jaar </w:t>
      </w:r>
      <w:r w:rsidR="00DE2BD3">
        <w:t>moeten</w:t>
      </w:r>
      <w:r w:rsidRPr="003F2BAB" w:rsidR="00DE2BD3">
        <w:t xml:space="preserve"> </w:t>
      </w:r>
      <w:r w:rsidRPr="003F2BAB">
        <w:t xml:space="preserve">uiterlijk 31 december 2026 worden gedeponeerd. </w:t>
      </w:r>
      <w:r w:rsidR="00DE2BD3">
        <w:t>D</w:t>
      </w:r>
      <w:r w:rsidRPr="003F2BAB">
        <w:t xml:space="preserve">eze regelgeving </w:t>
      </w:r>
      <w:r w:rsidR="00DE2BD3">
        <w:t>dwin</w:t>
      </w:r>
      <w:r w:rsidR="001B1F8B">
        <w:t>g</w:t>
      </w:r>
      <w:r w:rsidR="00DE2BD3">
        <w:t xml:space="preserve">t </w:t>
      </w:r>
      <w:r w:rsidRPr="003F2BAB">
        <w:t xml:space="preserve">multinationals </w:t>
      </w:r>
      <w:r w:rsidR="00DE2BD3">
        <w:t xml:space="preserve">jaarlijks </w:t>
      </w:r>
      <w:r w:rsidRPr="003F2BAB">
        <w:t>al tot aanzienlijk meer openheid van gegevens</w:t>
      </w:r>
      <w:r w:rsidR="00DE2BD3">
        <w:t>,</w:t>
      </w:r>
      <w:r w:rsidRPr="003F2BAB">
        <w:t xml:space="preserve"> wat de indiener van de motie </w:t>
      </w:r>
      <w:r w:rsidR="00DE2BD3">
        <w:t xml:space="preserve">ook </w:t>
      </w:r>
      <w:r w:rsidRPr="003F2BAB">
        <w:t>beo</w:t>
      </w:r>
      <w:r w:rsidR="00CF0C2B">
        <w:t>o</w:t>
      </w:r>
      <w:r w:rsidRPr="003F2BAB">
        <w:t>g</w:t>
      </w:r>
      <w:r w:rsidR="00CF0C2B">
        <w:t>t</w:t>
      </w:r>
      <w:r w:rsidR="00DE2BD3">
        <w:t>.</w:t>
      </w:r>
      <w:r w:rsidRPr="003F2BAB">
        <w:t xml:space="preserve"> </w:t>
      </w:r>
      <w:r w:rsidR="00DE2BD3">
        <w:t>H</w:t>
      </w:r>
      <w:r w:rsidRPr="003F2BAB">
        <w:t xml:space="preserve">et kabinet </w:t>
      </w:r>
      <w:r w:rsidR="00DE2BD3">
        <w:t xml:space="preserve">is daarom </w:t>
      </w:r>
      <w:r w:rsidRPr="003F2BAB">
        <w:t xml:space="preserve">van mening dat aan de wens van de indiener tegemoet is gekomen. Het kabinet ziet daarom op dit moment geen aanleiding om andere opties te onderzoeken, ook met het oog op de lastendruk voor het bedrijfsleven. </w:t>
      </w:r>
      <w:r w:rsidRPr="00DE2BD3" w:rsidR="00DE2BD3">
        <w:t xml:space="preserve">Het kabinet blijft bedrijven oproepen de Tax </w:t>
      </w:r>
      <w:proofErr w:type="spellStart"/>
      <w:r w:rsidRPr="00DE2BD3" w:rsidR="00DE2BD3">
        <w:t>Governance</w:t>
      </w:r>
      <w:proofErr w:type="spellEnd"/>
      <w:r w:rsidRPr="00DE2BD3" w:rsidR="00DE2BD3">
        <w:t xml:space="preserve"> Code te onderschrijven.</w:t>
      </w:r>
    </w:p>
    <w:p w:rsidR="00FB4763" w:rsidRDefault="00FB4763" w14:paraId="13D3690B" w14:textId="77777777"/>
    <w:p w:rsidR="00FB4763" w:rsidRDefault="007602A8" w14:paraId="307185BE" w14:textId="77777777">
      <w:pPr>
        <w:rPr>
          <w:b/>
          <w:bCs/>
        </w:rPr>
      </w:pPr>
      <w:r w:rsidRPr="007602A8">
        <w:rPr>
          <w:b/>
          <w:bCs/>
        </w:rPr>
        <w:t>2.</w:t>
      </w:r>
      <w:r w:rsidR="00D26438">
        <w:rPr>
          <w:b/>
          <w:bCs/>
        </w:rPr>
        <w:tab/>
      </w:r>
      <w:r w:rsidRPr="007602A8" w:rsidR="00FB4763">
        <w:rPr>
          <w:b/>
          <w:bCs/>
        </w:rPr>
        <w:t>Openbaarmaking door overheid</w:t>
      </w:r>
    </w:p>
    <w:p w:rsidR="00C5369A" w:rsidRDefault="00C5369A" w14:paraId="0E248D16" w14:textId="77777777">
      <w:pPr>
        <w:rPr>
          <w:b/>
          <w:bCs/>
        </w:rPr>
      </w:pPr>
    </w:p>
    <w:p w:rsidRPr="009356E4" w:rsidR="00FB4763" w:rsidRDefault="00FB4763" w14:paraId="2B454E46" w14:textId="77777777">
      <w:r>
        <w:t>In uw motie wordt ook gevraagd naar opties die betrekking hebben op de openbaarmaking van belastinggegevens door de overheid.</w:t>
      </w:r>
      <w:r w:rsidR="00C52156">
        <w:t xml:space="preserve"> Uit de tekst van de motie en de bespreking daarvan in het tweeminutendebat</w:t>
      </w:r>
      <w:r w:rsidR="00C52156">
        <w:rPr>
          <w:rStyle w:val="Voetnootmarkering"/>
        </w:rPr>
        <w:footnoteReference w:id="4"/>
      </w:r>
      <w:r w:rsidR="00C52156">
        <w:t xml:space="preserve"> maak ik op dat uw Kamer zich afvraagt of het parlement voldoende inzicht heeft in de mate van belastingontwijking en de vormen waarin zich dat voordoet. </w:t>
      </w:r>
      <w:r w:rsidR="00EA0E70">
        <w:t xml:space="preserve">Het kabinet </w:t>
      </w:r>
      <w:r w:rsidR="00DE2BD3">
        <w:t>vindt</w:t>
      </w:r>
      <w:r w:rsidR="0000457C">
        <w:t xml:space="preserve"> het van belang dat uw Kamer een zo goed mogelijk beeld heeft van hoe wetgeving in de praktijk</w:t>
      </w:r>
      <w:r w:rsidRPr="00B65620" w:rsidR="00B65620">
        <w:t xml:space="preserve"> </w:t>
      </w:r>
      <w:r w:rsidR="00B65620">
        <w:t>uitwerkt</w:t>
      </w:r>
      <w:r w:rsidR="00EA0E70">
        <w:t xml:space="preserve">. </w:t>
      </w:r>
      <w:r w:rsidR="0000457C">
        <w:t>Inzicht in de consequenties van beleid</w:t>
      </w:r>
      <w:r w:rsidR="00EA0E70">
        <w:t xml:space="preserve"> </w:t>
      </w:r>
      <w:r w:rsidR="00B65620">
        <w:t>komt namelijk</w:t>
      </w:r>
      <w:r w:rsidR="00EA0E70">
        <w:t xml:space="preserve"> ten goede aan de kwaliteit van </w:t>
      </w:r>
      <w:r w:rsidR="0000457C">
        <w:t xml:space="preserve">het </w:t>
      </w:r>
      <w:r w:rsidR="00B65620">
        <w:t>debat hierover</w:t>
      </w:r>
      <w:r w:rsidR="00EA0E70">
        <w:t xml:space="preserve">. </w:t>
      </w:r>
      <w:r w:rsidR="00B65620">
        <w:t>Het kabinet stuurt uw Kamer daarom ieder jaar een monitoringsbrief o</w:t>
      </w:r>
      <w:r w:rsidR="0000457C">
        <w:t>p het thema van belastingontwijking.</w:t>
      </w:r>
      <w:r w:rsidR="00B65620">
        <w:t xml:space="preserve"> Hierin biedt het kabinet inzicht in de meetbare effecten van recente maatregelen in de aanpak van belastingontwijking.</w:t>
      </w:r>
      <w:r w:rsidR="00B65620">
        <w:rPr>
          <w:rStyle w:val="Voetnootmarkering"/>
        </w:rPr>
        <w:footnoteReference w:id="5"/>
      </w:r>
      <w:r w:rsidR="0000457C">
        <w:t xml:space="preserve"> </w:t>
      </w:r>
      <w:r w:rsidR="00B65620">
        <w:t xml:space="preserve">De eerstvolgende editie van deze monitoringsbrief volgt voor het einde van dit jaar. </w:t>
      </w:r>
      <w:r w:rsidR="0000457C">
        <w:t xml:space="preserve">Daarnaast maakt </w:t>
      </w:r>
      <w:r w:rsidR="00C52156">
        <w:t xml:space="preserve">het kabinet ieder jaar een lijst </w:t>
      </w:r>
      <w:r w:rsidR="0000457C">
        <w:t>op</w:t>
      </w:r>
      <w:r w:rsidR="00C52156">
        <w:t xml:space="preserve"> van opmerkelijke belastingconstructies</w:t>
      </w:r>
      <w:r w:rsidR="0000457C">
        <w:t xml:space="preserve"> die in de praktijk voorkomen</w:t>
      </w:r>
      <w:r w:rsidR="00C52156">
        <w:t xml:space="preserve">. </w:t>
      </w:r>
      <w:r w:rsidR="00EA0E70">
        <w:t xml:space="preserve">Deze lijst publiceert het kabinet elk jaar als bijlage bij de Voorjaarsnota, met </w:t>
      </w:r>
      <w:r w:rsidRPr="009356E4" w:rsidR="00EA0E70">
        <w:t>daarbij een overzicht van op welke manier het kabinet deze constructies wil aanpakken.</w:t>
      </w:r>
      <w:r w:rsidRPr="009356E4" w:rsidR="00B65620">
        <w:rPr>
          <w:rStyle w:val="Voetnootmarkering"/>
        </w:rPr>
        <w:footnoteReference w:id="6"/>
      </w:r>
    </w:p>
    <w:p w:rsidRPr="000C1DBC" w:rsidR="000C1DBC" w:rsidP="000C1DBC" w:rsidRDefault="000C1DBC" w14:paraId="1CD89FA2" w14:textId="77777777">
      <w:pPr>
        <w:pStyle w:val="StandaardSlotzin"/>
      </w:pPr>
      <w:r w:rsidRPr="000C1DBC">
        <w:t>Het kabinet blijft zich inzetten tegen belastingontwijking en -ontduiking. Echter, informatie over de belastingafdracht van een (groep) individuele belastingplichtige(n) valt onder de fiscale geheimhoudingsplicht.</w:t>
      </w:r>
      <w:r w:rsidRPr="000C1DBC">
        <w:rPr>
          <w:vertAlign w:val="superscript"/>
        </w:rPr>
        <w:footnoteReference w:id="7"/>
      </w:r>
      <w:r w:rsidRPr="000C1DBC">
        <w:t xml:space="preserve"> In de brief van 21 juli 2025 is mijn ambtsvoorganger ingegaan op o.a. doel en strekking van de </w:t>
      </w:r>
      <w:r w:rsidRPr="000C1DBC">
        <w:lastRenderedPageBreak/>
        <w:t>fiscale geheimhoudingsplicht.</w:t>
      </w:r>
      <w:r w:rsidRPr="000C1DBC">
        <w:rPr>
          <w:vertAlign w:val="superscript"/>
        </w:rPr>
        <w:footnoteReference w:id="8"/>
      </w:r>
      <w:r w:rsidRPr="000C1DBC">
        <w:t xml:space="preserve"> Daarin wordt het grote maatschappelijke belang van de fiscale geheimhoudingsplicht omschreven, evenals de weging van de daarmee gemoeide belangen tegenover het belang van goede informatieverstrekking (aan het parlement). Ook worden de verschillende mogelijkheden die de huidige wet- en regelgeving biedt ter verstrekking van informatie aan het parlement omschreven. </w:t>
      </w:r>
    </w:p>
    <w:p w:rsidRPr="000C1DBC" w:rsidR="000C1DBC" w:rsidP="000C1DBC" w:rsidRDefault="000C1DBC" w14:paraId="3D70D947" w14:textId="77777777">
      <w:pPr>
        <w:pStyle w:val="StandaardSlotzin"/>
      </w:pPr>
      <w:r w:rsidRPr="000C1DBC">
        <w:t>Aanvullend op de daar omschreven bestaande mogelijkheden ziet het kabinet geen reële beleidsopties die recht doen aan de delicate afweging van twee zwaarwegende belangen. Verdergaande transparantie zou afbreuk kunnen doen aan de vertrouwelijkheid tussen de inspecteur en de belastingplichtige. Beleidsopties die voorstellen om uitspraken te doen over de fiscale positie van individuele belastingplichtigen leiden tot een verslechtering van de bescherming van de privacy van belastingplichtigen. Een doorbreking van de geheimhoudingsplicht kan bovendien tot gevolg hebben dat belastingplichtigen terughoudender zijn met het delen van die informatie met de Belastingdienst, waarmee het belang van de Staat in het geding kan komen.</w:t>
      </w:r>
    </w:p>
    <w:p w:rsidR="007B7EE0" w:rsidRDefault="00426B5D" w14:paraId="2D4C40F3" w14:textId="77777777">
      <w:pPr>
        <w:pStyle w:val="StandaardSlotzin"/>
      </w:pPr>
      <w:r>
        <w:t>Hoogachtend,</w:t>
      </w:r>
    </w:p>
    <w:p w:rsidR="007B7EE0" w:rsidRDefault="007B7EE0" w14:paraId="6164810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B7EE0" w14:paraId="09DC67E0" w14:textId="77777777">
        <w:tc>
          <w:tcPr>
            <w:tcW w:w="3592" w:type="dxa"/>
          </w:tcPr>
          <w:p w:rsidR="007B7EE0" w:rsidRDefault="00426B5D" w14:paraId="67B769DF" w14:textId="77777777">
            <w:r>
              <w:t>de staatssecretaris van Financiën -  Fiscaliteit, Belastingdienst en Douane,</w:t>
            </w:r>
            <w:r>
              <w:br/>
            </w:r>
            <w:r>
              <w:br/>
            </w:r>
            <w:r>
              <w:br/>
            </w:r>
            <w:r>
              <w:br/>
            </w:r>
            <w:r>
              <w:br/>
            </w:r>
            <w:r>
              <w:br/>
              <w:t>E</w:t>
            </w:r>
            <w:r w:rsidR="006401AD">
              <w:t>ugène</w:t>
            </w:r>
            <w:r>
              <w:t xml:space="preserve"> Heijnen</w:t>
            </w:r>
          </w:p>
        </w:tc>
        <w:tc>
          <w:tcPr>
            <w:tcW w:w="3892" w:type="dxa"/>
          </w:tcPr>
          <w:p w:rsidR="007B7EE0" w:rsidRDefault="007B7EE0" w14:paraId="026578EA" w14:textId="77777777"/>
        </w:tc>
      </w:tr>
    </w:tbl>
    <w:p w:rsidR="007B7EE0" w:rsidRDefault="007B7EE0" w14:paraId="6789BF10" w14:textId="77777777">
      <w:pPr>
        <w:pStyle w:val="Verdana7"/>
      </w:pPr>
    </w:p>
    <w:sectPr w:rsidR="007B7EE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22D3" w14:textId="77777777" w:rsidR="00426B5D" w:rsidRDefault="00426B5D">
      <w:pPr>
        <w:spacing w:line="240" w:lineRule="auto"/>
      </w:pPr>
      <w:r>
        <w:separator/>
      </w:r>
    </w:p>
  </w:endnote>
  <w:endnote w:type="continuationSeparator" w:id="0">
    <w:p w14:paraId="3C8404E0" w14:textId="77777777" w:rsidR="00426B5D" w:rsidRDefault="00426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287E" w14:textId="77777777" w:rsidR="00426B5D" w:rsidRDefault="00426B5D">
      <w:pPr>
        <w:spacing w:line="240" w:lineRule="auto"/>
      </w:pPr>
      <w:r>
        <w:separator/>
      </w:r>
    </w:p>
  </w:footnote>
  <w:footnote w:type="continuationSeparator" w:id="0">
    <w:p w14:paraId="12DB92BE" w14:textId="77777777" w:rsidR="00426B5D" w:rsidRDefault="00426B5D">
      <w:pPr>
        <w:spacing w:line="240" w:lineRule="auto"/>
      </w:pPr>
      <w:r>
        <w:continuationSeparator/>
      </w:r>
    </w:p>
  </w:footnote>
  <w:footnote w:id="1">
    <w:p w14:paraId="5C4E9B01" w14:textId="77777777" w:rsidR="00D96D9C" w:rsidRPr="00B65620" w:rsidRDefault="00D96D9C">
      <w:pPr>
        <w:pStyle w:val="Voetnoottekst"/>
        <w:rPr>
          <w:sz w:val="16"/>
          <w:szCs w:val="16"/>
        </w:rPr>
      </w:pPr>
      <w:r w:rsidRPr="00B65620">
        <w:rPr>
          <w:rStyle w:val="Voetnootmarkering"/>
          <w:sz w:val="16"/>
          <w:szCs w:val="16"/>
        </w:rPr>
        <w:footnoteRef/>
      </w:r>
      <w:r w:rsidRPr="00B65620">
        <w:rPr>
          <w:sz w:val="16"/>
          <w:szCs w:val="16"/>
        </w:rPr>
        <w:t xml:space="preserve"> Kamerstukken II 2024/25, 25087, nr. 351 (motie-</w:t>
      </w:r>
      <w:proofErr w:type="spellStart"/>
      <w:r w:rsidRPr="00B65620">
        <w:rPr>
          <w:sz w:val="16"/>
          <w:szCs w:val="16"/>
        </w:rPr>
        <w:t>Stultiens</w:t>
      </w:r>
      <w:proofErr w:type="spellEnd"/>
      <w:r w:rsidRPr="00B65620">
        <w:rPr>
          <w:sz w:val="16"/>
          <w:szCs w:val="16"/>
        </w:rPr>
        <w:t>).</w:t>
      </w:r>
    </w:p>
  </w:footnote>
  <w:footnote w:id="2">
    <w:p w14:paraId="4E9D4C48" w14:textId="77777777" w:rsidR="003F2BAB" w:rsidRPr="00B65620" w:rsidRDefault="003F2BAB" w:rsidP="003F2BAB">
      <w:pPr>
        <w:pStyle w:val="Voetnoottekst"/>
        <w:rPr>
          <w:sz w:val="16"/>
          <w:szCs w:val="16"/>
        </w:rPr>
      </w:pPr>
      <w:r w:rsidRPr="00B65620">
        <w:rPr>
          <w:rStyle w:val="Voetnootmarkering"/>
          <w:sz w:val="16"/>
          <w:szCs w:val="16"/>
        </w:rPr>
        <w:footnoteRef/>
      </w:r>
      <w:r w:rsidRPr="00B65620">
        <w:rPr>
          <w:sz w:val="16"/>
          <w:szCs w:val="16"/>
        </w:rPr>
        <w:t xml:space="preserve"> </w:t>
      </w:r>
      <w:hyperlink r:id="rId1" w:history="1">
        <w:r w:rsidRPr="00B65620">
          <w:rPr>
            <w:rStyle w:val="Hyperlink"/>
            <w:sz w:val="16"/>
            <w:szCs w:val="16"/>
          </w:rPr>
          <w:t>https://www.vno-ncw.nl/taxgovernancecode</w:t>
        </w:r>
      </w:hyperlink>
    </w:p>
  </w:footnote>
  <w:footnote w:id="3">
    <w:p w14:paraId="0384349C" w14:textId="77777777" w:rsidR="003F2BAB" w:rsidRPr="00501290" w:rsidRDefault="003F2BAB" w:rsidP="003F2BAB">
      <w:pPr>
        <w:pStyle w:val="Voetnoottekst"/>
        <w:rPr>
          <w:sz w:val="16"/>
          <w:szCs w:val="16"/>
        </w:rPr>
      </w:pPr>
      <w:r w:rsidRPr="00501290">
        <w:rPr>
          <w:rStyle w:val="Voetnootmarkering"/>
          <w:sz w:val="16"/>
          <w:szCs w:val="16"/>
        </w:rPr>
        <w:footnoteRef/>
      </w:r>
      <w:r w:rsidRPr="00501290">
        <w:rPr>
          <w:sz w:val="16"/>
          <w:szCs w:val="16"/>
        </w:rPr>
        <w:t xml:space="preserve"> Zie de Regeling van de Staatssecretaris van Justitie en Veiligheid van 14 augustus 2024, nr. 5556841, houdende aanwijzing niet-coöperatieve of coöperatieve rechtsgebieden voor belastingdoeleinden</w:t>
      </w:r>
      <w:r w:rsidR="00880837">
        <w:rPr>
          <w:sz w:val="16"/>
          <w:szCs w:val="16"/>
        </w:rPr>
        <w:t>.</w:t>
      </w:r>
    </w:p>
  </w:footnote>
  <w:footnote w:id="4">
    <w:p w14:paraId="01E2FEF8" w14:textId="77777777" w:rsidR="00C52156" w:rsidRPr="00B65620" w:rsidRDefault="00C52156">
      <w:pPr>
        <w:pStyle w:val="Voetnoottekst"/>
        <w:rPr>
          <w:sz w:val="16"/>
          <w:szCs w:val="16"/>
        </w:rPr>
      </w:pPr>
      <w:r w:rsidRPr="00B65620">
        <w:rPr>
          <w:rStyle w:val="Voetnootmarkering"/>
          <w:sz w:val="16"/>
          <w:szCs w:val="16"/>
        </w:rPr>
        <w:footnoteRef/>
      </w:r>
      <w:r w:rsidRPr="00B65620">
        <w:rPr>
          <w:sz w:val="16"/>
          <w:szCs w:val="16"/>
        </w:rPr>
        <w:t xml:space="preserve"> </w:t>
      </w:r>
      <w:r w:rsidR="00681478">
        <w:rPr>
          <w:sz w:val="16"/>
          <w:szCs w:val="16"/>
        </w:rPr>
        <w:t>Handelingen II 2024/25, nr. 114, item 5.</w:t>
      </w:r>
    </w:p>
  </w:footnote>
  <w:footnote w:id="5">
    <w:p w14:paraId="7C5C2FB4" w14:textId="77777777" w:rsidR="00B65620" w:rsidRPr="00B65620" w:rsidRDefault="00B65620">
      <w:pPr>
        <w:pStyle w:val="Voetnoottekst"/>
        <w:rPr>
          <w:sz w:val="16"/>
          <w:szCs w:val="16"/>
        </w:rPr>
      </w:pPr>
      <w:r w:rsidRPr="00B65620">
        <w:rPr>
          <w:rStyle w:val="Voetnootmarkering"/>
          <w:sz w:val="16"/>
          <w:szCs w:val="16"/>
        </w:rPr>
        <w:footnoteRef/>
      </w:r>
      <w:r w:rsidRPr="00B65620">
        <w:rPr>
          <w:sz w:val="16"/>
          <w:szCs w:val="16"/>
        </w:rPr>
        <w:t xml:space="preserve"> </w:t>
      </w:r>
      <w:r w:rsidR="00681478">
        <w:rPr>
          <w:sz w:val="16"/>
          <w:szCs w:val="16"/>
        </w:rPr>
        <w:t>Kamerstukken II 2024/25, 25087, nr. 343.</w:t>
      </w:r>
    </w:p>
  </w:footnote>
  <w:footnote w:id="6">
    <w:p w14:paraId="779F14C2" w14:textId="77777777" w:rsidR="00B65620" w:rsidRPr="00B65620" w:rsidRDefault="00B65620">
      <w:pPr>
        <w:pStyle w:val="Voetnoottekst"/>
        <w:rPr>
          <w:sz w:val="16"/>
          <w:szCs w:val="16"/>
        </w:rPr>
      </w:pPr>
      <w:r w:rsidRPr="00B65620">
        <w:rPr>
          <w:rStyle w:val="Voetnootmarkering"/>
          <w:sz w:val="16"/>
          <w:szCs w:val="16"/>
        </w:rPr>
        <w:footnoteRef/>
      </w:r>
      <w:r w:rsidRPr="00B65620">
        <w:rPr>
          <w:sz w:val="16"/>
          <w:szCs w:val="16"/>
        </w:rPr>
        <w:t xml:space="preserve"> </w:t>
      </w:r>
      <w:bookmarkStart w:id="0" w:name="_Hlk213143535"/>
      <w:r w:rsidR="00681478">
        <w:rPr>
          <w:sz w:val="16"/>
          <w:szCs w:val="16"/>
        </w:rPr>
        <w:t>Kamerstukken II 2024/25, 36725, nr. 1, bijlage 9.</w:t>
      </w:r>
      <w:bookmarkEnd w:id="0"/>
    </w:p>
  </w:footnote>
  <w:footnote w:id="7">
    <w:p w14:paraId="2CEC5DE0" w14:textId="77777777" w:rsidR="000C1DBC" w:rsidRDefault="000C1DBC" w:rsidP="000C1DBC">
      <w:pPr>
        <w:pStyle w:val="Voetnoottekst"/>
        <w:rPr>
          <w:sz w:val="16"/>
          <w:szCs w:val="16"/>
        </w:rPr>
      </w:pPr>
      <w:r>
        <w:rPr>
          <w:rStyle w:val="Voetnootmarkering"/>
          <w:sz w:val="16"/>
          <w:szCs w:val="16"/>
        </w:rPr>
        <w:footnoteRef/>
      </w:r>
      <w:r>
        <w:rPr>
          <w:sz w:val="16"/>
          <w:szCs w:val="16"/>
        </w:rPr>
        <w:t xml:space="preserve"> Artikel 67 Algemene wet inzake rijksbelastingen (AWR).</w:t>
      </w:r>
    </w:p>
  </w:footnote>
  <w:footnote w:id="8">
    <w:p w14:paraId="02DA168C" w14:textId="77777777" w:rsidR="000C1DBC" w:rsidRDefault="000C1DBC" w:rsidP="000C1DBC">
      <w:pPr>
        <w:pStyle w:val="Voetnoottekst"/>
      </w:pPr>
      <w:r>
        <w:rPr>
          <w:rStyle w:val="Voetnootmarkering"/>
          <w:sz w:val="16"/>
          <w:szCs w:val="16"/>
        </w:rPr>
        <w:footnoteRef/>
      </w:r>
      <w:r>
        <w:rPr>
          <w:sz w:val="16"/>
          <w:szCs w:val="16"/>
        </w:rPr>
        <w:t xml:space="preserve"> Kamerstukken II 2024/25, 31 066, nr. 1510.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C3E" w14:textId="77777777" w:rsidR="007B7EE0" w:rsidRDefault="00426B5D">
    <w:r>
      <w:rPr>
        <w:noProof/>
      </w:rPr>
      <mc:AlternateContent>
        <mc:Choice Requires="wps">
          <w:drawing>
            <wp:anchor distT="0" distB="0" distL="0" distR="0" simplePos="0" relativeHeight="251652096" behindDoc="0" locked="1" layoutInCell="1" allowOverlap="1" wp14:anchorId="7D1DCD24" wp14:editId="7B53DA1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D15A5C" w14:textId="77777777" w:rsidR="007B7EE0" w:rsidRDefault="00426B5D">
                          <w:pPr>
                            <w:pStyle w:val="StandaardReferentiegegevensKop"/>
                          </w:pPr>
                          <w:r>
                            <w:t>Ons kenmerk</w:t>
                          </w:r>
                        </w:p>
                        <w:p w14:paraId="60843F5F" w14:textId="77777777" w:rsidR="00F43D36" w:rsidRDefault="00517D41">
                          <w:pPr>
                            <w:pStyle w:val="StandaardReferentiegegevens"/>
                          </w:pPr>
                          <w:r>
                            <w:fldChar w:fldCharType="begin"/>
                          </w:r>
                          <w:r>
                            <w:instrText xml:space="preserve"> DOCPROPERTY  "Kenmerk"  \* MERGEFORMAT </w:instrText>
                          </w:r>
                          <w:r>
                            <w:fldChar w:fldCharType="separate"/>
                          </w:r>
                          <w:r>
                            <w:t>2025-0000486249</w:t>
                          </w:r>
                          <w:r>
                            <w:fldChar w:fldCharType="end"/>
                          </w:r>
                        </w:p>
                      </w:txbxContent>
                    </wps:txbx>
                    <wps:bodyPr vert="horz" wrap="square" lIns="0" tIns="0" rIns="0" bIns="0" anchor="t" anchorCtr="0"/>
                  </wps:wsp>
                </a:graphicData>
              </a:graphic>
            </wp:anchor>
          </w:drawing>
        </mc:Choice>
        <mc:Fallback>
          <w:pict>
            <v:shapetype w14:anchorId="7D1DCD2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ED15A5C" w14:textId="77777777" w:rsidR="007B7EE0" w:rsidRDefault="00426B5D">
                    <w:pPr>
                      <w:pStyle w:val="StandaardReferentiegegevensKop"/>
                    </w:pPr>
                    <w:r>
                      <w:t>Ons kenmerk</w:t>
                    </w:r>
                  </w:p>
                  <w:p w14:paraId="60843F5F" w14:textId="77777777" w:rsidR="00F43D36" w:rsidRDefault="00517D41">
                    <w:pPr>
                      <w:pStyle w:val="StandaardReferentiegegevens"/>
                    </w:pPr>
                    <w:r>
                      <w:fldChar w:fldCharType="begin"/>
                    </w:r>
                    <w:r>
                      <w:instrText xml:space="preserve"> DOCPROPERTY  "Kenmerk"  \* MERGEFORMAT </w:instrText>
                    </w:r>
                    <w:r>
                      <w:fldChar w:fldCharType="separate"/>
                    </w:r>
                    <w:r>
                      <w:t>2025-0000486249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AE24925" wp14:editId="361CF17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91BC30" w14:textId="77777777" w:rsidR="00F43D36" w:rsidRDefault="00517D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AE2492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691BC30" w14:textId="77777777" w:rsidR="00F43D36" w:rsidRDefault="00517D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F68916B" wp14:editId="399F5CE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3CEDBB3" w14:textId="77777777" w:rsidR="00F43D36" w:rsidRDefault="00517D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68916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3CEDBB3" w14:textId="77777777" w:rsidR="00F43D36" w:rsidRDefault="00517D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8001" w14:textId="77777777" w:rsidR="007B7EE0" w:rsidRDefault="00426B5D">
    <w:pPr>
      <w:spacing w:after="7029" w:line="14" w:lineRule="exact"/>
    </w:pPr>
    <w:r>
      <w:rPr>
        <w:noProof/>
      </w:rPr>
      <mc:AlternateContent>
        <mc:Choice Requires="wps">
          <w:drawing>
            <wp:anchor distT="0" distB="0" distL="0" distR="0" simplePos="0" relativeHeight="251655168" behindDoc="0" locked="1" layoutInCell="1" allowOverlap="1" wp14:anchorId="31BC2279" wp14:editId="19834EE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729FA75" w14:textId="77777777" w:rsidR="007B7EE0" w:rsidRDefault="00426B5D">
                          <w:pPr>
                            <w:spacing w:line="240" w:lineRule="auto"/>
                          </w:pPr>
                          <w:r>
                            <w:rPr>
                              <w:noProof/>
                            </w:rPr>
                            <w:drawing>
                              <wp:inline distT="0" distB="0" distL="0" distR="0" wp14:anchorId="72DCEEE5" wp14:editId="20C5C91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BC227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729FA75" w14:textId="77777777" w:rsidR="007B7EE0" w:rsidRDefault="00426B5D">
                    <w:pPr>
                      <w:spacing w:line="240" w:lineRule="auto"/>
                    </w:pPr>
                    <w:r>
                      <w:rPr>
                        <w:noProof/>
                      </w:rPr>
                      <w:drawing>
                        <wp:inline distT="0" distB="0" distL="0" distR="0" wp14:anchorId="72DCEEE5" wp14:editId="20C5C91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D76D0AD" wp14:editId="3230781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B0327F8" w14:textId="77777777" w:rsidR="00426B5D" w:rsidRDefault="00426B5D"/>
                      </w:txbxContent>
                    </wps:txbx>
                    <wps:bodyPr vert="horz" wrap="square" lIns="0" tIns="0" rIns="0" bIns="0" anchor="t" anchorCtr="0"/>
                  </wps:wsp>
                </a:graphicData>
              </a:graphic>
            </wp:anchor>
          </w:drawing>
        </mc:Choice>
        <mc:Fallback>
          <w:pict>
            <v:shape w14:anchorId="5D76D0A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B0327F8" w14:textId="77777777" w:rsidR="00426B5D" w:rsidRDefault="00426B5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87C75EF" wp14:editId="29C5084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A9F5DAB" w14:textId="77777777" w:rsidR="007B7EE0" w:rsidRDefault="00426B5D">
                          <w:pPr>
                            <w:pStyle w:val="StandaardReferentiegegevens"/>
                          </w:pPr>
                          <w:r>
                            <w:t>Korte Voorhout 7</w:t>
                          </w:r>
                        </w:p>
                        <w:p w14:paraId="5ED94DE6" w14:textId="77777777" w:rsidR="007B7EE0" w:rsidRDefault="00426B5D">
                          <w:pPr>
                            <w:pStyle w:val="StandaardReferentiegegevens"/>
                          </w:pPr>
                          <w:r>
                            <w:t>2511 CW  'S-GRAVENHAGE</w:t>
                          </w:r>
                        </w:p>
                        <w:p w14:paraId="518E5628" w14:textId="77777777" w:rsidR="007B7EE0" w:rsidRDefault="00426B5D">
                          <w:pPr>
                            <w:pStyle w:val="StandaardReferentiegegevens"/>
                          </w:pPr>
                          <w:r>
                            <w:t>POSTBUS 20201</w:t>
                          </w:r>
                        </w:p>
                        <w:p w14:paraId="5C8C220F" w14:textId="77777777" w:rsidR="007B7EE0" w:rsidRPr="00D96D9C" w:rsidRDefault="00426B5D">
                          <w:pPr>
                            <w:pStyle w:val="StandaardReferentiegegevens"/>
                            <w:rPr>
                              <w:lang w:val="es-ES"/>
                            </w:rPr>
                          </w:pPr>
                          <w:r w:rsidRPr="00D96D9C">
                            <w:rPr>
                              <w:lang w:val="es-ES"/>
                            </w:rPr>
                            <w:t>2500 EE  'S-GRAVENHAGE</w:t>
                          </w:r>
                        </w:p>
                        <w:p w14:paraId="07037803" w14:textId="77777777" w:rsidR="007B7EE0" w:rsidRPr="00D96D9C" w:rsidRDefault="00426B5D">
                          <w:pPr>
                            <w:pStyle w:val="StandaardReferentiegegevens"/>
                            <w:rPr>
                              <w:lang w:val="es-ES"/>
                            </w:rPr>
                          </w:pPr>
                          <w:r w:rsidRPr="00D96D9C">
                            <w:rPr>
                              <w:lang w:val="es-ES"/>
                            </w:rPr>
                            <w:t>www.rijksoverheid.nl/fin</w:t>
                          </w:r>
                        </w:p>
                        <w:p w14:paraId="2B1FC769" w14:textId="77777777" w:rsidR="007B7EE0" w:rsidRPr="00D96D9C" w:rsidRDefault="007B7EE0">
                          <w:pPr>
                            <w:pStyle w:val="WitregelW2"/>
                            <w:rPr>
                              <w:lang w:val="es-ES"/>
                            </w:rPr>
                          </w:pPr>
                        </w:p>
                        <w:p w14:paraId="7D31C315" w14:textId="77777777" w:rsidR="007B7EE0" w:rsidRDefault="00426B5D">
                          <w:pPr>
                            <w:pStyle w:val="StandaardReferentiegegevensKop"/>
                          </w:pPr>
                          <w:r>
                            <w:t>Ons kenmerk</w:t>
                          </w:r>
                        </w:p>
                        <w:p w14:paraId="791608D1" w14:textId="77777777" w:rsidR="00F43D36" w:rsidRDefault="00517D41">
                          <w:pPr>
                            <w:pStyle w:val="StandaardReferentiegegevens"/>
                          </w:pPr>
                          <w:r>
                            <w:fldChar w:fldCharType="begin"/>
                          </w:r>
                          <w:r>
                            <w:instrText xml:space="preserve"> DOCPROPERTY  "Kenmerk"  \* MERGEFORMAT </w:instrText>
                          </w:r>
                          <w:r>
                            <w:fldChar w:fldCharType="separate"/>
                          </w:r>
                          <w:r>
                            <w:t>2025-0000486249</w:t>
                          </w:r>
                          <w:r>
                            <w:fldChar w:fldCharType="end"/>
                          </w:r>
                        </w:p>
                        <w:p w14:paraId="5D5D346F" w14:textId="77777777" w:rsidR="007B7EE0" w:rsidRDefault="007B7EE0">
                          <w:pPr>
                            <w:pStyle w:val="WitregelW1"/>
                          </w:pPr>
                        </w:p>
                        <w:p w14:paraId="5BB15F90" w14:textId="77777777" w:rsidR="007B7EE0" w:rsidRDefault="00426B5D">
                          <w:pPr>
                            <w:pStyle w:val="StandaardReferentiegegevensKop"/>
                          </w:pPr>
                          <w:r>
                            <w:t>Uw brief (kenmerk)</w:t>
                          </w:r>
                        </w:p>
                        <w:p w14:paraId="3EABFDF7" w14:textId="77777777" w:rsidR="00F43D36" w:rsidRDefault="00517D41">
                          <w:pPr>
                            <w:pStyle w:val="StandaardReferentiegegevens"/>
                          </w:pPr>
                          <w:r>
                            <w:fldChar w:fldCharType="begin"/>
                          </w:r>
                          <w:r>
                            <w:instrText xml:space="preserve"> DOCPROPERTY  "UwKenmerk"  \* MERGEFORMAT </w:instrText>
                          </w:r>
                          <w:r>
                            <w:fldChar w:fldCharType="separate"/>
                          </w:r>
                          <w:r>
                            <w:t>25087, 351</w:t>
                          </w:r>
                          <w:r>
                            <w:fldChar w:fldCharType="end"/>
                          </w:r>
                        </w:p>
                        <w:p w14:paraId="673AC0B9" w14:textId="77777777" w:rsidR="007B7EE0" w:rsidRDefault="007B7EE0">
                          <w:pPr>
                            <w:pStyle w:val="WitregelW1"/>
                          </w:pPr>
                        </w:p>
                        <w:p w14:paraId="54006ACC" w14:textId="77777777" w:rsidR="007B7EE0" w:rsidRDefault="00426B5D">
                          <w:pPr>
                            <w:pStyle w:val="StandaardReferentiegegevensKop"/>
                          </w:pPr>
                          <w:r>
                            <w:t>Bijlagen</w:t>
                          </w:r>
                        </w:p>
                        <w:p w14:paraId="2F0DFC09" w14:textId="77777777" w:rsidR="007B7EE0" w:rsidRDefault="00426B5D">
                          <w:pPr>
                            <w:pStyle w:val="StandaardReferentiegegevens"/>
                          </w:pPr>
                          <w:r>
                            <w:t>(geen)</w:t>
                          </w:r>
                        </w:p>
                      </w:txbxContent>
                    </wps:txbx>
                    <wps:bodyPr vert="horz" wrap="square" lIns="0" tIns="0" rIns="0" bIns="0" anchor="t" anchorCtr="0"/>
                  </wps:wsp>
                </a:graphicData>
              </a:graphic>
            </wp:anchor>
          </w:drawing>
        </mc:Choice>
        <mc:Fallback>
          <w:pict>
            <v:shape w14:anchorId="087C75E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A9F5DAB" w14:textId="77777777" w:rsidR="007B7EE0" w:rsidRDefault="00426B5D">
                    <w:pPr>
                      <w:pStyle w:val="StandaardReferentiegegevens"/>
                    </w:pPr>
                    <w:r>
                      <w:t>Korte Voorhout 7</w:t>
                    </w:r>
                  </w:p>
                  <w:p w14:paraId="5ED94DE6" w14:textId="77777777" w:rsidR="007B7EE0" w:rsidRDefault="00426B5D">
                    <w:pPr>
                      <w:pStyle w:val="StandaardReferentiegegevens"/>
                    </w:pPr>
                    <w:r>
                      <w:t>2511 CW  'S-GRAVENHAGE</w:t>
                    </w:r>
                  </w:p>
                  <w:p w14:paraId="518E5628" w14:textId="77777777" w:rsidR="007B7EE0" w:rsidRDefault="00426B5D">
                    <w:pPr>
                      <w:pStyle w:val="StandaardReferentiegegevens"/>
                    </w:pPr>
                    <w:r>
                      <w:t>POSTBUS 20201</w:t>
                    </w:r>
                  </w:p>
                  <w:p w14:paraId="5C8C220F" w14:textId="77777777" w:rsidR="007B7EE0" w:rsidRPr="00D96D9C" w:rsidRDefault="00426B5D">
                    <w:pPr>
                      <w:pStyle w:val="StandaardReferentiegegevens"/>
                      <w:rPr>
                        <w:lang w:val="es-ES"/>
                      </w:rPr>
                    </w:pPr>
                    <w:r w:rsidRPr="00D96D9C">
                      <w:rPr>
                        <w:lang w:val="es-ES"/>
                      </w:rPr>
                      <w:t>2500 EE  'S-GRAVENHAGE</w:t>
                    </w:r>
                  </w:p>
                  <w:p w14:paraId="07037803" w14:textId="77777777" w:rsidR="007B7EE0" w:rsidRPr="00D96D9C" w:rsidRDefault="00426B5D">
                    <w:pPr>
                      <w:pStyle w:val="StandaardReferentiegegevens"/>
                      <w:rPr>
                        <w:lang w:val="es-ES"/>
                      </w:rPr>
                    </w:pPr>
                    <w:r w:rsidRPr="00D96D9C">
                      <w:rPr>
                        <w:lang w:val="es-ES"/>
                      </w:rPr>
                      <w:t>www.rijksoverheid.nl/fin</w:t>
                    </w:r>
                  </w:p>
                  <w:p w14:paraId="2B1FC769" w14:textId="77777777" w:rsidR="007B7EE0" w:rsidRPr="00D96D9C" w:rsidRDefault="007B7EE0">
                    <w:pPr>
                      <w:pStyle w:val="WitregelW2"/>
                      <w:rPr>
                        <w:lang w:val="es-ES"/>
                      </w:rPr>
                    </w:pPr>
                  </w:p>
                  <w:p w14:paraId="7D31C315" w14:textId="77777777" w:rsidR="007B7EE0" w:rsidRDefault="00426B5D">
                    <w:pPr>
                      <w:pStyle w:val="StandaardReferentiegegevensKop"/>
                    </w:pPr>
                    <w:r>
                      <w:t>Ons kenmerk</w:t>
                    </w:r>
                  </w:p>
                  <w:p w14:paraId="791608D1" w14:textId="77777777" w:rsidR="00F43D36" w:rsidRDefault="00517D41">
                    <w:pPr>
                      <w:pStyle w:val="StandaardReferentiegegevens"/>
                    </w:pPr>
                    <w:r>
                      <w:fldChar w:fldCharType="begin"/>
                    </w:r>
                    <w:r>
                      <w:instrText xml:space="preserve"> DOCPROPERTY  "Kenmerk"  \* MERGEFORMAT </w:instrText>
                    </w:r>
                    <w:r>
                      <w:fldChar w:fldCharType="separate"/>
                    </w:r>
                    <w:r>
                      <w:t>2025-0000486249</w:t>
                    </w:r>
                    <w:r>
                      <w:fldChar w:fldCharType="end"/>
                    </w:r>
                  </w:p>
                  <w:p w14:paraId="5D5D346F" w14:textId="77777777" w:rsidR="007B7EE0" w:rsidRDefault="007B7EE0">
                    <w:pPr>
                      <w:pStyle w:val="WitregelW1"/>
                    </w:pPr>
                  </w:p>
                  <w:p w14:paraId="5BB15F90" w14:textId="77777777" w:rsidR="007B7EE0" w:rsidRDefault="00426B5D">
                    <w:pPr>
                      <w:pStyle w:val="StandaardReferentiegegevensKop"/>
                    </w:pPr>
                    <w:r>
                      <w:t>Uw brief (kenmerk)</w:t>
                    </w:r>
                  </w:p>
                  <w:p w14:paraId="3EABFDF7" w14:textId="77777777" w:rsidR="00F43D36" w:rsidRDefault="00517D41">
                    <w:pPr>
                      <w:pStyle w:val="StandaardReferentiegegevens"/>
                    </w:pPr>
                    <w:r>
                      <w:fldChar w:fldCharType="begin"/>
                    </w:r>
                    <w:r>
                      <w:instrText xml:space="preserve"> DOCPROPERTY  "UwKenmerk"  \* MERGEFORMAT </w:instrText>
                    </w:r>
                    <w:r>
                      <w:fldChar w:fldCharType="separate"/>
                    </w:r>
                    <w:r>
                      <w:t>25087, 351</w:t>
                    </w:r>
                    <w:r>
                      <w:fldChar w:fldCharType="end"/>
                    </w:r>
                  </w:p>
                  <w:p w14:paraId="673AC0B9" w14:textId="77777777" w:rsidR="007B7EE0" w:rsidRDefault="007B7EE0">
                    <w:pPr>
                      <w:pStyle w:val="WitregelW1"/>
                    </w:pPr>
                  </w:p>
                  <w:p w14:paraId="54006ACC" w14:textId="77777777" w:rsidR="007B7EE0" w:rsidRDefault="00426B5D">
                    <w:pPr>
                      <w:pStyle w:val="StandaardReferentiegegevensKop"/>
                    </w:pPr>
                    <w:r>
                      <w:t>Bijlagen</w:t>
                    </w:r>
                  </w:p>
                  <w:p w14:paraId="2F0DFC09" w14:textId="77777777" w:rsidR="007B7EE0" w:rsidRDefault="00426B5D">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6DC277A" wp14:editId="46E31AF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3738B1C" w14:textId="77777777" w:rsidR="007B7EE0" w:rsidRDefault="00426B5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6DC277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3738B1C" w14:textId="77777777" w:rsidR="007B7EE0" w:rsidRDefault="00426B5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18E0638" wp14:editId="1091445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36E8076" w14:textId="77777777" w:rsidR="00F43D36" w:rsidRDefault="00517D41">
                          <w:pPr>
                            <w:pStyle w:val="Rubricering"/>
                          </w:pPr>
                          <w:r>
                            <w:fldChar w:fldCharType="begin"/>
                          </w:r>
                          <w:r>
                            <w:instrText xml:space="preserve"> DOCPROPERTY  "Rubricering"  \* MERGEFORMAT </w:instrText>
                          </w:r>
                          <w:r>
                            <w:fldChar w:fldCharType="end"/>
                          </w:r>
                        </w:p>
                        <w:p w14:paraId="4142D561" w14:textId="77777777" w:rsidR="00517D41" w:rsidRDefault="00426B5D">
                          <w:r>
                            <w:fldChar w:fldCharType="begin"/>
                          </w:r>
                          <w:r w:rsidR="00517D41">
                            <w:instrText xml:space="preserve"> DOCPROPERTY  "Aan"  \* MERGEFORMAT </w:instrText>
                          </w:r>
                          <w:r>
                            <w:fldChar w:fldCharType="separate"/>
                          </w:r>
                          <w:r w:rsidR="00517D41">
                            <w:t>Voorzitter van de Tweede Kamer der Staten-Generaal</w:t>
                          </w:r>
                        </w:p>
                        <w:p w14:paraId="3C00D204" w14:textId="77777777" w:rsidR="00517D41" w:rsidRDefault="00517D41">
                          <w:r>
                            <w:t>Postbus 20018</w:t>
                          </w:r>
                        </w:p>
                        <w:p w14:paraId="0685ACE3" w14:textId="77777777" w:rsidR="00517D41" w:rsidRDefault="00517D41">
                          <w:r>
                            <w:t>2500 EA  DEN HAAG</w:t>
                          </w:r>
                        </w:p>
                        <w:p w14:paraId="5146343D" w14:textId="77777777" w:rsidR="00517D41" w:rsidRDefault="00517D41"/>
                        <w:p w14:paraId="0D4EF5B5" w14:textId="77777777" w:rsidR="007B7EE0" w:rsidRDefault="00426B5D">
                          <w:r>
                            <w:fldChar w:fldCharType="end"/>
                          </w:r>
                        </w:p>
                      </w:txbxContent>
                    </wps:txbx>
                    <wps:bodyPr vert="horz" wrap="square" lIns="0" tIns="0" rIns="0" bIns="0" anchor="t" anchorCtr="0"/>
                  </wps:wsp>
                </a:graphicData>
              </a:graphic>
            </wp:anchor>
          </w:drawing>
        </mc:Choice>
        <mc:Fallback>
          <w:pict>
            <v:shape w14:anchorId="118E063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36E8076" w14:textId="77777777" w:rsidR="00F43D36" w:rsidRDefault="00517D41">
                    <w:pPr>
                      <w:pStyle w:val="Rubricering"/>
                    </w:pPr>
                    <w:r>
                      <w:fldChar w:fldCharType="begin"/>
                    </w:r>
                    <w:r>
                      <w:instrText xml:space="preserve"> DOCPROPERTY  "Rubricering"  \* MERGEFORMAT </w:instrText>
                    </w:r>
                    <w:r>
                      <w:fldChar w:fldCharType="end"/>
                    </w:r>
                  </w:p>
                  <w:p w14:paraId="4142D561" w14:textId="77777777" w:rsidR="00517D41" w:rsidRDefault="00426B5D">
                    <w:r>
                      <w:fldChar w:fldCharType="begin"/>
                    </w:r>
                    <w:r w:rsidR="00517D41">
                      <w:instrText xml:space="preserve"> DOCPROPERTY  "Aan"  \* MERGEFORMAT </w:instrText>
                    </w:r>
                    <w:r>
                      <w:fldChar w:fldCharType="separate"/>
                    </w:r>
                    <w:r w:rsidR="00517D41">
                      <w:t>Voorzitter van de Tweede Kamer der Staten-Generaal</w:t>
                    </w:r>
                  </w:p>
                  <w:p w14:paraId="3C00D204" w14:textId="77777777" w:rsidR="00517D41" w:rsidRDefault="00517D41">
                    <w:r>
                      <w:t>Postbus 20018</w:t>
                    </w:r>
                  </w:p>
                  <w:p w14:paraId="0685ACE3" w14:textId="77777777" w:rsidR="00517D41" w:rsidRDefault="00517D41">
                    <w:r>
                      <w:t>2500 EA  DEN HAAG</w:t>
                    </w:r>
                  </w:p>
                  <w:p w14:paraId="5146343D" w14:textId="77777777" w:rsidR="00517D41" w:rsidRDefault="00517D41"/>
                  <w:p w14:paraId="0D4EF5B5" w14:textId="77777777" w:rsidR="007B7EE0" w:rsidRDefault="00426B5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FF6DD8C" wp14:editId="2C9E22F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DF4C81E" w14:textId="77777777" w:rsidR="00F43D36" w:rsidRDefault="00517D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FF6DD8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DF4C81E" w14:textId="77777777" w:rsidR="00F43D36" w:rsidRDefault="00517D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9AF64A5" wp14:editId="68B4F9C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7EE0" w14:paraId="5ABEECC2" w14:textId="77777777">
                            <w:trPr>
                              <w:trHeight w:val="200"/>
                            </w:trPr>
                            <w:tc>
                              <w:tcPr>
                                <w:tcW w:w="1140" w:type="dxa"/>
                              </w:tcPr>
                              <w:p w14:paraId="49E612D1" w14:textId="77777777" w:rsidR="007B7EE0" w:rsidRDefault="007B7EE0"/>
                            </w:tc>
                            <w:tc>
                              <w:tcPr>
                                <w:tcW w:w="5400" w:type="dxa"/>
                              </w:tcPr>
                              <w:p w14:paraId="1A6CCB46" w14:textId="77777777" w:rsidR="007B7EE0" w:rsidRDefault="007B7EE0"/>
                            </w:tc>
                          </w:tr>
                          <w:tr w:rsidR="007B7EE0" w14:paraId="5908029D" w14:textId="77777777">
                            <w:trPr>
                              <w:trHeight w:val="240"/>
                            </w:trPr>
                            <w:tc>
                              <w:tcPr>
                                <w:tcW w:w="1140" w:type="dxa"/>
                              </w:tcPr>
                              <w:p w14:paraId="698DAE62" w14:textId="77777777" w:rsidR="007B7EE0" w:rsidRDefault="00426B5D">
                                <w:r>
                                  <w:t>Datum</w:t>
                                </w:r>
                              </w:p>
                            </w:tc>
                            <w:tc>
                              <w:tcPr>
                                <w:tcW w:w="5400" w:type="dxa"/>
                              </w:tcPr>
                              <w:p w14:paraId="7B67D29E" w14:textId="474DF8B4" w:rsidR="007B7EE0" w:rsidRDefault="00517D41">
                                <w:r>
                                  <w:t>13 november 2025</w:t>
                                </w:r>
                              </w:p>
                            </w:tc>
                          </w:tr>
                          <w:tr w:rsidR="007B7EE0" w14:paraId="5A124332" w14:textId="77777777">
                            <w:trPr>
                              <w:trHeight w:val="240"/>
                            </w:trPr>
                            <w:tc>
                              <w:tcPr>
                                <w:tcW w:w="1140" w:type="dxa"/>
                              </w:tcPr>
                              <w:p w14:paraId="23592DC2" w14:textId="77777777" w:rsidR="007B7EE0" w:rsidRDefault="00426B5D">
                                <w:r>
                                  <w:t>Betreft</w:t>
                                </w:r>
                              </w:p>
                            </w:tc>
                            <w:tc>
                              <w:tcPr>
                                <w:tcW w:w="5400" w:type="dxa"/>
                              </w:tcPr>
                              <w:p w14:paraId="2F3D3475" w14:textId="77777777" w:rsidR="00F43D36" w:rsidRDefault="00517D41">
                                <w:r>
                                  <w:fldChar w:fldCharType="begin"/>
                                </w:r>
                                <w:r>
                                  <w:instrText xml:space="preserve"> DOCPROPERTY  "Onderwerp"  \* MERGEFORMAT </w:instrText>
                                </w:r>
                                <w:r>
                                  <w:fldChar w:fldCharType="separate"/>
                                </w:r>
                                <w:r>
                                  <w:t>Motie-</w:t>
                                </w:r>
                                <w:proofErr w:type="spellStart"/>
                                <w:r>
                                  <w:t>Stultiens</w:t>
                                </w:r>
                                <w:proofErr w:type="spellEnd"/>
                                <w:r>
                                  <w:t xml:space="preserve"> over transparantie over belastingafdracht</w:t>
                                </w:r>
                                <w:r>
                                  <w:fldChar w:fldCharType="end"/>
                                </w:r>
                              </w:p>
                            </w:tc>
                          </w:tr>
                          <w:tr w:rsidR="007B7EE0" w14:paraId="6F8032CD" w14:textId="77777777">
                            <w:trPr>
                              <w:trHeight w:val="200"/>
                            </w:trPr>
                            <w:tc>
                              <w:tcPr>
                                <w:tcW w:w="1140" w:type="dxa"/>
                              </w:tcPr>
                              <w:p w14:paraId="09A8B513" w14:textId="77777777" w:rsidR="007B7EE0" w:rsidRDefault="007B7EE0"/>
                            </w:tc>
                            <w:tc>
                              <w:tcPr>
                                <w:tcW w:w="4738" w:type="dxa"/>
                              </w:tcPr>
                              <w:p w14:paraId="28376090" w14:textId="77777777" w:rsidR="007B7EE0" w:rsidRDefault="007B7EE0"/>
                            </w:tc>
                          </w:tr>
                        </w:tbl>
                        <w:p w14:paraId="2429CF0C" w14:textId="77777777" w:rsidR="00426B5D" w:rsidRDefault="00426B5D"/>
                      </w:txbxContent>
                    </wps:txbx>
                    <wps:bodyPr vert="horz" wrap="square" lIns="0" tIns="0" rIns="0" bIns="0" anchor="t" anchorCtr="0"/>
                  </wps:wsp>
                </a:graphicData>
              </a:graphic>
            </wp:anchor>
          </w:drawing>
        </mc:Choice>
        <mc:Fallback>
          <w:pict>
            <v:shape w14:anchorId="49AF64A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B7EE0" w14:paraId="5ABEECC2" w14:textId="77777777">
                      <w:trPr>
                        <w:trHeight w:val="200"/>
                      </w:trPr>
                      <w:tc>
                        <w:tcPr>
                          <w:tcW w:w="1140" w:type="dxa"/>
                        </w:tcPr>
                        <w:p w14:paraId="49E612D1" w14:textId="77777777" w:rsidR="007B7EE0" w:rsidRDefault="007B7EE0"/>
                      </w:tc>
                      <w:tc>
                        <w:tcPr>
                          <w:tcW w:w="5400" w:type="dxa"/>
                        </w:tcPr>
                        <w:p w14:paraId="1A6CCB46" w14:textId="77777777" w:rsidR="007B7EE0" w:rsidRDefault="007B7EE0"/>
                      </w:tc>
                    </w:tr>
                    <w:tr w:rsidR="007B7EE0" w14:paraId="5908029D" w14:textId="77777777">
                      <w:trPr>
                        <w:trHeight w:val="240"/>
                      </w:trPr>
                      <w:tc>
                        <w:tcPr>
                          <w:tcW w:w="1140" w:type="dxa"/>
                        </w:tcPr>
                        <w:p w14:paraId="698DAE62" w14:textId="77777777" w:rsidR="007B7EE0" w:rsidRDefault="00426B5D">
                          <w:r>
                            <w:t>Datum</w:t>
                          </w:r>
                        </w:p>
                      </w:tc>
                      <w:tc>
                        <w:tcPr>
                          <w:tcW w:w="5400" w:type="dxa"/>
                        </w:tcPr>
                        <w:p w14:paraId="7B67D29E" w14:textId="474DF8B4" w:rsidR="007B7EE0" w:rsidRDefault="00517D41">
                          <w:r>
                            <w:t>13 november 2025</w:t>
                          </w:r>
                        </w:p>
                      </w:tc>
                    </w:tr>
                    <w:tr w:rsidR="007B7EE0" w14:paraId="5A124332" w14:textId="77777777">
                      <w:trPr>
                        <w:trHeight w:val="240"/>
                      </w:trPr>
                      <w:tc>
                        <w:tcPr>
                          <w:tcW w:w="1140" w:type="dxa"/>
                        </w:tcPr>
                        <w:p w14:paraId="23592DC2" w14:textId="77777777" w:rsidR="007B7EE0" w:rsidRDefault="00426B5D">
                          <w:r>
                            <w:t>Betreft</w:t>
                          </w:r>
                        </w:p>
                      </w:tc>
                      <w:tc>
                        <w:tcPr>
                          <w:tcW w:w="5400" w:type="dxa"/>
                        </w:tcPr>
                        <w:p w14:paraId="2F3D3475" w14:textId="77777777" w:rsidR="00F43D36" w:rsidRDefault="00517D41">
                          <w:r>
                            <w:fldChar w:fldCharType="begin"/>
                          </w:r>
                          <w:r>
                            <w:instrText xml:space="preserve"> DOCPROPERTY  "Onderwerp"  \* MERGEFORMAT </w:instrText>
                          </w:r>
                          <w:r>
                            <w:fldChar w:fldCharType="separate"/>
                          </w:r>
                          <w:r>
                            <w:t>Motie-</w:t>
                          </w:r>
                          <w:proofErr w:type="spellStart"/>
                          <w:r>
                            <w:t>Stultiens</w:t>
                          </w:r>
                          <w:proofErr w:type="spellEnd"/>
                          <w:r>
                            <w:t xml:space="preserve"> over transparantie over belastingafdracht</w:t>
                          </w:r>
                          <w:r>
                            <w:fldChar w:fldCharType="end"/>
                          </w:r>
                        </w:p>
                      </w:tc>
                    </w:tr>
                    <w:tr w:rsidR="007B7EE0" w14:paraId="6F8032CD" w14:textId="77777777">
                      <w:trPr>
                        <w:trHeight w:val="200"/>
                      </w:trPr>
                      <w:tc>
                        <w:tcPr>
                          <w:tcW w:w="1140" w:type="dxa"/>
                        </w:tcPr>
                        <w:p w14:paraId="09A8B513" w14:textId="77777777" w:rsidR="007B7EE0" w:rsidRDefault="007B7EE0"/>
                      </w:tc>
                      <w:tc>
                        <w:tcPr>
                          <w:tcW w:w="4738" w:type="dxa"/>
                        </w:tcPr>
                        <w:p w14:paraId="28376090" w14:textId="77777777" w:rsidR="007B7EE0" w:rsidRDefault="007B7EE0"/>
                      </w:tc>
                    </w:tr>
                  </w:tbl>
                  <w:p w14:paraId="2429CF0C" w14:textId="77777777" w:rsidR="00426B5D" w:rsidRDefault="00426B5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1DE964B" wp14:editId="533876A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B16C039" w14:textId="77777777" w:rsidR="00F43D36" w:rsidRDefault="00517D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DE964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B16C039" w14:textId="77777777" w:rsidR="00F43D36" w:rsidRDefault="00517D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82D332C" wp14:editId="3911008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F89DE77" w14:textId="77777777" w:rsidR="00426B5D" w:rsidRDefault="00426B5D"/>
                      </w:txbxContent>
                    </wps:txbx>
                    <wps:bodyPr vert="horz" wrap="square" lIns="0" tIns="0" rIns="0" bIns="0" anchor="t" anchorCtr="0"/>
                  </wps:wsp>
                </a:graphicData>
              </a:graphic>
            </wp:anchor>
          </w:drawing>
        </mc:Choice>
        <mc:Fallback>
          <w:pict>
            <v:shape w14:anchorId="382D332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F89DE77" w14:textId="77777777" w:rsidR="00426B5D" w:rsidRDefault="00426B5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9007DC"/>
    <w:multiLevelType w:val="multilevel"/>
    <w:tmpl w:val="E5CA905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FBD548"/>
    <w:multiLevelType w:val="multilevel"/>
    <w:tmpl w:val="C95D2DE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357861"/>
    <w:multiLevelType w:val="multilevel"/>
    <w:tmpl w:val="FB33B5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B1BB385"/>
    <w:multiLevelType w:val="multilevel"/>
    <w:tmpl w:val="3EEB292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2B4234"/>
    <w:multiLevelType w:val="multilevel"/>
    <w:tmpl w:val="F94AF09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E27D05"/>
    <w:multiLevelType w:val="multilevel"/>
    <w:tmpl w:val="F067E2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7266950">
    <w:abstractNumId w:val="1"/>
  </w:num>
  <w:num w:numId="2" w16cid:durableId="1831944030">
    <w:abstractNumId w:val="3"/>
  </w:num>
  <w:num w:numId="3" w16cid:durableId="1380089127">
    <w:abstractNumId w:val="5"/>
  </w:num>
  <w:num w:numId="4" w16cid:durableId="1155028363">
    <w:abstractNumId w:val="2"/>
  </w:num>
  <w:num w:numId="5" w16cid:durableId="344864542">
    <w:abstractNumId w:val="4"/>
  </w:num>
  <w:num w:numId="6" w16cid:durableId="111772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E0"/>
    <w:rsid w:val="00003A90"/>
    <w:rsid w:val="0000457C"/>
    <w:rsid w:val="00051C3C"/>
    <w:rsid w:val="000C1DBC"/>
    <w:rsid w:val="001364C0"/>
    <w:rsid w:val="00146135"/>
    <w:rsid w:val="00166447"/>
    <w:rsid w:val="001B1F8B"/>
    <w:rsid w:val="001B3601"/>
    <w:rsid w:val="001C2151"/>
    <w:rsid w:val="002008AD"/>
    <w:rsid w:val="00232602"/>
    <w:rsid w:val="00303C31"/>
    <w:rsid w:val="003173B5"/>
    <w:rsid w:val="00342E34"/>
    <w:rsid w:val="00374425"/>
    <w:rsid w:val="00383F02"/>
    <w:rsid w:val="00384EF5"/>
    <w:rsid w:val="003E1445"/>
    <w:rsid w:val="003F2BAB"/>
    <w:rsid w:val="00426B5D"/>
    <w:rsid w:val="004878EA"/>
    <w:rsid w:val="004D67AE"/>
    <w:rsid w:val="004E4C03"/>
    <w:rsid w:val="005103B9"/>
    <w:rsid w:val="005137BF"/>
    <w:rsid w:val="00517D41"/>
    <w:rsid w:val="005501DC"/>
    <w:rsid w:val="005901F1"/>
    <w:rsid w:val="005A4C6C"/>
    <w:rsid w:val="005B53D8"/>
    <w:rsid w:val="005E2F58"/>
    <w:rsid w:val="00611921"/>
    <w:rsid w:val="006401AD"/>
    <w:rsid w:val="00681478"/>
    <w:rsid w:val="00707A60"/>
    <w:rsid w:val="007602A8"/>
    <w:rsid w:val="00776034"/>
    <w:rsid w:val="007B7EE0"/>
    <w:rsid w:val="00880837"/>
    <w:rsid w:val="008B4795"/>
    <w:rsid w:val="008C00D4"/>
    <w:rsid w:val="00911A50"/>
    <w:rsid w:val="009122E6"/>
    <w:rsid w:val="009356E4"/>
    <w:rsid w:val="009A6CB9"/>
    <w:rsid w:val="00A04A1E"/>
    <w:rsid w:val="00A34659"/>
    <w:rsid w:val="00A51FBF"/>
    <w:rsid w:val="00A74862"/>
    <w:rsid w:val="00AC081A"/>
    <w:rsid w:val="00AD7B87"/>
    <w:rsid w:val="00B64BEC"/>
    <w:rsid w:val="00B65620"/>
    <w:rsid w:val="00B9406B"/>
    <w:rsid w:val="00BD7698"/>
    <w:rsid w:val="00C52156"/>
    <w:rsid w:val="00C5369A"/>
    <w:rsid w:val="00CF0C2B"/>
    <w:rsid w:val="00D26438"/>
    <w:rsid w:val="00D96D9C"/>
    <w:rsid w:val="00DE2BD3"/>
    <w:rsid w:val="00E04B61"/>
    <w:rsid w:val="00E943EE"/>
    <w:rsid w:val="00EA0E70"/>
    <w:rsid w:val="00F43D36"/>
    <w:rsid w:val="00F46E1E"/>
    <w:rsid w:val="00F53FA4"/>
    <w:rsid w:val="00FB4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A781105"/>
  <w15:docId w15:val="{5925444C-9499-475C-87E0-F7E0C687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96D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6D9C"/>
    <w:rPr>
      <w:rFonts w:ascii="Verdana" w:hAnsi="Verdana"/>
      <w:color w:val="000000"/>
      <w:sz w:val="18"/>
      <w:szCs w:val="18"/>
    </w:rPr>
  </w:style>
  <w:style w:type="paragraph" w:styleId="Voettekst">
    <w:name w:val="footer"/>
    <w:basedOn w:val="Standaard"/>
    <w:link w:val="VoettekstChar"/>
    <w:uiPriority w:val="99"/>
    <w:unhideWhenUsed/>
    <w:rsid w:val="00D96D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6D9C"/>
    <w:rPr>
      <w:rFonts w:ascii="Verdana" w:hAnsi="Verdana"/>
      <w:color w:val="000000"/>
      <w:sz w:val="18"/>
      <w:szCs w:val="18"/>
    </w:rPr>
  </w:style>
  <w:style w:type="paragraph" w:styleId="Voetnoottekst">
    <w:name w:val="footnote text"/>
    <w:basedOn w:val="Standaard"/>
    <w:link w:val="VoetnoottekstChar"/>
    <w:uiPriority w:val="99"/>
    <w:semiHidden/>
    <w:unhideWhenUsed/>
    <w:rsid w:val="00D96D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96D9C"/>
    <w:rPr>
      <w:rFonts w:ascii="Verdana" w:hAnsi="Verdana"/>
      <w:color w:val="000000"/>
    </w:rPr>
  </w:style>
  <w:style w:type="character" w:styleId="Voetnootmarkering">
    <w:name w:val="footnote reference"/>
    <w:basedOn w:val="Standaardalinea-lettertype"/>
    <w:uiPriority w:val="99"/>
    <w:semiHidden/>
    <w:unhideWhenUsed/>
    <w:rsid w:val="00D96D9C"/>
    <w:rPr>
      <w:vertAlign w:val="superscript"/>
    </w:rPr>
  </w:style>
  <w:style w:type="character" w:styleId="Onopgelostemelding">
    <w:name w:val="Unresolved Mention"/>
    <w:basedOn w:val="Standaardalinea-lettertype"/>
    <w:uiPriority w:val="99"/>
    <w:semiHidden/>
    <w:unhideWhenUsed/>
    <w:rsid w:val="003173B5"/>
    <w:rPr>
      <w:color w:val="605E5C"/>
      <w:shd w:val="clear" w:color="auto" w:fill="E1DFDD"/>
    </w:rPr>
  </w:style>
  <w:style w:type="character" w:styleId="Verwijzingopmerking">
    <w:name w:val="annotation reference"/>
    <w:basedOn w:val="Standaardalinea-lettertype"/>
    <w:uiPriority w:val="99"/>
    <w:semiHidden/>
    <w:unhideWhenUsed/>
    <w:rsid w:val="00383F02"/>
    <w:rPr>
      <w:sz w:val="16"/>
      <w:szCs w:val="16"/>
    </w:rPr>
  </w:style>
  <w:style w:type="paragraph" w:styleId="Tekstopmerking">
    <w:name w:val="annotation text"/>
    <w:basedOn w:val="Standaard"/>
    <w:link w:val="TekstopmerkingChar"/>
    <w:uiPriority w:val="99"/>
    <w:unhideWhenUsed/>
    <w:rsid w:val="00383F02"/>
    <w:pPr>
      <w:spacing w:line="240" w:lineRule="auto"/>
    </w:pPr>
    <w:rPr>
      <w:sz w:val="20"/>
      <w:szCs w:val="20"/>
    </w:rPr>
  </w:style>
  <w:style w:type="character" w:customStyle="1" w:styleId="TekstopmerkingChar">
    <w:name w:val="Tekst opmerking Char"/>
    <w:basedOn w:val="Standaardalinea-lettertype"/>
    <w:link w:val="Tekstopmerking"/>
    <w:uiPriority w:val="99"/>
    <w:rsid w:val="00383F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83F02"/>
    <w:rPr>
      <w:b/>
      <w:bCs/>
    </w:rPr>
  </w:style>
  <w:style w:type="character" w:customStyle="1" w:styleId="OnderwerpvanopmerkingChar">
    <w:name w:val="Onderwerp van opmerking Char"/>
    <w:basedOn w:val="TekstopmerkingChar"/>
    <w:link w:val="Onderwerpvanopmerking"/>
    <w:uiPriority w:val="99"/>
    <w:semiHidden/>
    <w:rsid w:val="00383F02"/>
    <w:rPr>
      <w:rFonts w:ascii="Verdana" w:hAnsi="Verdana"/>
      <w:b/>
      <w:bCs/>
      <w:color w:val="000000"/>
    </w:rPr>
  </w:style>
  <w:style w:type="paragraph" w:styleId="Revisie">
    <w:name w:val="Revision"/>
    <w:hidden/>
    <w:uiPriority w:val="99"/>
    <w:semiHidden/>
    <w:rsid w:val="00A04A1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792">
      <w:bodyDiv w:val="1"/>
      <w:marLeft w:val="0"/>
      <w:marRight w:val="0"/>
      <w:marTop w:val="0"/>
      <w:marBottom w:val="0"/>
      <w:divBdr>
        <w:top w:val="none" w:sz="0" w:space="0" w:color="auto"/>
        <w:left w:val="none" w:sz="0" w:space="0" w:color="auto"/>
        <w:bottom w:val="none" w:sz="0" w:space="0" w:color="auto"/>
        <w:right w:val="none" w:sz="0" w:space="0" w:color="auto"/>
      </w:divBdr>
    </w:div>
    <w:div w:id="797727711">
      <w:bodyDiv w:val="1"/>
      <w:marLeft w:val="0"/>
      <w:marRight w:val="0"/>
      <w:marTop w:val="0"/>
      <w:marBottom w:val="0"/>
      <w:divBdr>
        <w:top w:val="none" w:sz="0" w:space="0" w:color="auto"/>
        <w:left w:val="none" w:sz="0" w:space="0" w:color="auto"/>
        <w:bottom w:val="none" w:sz="0" w:space="0" w:color="auto"/>
        <w:right w:val="none" w:sz="0" w:space="0" w:color="auto"/>
      </w:divBdr>
    </w:div>
    <w:div w:id="20527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vno-ncw.nl/taxgovernanceco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958</ap:Words>
  <ap:Characters>5274</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Motie-Stultiens over transparantie over belastingafdracht</vt:lpstr>
    </vt:vector>
  </ap:TitlesOfParts>
  <ap:LinksUpToDate>false</ap:LinksUpToDate>
  <ap:CharactersWithSpaces>6220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2025-11-13T10:30:00.0000000Z</dcterms:created>
  <dcterms:modified xsi:type="dcterms:W3CDTF">2025-11-13T10:30:00.0000000Z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Motie-Stultiens over transparantie over belastingafdracht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2025-0000486249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Motie-Stultiens over transparantie over belastingafdracht</vt:lpwstr>
  </property>
  <property fmtid="{D5CDD505-2E9C-101B-9397-08002B2CF9AE}" pid="30" name="UwKenmerk">
    <vt:lpwstr>25087, 351</vt:lpwstr>
  </property>
  <property fmtid="{D5CDD505-2E9C-101B-9397-08002B2CF9AE}" pid="31" name="MSIP_Label_b2aa6e22-2c82-48c6-bf24-1790f4b9c128_Enabled">
    <vt:lpwstr>true</vt:lpwstr>
  </property>
  <property fmtid="{D5CDD505-2E9C-101B-9397-08002B2CF9AE}" pid="32" name="MSIP_Label_b2aa6e22-2c82-48c6-bf24-1790f4b9c128_SetDate">
    <vt:lpwstr>2025-10-13T12:09:04Z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cf09e3ca-099a-4aa6-8bb3-7c93718c767c</vt:lpwstr>
  </property>
  <property fmtid="{D5CDD505-2E9C-101B-9397-08002B2CF9AE}" pid="37" name="MSIP_Label_b2aa6e22-2c82-48c6-bf24-1790f4b9c128_ContentBits">
    <vt:lpwstr>0</vt:lpwstr>
  </property>
</Properties>
</file>